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6.700001pt;margin-top:49.010025pt;width:481.9pt;height:.1pt;mso-position-horizontal-relative:page;mso-position-vertical-relative:page;z-index:0" coordorigin="1134,980" coordsize="9638,2">
            <v:shape style="position:absolute;left:1134;top:980;width:9638;height:2" coordorigin="1134,980" coordsize="9638,0" path="m1134,980l10772,980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3237" w:lineRule="exact"/>
        <w:ind w:left="348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4"/>
          <w:sz w:val="20"/>
          <w:szCs w:val="20"/>
        </w:rPr>
        <w:drawing>
          <wp:inline distT="0" distB="0" distL="0" distR="0">
            <wp:extent cx="1832678" cy="205549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832678" cy="2055495"/>
                    </a:xfrm>
                    <a:prstGeom prst="rect">
                      <a:avLst/>
                    </a:prstGeom>
                  </pic:spPr>
                </pic:pic>
              </a:graphicData>
            </a:graphic>
          </wp:inline>
        </w:drawing>
      </w:r>
      <w:r>
        <w:rPr>
          <w:rFonts w:ascii="Times New Roman" w:hAnsi="Times New Roman" w:cs="Times New Roman" w:eastAsia="Times New Roman" w:hint="default"/>
          <w:position w:val="-64"/>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1"/>
          <w:szCs w:val="21"/>
        </w:rPr>
      </w:pPr>
    </w:p>
    <w:p>
      <w:pPr>
        <w:spacing w:line="460" w:lineRule="exact" w:before="0"/>
        <w:ind w:left="2024" w:right="2019" w:firstLine="0"/>
        <w:jc w:val="center"/>
        <w:rPr>
          <w:rFonts w:ascii="宋体" w:hAnsi="宋体" w:cs="宋体" w:eastAsia="宋体" w:hint="default"/>
          <w:sz w:val="36"/>
          <w:szCs w:val="36"/>
        </w:rPr>
      </w:pPr>
      <w:r>
        <w:rPr>
          <w:rFonts w:ascii="宋体" w:hAnsi="宋体" w:cs="宋体" w:eastAsia="宋体" w:hint="default"/>
          <w:b/>
          <w:bCs/>
          <w:sz w:val="36"/>
          <w:szCs w:val="36"/>
        </w:rPr>
        <w:t>马鞍山鼎泰稀土新材料股份有限公司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pStyle w:val="Heading1"/>
        <w:spacing w:line="240" w:lineRule="auto" w:before="0"/>
        <w:ind w:right="2019"/>
        <w:jc w:val="center"/>
        <w:rPr>
          <w:b w:val="0"/>
          <w:bCs w:val="0"/>
        </w:rPr>
      </w:pP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年度报告</w:t>
      </w:r>
      <w:r>
        <w:rPr>
          <w:b w:val="0"/>
          <w:bCs w:val="0"/>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2018" w:right="201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5"/>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6" w:footer="978" w:top="1060" w:bottom="1160" w:left="1020" w:right="1020"/>
        </w:sectPr>
      </w:pPr>
    </w:p>
    <w:p>
      <w:pPr>
        <w:spacing w:line="240" w:lineRule="auto" w:before="10"/>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8;height:2" coordorigin="7,7" coordsize="9638,2">
              <v:shape style="position:absolute;left:7;top:7;width:9638;height:2" coordorigin="7,7" coordsize="9638,0" path="m7,7l964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9"/>
          <w:szCs w:val="19"/>
        </w:rPr>
      </w:pPr>
    </w:p>
    <w:p>
      <w:pPr>
        <w:pStyle w:val="Heading1"/>
        <w:spacing w:line="240" w:lineRule="auto"/>
        <w:ind w:left="2764" w:right="0"/>
        <w:jc w:val="left"/>
        <w:rPr>
          <w:b w:val="0"/>
          <w:bCs w:val="0"/>
        </w:rPr>
      </w:pPr>
      <w:bookmarkStart w:name="_bookmark0" w:id="1"/>
      <w:bookmarkEnd w:id="1"/>
      <w:r>
        <w:rPr>
          <w:b w:val="0"/>
          <w:bCs w:val="0"/>
        </w:rPr>
      </w:r>
      <w:r>
        <w:rPr/>
        <w:t>第一节</w:t>
      </w:r>
      <w:r>
        <w:rPr>
          <w:spacing w:val="-10"/>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2"/>
        <w:ind w:left="112" w:right="109" w:firstLine="561"/>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不存在任何虚假记载、误导性陈述或者重大遗漏，并对其内容的真实性、准确</w:t>
      </w:r>
      <w:r>
        <w:rPr>
          <w:rFonts w:ascii="宋体" w:hAnsi="宋体" w:cs="宋体" w:eastAsia="宋体" w:hint="default"/>
          <w:b/>
          <w:bCs/>
          <w:spacing w:val="41"/>
          <w:w w:val="95"/>
          <w:sz w:val="28"/>
          <w:szCs w:val="28"/>
        </w:rPr>
        <w:t> </w:t>
      </w:r>
      <w:r>
        <w:rPr>
          <w:rFonts w:ascii="宋体" w:hAnsi="宋体" w:cs="宋体" w:eastAsia="宋体" w:hint="default"/>
          <w:b/>
          <w:bCs/>
          <w:spacing w:val="41"/>
          <w:w w:val="95"/>
          <w:sz w:val="28"/>
          <w:szCs w:val="28"/>
        </w:rPr>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386" w:lineRule="auto" w:before="160"/>
        <w:ind w:left="112" w:right="111"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公司负责人刘冀鲁、主管会计工作负责人黄学春及会计机构负责人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黄学春声明：保证年度报告中财务报告的真实、准确、完整。</w:t>
      </w:r>
      <w:r>
        <w:rPr>
          <w:rFonts w:ascii="宋体" w:hAnsi="宋体" w:cs="宋体" w:eastAsia="宋体" w:hint="default"/>
          <w:sz w:val="28"/>
          <w:szCs w:val="28"/>
        </w:rPr>
      </w:r>
    </w:p>
    <w:p>
      <w:pPr>
        <w:spacing w:line="475" w:lineRule="auto" w:before="148"/>
        <w:ind w:left="674"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3"/>
          <w:sz w:val="28"/>
          <w:szCs w:val="28"/>
        </w:rPr>
        <w:t> </w:t>
      </w:r>
      <w:r>
        <w:rPr>
          <w:rFonts w:ascii="Times New Roman" w:hAnsi="Times New Roman" w:cs="Times New Roman" w:eastAsia="Times New Roman" w:hint="default"/>
          <w:b/>
          <w:bCs/>
          <w:sz w:val="28"/>
          <w:szCs w:val="28"/>
        </w:rPr>
        <w:t>2012</w:t>
      </w:r>
      <w:r>
        <w:rPr>
          <w:rFonts w:ascii="Times New Roman" w:hAnsi="Times New Roman" w:cs="Times New Roman" w:eastAsia="Times New Roman" w:hint="default"/>
          <w:b/>
          <w:bCs/>
          <w:spacing w:val="-14"/>
          <w:sz w:val="28"/>
          <w:szCs w:val="28"/>
        </w:rPr>
        <w:t> </w:t>
      </w:r>
      <w:r>
        <w:rPr>
          <w:rFonts w:ascii="宋体" w:hAnsi="宋体" w:cs="宋体" w:eastAsia="宋体" w:hint="default"/>
          <w:b/>
          <w:bCs/>
          <w:sz w:val="28"/>
          <w:szCs w:val="28"/>
        </w:rPr>
        <w:t>年</w:t>
      </w:r>
      <w:r>
        <w:rPr>
          <w:rFonts w:ascii="宋体" w:hAnsi="宋体" w:cs="宋体" w:eastAsia="宋体" w:hint="default"/>
          <w:b/>
          <w:bCs/>
          <w:spacing w:val="-82"/>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14"/>
          <w:sz w:val="28"/>
          <w:szCs w:val="28"/>
        </w:rPr>
        <w:t> </w:t>
      </w:r>
      <w:r>
        <w:rPr>
          <w:rFonts w:ascii="宋体" w:hAnsi="宋体" w:cs="宋体" w:eastAsia="宋体" w:hint="default"/>
          <w:b/>
          <w:bCs/>
          <w:sz w:val="28"/>
          <w:szCs w:val="28"/>
        </w:rPr>
        <w:t>月</w:t>
      </w:r>
      <w:r>
        <w:rPr>
          <w:rFonts w:ascii="宋体" w:hAnsi="宋体" w:cs="宋体" w:eastAsia="宋体" w:hint="default"/>
          <w:b/>
          <w:bCs/>
          <w:spacing w:val="-83"/>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14"/>
          <w:sz w:val="28"/>
          <w:szCs w:val="28"/>
        </w:rPr>
        <w:t> </w:t>
      </w:r>
      <w:r>
        <w:rPr>
          <w:rFonts w:ascii="宋体" w:hAnsi="宋体" w:cs="宋体" w:eastAsia="宋体" w:hint="default"/>
          <w:b/>
          <w:bCs/>
          <w:sz w:val="28"/>
          <w:szCs w:val="28"/>
        </w:rPr>
        <w:t>日的公</w:t>
      </w:r>
      <w:r>
        <w:rPr>
          <w:rFonts w:ascii="宋体" w:hAnsi="宋体" w:cs="宋体" w:eastAsia="宋体" w:hint="default"/>
          <w:sz w:val="28"/>
          <w:szCs w:val="28"/>
        </w:rPr>
      </w:r>
    </w:p>
    <w:p>
      <w:pPr>
        <w:spacing w:line="320" w:lineRule="exact" w:before="0"/>
        <w:ind w:left="112" w:right="0" w:firstLine="0"/>
        <w:jc w:val="left"/>
        <w:rPr>
          <w:rFonts w:ascii="宋体" w:hAnsi="宋体" w:cs="宋体" w:eastAsia="宋体" w:hint="default"/>
          <w:sz w:val="28"/>
          <w:szCs w:val="28"/>
        </w:rPr>
      </w:pPr>
      <w:r>
        <w:rPr>
          <w:rFonts w:ascii="宋体" w:hAnsi="宋体" w:cs="宋体" w:eastAsia="宋体" w:hint="default"/>
          <w:b/>
          <w:bCs/>
          <w:spacing w:val="3"/>
          <w:w w:val="99"/>
          <w:sz w:val="28"/>
          <w:szCs w:val="28"/>
        </w:rPr>
        <w:t>司总</w:t>
      </w:r>
      <w:r>
        <w:rPr>
          <w:rFonts w:ascii="宋体" w:hAnsi="宋体" w:cs="宋体" w:eastAsia="宋体" w:hint="default"/>
          <w:b/>
          <w:bCs/>
          <w:spacing w:val="5"/>
          <w:w w:val="99"/>
          <w:sz w:val="28"/>
          <w:szCs w:val="28"/>
        </w:rPr>
        <w:t>股</w:t>
      </w:r>
      <w:r>
        <w:rPr>
          <w:rFonts w:ascii="宋体" w:hAnsi="宋体" w:cs="宋体" w:eastAsia="宋体" w:hint="default"/>
          <w:b/>
          <w:bCs/>
          <w:spacing w:val="3"/>
          <w:w w:val="99"/>
          <w:sz w:val="28"/>
          <w:szCs w:val="28"/>
        </w:rPr>
        <w:t>本为基</w:t>
      </w:r>
      <w:r>
        <w:rPr>
          <w:rFonts w:ascii="宋体" w:hAnsi="宋体" w:cs="宋体" w:eastAsia="宋体" w:hint="default"/>
          <w:b/>
          <w:bCs/>
          <w:spacing w:val="5"/>
          <w:w w:val="99"/>
          <w:sz w:val="28"/>
          <w:szCs w:val="28"/>
        </w:rPr>
        <w:t>数</w:t>
      </w:r>
      <w:r>
        <w:rPr>
          <w:rFonts w:ascii="宋体" w:hAnsi="宋体" w:cs="宋体" w:eastAsia="宋体" w:hint="default"/>
          <w:b/>
          <w:bCs/>
          <w:spacing w:val="3"/>
          <w:w w:val="99"/>
          <w:sz w:val="28"/>
          <w:szCs w:val="28"/>
        </w:rPr>
        <w:t>，向全</w:t>
      </w:r>
      <w:r>
        <w:rPr>
          <w:rFonts w:ascii="宋体" w:hAnsi="宋体" w:cs="宋体" w:eastAsia="宋体" w:hint="default"/>
          <w:b/>
          <w:bCs/>
          <w:spacing w:val="5"/>
          <w:w w:val="99"/>
          <w:sz w:val="28"/>
          <w:szCs w:val="28"/>
        </w:rPr>
        <w:t>体</w:t>
      </w:r>
      <w:r>
        <w:rPr>
          <w:rFonts w:ascii="宋体" w:hAnsi="宋体" w:cs="宋体" w:eastAsia="宋体" w:hint="default"/>
          <w:b/>
          <w:bCs/>
          <w:spacing w:val="3"/>
          <w:w w:val="99"/>
          <w:sz w:val="28"/>
          <w:szCs w:val="28"/>
        </w:rPr>
        <w:t>股东</w:t>
      </w:r>
      <w:r>
        <w:rPr>
          <w:rFonts w:ascii="宋体" w:hAnsi="宋体" w:cs="宋体" w:eastAsia="宋体" w:hint="default"/>
          <w:b/>
          <w:bCs/>
          <w:w w:val="99"/>
          <w:sz w:val="28"/>
          <w:szCs w:val="28"/>
        </w:rPr>
        <w:t>每</w:t>
      </w:r>
      <w:r>
        <w:rPr>
          <w:rFonts w:ascii="宋体" w:hAnsi="宋体" w:cs="宋体" w:eastAsia="宋体" w:hint="default"/>
          <w:b/>
          <w:bCs/>
          <w:spacing w:val="-66"/>
          <w:sz w:val="28"/>
          <w:szCs w:val="28"/>
        </w:rPr>
        <w:t> </w:t>
      </w:r>
      <w:r>
        <w:rPr>
          <w:rFonts w:ascii="Times New Roman" w:hAnsi="Times New Roman" w:cs="Times New Roman" w:eastAsia="Times New Roman" w:hint="default"/>
          <w:b/>
          <w:bCs/>
          <w:spacing w:val="-1"/>
          <w:sz w:val="28"/>
          <w:szCs w:val="28"/>
        </w:rPr>
        <w:t>1</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spacing w:val="3"/>
          <w:w w:val="99"/>
          <w:sz w:val="28"/>
          <w:szCs w:val="28"/>
        </w:rPr>
        <w:t>股派</w:t>
      </w:r>
      <w:r>
        <w:rPr>
          <w:rFonts w:ascii="宋体" w:hAnsi="宋体" w:cs="宋体" w:eastAsia="宋体" w:hint="default"/>
          <w:b/>
          <w:bCs/>
          <w:spacing w:val="5"/>
          <w:w w:val="99"/>
          <w:sz w:val="28"/>
          <w:szCs w:val="28"/>
        </w:rPr>
        <w:t>发</w:t>
      </w:r>
      <w:r>
        <w:rPr>
          <w:rFonts w:ascii="宋体" w:hAnsi="宋体" w:cs="宋体" w:eastAsia="宋体" w:hint="default"/>
          <w:b/>
          <w:bCs/>
          <w:spacing w:val="3"/>
          <w:w w:val="99"/>
          <w:sz w:val="28"/>
          <w:szCs w:val="28"/>
        </w:rPr>
        <w:t>现金红</w:t>
      </w:r>
      <w:r>
        <w:rPr>
          <w:rFonts w:ascii="宋体" w:hAnsi="宋体" w:cs="宋体" w:eastAsia="宋体" w:hint="default"/>
          <w:b/>
          <w:bCs/>
          <w:w w:val="99"/>
          <w:sz w:val="28"/>
          <w:szCs w:val="28"/>
        </w:rPr>
        <w:t>利</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1</w:t>
      </w:r>
      <w:r>
        <w:rPr>
          <w:rFonts w:ascii="Times New Roman" w:hAnsi="Times New Roman" w:cs="Times New Roman" w:eastAsia="Times New Roman" w:hint="default"/>
          <w:b/>
          <w:bCs/>
          <w:spacing w:val="3"/>
          <w:sz w:val="28"/>
          <w:szCs w:val="28"/>
        </w:rPr>
        <w:t> </w:t>
      </w:r>
      <w:r>
        <w:rPr>
          <w:rFonts w:ascii="宋体" w:hAnsi="宋体" w:cs="宋体" w:eastAsia="宋体" w:hint="default"/>
          <w:b/>
          <w:bCs/>
          <w:spacing w:val="3"/>
          <w:w w:val="99"/>
          <w:sz w:val="28"/>
          <w:szCs w:val="28"/>
        </w:rPr>
        <w:t>元（</w:t>
      </w:r>
      <w:r>
        <w:rPr>
          <w:rFonts w:ascii="宋体" w:hAnsi="宋体" w:cs="宋体" w:eastAsia="宋体" w:hint="default"/>
          <w:b/>
          <w:bCs/>
          <w:spacing w:val="5"/>
          <w:w w:val="99"/>
          <w:sz w:val="28"/>
          <w:szCs w:val="28"/>
        </w:rPr>
        <w:t>含</w:t>
      </w:r>
      <w:r>
        <w:rPr>
          <w:rFonts w:ascii="宋体" w:hAnsi="宋体" w:cs="宋体" w:eastAsia="宋体" w:hint="default"/>
          <w:b/>
          <w:bCs/>
          <w:spacing w:val="3"/>
          <w:w w:val="99"/>
          <w:sz w:val="28"/>
          <w:szCs w:val="28"/>
        </w:rPr>
        <w:t>税</w:t>
      </w:r>
      <w:r>
        <w:rPr>
          <w:rFonts w:ascii="宋体" w:hAnsi="宋体" w:cs="宋体" w:eastAsia="宋体" w:hint="default"/>
          <w:b/>
          <w:bCs/>
          <w:spacing w:val="-136"/>
          <w:w w:val="99"/>
          <w:sz w:val="28"/>
          <w:szCs w:val="28"/>
        </w:rPr>
        <w:t>）</w:t>
      </w:r>
      <w:r>
        <w:rPr>
          <w:rFonts w:ascii="宋体" w:hAnsi="宋体" w:cs="宋体" w:eastAsia="宋体" w:hint="default"/>
          <w:b/>
          <w:bCs/>
          <w:spacing w:val="3"/>
          <w:w w:val="99"/>
          <w:sz w:val="28"/>
          <w:szCs w:val="28"/>
        </w:rPr>
        <w:t>，送</w:t>
      </w:r>
      <w:r>
        <w:rPr>
          <w:rFonts w:ascii="宋体" w:hAnsi="宋体" w:cs="宋体" w:eastAsia="宋体" w:hint="default"/>
          <w:b/>
          <w:bCs/>
          <w:spacing w:val="5"/>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w:t>
      </w:r>
      <w:r>
        <w:rPr>
          <w:rFonts w:ascii="宋体" w:hAnsi="宋体" w:cs="宋体" w:eastAsia="宋体" w:hint="default"/>
          <w:sz w:val="28"/>
          <w:szCs w:val="28"/>
        </w:rPr>
      </w:r>
    </w:p>
    <w:p>
      <w:pPr>
        <w:spacing w:before="236"/>
        <w:ind w:left="112" w:right="0" w:firstLine="0"/>
        <w:jc w:val="left"/>
        <w:rPr>
          <w:rFonts w:ascii="宋体" w:hAnsi="宋体" w:cs="宋体" w:eastAsia="宋体" w:hint="default"/>
          <w:sz w:val="28"/>
          <w:szCs w:val="28"/>
        </w:rPr>
      </w:pPr>
      <w:r>
        <w:rPr>
          <w:rFonts w:ascii="宋体" w:hAnsi="宋体" w:cs="宋体" w:eastAsia="宋体" w:hint="default"/>
          <w:b/>
          <w:bCs/>
          <w:w w:val="99"/>
          <w:sz w:val="28"/>
          <w:szCs w:val="28"/>
        </w:rPr>
        <w:t>（含</w:t>
      </w:r>
      <w:r>
        <w:rPr>
          <w:rFonts w:ascii="宋体" w:hAnsi="宋体" w:cs="宋体" w:eastAsia="宋体" w:hint="default"/>
          <w:b/>
          <w:bCs/>
          <w:spacing w:val="3"/>
          <w:w w:val="99"/>
          <w:sz w:val="28"/>
          <w:szCs w:val="28"/>
        </w:rPr>
        <w:t>税</w:t>
      </w:r>
      <w:r>
        <w:rPr>
          <w:rFonts w:ascii="宋体" w:hAnsi="宋体" w:cs="宋体" w:eastAsia="宋体" w:hint="default"/>
          <w:b/>
          <w:bCs/>
          <w:spacing w:val="-141"/>
          <w:w w:val="99"/>
          <w:sz w:val="28"/>
          <w:szCs w:val="28"/>
        </w:rPr>
        <w:t>）</w:t>
      </w:r>
      <w:r>
        <w:rPr>
          <w:rFonts w:ascii="宋体" w:hAnsi="宋体" w:cs="宋体" w:eastAsia="宋体" w:hint="default"/>
          <w:b/>
          <w:bCs/>
          <w:w w:val="99"/>
          <w:sz w:val="28"/>
          <w:szCs w:val="28"/>
        </w:rPr>
        <w:t>，不以</w:t>
      </w:r>
      <w:r>
        <w:rPr>
          <w:rFonts w:ascii="宋体" w:hAnsi="宋体" w:cs="宋体" w:eastAsia="宋体" w:hint="default"/>
          <w:b/>
          <w:bCs/>
          <w:spacing w:val="3"/>
          <w:w w:val="99"/>
          <w:sz w:val="28"/>
          <w:szCs w:val="28"/>
        </w:rPr>
        <w:t>公</w:t>
      </w:r>
      <w:r>
        <w:rPr>
          <w:rFonts w:ascii="宋体" w:hAnsi="宋体" w:cs="宋体" w:eastAsia="宋体" w:hint="default"/>
          <w:b/>
          <w:bCs/>
          <w:w w:val="99"/>
          <w:sz w:val="28"/>
          <w:szCs w:val="28"/>
        </w:rPr>
        <w:t>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8" w:header="746" w:top="1060" w:bottom="1160" w:left="1020" w:right="1020"/>
          <w:pgNumType w:start="2"/>
        </w:sectPr>
      </w:pPr>
    </w:p>
    <w:p>
      <w:pPr>
        <w:spacing w:line="240" w:lineRule="auto" w:before="10"/>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8;height:2" coordorigin="7,7" coordsize="9638,2">
              <v:shape style="position:absolute;left:7;top:7;width:9638;height:2" coordorigin="7,7" coordsize="9638,0" path="m7,7l964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5"/>
          <w:szCs w:val="25"/>
        </w:rPr>
      </w:pPr>
    </w:p>
    <w:p>
      <w:pPr>
        <w:spacing w:line="460" w:lineRule="exact" w:before="0"/>
        <w:ind w:left="2019" w:right="201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4"/>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41"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rFonts w:ascii="Times New Roman" w:hAnsi="Times New Roman" w:cs="Times New Roman" w:eastAsia="Times New Roman" w:hint="default"/>
              </w:rPr>
              <w:t>2012 </w:t>
            </w:r>
            <w:r>
              <w:rPr/>
              <w:t>年度报告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一、重要提示、目录和释义</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2</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二、公司简介</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三、会计数据和财务指标摘要</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8</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四、董事会报告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w:t>
            </w:r>
          </w:hyperlink>
          <w:r>
            <w:rPr>
              <w:rFonts w:ascii="Times New Roman" w:hAnsi="Times New Roman" w:cs="Times New Roman" w:eastAsia="Times New Roman" w:hint="default"/>
            </w:rPr>
            <w:t>0</w:t>
          </w:r>
          <w:r>
            <w:rPr>
              <w:rFonts w:ascii="Times New Roman" w:hAnsi="Times New Roman" w:cs="Times New Roman" w:eastAsia="Times New Roman" w:hint="default"/>
              <w:b w:val="0"/>
              <w:bCs w:val="0"/>
            </w:rPr>
          </w:r>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五、重要事项</w:t>
            </w:r>
            <w:r>
              <w:rPr>
                <w:rFonts w:ascii="Times New Roman" w:hAnsi="Times New Roman" w:cs="Times New Roman" w:eastAsia="Times New Roman" w:hint="default"/>
                <w:b w:val="0"/>
                <w:bCs w:val="0"/>
              </w:rPr>
            </w:r>
          </w:hyperlink>
          <w:r>
            <w:rPr>
              <w:rFonts w:ascii="Times New Roman" w:hAnsi="Times New Roman" w:cs="Times New Roman" w:eastAsia="Times New Roman" w:hint="default"/>
              <w:b w:val="0"/>
              <w:bCs w:val="0"/>
            </w:rPr>
            <w:tab/>
          </w:r>
          <w:r>
            <w:rPr>
              <w:rFonts w:ascii="Times New Roman" w:hAnsi="Times New Roman" w:cs="Times New Roman" w:eastAsia="Times New Roman" w:hint="default"/>
            </w:rPr>
            <w:t>25</w:t>
          </w:r>
          <w:r>
            <w:rPr>
              <w:rFonts w:ascii="Times New Roman" w:hAnsi="Times New Roman" w:cs="Times New Roman" w:eastAsia="Times New Roman" w:hint="default"/>
              <w:b w:val="0"/>
              <w:bCs w:val="0"/>
            </w:rPr>
          </w:r>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六、股份变动及股东情况</w:t>
            </w:r>
            <w:r>
              <w:rPr>
                <w:rFonts w:ascii="Times New Roman" w:hAnsi="Times New Roman" w:cs="Times New Roman" w:eastAsia="Times New Roman" w:hint="default"/>
                <w:b w:val="0"/>
                <w:bCs w:val="0"/>
              </w:rPr>
            </w:r>
          </w:hyperlink>
          <w:r>
            <w:rPr>
              <w:rFonts w:ascii="Times New Roman" w:hAnsi="Times New Roman" w:cs="Times New Roman" w:eastAsia="Times New Roman" w:hint="default"/>
              <w:b w:val="0"/>
              <w:bCs w:val="0"/>
            </w:rPr>
            <w:tab/>
          </w:r>
          <w:r>
            <w:rPr>
              <w:rFonts w:ascii="Times New Roman" w:hAnsi="Times New Roman" w:cs="Times New Roman" w:eastAsia="Times New Roman" w:hint="default"/>
            </w:rPr>
            <w:t>30</w:t>
          </w:r>
          <w:r>
            <w:rPr>
              <w:rFonts w:ascii="Times New Roman" w:hAnsi="Times New Roman" w:cs="Times New Roman" w:eastAsia="Times New Roman" w:hint="default"/>
              <w:b w:val="0"/>
              <w:bCs w:val="0"/>
            </w:rPr>
          </w:r>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七、董事、监事、高级管理人员和员工情况</w:t>
            </w:r>
            <w:r>
              <w:rPr>
                <w:rFonts w:ascii="Times New Roman" w:hAnsi="Times New Roman" w:cs="Times New Roman" w:eastAsia="Times New Roman" w:hint="default"/>
                <w:b w:val="0"/>
                <w:bCs w:val="0"/>
              </w:rPr>
            </w:r>
          </w:hyperlink>
          <w:r>
            <w:rPr>
              <w:rFonts w:ascii="Times New Roman" w:hAnsi="Times New Roman" w:cs="Times New Roman" w:eastAsia="Times New Roman" w:hint="default"/>
              <w:b w:val="0"/>
              <w:bCs w:val="0"/>
            </w:rPr>
            <w:tab/>
          </w:r>
          <w:r>
            <w:rPr>
              <w:rFonts w:ascii="Times New Roman" w:hAnsi="Times New Roman" w:cs="Times New Roman" w:eastAsia="Times New Roman" w:hint="default"/>
            </w:rPr>
            <w:t>35</w:t>
          </w:r>
          <w:r>
            <w:rPr>
              <w:rFonts w:ascii="Times New Roman" w:hAnsi="Times New Roman" w:cs="Times New Roman" w:eastAsia="Times New Roman" w:hint="default"/>
              <w:b w:val="0"/>
              <w:bCs w:val="0"/>
            </w:rPr>
          </w:r>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八、公司治理</w:t>
            </w:r>
            <w:r>
              <w:rPr>
                <w:rFonts w:ascii="Times New Roman" w:hAnsi="Times New Roman" w:cs="Times New Roman" w:eastAsia="Times New Roman" w:hint="default"/>
                <w:b w:val="0"/>
                <w:bCs w:val="0"/>
              </w:rPr>
            </w:r>
          </w:hyperlink>
          <w:r>
            <w:rPr>
              <w:rFonts w:ascii="Times New Roman" w:hAnsi="Times New Roman" w:cs="Times New Roman" w:eastAsia="Times New Roman" w:hint="default"/>
              <w:b w:val="0"/>
              <w:bCs w:val="0"/>
            </w:rPr>
            <w:tab/>
          </w:r>
          <w:r>
            <w:rPr>
              <w:rFonts w:ascii="Times New Roman" w:hAnsi="Times New Roman" w:cs="Times New Roman" w:eastAsia="Times New Roman" w:hint="default"/>
            </w:rPr>
            <w:t>41</w:t>
          </w:r>
          <w:r>
            <w:rPr>
              <w:rFonts w:ascii="Times New Roman" w:hAnsi="Times New Roman" w:cs="Times New Roman" w:eastAsia="Times New Roman" w:hint="default"/>
              <w:b w:val="0"/>
              <w:bCs w:val="0"/>
            </w:rPr>
          </w:r>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九、内部控制</w:t>
            </w:r>
            <w:r>
              <w:rPr>
                <w:rFonts w:ascii="Times New Roman" w:hAnsi="Times New Roman" w:cs="Times New Roman" w:eastAsia="Times New Roman" w:hint="default"/>
                <w:b w:val="0"/>
                <w:bCs w:val="0"/>
              </w:rPr>
            </w:r>
          </w:hyperlink>
          <w:r>
            <w:rPr>
              <w:rFonts w:ascii="Times New Roman" w:hAnsi="Times New Roman" w:cs="Times New Roman" w:eastAsia="Times New Roman" w:hint="default"/>
              <w:b w:val="0"/>
              <w:bCs w:val="0"/>
            </w:rPr>
            <w:tab/>
          </w:r>
          <w:r>
            <w:rPr>
              <w:rFonts w:ascii="Times New Roman" w:hAnsi="Times New Roman" w:cs="Times New Roman" w:eastAsia="Times New Roman" w:hint="default"/>
            </w:rPr>
            <w:t>46</w:t>
          </w:r>
          <w:r>
            <w:rPr>
              <w:rFonts w:ascii="Times New Roman" w:hAnsi="Times New Roman" w:cs="Times New Roman" w:eastAsia="Times New Roman" w:hint="default"/>
              <w:b w:val="0"/>
              <w:bCs w:val="0"/>
            </w:rPr>
          </w:r>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十、财务报告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w:t>
            </w:r>
          </w:hyperlink>
          <w:r>
            <w:rPr>
              <w:rFonts w:ascii="Times New Roman" w:hAnsi="Times New Roman" w:cs="Times New Roman" w:eastAsia="Times New Roman" w:hint="default"/>
            </w:rPr>
            <w:t>8</w:t>
          </w:r>
          <w:r>
            <w:rPr>
              <w:rFonts w:ascii="Times New Roman" w:hAnsi="Times New Roman" w:cs="Times New Roman" w:eastAsia="Times New Roman" w:hint="default"/>
              <w:b w:val="0"/>
              <w:bCs w:val="0"/>
            </w:rPr>
          </w:r>
        </w:p>
        <w:p>
          <w:pPr>
            <w:pStyle w:val="TOC1"/>
            <w:tabs>
              <w:tab w:pos="9741" w:val="right" w:leader="dot"/>
            </w:tabs>
            <w:spacing w:line="240" w:lineRule="auto"/>
            <w:ind w:right="0"/>
            <w:jc w:val="left"/>
            <w:rPr>
              <w:rFonts w:ascii="Times New Roman" w:hAnsi="Times New Roman" w:cs="Times New Roman" w:eastAsia="Times New Roman" w:hint="default"/>
              <w:b w:val="0"/>
              <w:bCs w:val="0"/>
            </w:rPr>
          </w:pPr>
          <w:r>
            <w:rPr/>
            <w:t>十一、备查文件目录</w:t>
          </w:r>
          <w:r>
            <w:rPr>
              <w:rFonts w:ascii="Times New Roman" w:hAnsi="Times New Roman" w:cs="Times New Roman" w:eastAsia="Times New Roman" w:hint="default"/>
              <w:b w:val="0"/>
              <w:bCs w:val="0"/>
            </w:rPr>
            <w:tab/>
          </w:r>
          <w:r>
            <w:rPr>
              <w:rFonts w:ascii="Times New Roman" w:hAnsi="Times New Roman" w:cs="Times New Roman" w:eastAsia="Times New Roman" w:hint="default"/>
              <w:spacing w:val="-5"/>
            </w:rPr>
            <w:t>116</w:t>
          </w:r>
          <w:r>
            <w:rPr>
              <w:rFonts w:ascii="Times New Roman" w:hAnsi="Times New Roman" w:cs="Times New Roman" w:eastAsia="Times New Roman" w:hint="default"/>
              <w:b w:val="0"/>
              <w:bCs w:val="0"/>
              <w:spacing w:val="-5"/>
            </w:rPr>
          </w:r>
        </w:p>
      </w:sdtContent>
    </w:sdt>
    <w:p>
      <w:pPr>
        <w:spacing w:after="0" w:line="240" w:lineRule="auto"/>
        <w:jc w:val="left"/>
        <w:rPr>
          <w:rFonts w:ascii="Times New Roman" w:hAnsi="Times New Roman" w:cs="Times New Roman" w:eastAsia="Times New Roman" w:hint="default"/>
        </w:rPr>
        <w:sectPr>
          <w:pgSz w:w="11910" w:h="16840"/>
          <w:pgMar w:header="746" w:footer="978" w:top="1060" w:bottom="1160" w:left="1020" w:right="1020"/>
        </w:sectPr>
      </w:pPr>
    </w:p>
    <w:p>
      <w:pPr>
        <w:pStyle w:val="Heading1"/>
        <w:spacing w:line="240" w:lineRule="auto" w:before="947"/>
        <w:ind w:right="2019"/>
        <w:jc w:val="center"/>
        <w:rPr>
          <w:b w:val="0"/>
          <w:bCs w:val="0"/>
        </w:rPr>
      </w:pPr>
      <w:r>
        <w:rPr/>
        <w:t>释义</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公司、本公司、鼎泰新材</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马鞍山鼎泰稀土新材料股份有限公司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隆泰稀土、子公司</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重庆市隆泰稀土新材料有限责任公司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广海分公司、分公司</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马鞍山鼎泰稀土新材料股份有限公司广海分公司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元、万元、亿元</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人民币元、人民币万元、人民币亿元</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马鞍山鼎泰稀土新材料股份有限公司董事会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马鞍山鼎泰稀土新材料股份有限公司监事会</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spacing w:before="1"/>
        <w:ind w:left="2018" w:right="2019"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9"/>
        <w:rPr>
          <w:rFonts w:ascii="宋体" w:hAnsi="宋体" w:cs="宋体" w:eastAsia="宋体" w:hint="default"/>
          <w:b/>
          <w:bCs/>
          <w:sz w:val="25"/>
          <w:szCs w:val="25"/>
        </w:rPr>
      </w:pPr>
    </w:p>
    <w:p>
      <w:pPr>
        <w:spacing w:line="408" w:lineRule="auto" w:before="0"/>
        <w:ind w:left="112" w:right="0" w:firstLine="561"/>
        <w:jc w:val="left"/>
        <w:rPr>
          <w:rFonts w:ascii="宋体" w:hAnsi="宋体" w:cs="宋体" w:eastAsia="宋体" w:hint="default"/>
          <w:sz w:val="28"/>
          <w:szCs w:val="28"/>
        </w:rPr>
      </w:pPr>
      <w:r>
        <w:rPr>
          <w:rFonts w:ascii="宋体" w:hAnsi="宋体" w:cs="宋体" w:eastAsia="宋体" w:hint="default"/>
          <w:b/>
          <w:bCs/>
          <w:spacing w:val="3"/>
          <w:w w:val="95"/>
          <w:sz w:val="28"/>
          <w:szCs w:val="28"/>
        </w:rPr>
        <w:t>本年度报告涉及未来计划等前瞻性陈述，不构成公司对投资者的实质性承</w:t>
      </w:r>
      <w:r>
        <w:rPr>
          <w:rFonts w:ascii="宋体" w:hAnsi="宋体" w:cs="宋体" w:eastAsia="宋体" w:hint="default"/>
          <w:b/>
          <w:bCs/>
          <w:w w:val="99"/>
          <w:sz w:val="28"/>
          <w:szCs w:val="28"/>
        </w:rPr>
        <w:t> </w:t>
      </w:r>
      <w:r>
        <w:rPr>
          <w:rFonts w:ascii="宋体" w:hAnsi="宋体" w:cs="宋体" w:eastAsia="宋体" w:hint="default"/>
          <w:b/>
          <w:bCs/>
          <w:sz w:val="28"/>
          <w:szCs w:val="28"/>
        </w:rPr>
        <w:t>诺，请投资者注意投资风险。</w:t>
      </w:r>
      <w:r>
        <w:rPr>
          <w:rFonts w:ascii="宋体" w:hAnsi="宋体" w:cs="宋体" w:eastAsia="宋体" w:hint="default"/>
          <w:sz w:val="28"/>
          <w:szCs w:val="28"/>
        </w:rPr>
      </w:r>
    </w:p>
    <w:p>
      <w:pPr>
        <w:spacing w:after="0" w:line="408" w:lineRule="auto"/>
        <w:jc w:val="left"/>
        <w:rPr>
          <w:rFonts w:ascii="宋体" w:hAnsi="宋体" w:cs="宋体" w:eastAsia="宋体" w:hint="default"/>
          <w:sz w:val="28"/>
          <w:szCs w:val="28"/>
        </w:rPr>
        <w:sectPr>
          <w:pgSz w:w="11910" w:h="16840"/>
          <w:pgMar w:header="746" w:footer="978" w:top="1060" w:bottom="1160" w:left="1020" w:right="1020"/>
        </w:sectPr>
      </w:pPr>
    </w:p>
    <w:p>
      <w:pPr>
        <w:spacing w:line="240" w:lineRule="auto" w:before="0"/>
        <w:rPr>
          <w:rFonts w:ascii="宋体" w:hAnsi="宋体" w:cs="宋体" w:eastAsia="宋体" w:hint="default"/>
          <w:b/>
          <w:bCs/>
          <w:sz w:val="20"/>
          <w:szCs w:val="20"/>
        </w:rPr>
      </w:pPr>
      <w:r>
        <w:rPr/>
        <w:pict>
          <v:group style="position:absolute;margin-left:170.949997pt;margin-top:269.600037pt;width:364.1pt;height:19.850pt;mso-position-horizontal-relative:page;mso-position-vertical-relative:page;z-index:-626872" coordorigin="3419,5392" coordsize="7282,397">
            <v:shape style="position:absolute;left:3419;top:5392;width:7282;height:397" coordorigin="3419,5392" coordsize="7282,397" path="m3419,5392l10701,5392,10701,5789,3419,5789,3419,5392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5"/>
          <w:szCs w:val="15"/>
        </w:rPr>
      </w:pPr>
    </w:p>
    <w:p>
      <w:pPr>
        <w:pStyle w:val="Heading1"/>
        <w:spacing w:line="240" w:lineRule="auto"/>
        <w:ind w:right="2019"/>
        <w:jc w:val="center"/>
        <w:rPr>
          <w:b w:val="0"/>
          <w:bCs w:val="0"/>
        </w:rPr>
      </w:pPr>
      <w:bookmarkStart w:name="_bookmark1" w:id="2"/>
      <w:bookmarkEnd w:id="2"/>
      <w:r>
        <w:rPr>
          <w:b w:val="0"/>
          <w:bCs w:val="0"/>
        </w:rPr>
      </w:r>
      <w:r>
        <w:rPr/>
        <w:t>第二节</w:t>
      </w:r>
      <w:r>
        <w:rPr>
          <w:spacing w:val="-6"/>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left"/>
        <w:rPr>
          <w:b w:val="0"/>
          <w:bCs w:val="0"/>
        </w:rPr>
      </w:pPr>
      <w:r>
        <w:rPr/>
        <w:t>一、公司信息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282"/>
        <w:gridCol w:w="2953"/>
        <w:gridCol w:w="2157"/>
        <w:gridCol w:w="2177"/>
      </w:tblGrid>
      <w:tr>
        <w:trPr>
          <w:trHeight w:val="402"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鼎泰新材</w:t>
            </w:r>
          </w:p>
        </w:tc>
        <w:tc>
          <w:tcPr>
            <w:tcW w:w="21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002352</w:t>
            </w:r>
          </w:p>
        </w:tc>
      </w:tr>
      <w:tr>
        <w:trPr>
          <w:trHeight w:val="402"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马鞍山鼎泰稀土新材料股份有限公司</w:t>
            </w:r>
          </w:p>
        </w:tc>
      </w:tr>
      <w:tr>
        <w:trPr>
          <w:trHeight w:val="402"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鼎泰新材</w:t>
            </w:r>
          </w:p>
        </w:tc>
      </w:tr>
      <w:tr>
        <w:trPr>
          <w:trHeight w:val="402"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Maanshan Dingtai Rare Earth &amp; New Materials    Co.,</w:t>
            </w:r>
            <w:r>
              <w:rPr>
                <w:rFonts w:ascii="Times New Roman"/>
                <w:spacing w:val="-22"/>
                <w:sz w:val="18"/>
              </w:rPr>
              <w:t> </w:t>
            </w:r>
            <w:r>
              <w:rPr>
                <w:rFonts w:ascii="Times New Roman"/>
                <w:sz w:val="18"/>
              </w:rPr>
              <w:t>Ltd.</w:t>
            </w:r>
          </w:p>
        </w:tc>
      </w:tr>
      <w:tr>
        <w:trPr>
          <w:trHeight w:val="402"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33"/>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Ding </w:t>
            </w:r>
            <w:r>
              <w:rPr>
                <w:rFonts w:ascii="Times New Roman"/>
                <w:spacing w:val="-4"/>
                <w:sz w:val="18"/>
              </w:rPr>
              <w:t>Tai </w:t>
            </w:r>
            <w:r>
              <w:rPr>
                <w:rFonts w:ascii="Times New Roman"/>
                <w:sz w:val="18"/>
              </w:rPr>
              <w:t>New</w:t>
            </w:r>
            <w:r>
              <w:rPr>
                <w:rFonts w:ascii="Times New Roman"/>
                <w:spacing w:val="-8"/>
                <w:sz w:val="18"/>
              </w:rPr>
              <w:t> </w:t>
            </w:r>
            <w:r>
              <w:rPr>
                <w:rFonts w:ascii="Times New Roman"/>
                <w:sz w:val="18"/>
              </w:rPr>
              <w:t>Materials</w:t>
            </w:r>
          </w:p>
        </w:tc>
      </w:tr>
      <w:tr>
        <w:trPr>
          <w:trHeight w:val="402"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刘冀鲁</w:t>
            </w:r>
          </w:p>
        </w:tc>
      </w:tr>
      <w:tr>
        <w:trPr>
          <w:trHeight w:val="402"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安徽省马鞍山市当涂工业园</w:t>
            </w:r>
          </w:p>
        </w:tc>
      </w:tr>
      <w:tr>
        <w:trPr>
          <w:trHeight w:val="402"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243100</w:t>
            </w:r>
          </w:p>
        </w:tc>
      </w:tr>
      <w:tr>
        <w:trPr>
          <w:trHeight w:val="402"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安徽省马鞍山市当涂工业园</w:t>
            </w:r>
          </w:p>
        </w:tc>
      </w:tr>
      <w:tr>
        <w:trPr>
          <w:trHeight w:val="402"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243100</w:t>
            </w:r>
          </w:p>
        </w:tc>
      </w:tr>
      <w:tr>
        <w:trPr>
          <w:trHeight w:val="402"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www.dingtaicn.com</w:t>
              </w:r>
            </w:hyperlink>
          </w:p>
        </w:tc>
      </w:tr>
      <w:tr>
        <w:trPr>
          <w:trHeight w:val="402"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0">
              <w:r>
                <w:rPr>
                  <w:rFonts w:ascii="Times New Roman"/>
                  <w:sz w:val="18"/>
                </w:rPr>
                <w:t>dtxc@dingtaicn.com</w:t>
              </w:r>
            </w:hyperlink>
          </w:p>
        </w:tc>
      </w:tr>
    </w:tbl>
    <w:p>
      <w:pPr>
        <w:spacing w:line="240" w:lineRule="auto" w:before="1"/>
        <w:rPr>
          <w:rFonts w:ascii="宋体" w:hAnsi="宋体" w:cs="宋体" w:eastAsia="宋体" w:hint="default"/>
          <w:b/>
          <w:bCs/>
          <w:sz w:val="18"/>
          <w:szCs w:val="18"/>
        </w:rPr>
      </w:pPr>
    </w:p>
    <w:p>
      <w:pPr>
        <w:spacing w:before="26"/>
        <w:ind w:left="112" w:right="0" w:firstLine="0"/>
        <w:jc w:val="left"/>
        <w:rPr>
          <w:rFonts w:ascii="宋体" w:hAnsi="宋体" w:cs="宋体" w:eastAsia="宋体" w:hint="default"/>
          <w:sz w:val="24"/>
          <w:szCs w:val="24"/>
        </w:rPr>
      </w:pPr>
      <w:r>
        <w:rPr>
          <w:rFonts w:ascii="宋体" w:hAnsi="宋体" w:cs="宋体" w:eastAsia="宋体" w:hint="default"/>
          <w:b/>
          <w:bCs/>
          <w:sz w:val="24"/>
          <w:szCs w:val="24"/>
        </w:rPr>
        <w:t>二、联系人和联系方式</w:t>
      </w:r>
      <w:r>
        <w:rPr>
          <w:rFonts w:ascii="宋体" w:hAnsi="宋体" w:cs="宋体" w:eastAsia="宋体" w:hint="default"/>
          <w:sz w:val="24"/>
          <w:szCs w:val="24"/>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黄学春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杨涛</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安徽省马鞍山市当涂经济开发区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安徽省马鞍山市当涂经济开发区</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0555-6615924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0555-6615924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0555-2916511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0555-2916511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0">
              <w:r>
                <w:rPr>
                  <w:rFonts w:ascii="Times New Roman"/>
                  <w:sz w:val="18"/>
                </w:rPr>
                <w:t>dtxc@dingtaicn.com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0">
              <w:r>
                <w:rPr>
                  <w:rFonts w:ascii="Times New Roman"/>
                  <w:sz w:val="18"/>
                </w:rPr>
                <w:t>dtxc@dingtaicn.com</w:t>
              </w:r>
            </w:hyperlink>
          </w:p>
        </w:tc>
      </w:tr>
    </w:tbl>
    <w:p>
      <w:pPr>
        <w:spacing w:line="240" w:lineRule="auto" w:before="1"/>
        <w:rPr>
          <w:rFonts w:ascii="宋体" w:hAnsi="宋体" w:cs="宋体" w:eastAsia="宋体" w:hint="default"/>
          <w:b/>
          <w:bCs/>
          <w:sz w:val="18"/>
          <w:szCs w:val="18"/>
        </w:rPr>
      </w:pPr>
    </w:p>
    <w:p>
      <w:pPr>
        <w:spacing w:before="26"/>
        <w:ind w:left="112" w:right="0" w:firstLine="0"/>
        <w:jc w:val="left"/>
        <w:rPr>
          <w:rFonts w:ascii="宋体" w:hAnsi="宋体" w:cs="宋体" w:eastAsia="宋体" w:hint="default"/>
          <w:sz w:val="24"/>
          <w:szCs w:val="24"/>
        </w:rPr>
      </w:pPr>
      <w:r>
        <w:rPr>
          <w:rFonts w:ascii="宋体" w:hAnsi="宋体" w:cs="宋体" w:eastAsia="宋体" w:hint="default"/>
          <w:b/>
          <w:bCs/>
          <w:sz w:val="24"/>
          <w:szCs w:val="24"/>
        </w:rPr>
        <w:t>三、信息披露及备置地点</w:t>
      </w:r>
      <w:r>
        <w:rPr>
          <w:rFonts w:ascii="宋体" w:hAnsi="宋体" w:cs="宋体" w:eastAsia="宋体" w:hint="default"/>
          <w:sz w:val="24"/>
          <w:szCs w:val="24"/>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727"/>
        <w:gridCol w:w="5841"/>
      </w:tblGrid>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《证券时报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《上海证券报》</w:t>
            </w:r>
          </w:p>
        </w:tc>
      </w:tr>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w:t>
              </w:r>
            </w:hyperlink>
          </w:p>
        </w:tc>
      </w:tr>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8"/>
        <w:rPr>
          <w:rFonts w:ascii="宋体" w:hAnsi="宋体" w:cs="宋体" w:eastAsia="宋体" w:hint="default"/>
          <w:b/>
          <w:bCs/>
          <w:sz w:val="23"/>
          <w:szCs w:val="23"/>
        </w:rPr>
      </w:pPr>
    </w:p>
    <w:p>
      <w:pPr>
        <w:spacing w:before="26"/>
        <w:ind w:left="112" w:right="0" w:firstLine="0"/>
        <w:jc w:val="left"/>
        <w:rPr>
          <w:rFonts w:ascii="宋体" w:hAnsi="宋体" w:cs="宋体" w:eastAsia="宋体" w:hint="default"/>
          <w:sz w:val="24"/>
          <w:szCs w:val="24"/>
        </w:rPr>
      </w:pPr>
      <w:r>
        <w:rPr>
          <w:rFonts w:ascii="宋体" w:hAnsi="宋体" w:cs="宋体" w:eastAsia="宋体" w:hint="default"/>
          <w:b/>
          <w:bCs/>
          <w:sz w:val="24"/>
          <w:szCs w:val="24"/>
        </w:rPr>
        <w:t>四、注册变更情况</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21" w:right="71" w:hanging="449"/>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50"/>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当涂工业园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340521000002878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5"/>
              <w:jc w:val="right"/>
              <w:rPr>
                <w:rFonts w:ascii="Times New Roman" w:hAnsi="Times New Roman" w:cs="Times New Roman" w:eastAsia="Times New Roman" w:hint="default"/>
                <w:sz w:val="18"/>
                <w:szCs w:val="18"/>
              </w:rPr>
            </w:pPr>
            <w:r>
              <w:rPr>
                <w:rFonts w:ascii="Times New Roman"/>
                <w:spacing w:val="-1"/>
                <w:sz w:val="18"/>
              </w:rPr>
              <w:t>340521150660397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15066039-7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当涂工业园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340521000002878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5"/>
              <w:jc w:val="right"/>
              <w:rPr>
                <w:rFonts w:ascii="Times New Roman" w:hAnsi="Times New Roman" w:cs="Times New Roman" w:eastAsia="Times New Roman" w:hint="default"/>
                <w:sz w:val="18"/>
                <w:szCs w:val="18"/>
              </w:rPr>
            </w:pPr>
            <w:r>
              <w:rPr>
                <w:rFonts w:ascii="Times New Roman"/>
                <w:spacing w:val="-1"/>
                <w:sz w:val="18"/>
              </w:rPr>
              <w:t>340521150660397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15066039-7</w:t>
            </w:r>
          </w:p>
        </w:tc>
      </w:tr>
      <w:tr>
        <w:trPr>
          <w:trHeight w:val="714"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spacing w:before="26"/>
        <w:ind w:left="112" w:right="0" w:firstLine="0"/>
        <w:jc w:val="left"/>
        <w:rPr>
          <w:rFonts w:ascii="宋体" w:hAnsi="宋体" w:cs="宋体" w:eastAsia="宋体" w:hint="default"/>
          <w:sz w:val="24"/>
          <w:szCs w:val="24"/>
        </w:rPr>
      </w:pPr>
      <w:r>
        <w:rPr>
          <w:rFonts w:ascii="宋体" w:hAnsi="宋体" w:cs="宋体" w:eastAsia="宋体" w:hint="default"/>
          <w:b/>
          <w:bCs/>
          <w:sz w:val="24"/>
          <w:szCs w:val="24"/>
        </w:rPr>
        <w:t>五、其他有关资料</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国富浩华会计师事务所（特殊普通合伙）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侯立勋、李梅</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51"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51"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国元证券股份有限公司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安徽省合肥市寿春路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陈肖汉、贾梅</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1"/>
        <w:spacing w:line="240" w:lineRule="auto"/>
        <w:ind w:left="2606" w:right="0"/>
        <w:jc w:val="left"/>
        <w:rPr>
          <w:b w:val="0"/>
          <w:bCs w:val="0"/>
        </w:rPr>
      </w:pPr>
      <w:bookmarkStart w:name="_bookmark2" w:id="3"/>
      <w:bookmarkEnd w:id="3"/>
      <w:r>
        <w:rPr>
          <w:b w:val="0"/>
          <w:bCs w:val="0"/>
        </w:rPr>
      </w:r>
      <w:r>
        <w:rPr/>
        <w:t>第三节</w:t>
      </w:r>
      <w:r>
        <w:rPr>
          <w:spacing w:val="-10"/>
        </w:rPr>
        <w:t> </w:t>
      </w:r>
      <w:r>
        <w:rPr/>
        <w:t>会计数据和财务指标摘要</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0"/>
        <w:jc w:val="left"/>
        <w:rPr>
          <w:b w:val="0"/>
          <w:bCs w:val="0"/>
        </w:rPr>
      </w:pPr>
      <w:r>
        <w:rPr/>
        <w:t>一、主要会计数据和财务指标</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619"/>
        <w:gridCol w:w="1738"/>
        <w:gridCol w:w="1738"/>
        <w:gridCol w:w="1738"/>
        <w:gridCol w:w="1736"/>
      </w:tblGrid>
      <w:tr>
        <w:trPr>
          <w:trHeight w:val="402" w:hRule="exact"/>
        </w:trPr>
        <w:tc>
          <w:tcPr>
            <w:tcW w:w="26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833,419,819.29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691,126,685.96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472,930,472.50</w:t>
            </w:r>
          </w:p>
        </w:tc>
      </w:tr>
      <w:tr>
        <w:trPr>
          <w:trHeight w:val="714" w:hRule="exact"/>
        </w:trPr>
        <w:tc>
          <w:tcPr>
            <w:tcW w:w="26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47,785,243.97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41,423,238.27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23,757,246.77</w:t>
            </w:r>
          </w:p>
        </w:tc>
      </w:tr>
      <w:tr>
        <w:trPr>
          <w:trHeight w:val="714" w:hRule="exact"/>
        </w:trPr>
        <w:tc>
          <w:tcPr>
            <w:tcW w:w="26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6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34,733,092.75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32,883,971.34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23,956,788.53</w:t>
            </w:r>
          </w:p>
        </w:tc>
      </w:tr>
      <w:tr>
        <w:trPr>
          <w:trHeight w:val="714" w:hRule="exact"/>
        </w:trPr>
        <w:tc>
          <w:tcPr>
            <w:tcW w:w="26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27,117,124.01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16,584,196.67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63.51%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-78,828,157.21</w:t>
            </w:r>
          </w:p>
        </w:tc>
      </w:tr>
      <w:tr>
        <w:trPr>
          <w:trHeight w:val="402" w:hRule="exact"/>
        </w:trPr>
        <w:tc>
          <w:tcPr>
            <w:tcW w:w="26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0.32</w:t>
            </w:r>
          </w:p>
        </w:tc>
      </w:tr>
      <w:tr>
        <w:trPr>
          <w:trHeight w:val="402" w:hRule="exact"/>
        </w:trPr>
        <w:tc>
          <w:tcPr>
            <w:tcW w:w="26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w:t>
            </w:r>
          </w:p>
        </w:tc>
      </w:tr>
      <w:tr>
        <w:trPr>
          <w:trHeight w:val="402" w:hRule="exact"/>
        </w:trPr>
        <w:tc>
          <w:tcPr>
            <w:tcW w:w="26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0.81%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3.74%</w:t>
            </w:r>
          </w:p>
        </w:tc>
      </w:tr>
      <w:tr>
        <w:trPr>
          <w:trHeight w:val="714" w:hRule="exact"/>
        </w:trPr>
        <w:tc>
          <w:tcPr>
            <w:tcW w:w="26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1,038,085,099.61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1,033,797,723.78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0.41%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810,843,968.47</w:t>
            </w:r>
          </w:p>
        </w:tc>
      </w:tr>
      <w:tr>
        <w:trPr>
          <w:trHeight w:val="1026" w:hRule="exact"/>
        </w:trPr>
        <w:tc>
          <w:tcPr>
            <w:tcW w:w="26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316" w:lineRule="auto" w:before="76"/>
              <w:ind w:left="22" w:right="64"/>
              <w:jc w:val="left"/>
              <w:rPr>
                <w:rFonts w:ascii="宋体" w:hAnsi="宋体" w:cs="宋体" w:eastAsia="宋体" w:hint="default"/>
                <w:sz w:val="18"/>
                <w:szCs w:val="18"/>
              </w:rPr>
            </w:pPr>
            <w:r>
              <w:rPr>
                <w:rFonts w:ascii="宋体" w:hAnsi="宋体" w:cs="宋体" w:eastAsia="宋体" w:hint="default"/>
                <w:sz w:val="18"/>
                <w:szCs w:val="18"/>
              </w:rPr>
              <w:t>（归属于上市公司股东的所有者 </w:t>
            </w:r>
            <w:r>
              <w:rPr>
                <w:rFonts w:ascii="宋体" w:hAnsi="宋体" w:cs="宋体" w:eastAsia="宋体" w:hint="default"/>
                <w:spacing w:val="-15"/>
                <w:sz w:val="18"/>
                <w:szCs w:val="18"/>
              </w:rPr>
              <w:t>权益）（元）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711,863,125.65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718,559,427.68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-0.93%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716,051,579.41</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二、非经常性损益项目及金额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486,730.81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406,947.72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-55,803.21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14,809,000.00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10,460,700.00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307,000.00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61,734.65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-552,299.49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-485,951.80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2,305,314.24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1,776,081.30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-35,213.25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13,052,151.22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8,539,266.93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-199,541.76</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after="0"/>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12"/>
        <w:rPr>
          <w:rFonts w:ascii="宋体" w:hAnsi="宋体" w:cs="宋体" w:eastAsia="宋体" w:hint="default"/>
          <w:sz w:val="25"/>
          <w:szCs w:val="25"/>
        </w:rPr>
      </w:pPr>
    </w:p>
    <w:p>
      <w:pPr>
        <w:spacing w:line="300" w:lineRule="auto" w:before="44"/>
        <w:ind w:left="112" w:right="100"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7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1"/>
        <w:spacing w:line="240" w:lineRule="auto"/>
        <w:ind w:left="3552" w:right="3631"/>
        <w:jc w:val="center"/>
        <w:rPr>
          <w:b w:val="0"/>
          <w:bCs w:val="0"/>
        </w:rPr>
      </w:pPr>
      <w:bookmarkStart w:name="_bookmark3" w:id="4"/>
      <w:bookmarkEnd w:id="4"/>
      <w:r>
        <w:rPr>
          <w:b w:val="0"/>
          <w:bCs w:val="0"/>
        </w:rPr>
      </w:r>
      <w:r>
        <w:rPr/>
        <w:t>第四节</w:t>
      </w:r>
      <w:r>
        <w:rPr>
          <w:spacing w:val="-9"/>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both"/>
        <w:rPr>
          <w:b w:val="0"/>
          <w:bCs w:val="0"/>
        </w:rPr>
      </w:pPr>
      <w:r>
        <w:rPr/>
        <w:t>一、概述</w:t>
      </w:r>
      <w:r>
        <w:rPr>
          <w:b w:val="0"/>
          <w:bCs w:val="0"/>
        </w:rPr>
      </w:r>
    </w:p>
    <w:p>
      <w:pPr>
        <w:spacing w:line="240" w:lineRule="auto" w:before="9"/>
        <w:rPr>
          <w:rFonts w:ascii="宋体" w:hAnsi="宋体" w:cs="宋体" w:eastAsia="宋体" w:hint="default"/>
          <w:b/>
          <w:bCs/>
          <w:sz w:val="24"/>
          <w:szCs w:val="24"/>
        </w:rPr>
      </w:pPr>
    </w:p>
    <w:p>
      <w:pPr>
        <w:pStyle w:val="BodyText"/>
        <w:spacing w:line="266" w:lineRule="auto"/>
        <w:ind w:right="189" w:firstLine="420"/>
        <w:jc w:val="both"/>
      </w:pPr>
      <w:r>
        <w:rPr>
          <w:rFonts w:ascii="Times New Roman" w:hAnsi="Times New Roman" w:cs="Times New Roman" w:eastAsia="Times New Roman" w:hint="default"/>
          <w:spacing w:val="-1"/>
        </w:rPr>
        <w:t>2012</w:t>
      </w:r>
      <w:r>
        <w:rPr>
          <w:spacing w:val="-1"/>
        </w:rPr>
        <w:t>年，公司紧紧围绕主营业务好中求快，坚持以发展为要务，巩固传统优势，不断调整产品结构和</w:t>
      </w:r>
      <w:r>
        <w:rPr/>
        <w:t> </w:t>
      </w:r>
      <w:r>
        <w:rPr>
          <w:spacing w:val="-1"/>
        </w:rPr>
        <w:t>市场营销策略，以降本增效为核心，以效益为中心，以预算为目标，以销售为龙头，以创新为手段，不断</w:t>
      </w:r>
      <w:r>
        <w:rPr>
          <w:spacing w:val="-98"/>
        </w:rPr>
        <w:t> </w:t>
      </w:r>
      <w:r>
        <w:rPr>
          <w:spacing w:val="-98"/>
        </w:rPr>
      </w:r>
      <w:r>
        <w:rPr>
          <w:spacing w:val="-1"/>
        </w:rPr>
        <w:t>优化资源组合，加大技术创新力度，完善内控机制，有效提升公司治理水平，基本上完成了公司年初下达</w:t>
      </w:r>
      <w:r>
        <w:rPr>
          <w:spacing w:val="-97"/>
        </w:rPr>
        <w:t> </w:t>
      </w:r>
      <w:r>
        <w:rPr>
          <w:spacing w:val="-97"/>
        </w:rPr>
      </w:r>
      <w:r>
        <w:rPr/>
        <w:t>的各项工作任务，企业呈现了一派稳中有进的良好局面。</w:t>
      </w:r>
    </w:p>
    <w:p>
      <w:pPr>
        <w:pStyle w:val="BodyText"/>
        <w:spacing w:line="273" w:lineRule="auto" w:before="14"/>
        <w:ind w:left="532" w:right="0"/>
        <w:jc w:val="left"/>
      </w:pPr>
      <w:r>
        <w:rPr/>
        <w:t>一、加快产业转型，经营业绩持续增长 </w:t>
      </w:r>
      <w:r>
        <w:rPr>
          <w:spacing w:val="-1"/>
        </w:rPr>
        <w:t>报告期内，面对复杂多变的经济形势和激烈的行业竞争，公司管理层严格要求自己，坚持以市场为导</w:t>
      </w:r>
    </w:p>
    <w:p>
      <w:pPr>
        <w:pStyle w:val="BodyText"/>
        <w:spacing w:line="261" w:lineRule="auto" w:before="7"/>
        <w:ind w:right="189"/>
        <w:jc w:val="both"/>
      </w:pPr>
      <w:r>
        <w:rPr>
          <w:spacing w:val="-1"/>
        </w:rPr>
        <w:t>向，以降本增效为核心，强化内部管控措施，不断加大节能降耗、技术创新等技改力度，基本完成了公司</w:t>
      </w:r>
      <w:r>
        <w:rPr>
          <w:spacing w:val="-96"/>
        </w:rPr>
        <w:t> </w:t>
      </w:r>
      <w:r>
        <w:rPr>
          <w:spacing w:val="-96"/>
        </w:rPr>
      </w:r>
      <w:r>
        <w:rPr/>
        <w:t>年初下达的经营指标。</w:t>
      </w:r>
      <w:r>
        <w:rPr>
          <w:rFonts w:ascii="Times New Roman" w:hAnsi="Times New Roman" w:cs="Times New Roman" w:eastAsia="Times New Roman" w:hint="default"/>
        </w:rPr>
        <w:t>2012</w:t>
      </w:r>
      <w:r>
        <w:rPr/>
        <w:t>年度公司实现营业收入</w:t>
      </w:r>
      <w:r>
        <w:rPr>
          <w:rFonts w:ascii="Times New Roman" w:hAnsi="Times New Roman" w:cs="Times New Roman" w:eastAsia="Times New Roman" w:hint="default"/>
        </w:rPr>
        <w:t>8.33</w:t>
      </w:r>
      <w:r>
        <w:rPr/>
        <w:t>亿元，比上年增长</w:t>
      </w:r>
      <w:r>
        <w:rPr>
          <w:rFonts w:ascii="Times New Roman" w:hAnsi="Times New Roman" w:cs="Times New Roman" w:eastAsia="Times New Roman" w:hint="default"/>
        </w:rPr>
        <w:t>20.59%</w:t>
      </w:r>
      <w:r>
        <w:rPr/>
        <w:t>；实现归属于上市公司股 东的净利润</w:t>
      </w:r>
      <w:r>
        <w:rPr>
          <w:rFonts w:ascii="Times New Roman" w:hAnsi="Times New Roman" w:cs="Times New Roman" w:eastAsia="Times New Roman" w:hint="default"/>
        </w:rPr>
        <w:t>4,778.52</w:t>
      </w:r>
      <w:r>
        <w:rPr/>
        <w:t>万元，比上年同期增长</w:t>
      </w:r>
      <w:r>
        <w:rPr>
          <w:rFonts w:ascii="Times New Roman" w:hAnsi="Times New Roman" w:cs="Times New Roman" w:eastAsia="Times New Roman" w:hint="default"/>
        </w:rPr>
        <w:t>15.36%</w:t>
      </w:r>
      <w:r>
        <w:rPr/>
        <w:t>，扣除非经常性损益后实现归属于上市归属的净利润比</w:t>
      </w:r>
      <w:r>
        <w:rPr>
          <w:spacing w:val="-54"/>
        </w:rPr>
        <w:t> </w:t>
      </w:r>
      <w:r>
        <w:rPr>
          <w:spacing w:val="-54"/>
        </w:rPr>
      </w:r>
      <w:r>
        <w:rPr/>
        <w:t>上年同期增幅</w:t>
      </w:r>
      <w:r>
        <w:rPr>
          <w:rFonts w:ascii="Times New Roman" w:hAnsi="Times New Roman" w:cs="Times New Roman" w:eastAsia="Times New Roman" w:hint="default"/>
        </w:rPr>
        <w:t>5.62%</w:t>
      </w:r>
      <w:r>
        <w:rPr/>
        <w:t>，均呈现稳定增长态势。</w:t>
      </w:r>
    </w:p>
    <w:p>
      <w:pPr>
        <w:pStyle w:val="BodyText"/>
        <w:spacing w:line="273" w:lineRule="auto"/>
        <w:ind w:left="532" w:right="0"/>
        <w:jc w:val="left"/>
      </w:pPr>
      <w:r>
        <w:rPr/>
        <w:t>二、坚持内外贸两个市场一起抓，市场开拓取得突破 </w:t>
      </w:r>
      <w:r>
        <w:rPr>
          <w:spacing w:val="-1"/>
        </w:rPr>
        <w:t>报告期内，公司通过市场策划、销售渠道拓宽、营销管理体制革新等措施，全年实现产销量增幅超过</w:t>
      </w:r>
    </w:p>
    <w:p>
      <w:pPr>
        <w:pStyle w:val="BodyText"/>
        <w:spacing w:line="264" w:lineRule="auto" w:before="7"/>
        <w:ind w:left="532" w:right="0" w:hanging="420"/>
        <w:jc w:val="left"/>
      </w:pPr>
      <w:r>
        <w:rPr>
          <w:rFonts w:ascii="Times New Roman" w:hAnsi="Times New Roman" w:cs="Times New Roman" w:eastAsia="Times New Roman" w:hint="default"/>
        </w:rPr>
        <w:t>40%</w:t>
      </w:r>
      <w:r>
        <w:rPr/>
        <w:t>，尤其是外贸市场和高端产品市场增长显著，外贸业务实现营业收入</w:t>
      </w:r>
      <w:r>
        <w:rPr>
          <w:rFonts w:ascii="Times New Roman" w:hAnsi="Times New Roman" w:cs="Times New Roman" w:eastAsia="Times New Roman" w:hint="default"/>
        </w:rPr>
        <w:t>2.21</w:t>
      </w:r>
      <w:r>
        <w:rPr/>
        <w:t>亿元，比上年增长</w:t>
      </w:r>
      <w:r>
        <w:rPr>
          <w:rFonts w:ascii="Times New Roman" w:hAnsi="Times New Roman" w:cs="Times New Roman" w:eastAsia="Times New Roman" w:hint="default"/>
        </w:rPr>
        <w:t>74.74%</w:t>
      </w:r>
      <w:r>
        <w:rPr/>
        <w:t>。 三、坚持科学发展，科技研发成果丰硕 </w:t>
      </w:r>
      <w:r>
        <w:rPr>
          <w:spacing w:val="-1"/>
        </w:rPr>
        <w:t>报告期内，公司继续加大科研投入，利用公司省级工程中心和博士后工作站平台，招收博士后进站，</w:t>
      </w:r>
    </w:p>
    <w:p>
      <w:pPr>
        <w:pStyle w:val="BodyText"/>
        <w:spacing w:line="264" w:lineRule="auto" w:before="16"/>
        <w:ind w:right="191"/>
        <w:jc w:val="both"/>
      </w:pPr>
      <w:r>
        <w:rPr/>
        <w:t>与公司核心技术人员共同完成了多项新产品试制和工艺技术改进。报告期内，公司申请了</w:t>
      </w:r>
      <w:r>
        <w:rPr>
          <w:rFonts w:ascii="Times New Roman" w:hAnsi="Times New Roman" w:cs="Times New Roman" w:eastAsia="Times New Roman" w:hint="default"/>
        </w:rPr>
        <w:t>4</w:t>
      </w:r>
      <w:r>
        <w:rPr/>
        <w:t>项发明专利，</w:t>
      </w:r>
      <w:r>
        <w:rPr>
          <w:spacing w:val="-37"/>
        </w:rPr>
        <w:t> </w:t>
      </w:r>
      <w:r>
        <w:rPr>
          <w:spacing w:val="-37"/>
        </w:rPr>
      </w:r>
      <w:r>
        <w:rPr>
          <w:spacing w:val="-1"/>
        </w:rPr>
        <w:t>现均已取得国家知识产权局正式授权。报告期内，公司作为稀土防腐技术应用企业，及时掌握和了解新技</w:t>
      </w:r>
      <w:r>
        <w:rPr>
          <w:spacing w:val="-101"/>
        </w:rPr>
        <w:t> </w:t>
      </w:r>
      <w:r>
        <w:rPr>
          <w:spacing w:val="-101"/>
        </w:rPr>
      </w:r>
      <w:r>
        <w:rPr/>
        <w:t>术，参与了中国稀土行业协会成立并成为其首届理事单位之一，强化了行业地位。</w:t>
      </w:r>
    </w:p>
    <w:p>
      <w:pPr>
        <w:pStyle w:val="BodyText"/>
        <w:spacing w:line="273" w:lineRule="auto" w:before="16"/>
        <w:ind w:left="532" w:right="0"/>
        <w:jc w:val="left"/>
      </w:pPr>
      <w:r>
        <w:rPr/>
        <w:t>四、完善公司治理，提升治理水平 </w:t>
      </w:r>
      <w:r>
        <w:rPr>
          <w:spacing w:val="-1"/>
        </w:rPr>
        <w:t>报告期内，公司内部控制体系逐步完善，进一步加强关键控制点监督，优化内部控制流程，有效控制</w:t>
      </w:r>
    </w:p>
    <w:p>
      <w:pPr>
        <w:pStyle w:val="BodyText"/>
        <w:spacing w:line="273" w:lineRule="auto" w:before="7"/>
        <w:ind w:right="171"/>
        <w:jc w:val="both"/>
      </w:pPr>
      <w:r>
        <w:rPr>
          <w:spacing w:val="-1"/>
        </w:rPr>
        <w:t>了生产经营风险。公司从生产经营、财务管理、重大事项、分支机构、信息披露、内部审计等方面建立健</w:t>
      </w:r>
      <w:r>
        <w:rPr>
          <w:spacing w:val="-97"/>
        </w:rPr>
        <w:t> </w:t>
      </w:r>
      <w:r>
        <w:rPr>
          <w:spacing w:val="-97"/>
        </w:rPr>
      </w:r>
      <w:r>
        <w:rPr>
          <w:spacing w:val="-1"/>
        </w:rPr>
        <w:t>全公司内控程序，加大对生产管理、人力资源、成本考核、物品采购、资产管理、质量管理、仓储管理、</w:t>
      </w:r>
      <w:r>
        <w:rPr>
          <w:spacing w:val="-80"/>
        </w:rPr>
        <w:t> </w:t>
      </w:r>
      <w:r>
        <w:rPr>
          <w:spacing w:val="-80"/>
        </w:rPr>
      </w:r>
      <w:r>
        <w:rPr>
          <w:spacing w:val="-1"/>
        </w:rPr>
        <w:t>募集资金管理等相关程序的审核，完善法人治理结构，通过公司董事会和管理层的努力，公司生产经营运</w:t>
      </w:r>
      <w:r>
        <w:rPr>
          <w:spacing w:val="-101"/>
        </w:rPr>
        <w:t> </w:t>
      </w:r>
      <w:r>
        <w:rPr>
          <w:spacing w:val="-101"/>
        </w:rPr>
      </w:r>
      <w:r>
        <w:rPr/>
        <w:t>行良好，治理水平不断提升，内部控制合理有效。</w:t>
      </w:r>
    </w:p>
    <w:p>
      <w:pPr>
        <w:spacing w:line="240" w:lineRule="auto" w:before="10"/>
        <w:rPr>
          <w:rFonts w:ascii="宋体" w:hAnsi="宋体" w:cs="宋体" w:eastAsia="宋体" w:hint="default"/>
          <w:sz w:val="21"/>
          <w:szCs w:val="21"/>
        </w:rPr>
      </w:pPr>
    </w:p>
    <w:p>
      <w:pPr>
        <w:pStyle w:val="Heading2"/>
        <w:spacing w:line="240" w:lineRule="auto"/>
        <w:ind w:right="0"/>
        <w:jc w:val="both"/>
        <w:rPr>
          <w:b w:val="0"/>
          <w:bCs w:val="0"/>
        </w:rPr>
      </w:pPr>
      <w:r>
        <w:rPr/>
        <w:t>二、主营业务分析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26"/>
          <w:szCs w:val="26"/>
        </w:rPr>
      </w:pPr>
    </w:p>
    <w:p>
      <w:pPr>
        <w:spacing w:line="316" w:lineRule="auto" w:before="0"/>
        <w:ind w:left="112" w:right="0" w:firstLine="631"/>
        <w:jc w:val="left"/>
        <w:rPr>
          <w:rFonts w:ascii="宋体" w:hAnsi="宋体" w:cs="宋体" w:eastAsia="宋体" w:hint="default"/>
          <w:sz w:val="18"/>
          <w:szCs w:val="18"/>
        </w:rPr>
      </w:pPr>
      <w:r>
        <w:rPr>
          <w:rFonts w:ascii="宋体" w:hAnsi="宋体" w:cs="宋体" w:eastAsia="宋体" w:hint="default"/>
          <w:sz w:val="18"/>
          <w:szCs w:val="18"/>
        </w:rPr>
        <w:t>公司主营业务为：生产、销售：稀土多元合金镀层丝绳及镀件、金属丝绳及其制品、紧固件、弹簧；交通安全设施 </w:t>
      </w:r>
      <w:r>
        <w:rPr>
          <w:rFonts w:ascii="宋体" w:hAnsi="宋体" w:cs="宋体" w:eastAsia="宋体" w:hint="default"/>
          <w:spacing w:val="-4"/>
          <w:sz w:val="18"/>
          <w:szCs w:val="18"/>
        </w:rPr>
        <w:t>产品制造、安装；自营或代理各类商品和技术进出口业务（国家限定企业经营或禁止进出口的商品和技术除外）。主要产品：</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稀土锌铝合金镀层钢丝、稀土锌铝合金镀层钢绞线，</w:t>
      </w:r>
      <w:r>
        <w:rPr>
          <w:rFonts w:ascii="Times New Roman" w:hAnsi="Times New Roman" w:cs="Times New Roman" w:eastAsia="Times New Roman" w:hint="default"/>
          <w:sz w:val="18"/>
          <w:szCs w:val="18"/>
        </w:rPr>
        <w:t>PC</w:t>
      </w:r>
      <w:r>
        <w:rPr>
          <w:rFonts w:ascii="宋体" w:hAnsi="宋体" w:cs="宋体" w:eastAsia="宋体" w:hint="default"/>
          <w:sz w:val="18"/>
          <w:szCs w:val="18"/>
        </w:rPr>
        <w:t>钢绞线。</w:t>
      </w:r>
    </w:p>
    <w:p>
      <w:pPr>
        <w:pStyle w:val="BodyText"/>
        <w:spacing w:line="248" w:lineRule="exact"/>
        <w:ind w:left="532" w:right="0"/>
        <w:jc w:val="left"/>
      </w:pPr>
      <w:r>
        <w:rPr/>
        <w:t>报告期内，公司的经营情况如下：</w:t>
      </w:r>
    </w:p>
    <w:p>
      <w:pPr>
        <w:spacing w:after="0" w:line="248" w:lineRule="exact"/>
        <w:jc w:val="left"/>
        <w:sectPr>
          <w:footerReference w:type="default" r:id="rId12"/>
          <w:pgSz w:w="11910" w:h="16840"/>
          <w:pgMar w:footer="978" w:header="746" w:top="1060" w:bottom="1160" w:left="1020" w:right="940"/>
          <w:pgNumType w:start="1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line="2850" w:lineRule="exact"/>
        <w:ind w:left="114" w:right="0" w:firstLine="0"/>
        <w:rPr>
          <w:rFonts w:ascii="宋体" w:hAnsi="宋体" w:cs="宋体" w:eastAsia="宋体" w:hint="default"/>
          <w:sz w:val="20"/>
          <w:szCs w:val="20"/>
        </w:rPr>
      </w:pPr>
      <w:r>
        <w:rPr>
          <w:rFonts w:ascii="宋体" w:hAnsi="宋体" w:cs="宋体" w:eastAsia="宋体" w:hint="default"/>
          <w:position w:val="-56"/>
          <w:sz w:val="20"/>
          <w:szCs w:val="20"/>
        </w:rPr>
        <w:drawing>
          <wp:inline distT="0" distB="0" distL="0" distR="0">
            <wp:extent cx="4648200" cy="180975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3" cstate="print"/>
                    <a:stretch>
                      <a:fillRect/>
                    </a:stretch>
                  </pic:blipFill>
                  <pic:spPr>
                    <a:xfrm>
                      <a:off x="0" y="0"/>
                      <a:ext cx="4648200" cy="1809750"/>
                    </a:xfrm>
                    <a:prstGeom prst="rect">
                      <a:avLst/>
                    </a:prstGeom>
                  </pic:spPr>
                </pic:pic>
              </a:graphicData>
            </a:graphic>
          </wp:inline>
        </w:drawing>
      </w:r>
      <w:r>
        <w:rPr>
          <w:rFonts w:ascii="宋体" w:hAnsi="宋体" w:cs="宋体" w:eastAsia="宋体" w:hint="default"/>
          <w:position w:val="-56"/>
          <w:sz w:val="20"/>
          <w:szCs w:val="20"/>
        </w:rPr>
      </w:r>
    </w:p>
    <w:p>
      <w:pPr>
        <w:spacing w:line="240" w:lineRule="auto" w:before="11"/>
        <w:rPr>
          <w:rFonts w:ascii="宋体" w:hAnsi="宋体" w:cs="宋体" w:eastAsia="宋体" w:hint="default"/>
          <w:sz w:val="7"/>
          <w:szCs w:val="7"/>
        </w:rPr>
      </w:pPr>
    </w:p>
    <w:p>
      <w:pPr>
        <w:spacing w:line="307" w:lineRule="auto" w:before="44"/>
        <w:ind w:left="112" w:right="112" w:firstLine="631"/>
        <w:jc w:val="both"/>
        <w:rPr>
          <w:rFonts w:ascii="宋体" w:hAnsi="宋体" w:cs="宋体" w:eastAsia="宋体" w:hint="default"/>
          <w:sz w:val="18"/>
          <w:szCs w:val="18"/>
        </w:rPr>
      </w:pPr>
      <w:r>
        <w:rPr>
          <w:rFonts w:ascii="宋体" w:hAnsi="宋体" w:cs="宋体" w:eastAsia="宋体" w:hint="default"/>
          <w:spacing w:val="-2"/>
          <w:sz w:val="18"/>
          <w:szCs w:val="18"/>
        </w:rPr>
        <w:t>报告期内，公司生产经营规模持续扩大，实现营业收入</w:t>
      </w:r>
      <w:r>
        <w:rPr>
          <w:rFonts w:ascii="Times New Roman" w:hAnsi="Times New Roman" w:cs="Times New Roman" w:eastAsia="Times New Roman" w:hint="default"/>
          <w:spacing w:val="-2"/>
          <w:sz w:val="18"/>
          <w:szCs w:val="18"/>
        </w:rPr>
        <w:t>833,419,819.29</w:t>
      </w:r>
      <w:r>
        <w:rPr>
          <w:rFonts w:ascii="宋体" w:hAnsi="宋体" w:cs="宋体" w:eastAsia="宋体" w:hint="default"/>
          <w:spacing w:val="-2"/>
          <w:sz w:val="18"/>
          <w:szCs w:val="18"/>
        </w:rPr>
        <w:t>元，比去年同期增长</w:t>
      </w:r>
      <w:r>
        <w:rPr>
          <w:rFonts w:ascii="Times New Roman" w:hAnsi="Times New Roman" w:cs="Times New Roman" w:eastAsia="Times New Roman" w:hint="default"/>
          <w:spacing w:val="-2"/>
          <w:sz w:val="18"/>
          <w:szCs w:val="18"/>
        </w:rPr>
        <w:t>20.59%</w:t>
      </w:r>
      <w:r>
        <w:rPr>
          <w:rFonts w:ascii="宋体" w:hAnsi="宋体" w:cs="宋体" w:eastAsia="宋体" w:hint="default"/>
          <w:spacing w:val="-2"/>
          <w:sz w:val="18"/>
          <w:szCs w:val="18"/>
        </w:rPr>
        <w:t>，主要是公司一方</w:t>
      </w:r>
      <w:r>
        <w:rPr>
          <w:rFonts w:ascii="宋体" w:hAnsi="宋体" w:cs="宋体" w:eastAsia="宋体" w:hint="default"/>
          <w:sz w:val="18"/>
          <w:szCs w:val="18"/>
        </w:rPr>
        <w:t> 面稳定既有产品的销售，另一方面加大子公司</w:t>
      </w:r>
      <w:r>
        <w:rPr>
          <w:rFonts w:ascii="Times New Roman" w:hAnsi="Times New Roman" w:cs="Times New Roman" w:eastAsia="Times New Roman" w:hint="default"/>
          <w:sz w:val="18"/>
          <w:szCs w:val="18"/>
        </w:rPr>
        <w:t>PC</w:t>
      </w:r>
      <w:r>
        <w:rPr>
          <w:rFonts w:ascii="宋体" w:hAnsi="宋体" w:cs="宋体" w:eastAsia="宋体" w:hint="default"/>
          <w:sz w:val="18"/>
          <w:szCs w:val="18"/>
        </w:rPr>
        <w:t>钢绞线产品的销售。由于营业收入的增长，相应营业成本、营业税金及附 </w:t>
      </w:r>
      <w:r>
        <w:rPr>
          <w:rFonts w:ascii="宋体" w:hAnsi="宋体" w:cs="宋体" w:eastAsia="宋体" w:hint="default"/>
          <w:spacing w:val="-2"/>
          <w:sz w:val="18"/>
          <w:szCs w:val="18"/>
        </w:rPr>
        <w:t>加、销售费用、管理费用、财务费用也不同幅度增长。但由于销售费用、财务费用增幅较大，致使营业利润增幅小于收入的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增幅。</w:t>
      </w:r>
    </w:p>
    <w:p>
      <w:pPr>
        <w:spacing w:before="64"/>
        <w:ind w:left="112" w:right="0" w:firstLine="0"/>
        <w:jc w:val="left"/>
        <w:rPr>
          <w:rFonts w:ascii="宋体" w:hAnsi="宋体" w:cs="宋体" w:eastAsia="宋体" w:hint="default"/>
          <w:sz w:val="18"/>
          <w:szCs w:val="18"/>
        </w:rPr>
      </w:pPr>
      <w:r>
        <w:rPr>
          <w:rFonts w:ascii="宋体" w:hAnsi="宋体" w:cs="宋体" w:eastAsia="宋体" w:hint="default"/>
          <w:sz w:val="18"/>
          <w:szCs w:val="18"/>
        </w:rPr>
        <w:t>公司回顾总结前期披露的发展战略和经营计划在报告期内的进展情况</w:t>
      </w:r>
    </w:p>
    <w:p>
      <w:pPr>
        <w:pStyle w:val="BodyText"/>
        <w:spacing w:line="273" w:lineRule="auto" w:before="92"/>
        <w:ind w:right="111" w:firstLine="420"/>
        <w:jc w:val="both"/>
      </w:pPr>
      <w:r>
        <w:rPr>
          <w:spacing w:val="-1"/>
        </w:rPr>
        <w:t>报告期内，公司管理层严格要求自己，围绕公司董事会制定的战略目标，依据公司经营计划，稳中求</w:t>
      </w:r>
      <w:r>
        <w:rPr/>
        <w:t> </w:t>
      </w:r>
      <w:r>
        <w:rPr>
          <w:spacing w:val="-1"/>
        </w:rPr>
        <w:t>进，整体发展形势良好，各项业务进展顺利。在产品开发上积极调整产品结构，优化产品组合；在管理制</w:t>
      </w:r>
      <w:r>
        <w:rPr>
          <w:spacing w:val="-103"/>
        </w:rPr>
        <w:t> </w:t>
      </w:r>
      <w:r>
        <w:rPr>
          <w:spacing w:val="-103"/>
        </w:rPr>
      </w:r>
      <w:r>
        <w:rPr/>
        <w:t>度上深化细节管理，加强制度建设；在市场开拓上稳定内贸市场，拓展外贸业务。</w:t>
      </w:r>
    </w:p>
    <w:p>
      <w:pPr>
        <w:pStyle w:val="BodyText"/>
        <w:spacing w:line="273" w:lineRule="auto" w:before="7"/>
        <w:ind w:right="111" w:firstLine="420"/>
        <w:jc w:val="both"/>
      </w:pPr>
      <w:r>
        <w:rPr>
          <w:spacing w:val="-1"/>
        </w:rPr>
        <w:t>报告期内，公司研发硕果累累，完成了若干新产品的研制，扩大了公司产品的系列，拓展了公司产品</w:t>
      </w:r>
      <w:r>
        <w:rPr/>
        <w:t> </w:t>
      </w:r>
      <w:r>
        <w:rPr>
          <w:spacing w:val="-1"/>
        </w:rPr>
        <w:t>的领域。同时积极进行新项目的调研、论证。另外进行了多项技术工艺改造，优化生产工艺，有效降低了</w:t>
      </w:r>
      <w:r>
        <w:rPr>
          <w:spacing w:val="-101"/>
        </w:rPr>
        <w:t> </w:t>
      </w:r>
      <w:r>
        <w:rPr>
          <w:spacing w:val="-101"/>
        </w:rPr>
      </w:r>
      <w:r>
        <w:rPr/>
        <w:t>成本消耗等。</w:t>
      </w:r>
    </w:p>
    <w:p>
      <w:pPr>
        <w:pStyle w:val="BodyText"/>
        <w:spacing w:line="273" w:lineRule="auto" w:before="7"/>
        <w:ind w:right="111" w:firstLine="420"/>
        <w:jc w:val="both"/>
      </w:pPr>
      <w:r>
        <w:rPr>
          <w:spacing w:val="-1"/>
        </w:rPr>
        <w:t>报告期内，公司的所有募投项目均实施完毕，超募项目也已建成投产。基于项目的建成投产，报告期</w:t>
      </w:r>
      <w:r>
        <w:rPr/>
        <w:t> 内公司的经营业绩取得了稳定的增长，并为以后发展奠定了坚实的基础。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4"/>
        <w:ind w:left="112" w:right="0" w:firstLine="0"/>
        <w:jc w:val="left"/>
        <w:rPr>
          <w:rFonts w:ascii="宋体" w:hAnsi="宋体" w:cs="宋体" w:eastAsia="宋体" w:hint="default"/>
          <w:sz w:val="18"/>
          <w:szCs w:val="18"/>
        </w:rPr>
      </w:pPr>
      <w:r>
        <w:rPr>
          <w:rFonts w:ascii="宋体" w:hAnsi="宋体" w:cs="宋体" w:eastAsia="宋体" w:hint="default"/>
          <w:sz w:val="18"/>
          <w:szCs w:val="18"/>
        </w:rPr>
        <w:t>公司实际经营业绩较曾公开披露过的本年度盈利预测低于或高于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以上的差异原因</w:t>
      </w:r>
    </w:p>
    <w:p>
      <w:pPr>
        <w:spacing w:before="101"/>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before="115"/>
        <w:ind w:left="744" w:right="0" w:firstLine="0"/>
        <w:jc w:val="left"/>
        <w:rPr>
          <w:rFonts w:ascii="宋体" w:hAnsi="宋体" w:cs="宋体" w:eastAsia="宋体" w:hint="default"/>
          <w:sz w:val="18"/>
          <w:szCs w:val="18"/>
        </w:rPr>
      </w:pPr>
      <w:r>
        <w:rPr>
          <w:rFonts w:ascii="宋体" w:hAnsi="宋体" w:cs="宋体" w:eastAsia="宋体" w:hint="default"/>
          <w:sz w:val="18"/>
          <w:szCs w:val="18"/>
        </w:rPr>
        <w:t>报告期内，公司生产经营规模持续扩大，实现营业收入</w:t>
      </w:r>
      <w:r>
        <w:rPr>
          <w:rFonts w:ascii="Times New Roman" w:hAnsi="Times New Roman" w:cs="Times New Roman" w:eastAsia="Times New Roman" w:hint="default"/>
          <w:sz w:val="18"/>
          <w:szCs w:val="18"/>
        </w:rPr>
        <w:t>833,419,819.29</w:t>
      </w:r>
      <w:r>
        <w:rPr>
          <w:rFonts w:ascii="宋体" w:hAnsi="宋体" w:cs="宋体" w:eastAsia="宋体" w:hint="default"/>
          <w:sz w:val="18"/>
          <w:szCs w:val="18"/>
        </w:rPr>
        <w:t>元，比去年同期增长</w:t>
      </w:r>
      <w:r>
        <w:rPr>
          <w:rFonts w:ascii="Times New Roman" w:hAnsi="Times New Roman" w:cs="Times New Roman" w:eastAsia="Times New Roman" w:hint="default"/>
          <w:sz w:val="18"/>
          <w:szCs w:val="18"/>
        </w:rPr>
        <w:t>20.59%</w:t>
      </w:r>
      <w:r>
        <w:rPr>
          <w:rFonts w:ascii="宋体" w:hAnsi="宋体" w:cs="宋体" w:eastAsia="宋体" w:hint="default"/>
          <w:sz w:val="18"/>
          <w:szCs w:val="18"/>
        </w:rPr>
        <w:t>，主要是公司一方</w:t>
      </w:r>
    </w:p>
    <w:p>
      <w:pPr>
        <w:spacing w:before="63"/>
        <w:ind w:left="112" w:right="0" w:firstLine="0"/>
        <w:jc w:val="left"/>
        <w:rPr>
          <w:rFonts w:ascii="宋体" w:hAnsi="宋体" w:cs="宋体" w:eastAsia="宋体" w:hint="default"/>
          <w:sz w:val="18"/>
          <w:szCs w:val="18"/>
        </w:rPr>
      </w:pPr>
      <w:r>
        <w:rPr>
          <w:rFonts w:ascii="宋体" w:hAnsi="宋体" w:cs="宋体" w:eastAsia="宋体" w:hint="default"/>
          <w:sz w:val="18"/>
          <w:szCs w:val="18"/>
        </w:rPr>
        <w:t>面稳定既有产品的销售，另一方面加大子公司</w:t>
      </w:r>
      <w:r>
        <w:rPr>
          <w:rFonts w:ascii="Times New Roman" w:hAnsi="Times New Roman" w:cs="Times New Roman" w:eastAsia="Times New Roman" w:hint="default"/>
          <w:sz w:val="18"/>
          <w:szCs w:val="18"/>
        </w:rPr>
        <w:t>PC</w:t>
      </w:r>
      <w:r>
        <w:rPr>
          <w:rFonts w:ascii="宋体" w:hAnsi="宋体" w:cs="宋体" w:eastAsia="宋体" w:hint="default"/>
          <w:sz w:val="18"/>
          <w:szCs w:val="18"/>
        </w:rPr>
        <w:t>钢绞线产品的销售。具体收入如下：</w:t>
      </w:r>
    </w:p>
    <w:p>
      <w:pPr>
        <w:spacing w:line="240" w:lineRule="auto" w:before="9"/>
        <w:rPr>
          <w:rFonts w:ascii="宋体" w:hAnsi="宋体" w:cs="宋体" w:eastAsia="宋体" w:hint="default"/>
          <w:sz w:val="14"/>
          <w:szCs w:val="14"/>
        </w:rPr>
      </w:pPr>
    </w:p>
    <w:p>
      <w:pPr>
        <w:spacing w:line="1905" w:lineRule="exact"/>
        <w:ind w:left="114" w:right="0" w:firstLine="0"/>
        <w:rPr>
          <w:rFonts w:ascii="宋体" w:hAnsi="宋体" w:cs="宋体" w:eastAsia="宋体" w:hint="default"/>
          <w:sz w:val="20"/>
          <w:szCs w:val="20"/>
        </w:rPr>
      </w:pPr>
      <w:r>
        <w:rPr>
          <w:rFonts w:ascii="宋体" w:hAnsi="宋体" w:cs="宋体" w:eastAsia="宋体" w:hint="default"/>
          <w:position w:val="-37"/>
          <w:sz w:val="20"/>
          <w:szCs w:val="20"/>
        </w:rPr>
        <w:drawing>
          <wp:inline distT="0" distB="0" distL="0" distR="0">
            <wp:extent cx="4648200" cy="1209675"/>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4" cstate="print"/>
                    <a:stretch>
                      <a:fillRect/>
                    </a:stretch>
                  </pic:blipFill>
                  <pic:spPr>
                    <a:xfrm>
                      <a:off x="0" y="0"/>
                      <a:ext cx="4648200" cy="1209675"/>
                    </a:xfrm>
                    <a:prstGeom prst="rect">
                      <a:avLst/>
                    </a:prstGeom>
                  </pic:spPr>
                </pic:pic>
              </a:graphicData>
            </a:graphic>
          </wp:inline>
        </w:drawing>
      </w:r>
      <w:r>
        <w:rPr>
          <w:rFonts w:ascii="宋体" w:hAnsi="宋体" w:cs="宋体" w:eastAsia="宋体" w:hint="default"/>
          <w:position w:val="-37"/>
          <w:sz w:val="20"/>
          <w:szCs w:val="20"/>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0"/>
          <w:szCs w:val="20"/>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公司实物销售收入是否大于劳务收入</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37"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19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金属制品业</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150,432.08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107,320.89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40.17%</w:t>
            </w:r>
          </w:p>
        </w:tc>
      </w:tr>
      <w:tr>
        <w:trPr>
          <w:trHeight w:val="402" w:hRule="exact"/>
        </w:trPr>
        <w:tc>
          <w:tcPr>
            <w:tcW w:w="1914" w:type="dxa"/>
            <w:vMerge/>
            <w:tcBorders>
              <w:left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153,631.14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106,746.94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43.92%</w:t>
            </w:r>
          </w:p>
        </w:tc>
      </w:tr>
      <w:tr>
        <w:trPr>
          <w:trHeight w:val="402" w:hRule="exact"/>
        </w:trPr>
        <w:tc>
          <w:tcPr>
            <w:tcW w:w="1914" w:type="dxa"/>
            <w:vMerge/>
            <w:tcBorders>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8,870.49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5,940.21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49.33%</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338" w:lineRule="auto" w:before="103"/>
        <w:ind w:left="112" w:right="363" w:firstLine="540"/>
        <w:jc w:val="left"/>
        <w:rPr>
          <w:rFonts w:ascii="宋体" w:hAnsi="宋体" w:cs="宋体" w:eastAsia="宋体" w:hint="default"/>
          <w:sz w:val="18"/>
          <w:szCs w:val="18"/>
        </w:rPr>
      </w:pPr>
      <w:r>
        <w:rPr>
          <w:rFonts w:ascii="宋体" w:hAnsi="宋体" w:cs="宋体" w:eastAsia="宋体" w:hint="default"/>
          <w:sz w:val="18"/>
          <w:szCs w:val="18"/>
        </w:rPr>
        <w:t>由于子公司隆泰稀土的项目建成投产，报告期内</w:t>
      </w:r>
      <w:r>
        <w:rPr>
          <w:rFonts w:ascii="Times New Roman" w:hAnsi="Times New Roman" w:cs="Times New Roman" w:eastAsia="Times New Roman" w:hint="default"/>
          <w:sz w:val="18"/>
          <w:szCs w:val="18"/>
        </w:rPr>
        <w:t>PC</w:t>
      </w:r>
      <w:r>
        <w:rPr>
          <w:rFonts w:ascii="宋体" w:hAnsi="宋体" w:cs="宋体" w:eastAsia="宋体" w:hint="default"/>
          <w:sz w:val="18"/>
          <w:szCs w:val="18"/>
        </w:rPr>
        <w:t>钢绞线产品实现收入</w:t>
      </w:r>
      <w:r>
        <w:rPr>
          <w:rFonts w:ascii="Times New Roman" w:hAnsi="Times New Roman" w:cs="Times New Roman" w:eastAsia="Times New Roman" w:hint="default"/>
          <w:sz w:val="18"/>
          <w:szCs w:val="18"/>
        </w:rPr>
        <w:t>27,6592,556.34</w:t>
      </w:r>
      <w:r>
        <w:rPr>
          <w:rFonts w:ascii="宋体" w:hAnsi="宋体" w:cs="宋体" w:eastAsia="宋体" w:hint="default"/>
          <w:sz w:val="18"/>
          <w:szCs w:val="18"/>
        </w:rPr>
        <w:t>元，同比增幅达</w:t>
      </w:r>
      <w:r>
        <w:rPr>
          <w:rFonts w:ascii="Times New Roman" w:hAnsi="Times New Roman" w:cs="Times New Roman" w:eastAsia="Times New Roman" w:hint="default"/>
          <w:sz w:val="18"/>
          <w:szCs w:val="18"/>
        </w:rPr>
        <w:t>115.17%</w:t>
      </w:r>
      <w:r>
        <w:rPr>
          <w:rFonts w:ascii="宋体" w:hAnsi="宋体" w:cs="宋体" w:eastAsia="宋体" w:hint="default"/>
          <w:sz w:val="18"/>
          <w:szCs w:val="18"/>
        </w:rPr>
        <w:t>。 公司重大的在手订单情况</w:t>
      </w:r>
    </w:p>
    <w:p>
      <w:pPr>
        <w:spacing w:line="340" w:lineRule="auto" w:before="43"/>
        <w:ind w:left="112" w:right="5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公司报告期内产品或服务发生重大变化或调整有关情况</w:t>
      </w:r>
    </w:p>
    <w:p>
      <w:pPr>
        <w:spacing w:line="340" w:lineRule="auto" w:before="39"/>
        <w:ind w:left="112" w:right="79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公司主要销售客户情况</w:t>
      </w: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227,558,435.14</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27.3%</w:t>
            </w: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before="101"/>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142,623,241.63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2"/>
                <w:sz w:val="18"/>
              </w:rPr>
              <w:t>17.11%</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38,229,680.48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4.59%</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16,590,610.44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1.99%</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15,597,146.93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1.87%</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14,517,755.66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1.74%</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227,558,435.14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27.3%</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4"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金属制品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636,675,972.51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526,099,763.61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21.02%</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金属制品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12,606,630.42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12,958,080.48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-2.71%</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金属制品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燃料动力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38,335,273.38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28,709,995.65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4.79%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33.53%</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金属制品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33,901,060.09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31,526,917.48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7.53%</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4"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钢绞线</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370,692,474.26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417,732,374.41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69.7%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-11.26%</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钢绞线</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267,638,602.17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126,030,654.84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112.36%</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钢丝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83,187,859.97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55,531,727.96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9.27%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49.8%</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before="117"/>
        <w:ind w:left="744" w:right="0" w:firstLine="0"/>
        <w:jc w:val="left"/>
        <w:rPr>
          <w:rFonts w:ascii="宋体" w:hAnsi="宋体" w:cs="宋体" w:eastAsia="宋体" w:hint="default"/>
          <w:sz w:val="18"/>
          <w:szCs w:val="18"/>
        </w:rPr>
      </w:pPr>
      <w:r>
        <w:rPr>
          <w:rFonts w:ascii="宋体" w:hAnsi="宋体" w:cs="宋体" w:eastAsia="宋体" w:hint="default"/>
          <w:sz w:val="18"/>
          <w:szCs w:val="18"/>
        </w:rPr>
        <w:t>报告期内，公司的营业收入与营业成本同步增长，虽然人工成本、燃料动力价格等均呈现增幅，但公司通过加强管</w:t>
      </w:r>
    </w:p>
    <w:p>
      <w:pPr>
        <w:spacing w:line="316" w:lineRule="auto" w:before="76"/>
        <w:ind w:left="832" w:right="0" w:hanging="720"/>
        <w:jc w:val="left"/>
        <w:rPr>
          <w:rFonts w:ascii="宋体" w:hAnsi="宋体" w:cs="宋体" w:eastAsia="宋体" w:hint="default"/>
          <w:sz w:val="18"/>
          <w:szCs w:val="18"/>
        </w:rPr>
      </w:pPr>
      <w:r>
        <w:rPr>
          <w:rFonts w:ascii="宋体" w:hAnsi="宋体" w:cs="宋体" w:eastAsia="宋体" w:hint="default"/>
          <w:sz w:val="18"/>
          <w:szCs w:val="18"/>
        </w:rPr>
        <w:t>理、优化工艺等一系列降低成本、减少消耗等措施，致使成本的增幅保持较低水平，使公司取得很好的经营业绩。 </w:t>
      </w:r>
      <w:r>
        <w:rPr>
          <w:rFonts w:ascii="宋体" w:hAnsi="宋体" w:cs="宋体" w:eastAsia="宋体" w:hint="default"/>
          <w:spacing w:val="-2"/>
          <w:sz w:val="18"/>
          <w:szCs w:val="18"/>
        </w:rPr>
        <w:t>成本项目中，直接人工占营业成本的比重有所下降，燃料动力占营业成本的比重有所上升，主要是报告期内产品结</w:t>
      </w:r>
    </w:p>
    <w:p>
      <w:pPr>
        <w:spacing w:line="338" w:lineRule="auto" w:before="19"/>
        <w:ind w:left="112" w:right="5913" w:firstLine="0"/>
        <w:jc w:val="left"/>
        <w:rPr>
          <w:rFonts w:ascii="宋体" w:hAnsi="宋体" w:cs="宋体" w:eastAsia="宋体" w:hint="default"/>
          <w:sz w:val="18"/>
          <w:szCs w:val="18"/>
        </w:rPr>
      </w:pPr>
      <w:r>
        <w:rPr>
          <w:rFonts w:ascii="宋体" w:hAnsi="宋体" w:cs="宋体" w:eastAsia="宋体" w:hint="default"/>
          <w:sz w:val="18"/>
          <w:szCs w:val="18"/>
        </w:rPr>
        <w:t>构有所变动，</w:t>
      </w:r>
      <w:r>
        <w:rPr>
          <w:rFonts w:ascii="Times New Roman" w:hAnsi="Times New Roman" w:cs="Times New Roman" w:eastAsia="Times New Roman" w:hint="default"/>
          <w:sz w:val="18"/>
          <w:szCs w:val="18"/>
        </w:rPr>
        <w:t>PC</w:t>
      </w:r>
      <w:r>
        <w:rPr>
          <w:rFonts w:ascii="宋体" w:hAnsi="宋体" w:cs="宋体" w:eastAsia="宋体" w:hint="default"/>
          <w:sz w:val="18"/>
          <w:szCs w:val="18"/>
        </w:rPr>
        <w:t>钢绞线、钢丝的产量增加所致。 公司主要供应商情况</w:t>
      </w: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503,014,049.93</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tabs>
                <w:tab w:pos="4724" w:val="left" w:leader="none"/>
              </w:tabs>
              <w:spacing w:line="240" w:lineRule="auto" w:before="50"/>
              <w:ind w:left="-126" w:right="18"/>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77.63%</w:t>
            </w:r>
          </w:p>
        </w:tc>
      </w:tr>
    </w:tbl>
    <w:p>
      <w:pPr>
        <w:spacing w:before="51"/>
        <w:ind w:left="112" w:right="0" w:firstLine="0"/>
        <w:jc w:val="left"/>
        <w:rPr>
          <w:rFonts w:ascii="宋体" w:hAnsi="宋体" w:cs="宋体" w:eastAsia="宋体" w:hint="default"/>
          <w:sz w:val="18"/>
          <w:szCs w:val="18"/>
        </w:rPr>
      </w:pPr>
      <w:r>
        <w:rPr/>
        <w:pict>
          <v:group style="position:absolute;margin-left:269.700012pt;margin-top:-20.208288pt;width:265.3pt;height:19.850pt;mso-position-horizontal-relative:page;mso-position-vertical-relative:paragraph;z-index:-626848" coordorigin="5394,-404" coordsize="5306,397">
            <v:shape style="position:absolute;left:5394;top:-404;width:5306;height:397" coordorigin="5394,-404" coordsize="5306,397" path="m5394,-404l10700,-404,10700,-7,5394,-7,5394,-404xe" filled="true" fillcolor="#ffffff" stroked="false">
              <v:path arrowok="t"/>
              <v:fill type="solid"/>
            </v:shape>
            <w10:wrap type="none"/>
          </v:group>
        </w:pict>
      </w: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before="101"/>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206,927,125.16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31.94%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119,275,742.03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18.41%</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106,306,423.86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16.41%</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36,370,347.90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5.61%</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34,134,410.98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5.27%</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503,014,049.93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77.63%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7"/>
        <w:rPr>
          <w:rFonts w:ascii="宋体" w:hAnsi="宋体" w:cs="宋体" w:eastAsia="宋体" w:hint="default"/>
          <w:b/>
          <w:bCs/>
          <w:sz w:val="26"/>
          <w:szCs w:val="26"/>
        </w:rPr>
      </w:pPr>
    </w:p>
    <w:p>
      <w:pPr>
        <w:spacing w:line="316" w:lineRule="auto" w:before="0"/>
        <w:ind w:left="112" w:right="103" w:firstLine="631"/>
        <w:jc w:val="left"/>
        <w:rPr>
          <w:rFonts w:ascii="宋体" w:hAnsi="宋体" w:cs="宋体" w:eastAsia="宋体" w:hint="default"/>
          <w:sz w:val="18"/>
          <w:szCs w:val="18"/>
        </w:rPr>
      </w:pPr>
      <w:r>
        <w:rPr>
          <w:rFonts w:ascii="宋体" w:hAnsi="宋体" w:cs="宋体" w:eastAsia="宋体" w:hint="default"/>
          <w:sz w:val="18"/>
          <w:szCs w:val="18"/>
        </w:rPr>
        <w:t>报告期内，随着公司经营规模的扩大，销售费用、管理费用、财务费用也不同幅度增长，虽然增幅各有差异，但均 与公司的经营规模保持一致。期间费用变动表如下：</w:t>
      </w:r>
    </w:p>
    <w:p>
      <w:pPr>
        <w:spacing w:line="240" w:lineRule="auto" w:before="7"/>
        <w:rPr>
          <w:rFonts w:ascii="宋体" w:hAnsi="宋体" w:cs="宋体" w:eastAsia="宋体" w:hint="default"/>
          <w:sz w:val="11"/>
          <w:szCs w:val="11"/>
        </w:rPr>
      </w:pPr>
    </w:p>
    <w:p>
      <w:pPr>
        <w:spacing w:line="1275" w:lineRule="exact"/>
        <w:ind w:left="114" w:right="0" w:firstLine="0"/>
        <w:rPr>
          <w:rFonts w:ascii="宋体" w:hAnsi="宋体" w:cs="宋体" w:eastAsia="宋体" w:hint="default"/>
          <w:sz w:val="20"/>
          <w:szCs w:val="20"/>
        </w:rPr>
      </w:pPr>
      <w:r>
        <w:rPr>
          <w:rFonts w:ascii="宋体" w:hAnsi="宋体" w:cs="宋体" w:eastAsia="宋体" w:hint="default"/>
          <w:position w:val="-25"/>
          <w:sz w:val="20"/>
          <w:szCs w:val="20"/>
        </w:rPr>
        <w:drawing>
          <wp:inline distT="0" distB="0" distL="0" distR="0">
            <wp:extent cx="3562350" cy="809625"/>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5" cstate="print"/>
                    <a:stretch>
                      <a:fillRect/>
                    </a:stretch>
                  </pic:blipFill>
                  <pic:spPr>
                    <a:xfrm>
                      <a:off x="0" y="0"/>
                      <a:ext cx="3562350" cy="809625"/>
                    </a:xfrm>
                    <a:prstGeom prst="rect">
                      <a:avLst/>
                    </a:prstGeom>
                  </pic:spPr>
                </pic:pic>
              </a:graphicData>
            </a:graphic>
          </wp:inline>
        </w:drawing>
      </w:r>
      <w:r>
        <w:rPr>
          <w:rFonts w:ascii="宋体" w:hAnsi="宋体" w:cs="宋体" w:eastAsia="宋体" w:hint="default"/>
          <w:position w:val="-25"/>
          <w:sz w:val="20"/>
          <w:szCs w:val="20"/>
        </w:rPr>
      </w:r>
    </w:p>
    <w:p>
      <w:pPr>
        <w:spacing w:line="316" w:lineRule="auto" w:before="153"/>
        <w:ind w:left="112" w:right="0" w:firstLine="720"/>
        <w:jc w:val="left"/>
        <w:rPr>
          <w:rFonts w:ascii="宋体" w:hAnsi="宋体" w:cs="宋体" w:eastAsia="宋体" w:hint="default"/>
          <w:sz w:val="18"/>
          <w:szCs w:val="18"/>
        </w:rPr>
      </w:pPr>
      <w:r>
        <w:rPr>
          <w:rFonts w:ascii="宋体" w:hAnsi="宋体" w:cs="宋体" w:eastAsia="宋体" w:hint="default"/>
          <w:spacing w:val="-2"/>
          <w:sz w:val="18"/>
          <w:szCs w:val="18"/>
        </w:rPr>
        <w:t>销售费用的增长主要是由于运输费用、出口费用增加较多形成的，管理费用增长主要是由于管理人员数量、薪酬等</w:t>
      </w:r>
      <w:r>
        <w:rPr>
          <w:rFonts w:ascii="宋体" w:hAnsi="宋体" w:cs="宋体" w:eastAsia="宋体" w:hint="default"/>
          <w:sz w:val="18"/>
          <w:szCs w:val="18"/>
        </w:rPr>
        <w:t> 增加较多形成的，财务费用增长主要是由于承兑汇票贴现金额较多形成的。</w:t>
      </w: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32" w:right="0"/>
        <w:jc w:val="left"/>
      </w:pPr>
      <w:r>
        <w:rPr/>
        <w:t>公司一直重视技术研发和产品创新，注重研发投入；坚持以市场为导向，积极推进技术创新工作，开</w:t>
      </w:r>
    </w:p>
    <w:p>
      <w:pPr>
        <w:spacing w:after="0" w:line="240" w:lineRule="auto"/>
        <w:jc w:val="left"/>
        <w:sectPr>
          <w:pgSz w:w="11910" w:h="16840"/>
          <w:pgMar w:header="746" w:footer="978" w:top="1060" w:bottom="1160" w:left="1020" w:right="1020"/>
        </w:sectPr>
      </w:pPr>
    </w:p>
    <w:p>
      <w:pPr>
        <w:spacing w:line="240" w:lineRule="auto" w:before="9"/>
        <w:rPr>
          <w:rFonts w:ascii="宋体" w:hAnsi="宋体" w:cs="宋体" w:eastAsia="宋体" w:hint="default"/>
          <w:sz w:val="24"/>
          <w:szCs w:val="24"/>
        </w:rPr>
      </w:pPr>
    </w:p>
    <w:p>
      <w:pPr>
        <w:pStyle w:val="BodyText"/>
        <w:spacing w:line="273" w:lineRule="auto" w:before="35"/>
        <w:ind w:left="532" w:right="124" w:hanging="420"/>
        <w:jc w:val="left"/>
      </w:pPr>
      <w:r>
        <w:rPr/>
        <w:t>发新产品，推广新技术，切实发挥技术创新在转型升级、调整产品结构、增强核心竞争力方面的作用。 </w:t>
      </w:r>
      <w:r>
        <w:rPr>
          <w:spacing w:val="-1"/>
        </w:rPr>
        <w:t>报告期内，公司依托自身的研发机构，结合博士后工作站的工作，扩大和高校、科研院所的合作，积</w:t>
      </w:r>
    </w:p>
    <w:p>
      <w:pPr>
        <w:pStyle w:val="BodyText"/>
        <w:spacing w:line="256" w:lineRule="auto" w:before="7"/>
        <w:ind w:right="131"/>
        <w:jc w:val="both"/>
      </w:pPr>
      <w:r>
        <w:rPr/>
        <w:t>极研发新产品、创新新工艺，通过努力，取得了一系列成果，申请的四项发明专利：</w:t>
      </w:r>
      <w:r>
        <w:rPr>
          <w:rFonts w:ascii="Times New Roman" w:hAnsi="Times New Roman" w:cs="Times New Roman" w:eastAsia="Times New Roman" w:hint="default"/>
        </w:rPr>
        <w:t>“</w:t>
      </w:r>
      <w:r>
        <w:rPr/>
        <w:t>一种热浸镀锌稀土</w:t>
      </w:r>
      <w:r>
        <w:rPr>
          <w:spacing w:val="-26"/>
        </w:rPr>
        <w:t> </w:t>
      </w:r>
      <w:r>
        <w:rPr>
          <w:spacing w:val="-26"/>
        </w:rPr>
      </w:r>
      <w:r>
        <w:rPr>
          <w:spacing w:val="-2"/>
        </w:rPr>
        <w:t>复合层及制备方法</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一种钢丝热浸镀稀土锌合金及热浸镀方法</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放线架</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离心式收线轮</w:t>
      </w:r>
      <w:r>
        <w:rPr>
          <w:rFonts w:ascii="Times New Roman" w:hAnsi="Times New Roman" w:cs="Times New Roman" w:eastAsia="Times New Roman" w:hint="default"/>
          <w:spacing w:val="-2"/>
        </w:rPr>
        <w:t>”</w:t>
      </w:r>
      <w:r>
        <w:rPr>
          <w:spacing w:val="-2"/>
        </w:rPr>
        <w:t>现均已获得</w:t>
      </w:r>
      <w:r>
        <w:rPr>
          <w:spacing w:val="-74"/>
        </w:rPr>
        <w:t> </w:t>
      </w:r>
      <w:r>
        <w:rPr>
          <w:spacing w:val="-74"/>
        </w:rPr>
      </w:r>
      <w:r>
        <w:rPr/>
        <w:t>国家知识产权局授权。</w:t>
      </w:r>
    </w:p>
    <w:p>
      <w:pPr>
        <w:pStyle w:val="BodyText"/>
        <w:spacing w:line="256" w:lineRule="auto" w:before="22"/>
        <w:ind w:right="111" w:firstLine="420"/>
        <w:jc w:val="both"/>
      </w:pPr>
      <w:r>
        <w:rPr/>
        <w:t>报告期内，公司先后进行了多项科研项目的研究，主要有</w:t>
      </w:r>
      <w:r>
        <w:rPr>
          <w:rFonts w:ascii="Times New Roman" w:hAnsi="Times New Roman" w:cs="Times New Roman" w:eastAsia="Times New Roman" w:hint="default"/>
        </w:rPr>
        <w:t>“</w:t>
      </w:r>
      <w:r>
        <w:rPr/>
        <w:t>特高压输电线路用特厚镀层稀土多元合金 </w:t>
      </w:r>
      <w:r>
        <w:rPr>
          <w:spacing w:val="-1"/>
        </w:rPr>
        <w:t>高强度钢芯线技术研发</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稀土功能新材料制造车间的自动化物流系统研究项目</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“PC</w:t>
      </w:r>
      <w:r>
        <w:rPr>
          <w:spacing w:val="-1"/>
        </w:rPr>
        <w:t>钢绞线特殊规格、</w:t>
      </w:r>
      <w:r>
        <w:rPr>
          <w:spacing w:val="-79"/>
        </w:rPr>
        <w:t> </w:t>
      </w:r>
      <w:r>
        <w:rPr>
          <w:spacing w:val="-79"/>
        </w:rPr>
      </w:r>
      <w:r>
        <w:rPr/>
        <w:t>特殊需求的研发</w:t>
      </w:r>
      <w:r>
        <w:rPr>
          <w:rFonts w:ascii="Times New Roman" w:hAnsi="Times New Roman" w:cs="Times New Roman" w:eastAsia="Times New Roman" w:hint="default"/>
        </w:rPr>
        <w:t>”</w:t>
      </w:r>
      <w:r>
        <w:rPr/>
        <w:t>等。</w:t>
      </w:r>
    </w:p>
    <w:p>
      <w:pPr>
        <w:pStyle w:val="BodyText"/>
        <w:spacing w:line="256" w:lineRule="auto" w:before="5"/>
        <w:ind w:right="131" w:firstLine="420"/>
        <w:jc w:val="both"/>
      </w:pPr>
      <w:r>
        <w:rPr/>
        <w:t>报告期内，公司的研发费用支出总额为</w:t>
      </w:r>
      <w:r>
        <w:rPr>
          <w:rFonts w:ascii="Times New Roman" w:hAnsi="Times New Roman" w:cs="Times New Roman" w:eastAsia="Times New Roman" w:hint="default"/>
        </w:rPr>
        <w:t>2872.93</w:t>
      </w:r>
      <w:r>
        <w:rPr/>
        <w:t>万元，占最近一期经审计的净资产比例为</w:t>
      </w:r>
      <w:r>
        <w:rPr>
          <w:rFonts w:ascii="Times New Roman" w:hAnsi="Times New Roman" w:cs="Times New Roman" w:eastAsia="Times New Roman" w:hint="default"/>
        </w:rPr>
        <w:t>4.04%</w:t>
      </w:r>
      <w:r>
        <w:rPr/>
        <w:t>，占营 业收入的比例为</w:t>
      </w:r>
      <w:r>
        <w:rPr>
          <w:rFonts w:ascii="Times New Roman" w:hAnsi="Times New Roman" w:cs="Times New Roman" w:eastAsia="Times New Roman" w:hint="default"/>
        </w:rPr>
        <w:t>3.45%</w:t>
      </w:r>
      <w:r>
        <w:rPr/>
        <w:t>。</w:t>
      </w:r>
    </w:p>
    <w:p>
      <w:pPr>
        <w:spacing w:line="240" w:lineRule="auto" w:before="4"/>
        <w:rPr>
          <w:rFonts w:ascii="宋体" w:hAnsi="宋体" w:cs="宋体" w:eastAsia="宋体" w:hint="default"/>
          <w:sz w:val="23"/>
          <w:szCs w:val="23"/>
        </w:rPr>
      </w:pPr>
    </w:p>
    <w:p>
      <w:pPr>
        <w:pStyle w:val="Heading4"/>
        <w:spacing w:line="240" w:lineRule="auto"/>
        <w:ind w:right="0"/>
        <w:jc w:val="both"/>
        <w:rPr>
          <w:b w:val="0"/>
          <w:bCs w:val="0"/>
        </w:rPr>
      </w:pPr>
      <w:r>
        <w:rPr>
          <w:rFonts w:ascii="Times New Roman" w:hAnsi="Times New Roman" w:cs="Times New Roman" w:eastAsia="Times New Roman" w:hint="default"/>
        </w:rPr>
        <w:t>6</w:t>
      </w:r>
      <w:r>
        <w:rPr/>
        <w:t>、现金流</w:t>
      </w:r>
      <w:r>
        <w:rPr>
          <w:b w:val="0"/>
          <w:bCs w:val="0"/>
        </w:rPr>
      </w:r>
    </w:p>
    <w:p>
      <w:pPr>
        <w:spacing w:line="240" w:lineRule="auto" w:before="7"/>
        <w:rPr>
          <w:rFonts w:ascii="宋体" w:hAnsi="宋体" w:cs="宋体" w:eastAsia="宋体" w:hint="default"/>
          <w:b/>
          <w:bCs/>
          <w:sz w:val="26"/>
          <w:szCs w:val="26"/>
        </w:rPr>
      </w:pPr>
    </w:p>
    <w:p>
      <w:pPr>
        <w:spacing w:before="0"/>
        <w:ind w:left="0" w:right="1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7"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786,574,220.64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695,946,820.27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13.02%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759,457,096.63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679,362,623.60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2"/>
                <w:sz w:val="18"/>
              </w:rPr>
              <w:t>11.79%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27,117,124.01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16,584,196.67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63.51%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10,026,000.00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756,547.44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1,225.23%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35,593,610.60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74,765,072.85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-52.39%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-25,567,610.60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-74,008,525.41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-65.45%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218,370,144.64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159,050,000.00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37.3%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326,306,671.72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149,055,633.65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2"/>
                <w:sz w:val="18"/>
              </w:rPr>
              <w:t>118.92%</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-107,936,527.08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9,994,366.35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-1,179.97%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-106,450,447.95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-47,429,962.39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124.44%</w:t>
            </w:r>
          </w:p>
        </w:tc>
      </w:tr>
    </w:tbl>
    <w:p>
      <w:pPr>
        <w:spacing w:before="51"/>
        <w:ind w:left="112" w:right="124"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3"/>
        <w:ind w:left="112" w:right="1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before="101"/>
        <w:ind w:left="112" w:right="1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、经营活动现金流量净额增幅</w:t>
      </w:r>
      <w:r>
        <w:rPr>
          <w:rFonts w:ascii="Times New Roman" w:hAnsi="Times New Roman" w:cs="Times New Roman" w:eastAsia="Times New Roman" w:hint="default"/>
          <w:sz w:val="18"/>
          <w:szCs w:val="18"/>
        </w:rPr>
        <w:t>63.51%</w:t>
      </w:r>
      <w:r>
        <w:rPr>
          <w:rFonts w:ascii="宋体" w:hAnsi="宋体" w:cs="宋体" w:eastAsia="宋体" w:hint="default"/>
          <w:sz w:val="18"/>
          <w:szCs w:val="18"/>
        </w:rPr>
        <w:t>，主要是公司一方面加大货款的回收，另一方面减少购货款的支付；</w:t>
      </w:r>
    </w:p>
    <w:p>
      <w:pPr>
        <w:spacing w:line="300" w:lineRule="auto" w:before="63"/>
        <w:ind w:left="112" w:right="124" w:firstLine="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、投资活动现金流量净额增幅为</w:t>
      </w:r>
      <w:r>
        <w:rPr>
          <w:rFonts w:ascii="Times New Roman" w:hAnsi="Times New Roman" w:cs="Times New Roman" w:eastAsia="Times New Roman" w:hint="default"/>
          <w:spacing w:val="-2"/>
          <w:sz w:val="18"/>
          <w:szCs w:val="18"/>
        </w:rPr>
        <w:t>-65.45%</w:t>
      </w:r>
      <w:r>
        <w:rPr>
          <w:rFonts w:ascii="宋体" w:hAnsi="宋体" w:cs="宋体" w:eastAsia="宋体" w:hint="default"/>
          <w:spacing w:val="-2"/>
          <w:sz w:val="18"/>
          <w:szCs w:val="18"/>
        </w:rPr>
        <w:t>，主要是报告期内项目投资有所减少所致，其中投资活动现金流入增幅较大是由于</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将套保业务的资金收支分别列示所致；</w:t>
      </w:r>
    </w:p>
    <w:p>
      <w:pPr>
        <w:spacing w:line="340" w:lineRule="auto" w:before="31"/>
        <w:ind w:left="112" w:right="27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、筹资活动现金流量净额增幅为</w:t>
      </w:r>
      <w:r>
        <w:rPr>
          <w:rFonts w:ascii="Times New Roman" w:hAnsi="Times New Roman" w:cs="Times New Roman" w:eastAsia="Times New Roman" w:hint="default"/>
          <w:sz w:val="18"/>
          <w:szCs w:val="18"/>
        </w:rPr>
        <w:t>-1179.97%</w:t>
      </w:r>
      <w:r>
        <w:rPr>
          <w:rFonts w:ascii="宋体" w:hAnsi="宋体" w:cs="宋体" w:eastAsia="宋体" w:hint="default"/>
          <w:sz w:val="18"/>
          <w:szCs w:val="18"/>
        </w:rPr>
        <w:t>，主要是报告期内偿还借款、现金分红所致。 报告期内公司经营活动的现金流量与本年度净利润存在重大差异的原因说明</w:t>
      </w:r>
    </w:p>
    <w:p>
      <w:pPr>
        <w:spacing w:line="319" w:lineRule="auto" w:before="41"/>
        <w:ind w:left="112" w:right="1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报告期内，净利润是</w:t>
      </w:r>
      <w:r>
        <w:rPr>
          <w:rFonts w:ascii="Times New Roman" w:hAnsi="Times New Roman" w:cs="Times New Roman" w:eastAsia="Times New Roman" w:hint="default"/>
          <w:sz w:val="18"/>
          <w:szCs w:val="18"/>
        </w:rPr>
        <w:t>4778.5</w:t>
      </w:r>
      <w:r>
        <w:rPr>
          <w:rFonts w:ascii="宋体" w:hAnsi="宋体" w:cs="宋体" w:eastAsia="宋体" w:hint="default"/>
          <w:sz w:val="18"/>
          <w:szCs w:val="18"/>
        </w:rPr>
        <w:t>万元，经营活动现金流量净额是</w:t>
      </w:r>
      <w:r>
        <w:rPr>
          <w:rFonts w:ascii="Times New Roman" w:hAnsi="Times New Roman" w:cs="Times New Roman" w:eastAsia="Times New Roman" w:hint="default"/>
          <w:sz w:val="18"/>
          <w:szCs w:val="18"/>
        </w:rPr>
        <w:t>2711.7</w:t>
      </w:r>
      <w:r>
        <w:rPr>
          <w:rFonts w:ascii="宋体" w:hAnsi="宋体" w:cs="宋体" w:eastAsia="宋体" w:hint="default"/>
          <w:sz w:val="18"/>
          <w:szCs w:val="18"/>
        </w:rPr>
        <w:t>万元，主要是由于报告期内营业外收入中</w:t>
      </w:r>
      <w:r>
        <w:rPr>
          <w:rFonts w:ascii="Times New Roman" w:hAnsi="Times New Roman" w:cs="Times New Roman" w:eastAsia="Times New Roman" w:hint="default"/>
          <w:sz w:val="18"/>
          <w:szCs w:val="18"/>
        </w:rPr>
        <w:t>1240</w:t>
      </w:r>
      <w:r>
        <w:rPr>
          <w:rFonts w:ascii="宋体" w:hAnsi="宋体" w:cs="宋体" w:eastAsia="宋体" w:hint="default"/>
          <w:sz w:val="18"/>
          <w:szCs w:val="18"/>
        </w:rPr>
        <w:t>万元是由递 延收益结转形成的，该部分营业外收入不产生现金流量，致使净利润和经营活动现金流量净额存在一定差额。</w:t>
      </w:r>
    </w:p>
    <w:p>
      <w:pPr>
        <w:spacing w:after="0" w:line="319" w:lineRule="auto"/>
        <w:jc w:val="left"/>
        <w:rPr>
          <w:rFonts w:ascii="宋体" w:hAnsi="宋体" w:cs="宋体" w:eastAsia="宋体" w:hint="default"/>
          <w:sz w:val="18"/>
          <w:szCs w:val="18"/>
        </w:rPr>
        <w:sectPr>
          <w:pgSz w:w="11910" w:h="16840"/>
          <w:pgMar w:header="746" w:footer="978" w:top="1060" w:bottom="1160" w:left="1020" w:right="100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三、主营业务构成情况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6"/>
        <w:gridCol w:w="1367"/>
        <w:gridCol w:w="1367"/>
        <w:gridCol w:w="1367"/>
        <w:gridCol w:w="1371"/>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4" w:right="47" w:hanging="17"/>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3" w:right="46"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55" w:right="49"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金属加工制造</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829,871,953.00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721,518,936.40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20.39%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钢绞线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450,689,413.77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370,692,474.26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-9.45%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2"/>
                <w:sz w:val="18"/>
              </w:rPr>
              <w:t>-11.26%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钢绞线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276,592,556.34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267,638,602.17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115.17%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112.36%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钢丝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102,589,982.89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83,187,859.97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49.8%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7.36%</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608,614,765.76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525,891,635.66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7.21%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221,257,187.24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195,627,300.74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79.82%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w:t>
            </w: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1"/>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四、资产、负债状况分析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163"/>
        <w:gridCol w:w="1063"/>
        <w:gridCol w:w="1195"/>
        <w:gridCol w:w="1063"/>
        <w:gridCol w:w="799"/>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年末</w:t>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1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2" w:right="74"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2" w:right="74"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9" w:type="dxa"/>
            <w:vMerge/>
            <w:tcBorders>
              <w:left w:val="single" w:sz="4" w:space="0" w:color="000000"/>
              <w:bottom w:val="single" w:sz="4" w:space="0" w:color="000000"/>
              <w:right w:val="single" w:sz="4" w:space="0" w:color="000000"/>
            </w:tcBorders>
            <w:shd w:val="clear" w:color="auto" w:fill="D3D3D3"/>
          </w:tcPr>
          <w:p>
            <w:pPr/>
          </w:p>
        </w:tc>
        <w:tc>
          <w:tcPr>
            <w:tcW w:w="2918"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124,244,314.3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11.97%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256,161,449.69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-12.81%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公司分红、偿还借款及应收类增加</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183,202,131.2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191,178,562.56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-0.84%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119,499,742.4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90,591,581.00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8.76%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产销量增加，相应库存增加</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10,025,000.00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0.97%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10,025,000.00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0.97%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217,444,390.2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186,369,188.19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工程完工及购置设备</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431,000.00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4,938,179.00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0.48%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-0.44%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213,507,520.7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63,419,237.26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6.13%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4"/>
              <w:jc w:val="left"/>
              <w:rPr>
                <w:rFonts w:ascii="宋体" w:hAnsi="宋体" w:cs="宋体" w:eastAsia="宋体" w:hint="default"/>
                <w:sz w:val="18"/>
                <w:szCs w:val="18"/>
              </w:rPr>
            </w:pPr>
            <w:r>
              <w:rPr>
                <w:rFonts w:ascii="宋体" w:hAnsi="宋体" w:cs="宋体" w:eastAsia="宋体" w:hint="default"/>
                <w:sz w:val="18"/>
                <w:szCs w:val="18"/>
              </w:rPr>
              <w:t>贴现未到期的银行票据增加及增加 持有应收票据</w:t>
            </w:r>
          </w:p>
        </w:tc>
      </w:tr>
    </w:tbl>
    <w:p>
      <w:pPr>
        <w:spacing w:after="0" w:line="316"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68"/>
        <w:gridCol w:w="1163"/>
        <w:gridCol w:w="1063"/>
        <w:gridCol w:w="1195"/>
        <w:gridCol w:w="1063"/>
        <w:gridCol w:w="799"/>
        <w:gridCol w:w="291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2"/>
                <w:sz w:val="18"/>
              </w:rPr>
              <w:t>111,241,036.6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170,644,565.89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减少了预付采购货款</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6" w:right="0"/>
              <w:jc w:val="left"/>
              <w:rPr>
                <w:rFonts w:ascii="Times New Roman" w:hAnsi="Times New Roman" w:cs="Times New Roman" w:eastAsia="Times New Roman" w:hint="default"/>
                <w:sz w:val="18"/>
                <w:szCs w:val="18"/>
              </w:rPr>
            </w:pPr>
            <w:r>
              <w:rPr>
                <w:rFonts w:ascii="Times New Roman"/>
                <w:sz w:val="18"/>
              </w:rPr>
              <w:t>2,833,636.35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0.27%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4,484,724.25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0.43%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-0.16%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收回了部分投标金</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163"/>
        <w:gridCol w:w="1063"/>
        <w:gridCol w:w="1195"/>
        <w:gridCol w:w="1063"/>
        <w:gridCol w:w="799"/>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1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82" w:right="74"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82" w:right="74"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9" w:type="dxa"/>
            <w:vMerge/>
            <w:tcBorders>
              <w:left w:val="single" w:sz="4" w:space="0" w:color="000000"/>
              <w:bottom w:val="single" w:sz="4" w:space="0" w:color="000000"/>
              <w:right w:val="single" w:sz="4" w:space="0" w:color="000000"/>
            </w:tcBorders>
            <w:shd w:val="clear" w:color="auto" w:fill="D3D3D3"/>
          </w:tcPr>
          <w:p>
            <w:pPr/>
          </w:p>
        </w:tc>
        <w:tc>
          <w:tcPr>
            <w:tcW w:w="2918"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163,036,546.1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贴现未到期的银行承兑增加</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0.64%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年初的应付票据到期偿还</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56,215,811.82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5.42%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12,431,533.96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推迟了部分货款支付</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16,132,238.63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8,828,778.12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0.85%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4"/>
              <w:jc w:val="left"/>
              <w:rPr>
                <w:rFonts w:ascii="宋体" w:hAnsi="宋体" w:cs="宋体" w:eastAsia="宋体" w:hint="default"/>
                <w:sz w:val="18"/>
                <w:szCs w:val="18"/>
              </w:rPr>
            </w:pPr>
            <w:r>
              <w:rPr>
                <w:rFonts w:ascii="宋体" w:hAnsi="宋体" w:cs="宋体" w:eastAsia="宋体" w:hint="default"/>
                <w:sz w:val="18"/>
                <w:szCs w:val="18"/>
              </w:rPr>
              <w:t>利润增加，期末应交企业所得税增 加；及部分待交的个税增加</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1.79%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-1.21%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递延收益结转损益</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五、核心竞争力分析</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报告期内，公司核心竞争力未发生重大变化。</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六、投资状况分析</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）对外投资情况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9,975,000.00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9,975,000.00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3"/>
              <w:jc w:val="right"/>
              <w:rPr>
                <w:rFonts w:ascii="宋体" w:hAnsi="宋体" w:cs="宋体" w:eastAsia="宋体" w:hint="default"/>
                <w:sz w:val="18"/>
                <w:szCs w:val="18"/>
              </w:rPr>
            </w:pPr>
            <w:r>
              <w:rPr>
                <w:rFonts w:ascii="宋体" w:hAnsi="宋体" w:cs="宋体" w:eastAsia="宋体" w:hint="default"/>
                <w:spacing w:val="-1"/>
                <w:sz w:val="18"/>
                <w:szCs w:val="18"/>
              </w:rPr>
              <w:t>上市公司占被投资公司权益比例（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安徽华菱西厨设备股份有限公司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西厨装备</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4.67%</w:t>
            </w:r>
          </w:p>
        </w:tc>
      </w:tr>
    </w:tbl>
    <w:p>
      <w:pPr>
        <w:spacing w:line="240" w:lineRule="auto" w:before="3"/>
        <w:rPr>
          <w:rFonts w:ascii="宋体" w:hAnsi="宋体" w:cs="宋体" w:eastAsia="宋体" w:hint="default"/>
          <w:b/>
          <w:bCs/>
          <w:sz w:val="19"/>
          <w:szCs w:val="19"/>
        </w:rPr>
      </w:pPr>
    </w:p>
    <w:p>
      <w:pPr>
        <w:spacing w:before="35"/>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）持有金融企业股权情况</w:t>
      </w:r>
      <w:r>
        <w:rPr>
          <w:rFonts w:ascii="宋体" w:hAnsi="宋体" w:cs="宋体" w:eastAsia="宋体" w:hint="default"/>
          <w:sz w:val="21"/>
          <w:szCs w:val="21"/>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880"/>
        <w:gridCol w:w="881"/>
        <w:gridCol w:w="870"/>
        <w:gridCol w:w="870"/>
        <w:gridCol w:w="868"/>
        <w:gridCol w:w="868"/>
        <w:gridCol w:w="868"/>
        <w:gridCol w:w="868"/>
        <w:gridCol w:w="868"/>
        <w:gridCol w:w="868"/>
        <w:gridCol w:w="856"/>
      </w:tblGrid>
      <w:tr>
        <w:trPr>
          <w:trHeight w:val="402" w:hRule="exact"/>
        </w:trPr>
        <w:tc>
          <w:tcPr>
            <w:tcW w:w="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 w:right="0"/>
              <w:jc w:val="left"/>
              <w:rPr>
                <w:rFonts w:ascii="宋体" w:hAnsi="宋体" w:cs="宋体" w:eastAsia="宋体" w:hint="default"/>
                <w:sz w:val="18"/>
                <w:szCs w:val="18"/>
              </w:rPr>
            </w:pPr>
            <w:r>
              <w:rPr>
                <w:rFonts w:ascii="宋体" w:hAnsi="宋体" w:cs="宋体" w:eastAsia="宋体" w:hint="default"/>
                <w:sz w:val="18"/>
                <w:szCs w:val="18"/>
              </w:rPr>
              <w:t>公司类别</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69" w:right="0"/>
              <w:jc w:val="left"/>
              <w:rPr>
                <w:rFonts w:ascii="宋体" w:hAnsi="宋体" w:cs="宋体" w:eastAsia="宋体" w:hint="default"/>
                <w:sz w:val="18"/>
                <w:szCs w:val="18"/>
              </w:rPr>
            </w:pPr>
            <w:r>
              <w:rPr>
                <w:rFonts w:ascii="宋体" w:hAnsi="宋体" w:cs="宋体" w:eastAsia="宋体" w:hint="default"/>
                <w:sz w:val="18"/>
                <w:szCs w:val="18"/>
              </w:rPr>
              <w:t>最初投资</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70" w:right="0"/>
              <w:jc w:val="left"/>
              <w:rPr>
                <w:rFonts w:ascii="宋体" w:hAnsi="宋体" w:cs="宋体" w:eastAsia="宋体" w:hint="default"/>
                <w:sz w:val="18"/>
                <w:szCs w:val="18"/>
              </w:rPr>
            </w:pPr>
            <w:r>
              <w:rPr>
                <w:rFonts w:ascii="宋体" w:hAnsi="宋体" w:cs="宋体" w:eastAsia="宋体" w:hint="default"/>
                <w:sz w:val="18"/>
                <w:szCs w:val="18"/>
              </w:rPr>
              <w:t>期初持股</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69" w:right="0"/>
              <w:jc w:val="left"/>
              <w:rPr>
                <w:rFonts w:ascii="宋体" w:hAnsi="宋体" w:cs="宋体" w:eastAsia="宋体" w:hint="default"/>
                <w:sz w:val="18"/>
                <w:szCs w:val="18"/>
              </w:rPr>
            </w:pPr>
            <w:r>
              <w:rPr>
                <w:rFonts w:ascii="宋体" w:hAnsi="宋体" w:cs="宋体" w:eastAsia="宋体" w:hint="default"/>
                <w:sz w:val="18"/>
                <w:szCs w:val="18"/>
              </w:rPr>
              <w:t>期初持股</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69" w:right="0"/>
              <w:jc w:val="left"/>
              <w:rPr>
                <w:rFonts w:ascii="宋体" w:hAnsi="宋体" w:cs="宋体" w:eastAsia="宋体" w:hint="default"/>
                <w:sz w:val="18"/>
                <w:szCs w:val="18"/>
              </w:rPr>
            </w:pPr>
            <w:r>
              <w:rPr>
                <w:rFonts w:ascii="宋体" w:hAnsi="宋体" w:cs="宋体" w:eastAsia="宋体" w:hint="default"/>
                <w:sz w:val="18"/>
                <w:szCs w:val="18"/>
              </w:rPr>
              <w:t>期末持股</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68" w:right="0"/>
              <w:jc w:val="left"/>
              <w:rPr>
                <w:rFonts w:ascii="宋体" w:hAnsi="宋体" w:cs="宋体" w:eastAsia="宋体" w:hint="default"/>
                <w:sz w:val="18"/>
                <w:szCs w:val="18"/>
              </w:rPr>
            </w:pPr>
            <w:r>
              <w:rPr>
                <w:rFonts w:ascii="宋体" w:hAnsi="宋体" w:cs="宋体" w:eastAsia="宋体" w:hint="default"/>
                <w:sz w:val="18"/>
                <w:szCs w:val="18"/>
              </w:rPr>
              <w:t>期末持股</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69" w:right="0"/>
              <w:jc w:val="left"/>
              <w:rPr>
                <w:rFonts w:ascii="宋体" w:hAnsi="宋体" w:cs="宋体" w:eastAsia="宋体" w:hint="default"/>
                <w:sz w:val="18"/>
                <w:szCs w:val="18"/>
              </w:rPr>
            </w:pPr>
            <w:r>
              <w:rPr>
                <w:rFonts w:ascii="宋体" w:hAnsi="宋体" w:cs="宋体" w:eastAsia="宋体" w:hint="default"/>
                <w:sz w:val="18"/>
                <w:szCs w:val="18"/>
              </w:rPr>
              <w:t>期末账面</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69" w:right="0"/>
              <w:jc w:val="left"/>
              <w:rPr>
                <w:rFonts w:ascii="宋体" w:hAnsi="宋体" w:cs="宋体" w:eastAsia="宋体" w:hint="default"/>
                <w:sz w:val="18"/>
                <w:szCs w:val="18"/>
              </w:rPr>
            </w:pPr>
            <w:r>
              <w:rPr>
                <w:rFonts w:ascii="宋体" w:hAnsi="宋体" w:cs="宋体" w:eastAsia="宋体" w:hint="default"/>
                <w:sz w:val="18"/>
                <w:szCs w:val="18"/>
              </w:rPr>
              <w:t>报告期损</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68" w:right="0"/>
              <w:jc w:val="left"/>
              <w:rPr>
                <w:rFonts w:ascii="宋体" w:hAnsi="宋体" w:cs="宋体" w:eastAsia="宋体" w:hint="default"/>
                <w:sz w:val="18"/>
                <w:szCs w:val="18"/>
              </w:rPr>
            </w:pPr>
            <w:r>
              <w:rPr>
                <w:rFonts w:ascii="宋体" w:hAnsi="宋体" w:cs="宋体" w:eastAsia="宋体" w:hint="default"/>
                <w:sz w:val="18"/>
                <w:szCs w:val="18"/>
              </w:rPr>
              <w:t>会计核算</w:t>
            </w:r>
          </w:p>
        </w:tc>
        <w:tc>
          <w:tcPr>
            <w:tcW w:w="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4" w:right="0"/>
              <w:jc w:val="left"/>
              <w:rPr>
                <w:rFonts w:ascii="宋体" w:hAnsi="宋体" w:cs="宋体" w:eastAsia="宋体" w:hint="default"/>
                <w:sz w:val="18"/>
                <w:szCs w:val="18"/>
              </w:rPr>
            </w:pPr>
            <w:r>
              <w:rPr>
                <w:rFonts w:ascii="宋体" w:hAnsi="宋体" w:cs="宋体" w:eastAsia="宋体" w:hint="default"/>
                <w:sz w:val="18"/>
                <w:szCs w:val="18"/>
              </w:rPr>
              <w:t>股份来源</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880"/>
        <w:gridCol w:w="881"/>
        <w:gridCol w:w="870"/>
        <w:gridCol w:w="870"/>
        <w:gridCol w:w="868"/>
        <w:gridCol w:w="868"/>
        <w:gridCol w:w="868"/>
        <w:gridCol w:w="868"/>
        <w:gridCol w:w="868"/>
        <w:gridCol w:w="868"/>
        <w:gridCol w:w="856"/>
      </w:tblGrid>
      <w:tr>
        <w:trPr>
          <w:trHeight w:val="362" w:hRule="exact"/>
        </w:trPr>
        <w:tc>
          <w:tcPr>
            <w:tcW w:w="88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8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right="-32"/>
              <w:jc w:val="right"/>
              <w:rPr>
                <w:rFonts w:ascii="宋体" w:hAnsi="宋体" w:cs="宋体" w:eastAsia="宋体" w:hint="default"/>
                <w:sz w:val="18"/>
                <w:szCs w:val="18"/>
              </w:rPr>
            </w:pPr>
            <w:r>
              <w:rPr>
                <w:rFonts w:ascii="宋体" w:hAnsi="宋体" w:cs="宋体" w:eastAsia="宋体" w:hint="default"/>
                <w:spacing w:val="-7"/>
                <w:sz w:val="18"/>
                <w:szCs w:val="18"/>
              </w:rPr>
              <w:t>成本（元）</w:t>
            </w:r>
            <w:r>
              <w:rPr>
                <w:rFonts w:ascii="宋体" w:hAnsi="宋体" w:cs="宋体" w:eastAsia="宋体" w:hint="default"/>
                <w:sz w:val="18"/>
                <w:szCs w:val="18"/>
              </w:rPr>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right="-34"/>
              <w:jc w:val="right"/>
              <w:rPr>
                <w:rFonts w:ascii="宋体" w:hAnsi="宋体" w:cs="宋体" w:eastAsia="宋体" w:hint="default"/>
                <w:sz w:val="18"/>
                <w:szCs w:val="18"/>
              </w:rPr>
            </w:pPr>
            <w:r>
              <w:rPr>
                <w:rFonts w:ascii="宋体" w:hAnsi="宋体" w:cs="宋体" w:eastAsia="宋体" w:hint="default"/>
                <w:spacing w:val="-6"/>
                <w:sz w:val="18"/>
                <w:szCs w:val="18"/>
              </w:rPr>
              <w:t>数量（股）</w:t>
            </w:r>
            <w:r>
              <w:rPr>
                <w:rFonts w:ascii="宋体" w:hAnsi="宋体" w:cs="宋体" w:eastAsia="宋体" w:hint="default"/>
                <w:sz w:val="18"/>
                <w:szCs w:val="18"/>
              </w:rPr>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3" w:right="-34"/>
              <w:jc w:val="center"/>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right="-33"/>
              <w:jc w:val="right"/>
              <w:rPr>
                <w:rFonts w:ascii="宋体" w:hAnsi="宋体" w:cs="宋体" w:eastAsia="宋体" w:hint="default"/>
                <w:sz w:val="18"/>
                <w:szCs w:val="18"/>
              </w:rPr>
            </w:pPr>
            <w:r>
              <w:rPr>
                <w:rFonts w:ascii="宋体" w:hAnsi="宋体" w:cs="宋体" w:eastAsia="宋体" w:hint="default"/>
                <w:spacing w:val="-7"/>
                <w:sz w:val="18"/>
                <w:szCs w:val="18"/>
              </w:rPr>
              <w:t>数量（股）</w:t>
            </w:r>
            <w:r>
              <w:rPr>
                <w:rFonts w:ascii="宋体" w:hAnsi="宋体" w:cs="宋体" w:eastAsia="宋体" w:hint="default"/>
                <w:sz w:val="18"/>
                <w:szCs w:val="18"/>
              </w:rPr>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2" w:right="-34"/>
              <w:jc w:val="center"/>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值（元）</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right="66"/>
              <w:jc w:val="right"/>
              <w:rPr>
                <w:rFonts w:ascii="宋体" w:hAnsi="宋体" w:cs="宋体" w:eastAsia="宋体" w:hint="default"/>
                <w:sz w:val="18"/>
                <w:szCs w:val="18"/>
              </w:rPr>
            </w:pPr>
            <w:r>
              <w:rPr>
                <w:rFonts w:ascii="宋体" w:hAnsi="宋体" w:cs="宋体" w:eastAsia="宋体" w:hint="default"/>
                <w:sz w:val="18"/>
                <w:szCs w:val="18"/>
              </w:rPr>
              <w:t>益（元）</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科目</w:t>
            </w:r>
          </w:p>
        </w:tc>
        <w:tc>
          <w:tcPr>
            <w:tcW w:w="85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026" w:hRule="exact"/>
        </w:trPr>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25"/>
              <w:jc w:val="both"/>
              <w:rPr>
                <w:rFonts w:ascii="宋体" w:hAnsi="宋体" w:cs="宋体" w:eastAsia="宋体" w:hint="default"/>
                <w:sz w:val="18"/>
                <w:szCs w:val="18"/>
              </w:rPr>
            </w:pPr>
            <w:r>
              <w:rPr>
                <w:rFonts w:ascii="宋体" w:hAnsi="宋体" w:cs="宋体" w:eastAsia="宋体" w:hint="default"/>
                <w:sz w:val="18"/>
                <w:szCs w:val="18"/>
              </w:rPr>
              <w:t>台山市农 村信用合 作联社</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商业银行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w:t>
            </w:r>
          </w:p>
        </w:tc>
        <w:tc>
          <w:tcPr>
            <w:tcW w:w="868"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w:t>
            </w:r>
          </w:p>
        </w:tc>
        <w:tc>
          <w:tcPr>
            <w:tcW w:w="868"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50,000.00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4,300.00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2" w:right="113"/>
              <w:jc w:val="left"/>
              <w:rPr>
                <w:rFonts w:ascii="宋体" w:hAnsi="宋体" w:cs="宋体" w:eastAsia="宋体" w:hint="default"/>
                <w:sz w:val="18"/>
                <w:szCs w:val="18"/>
              </w:rPr>
            </w:pPr>
            <w:r>
              <w:rPr>
                <w:rFonts w:ascii="宋体" w:hAnsi="宋体" w:cs="宋体" w:eastAsia="宋体" w:hint="default"/>
                <w:sz w:val="18"/>
                <w:szCs w:val="18"/>
              </w:rPr>
              <w:t>长期股权 投资</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402" w:hRule="exact"/>
        </w:trPr>
        <w:tc>
          <w:tcPr>
            <w:tcW w:w="176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50,000.00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4,300.00</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b/>
          <w:bCs/>
          <w:sz w:val="19"/>
          <w:szCs w:val="19"/>
        </w:rPr>
      </w:pPr>
    </w:p>
    <w:p>
      <w:pPr>
        <w:spacing w:before="35"/>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before="44"/>
        <w:ind w:left="0" w:right="121" w:firstLine="0"/>
        <w:jc w:val="right"/>
        <w:rPr>
          <w:rFonts w:ascii="宋体" w:hAnsi="宋体" w:cs="宋体" w:eastAsia="宋体" w:hint="default"/>
          <w:sz w:val="18"/>
          <w:szCs w:val="18"/>
        </w:rPr>
      </w:pPr>
      <w:r>
        <w:rPr/>
        <w:pict>
          <v:shape style="position:absolute;margin-left:56.459999pt;margin-top:-157.078293pt;width:479.15pt;height:239.3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00"/>
                    <w:gridCol w:w="5468"/>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58,639.54</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8,402.22</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55,065.19</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2,224.2</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2,224.2</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3.79%</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96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22"/>
                          <w:jc w:val="left"/>
                          <w:rPr>
                            <w:rFonts w:ascii="宋体" w:hAnsi="宋体" w:cs="宋体" w:eastAsia="宋体" w:hint="default"/>
                            <w:sz w:val="18"/>
                            <w:szCs w:val="18"/>
                          </w:rPr>
                        </w:pPr>
                        <w:r>
                          <w:rPr>
                            <w:rFonts w:ascii="宋体" w:hAnsi="宋体" w:cs="宋体" w:eastAsia="宋体" w:hint="default"/>
                            <w:sz w:val="18"/>
                            <w:szCs w:val="18"/>
                          </w:rPr>
                          <w:t>公司募集资金总额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58,639.54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万元，截至报告期末，公司募投项目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万吨稀土多元合金镀层钢丝、钢绞线项目</w:t>
                        </w:r>
                        <w:r>
                          <w:rPr>
                            <w:rFonts w:ascii="Times New Roman" w:hAnsi="Times New Roman" w:cs="Times New Roman" w:eastAsia="Times New Roman" w:hint="default"/>
                            <w:sz w:val="18"/>
                            <w:szCs w:val="18"/>
                          </w:rPr>
                          <w:t>”</w:t>
                        </w:r>
                        <w:r>
                          <w:rPr>
                            <w:rFonts w:ascii="宋体" w:hAnsi="宋体" w:cs="宋体" w:eastAsia="宋体" w:hint="default"/>
                            <w:sz w:val="18"/>
                            <w:szCs w:val="18"/>
                          </w:rPr>
                          <w:t>累计 投入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5,770.92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万吨稀土锌铝合金镀层钢丝、钢绞线项目</w:t>
                        </w:r>
                        <w:r>
                          <w:rPr>
                            <w:rFonts w:ascii="Times New Roman" w:hAnsi="Times New Roman" w:cs="Times New Roman" w:eastAsia="Times New Roman" w:hint="default"/>
                            <w:sz w:val="18"/>
                            <w:szCs w:val="18"/>
                          </w:rPr>
                          <w:t>”</w:t>
                        </w:r>
                        <w:r>
                          <w:rPr>
                            <w:rFonts w:ascii="宋体" w:hAnsi="宋体" w:cs="宋体" w:eastAsia="宋体" w:hint="default"/>
                            <w:sz w:val="18"/>
                            <w:szCs w:val="18"/>
                          </w:rPr>
                          <w:t>累计投入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4,065.29</w:t>
                        </w:r>
                        <w:r>
                          <w:rPr>
                            <w:rFonts w:ascii="宋体" w:hAnsi="宋体" w:cs="宋体" w:eastAsia="宋体" w:hint="default"/>
                            <w:sz w:val="18"/>
                            <w:szCs w:val="18"/>
                          </w:rPr>
                          <w:t>，均达到预计效益，实施完毕 </w:t>
                        </w:r>
                        <w:r>
                          <w:rPr>
                            <w:rFonts w:ascii="宋体" w:hAnsi="宋体" w:cs="宋体" w:eastAsia="宋体" w:hint="default"/>
                            <w:w w:val="95"/>
                            <w:sz w:val="18"/>
                            <w:szCs w:val="18"/>
                          </w:rPr>
                          <w:t>因公司已经具备先进涂镀技术与稀土材料工程的基础研究和产业应用能力，</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先进涂镀技术与稀土材料工程中心项目</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累计    </w:t>
                        </w:r>
                        <w:r>
                          <w:rPr>
                            <w:rFonts w:ascii="宋体" w:hAnsi="宋体" w:cs="宋体" w:eastAsia="宋体" w:hint="default"/>
                            <w:spacing w:val="38"/>
                            <w:w w:val="95"/>
                            <w:sz w:val="18"/>
                            <w:szCs w:val="18"/>
                          </w:rPr>
                          <w:t> </w:t>
                        </w:r>
                        <w:r>
                          <w:rPr>
                            <w:rFonts w:ascii="宋体" w:hAnsi="宋体" w:cs="宋体" w:eastAsia="宋体" w:hint="default"/>
                            <w:sz w:val="18"/>
                            <w:szCs w:val="18"/>
                          </w:rPr>
                          <w:t>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259.8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万元，经公司董事会审议通过后终止该项目并将剩余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2,224.2</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万元补充流动资金，已实施完毕；公司超募资金总</w:t>
                        </w:r>
                        <w:r>
                          <w:rPr>
                            <w:rFonts w:ascii="宋体" w:hAnsi="宋体" w:cs="宋体" w:eastAsia="宋体" w:hint="default"/>
                            <w:sz w:val="18"/>
                            <w:szCs w:val="18"/>
                          </w:rPr>
                          <w:t> 额为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44,455.54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万元，累计已使用</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42,744.98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万元；募集资金专项账户累计银行利息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960.61</w:t>
                        </w:r>
                        <w:r>
                          <w:rPr>
                            <w:rFonts w:ascii="宋体" w:hAnsi="宋体" w:cs="宋体" w:eastAsia="宋体" w:hint="default"/>
                            <w:sz w:val="18"/>
                            <w:szCs w:val="18"/>
                          </w:rPr>
                          <w:t>；募集资金专项账户累计银行手 续费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万元；截至报告期末，公司募集资金专户余额为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4,534.27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519" w:right="67" w:hanging="449"/>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0"/>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5"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38" w:lineRule="auto"/>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5" w:right="22"/>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6" w:right="22"/>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1"/>
              <w:ind w:left="153" w:right="0"/>
              <w:jc w:val="left"/>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6" w:right="22"/>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5"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5" w:right="22"/>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5" w:right="22"/>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362" w:hRule="exact"/>
        </w:trPr>
        <w:tc>
          <w:tcPr>
            <w:tcW w:w="17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万吨稀土多元</w:t>
            </w: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合金镀层钢丝</w:t>
            </w:r>
            <w:r>
              <w:rPr>
                <w:rFonts w:ascii="宋体" w:hAnsi="宋体" w:cs="宋体" w:eastAsia="宋体" w:hint="default"/>
                <w:spacing w:val="-87"/>
                <w:sz w:val="18"/>
                <w:szCs w:val="18"/>
              </w:rPr>
              <w:t>、</w:t>
            </w:r>
            <w:r>
              <w:rPr>
                <w:rFonts w:ascii="宋体" w:hAnsi="宋体" w:cs="宋体" w:eastAsia="宋体" w:hint="default"/>
                <w:sz w:val="18"/>
                <w:szCs w:val="18"/>
              </w:rPr>
              <w:t>钢绞线</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6,300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6,300</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154.27</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5,770.92</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91.6%</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1,157.18</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2" w:hRule="exact"/>
        </w:trPr>
        <w:tc>
          <w:tcPr>
            <w:tcW w:w="17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先进涂镀技术与稀土 材料工程中心项目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259.8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2"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万吨稀土锌铝</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1,881.38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4,065.29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75.28%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1,002.89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67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0"/>
              <w:ind w:left="22" w:right="23"/>
              <w:jc w:val="left"/>
              <w:rPr>
                <w:rFonts w:ascii="宋体" w:hAnsi="宋体" w:cs="宋体" w:eastAsia="宋体" w:hint="default"/>
                <w:sz w:val="18"/>
                <w:szCs w:val="18"/>
              </w:rPr>
            </w:pPr>
            <w:r>
              <w:rPr>
                <w:rFonts w:ascii="宋体" w:hAnsi="宋体" w:cs="宋体" w:eastAsia="宋体" w:hint="default"/>
                <w:spacing w:val="-9"/>
                <w:sz w:val="18"/>
                <w:szCs w:val="18"/>
              </w:rPr>
              <w:t>合金镀层钢丝、钢绞线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项目</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5"/>
              <w:jc w:val="both"/>
              <w:rPr>
                <w:rFonts w:ascii="宋体" w:hAnsi="宋体" w:cs="宋体" w:eastAsia="宋体" w:hint="default"/>
                <w:sz w:val="18"/>
                <w:szCs w:val="18"/>
              </w:rPr>
            </w:pPr>
            <w:r>
              <w:rPr>
                <w:rFonts w:ascii="宋体" w:hAnsi="宋体" w:cs="宋体" w:eastAsia="宋体" w:hint="default"/>
                <w:sz w:val="18"/>
                <w:szCs w:val="18"/>
              </w:rPr>
              <w:t>先进涂镀技术与稀土 材料工程中心项目变 更补充流动资金</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2,224.2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14,184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4,402.22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12,320.21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2,160.07</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收购广海分公司</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5,263.22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5,263.22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5,263.22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竞买全资子公司发展 用地</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3,311.27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3,311.27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3,311.27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增资隆泰子公司建设 年产</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万吨高铁</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制 品项目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3,998.09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509.01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tabs>
                <w:tab w:pos="323" w:val="left" w:leader="none"/>
              </w:tabs>
              <w:spacing w:line="240" w:lineRule="auto" w:before="50"/>
              <w:ind w:left="-128" w:right="323"/>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3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tabs>
                <w:tab w:pos="323" w:val="left" w:leader="none"/>
              </w:tabs>
              <w:spacing w:line="240" w:lineRule="auto" w:before="51"/>
              <w:ind w:left="-128" w:right="323"/>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15,172.4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15,172.4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15,172.4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42,746.89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42,746.89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42,744.98</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w w:val="95"/>
                <w:sz w:val="18"/>
              </w:rPr>
              <w:t>719.11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3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56,930.89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56,930.89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8,402.22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55,065.19</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2,879.18</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r>
      <w:tr>
        <w:trPr>
          <w:trHeight w:val="1650"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22"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22"/>
              <w:jc w:val="both"/>
              <w:rPr>
                <w:rFonts w:ascii="宋体" w:hAnsi="宋体" w:cs="宋体" w:eastAsia="宋体" w:hint="default"/>
                <w:sz w:val="18"/>
                <w:szCs w:val="18"/>
              </w:rPr>
            </w:pPr>
            <w:r>
              <w:rPr>
                <w:rFonts w:ascii="宋体" w:hAnsi="宋体" w:cs="宋体" w:eastAsia="宋体" w:hint="default"/>
                <w:sz w:val="18"/>
                <w:szCs w:val="18"/>
              </w:rPr>
              <w:t>根据本公司第二届董事会第十四次会议决议，公司已经具备先进涂镀技术与稀土材料工程的基础研 究和产业应用能力，继续建设工程中心项目将导致重复建设，不利于公司的长远发展。根据目前经 济环境、市场环境及工程中心项目实际状况，公司决定终止实施工程中心项目。公司终止实施工程 中心项目后，剩余募集资金补充流动资金，将有利于公司节约费用，提高募集资金使用效率，符合 公司和全体股东的利益。</w:t>
            </w:r>
          </w:p>
        </w:tc>
      </w:tr>
      <w:tr>
        <w:trPr>
          <w:trHeight w:val="2898"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公司结合自身资产状况和科研现状，遵循资产互为利用、优化配置的原则，将公司科研投入与生产 项目紧密结合，已形成了科研工作与实际生产互为促进、互为渗透的科研生产模式。公司目前生产 基地分布于马鞍山、广海及武隆三地，几处生产基地均配套建有跟产品研发相关的实验、检测和科 研场所，同时配备了所需实验设备及科研人员。因此，公司考虑到控制投资风险，避免重复建设， 降低费用，提高资金使用效率，更好地维护公司和投资者的利益，根据本公司第二届董事会第十四 次会议决议，公司已经具备先进涂镀技术与稀土材料工程的基础研究和产业应用能力，继续建设工 程中心项目将导致重复建设，不利于公司的长远发展。根据目前经济环境、市场环境及工程中心项 目实际状况，公司决定终止实施工程中心项目。公司终止实施工程中心项目后，剩余募集资金补充 流动资金，将有利于公司节约费用，提高募集资金使用效率，符合公司和全体股东的利益。</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4"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69"/>
              <w:jc w:val="left"/>
              <w:rPr>
                <w:rFonts w:ascii="宋体" w:hAnsi="宋体" w:cs="宋体" w:eastAsia="宋体" w:hint="default"/>
                <w:sz w:val="18"/>
                <w:szCs w:val="18"/>
              </w:rPr>
            </w:pPr>
            <w:r>
              <w:rPr>
                <w:rFonts w:ascii="宋体" w:hAnsi="宋体" w:cs="宋体" w:eastAsia="宋体" w:hint="default"/>
                <w:sz w:val="18"/>
                <w:szCs w:val="18"/>
              </w:rPr>
              <w:t>公司超募资金金额为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44,455.54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万元，本年度使用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万元，累计已使用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42,744.98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尚余 </w:t>
            </w:r>
            <w:r>
              <w:rPr>
                <w:rFonts w:ascii="Times New Roman" w:hAnsi="Times New Roman" w:cs="Times New Roman" w:eastAsia="Times New Roman" w:hint="default"/>
                <w:sz w:val="18"/>
                <w:szCs w:val="18"/>
              </w:rPr>
              <w:t>1,710.56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万元，存放于募集资金专户中。本年度超募资金使用如下：补充流动资金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770"/>
        <w:gridCol w:w="7798"/>
      </w:tblGrid>
      <w:tr>
        <w:trPr>
          <w:trHeight w:val="2898"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4" w:right="21"/>
              <w:jc w:val="both"/>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日召开的第一届董事会第十次会议和</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日召开的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年度第一次临 时股东大会审议通过，鼎泰新材于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日在北京产权交易所获得中国华农资产经营公司 挂牌交易其所属中水广海钢丝绳厂整体资产的受让资格，并于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与中国华农资产经营 </w:t>
            </w:r>
            <w:r>
              <w:rPr>
                <w:rFonts w:ascii="宋体" w:hAnsi="宋体" w:cs="宋体" w:eastAsia="宋体" w:hint="default"/>
                <w:spacing w:val="-9"/>
                <w:sz w:val="18"/>
                <w:szCs w:val="18"/>
              </w:rPr>
              <w:t>公司签署了《产权交易合同》。经</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日，第一届董事会第十一次董事会审议通过，同意</w:t>
            </w:r>
            <w:r>
              <w:rPr>
                <w:rFonts w:ascii="宋体" w:hAnsi="宋体" w:cs="宋体" w:eastAsia="宋体" w:hint="default"/>
                <w:sz w:val="18"/>
                <w:szCs w:val="18"/>
              </w:rPr>
              <w:t> 将募投项目之一年产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万吨稀土锌铝合金镀层钢丝钢绞线项目实施地点变更为公司分公司中水广 </w:t>
            </w:r>
            <w:r>
              <w:rPr>
                <w:rFonts w:ascii="宋体" w:hAnsi="宋体" w:cs="宋体" w:eastAsia="宋体" w:hint="default"/>
                <w:spacing w:val="-12"/>
                <w:sz w:val="18"/>
                <w:szCs w:val="18"/>
              </w:rPr>
              <w:t>海钢丝绳厂内。经</w:t>
            </w:r>
            <w:r>
              <w:rPr>
                <w:rFonts w:ascii="宋体" w:hAnsi="宋体" w:cs="宋体" w:eastAsia="宋体" w:hint="default"/>
                <w:spacing w:val="-54"/>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日召开的第二届董事会第四次会议和</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pacing w:val="-1"/>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日召开的</w:t>
            </w:r>
            <w:r>
              <w:rPr>
                <w:rFonts w:ascii="宋体" w:hAnsi="宋体" w:cs="宋体" w:eastAsia="宋体" w:hint="default"/>
                <w:spacing w:val="-54"/>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年度第二次临时股东大会审议通过，同意将募投项目之一年产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万吨稀土锌铝合金镀层钢丝钢绞 线项目在公司分公司</w:t>
            </w:r>
            <w:r>
              <w:rPr>
                <w:rFonts w:ascii="Times New Roman" w:hAnsi="Times New Roman" w:cs="Times New Roman" w:eastAsia="Times New Roman" w:hint="default"/>
                <w:sz w:val="18"/>
                <w:szCs w:val="18"/>
              </w:rPr>
              <w:t>——</w:t>
            </w:r>
            <w:r>
              <w:rPr>
                <w:rFonts w:ascii="宋体" w:hAnsi="宋体" w:cs="宋体" w:eastAsia="宋体" w:hint="default"/>
                <w:sz w:val="18"/>
                <w:szCs w:val="18"/>
              </w:rPr>
              <w:t>广海分公司未开工建设实施的部分（占项目总建设工程的三分之二）变更 至公司全资子公司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重庆市隆泰稀土新材料有限责任公司实施。</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2"/>
              <w:jc w:val="center"/>
              <w:rPr>
                <w:rFonts w:ascii="宋体" w:hAnsi="宋体" w:cs="宋体" w:eastAsia="宋体" w:hint="default"/>
                <w:sz w:val="18"/>
                <w:szCs w:val="18"/>
              </w:rPr>
            </w:pPr>
            <w:r>
              <w:rPr>
                <w:rFonts w:ascii="宋体" w:hAnsi="宋体" w:cs="宋体" w:eastAsia="宋体" w:hint="default"/>
                <w:sz w:val="18"/>
                <w:szCs w:val="18"/>
              </w:rPr>
              <w:t>募集资金投资项目实</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2"/>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586"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2"/>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、年产</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万吨稀土多元合金镀层钢丝、钢绞线项目：截至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日，公司以自筹资金预先</w:t>
            </w:r>
            <w:r>
              <w:rPr>
                <w:rFonts w:ascii="宋体" w:hAnsi="宋体" w:cs="宋体" w:eastAsia="宋体" w:hint="default"/>
                <w:sz w:val="18"/>
                <w:szCs w:val="18"/>
              </w:rPr>
              <w:t> 投入募集资金投资项目的实际投资额为</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5,054.46</w:t>
            </w:r>
            <w:r>
              <w:rPr>
                <w:rFonts w:ascii="Times New Roman" w:hAnsi="Times New Roman" w:cs="Times New Roman" w:eastAsia="Times New Roman" w:hint="default"/>
                <w:spacing w:val="7"/>
                <w:sz w:val="18"/>
                <w:szCs w:val="18"/>
              </w:rPr>
              <w:t> </w:t>
            </w:r>
            <w:r>
              <w:rPr>
                <w:rFonts w:ascii="宋体" w:hAnsi="宋体" w:cs="宋体" w:eastAsia="宋体" w:hint="default"/>
                <w:spacing w:val="-4"/>
                <w:w w:val="99"/>
                <w:sz w:val="18"/>
                <w:szCs w:val="18"/>
              </w:rPr>
              <w:t>万元，经深圳市鹏城会计师事务所有限公司</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深鹏所</w:t>
            </w:r>
            <w:r>
              <w:rPr>
                <w:rFonts w:ascii="宋体" w:hAnsi="宋体" w:cs="宋体" w:eastAsia="宋体" w:hint="default"/>
                <w:spacing w:val="-88"/>
                <w:w w:val="99"/>
                <w:sz w:val="18"/>
                <w:szCs w:val="18"/>
              </w:rPr>
              <w:t> </w:t>
            </w:r>
            <w:r>
              <w:rPr>
                <w:rFonts w:ascii="宋体" w:hAnsi="宋体" w:cs="宋体" w:eastAsia="宋体" w:hint="default"/>
                <w:sz w:val="18"/>
                <w:szCs w:val="18"/>
              </w:rPr>
              <w:t>股专字</w:t>
            </w:r>
            <w:r>
              <w:rPr>
                <w:rFonts w:ascii="Times New Roman" w:hAnsi="Times New Roman" w:cs="Times New Roman" w:eastAsia="Times New Roman" w:hint="default"/>
                <w:sz w:val="18"/>
                <w:szCs w:val="18"/>
              </w:rPr>
              <w:t>[2010]133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号和深鹏所股专字</w:t>
            </w:r>
            <w:r>
              <w:rPr>
                <w:rFonts w:ascii="Times New Roman" w:hAnsi="Times New Roman" w:cs="Times New Roman" w:eastAsia="Times New Roman" w:hint="default"/>
                <w:sz w:val="18"/>
                <w:szCs w:val="18"/>
              </w:rPr>
              <w:t>[2010]417</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专项鉴证报告确认。经公司董事会审议通过，保荐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机构发表明确同意意见后，公司以募集资金置换预先已投入募集资金投资项目的自筹资金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5,054.46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、年产</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万吨稀土锌铝合金镀层钢丝、钢绞线项目：公司以自筹资金预先投入募集资金投 资项目的实际投资额为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96.01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万元，经深圳市鹏城会计师事务所有限公司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深鹏所股专字</w:t>
            </w:r>
            <w:r>
              <w:rPr>
                <w:rFonts w:ascii="Times New Roman" w:hAnsi="Times New Roman" w:cs="Times New Roman" w:eastAsia="Times New Roman" w:hint="default"/>
                <w:sz w:val="18"/>
                <w:szCs w:val="18"/>
              </w:rPr>
              <w:t>[2010]417 </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专项鉴证报告确认。经公司董事会审议通过，保荐机构发表明确同意意见后，公司以募集资金置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换预先已投入募集资金投资项目的自筹资金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96.01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92"/>
              <w:jc w:val="center"/>
              <w:rPr>
                <w:rFonts w:ascii="宋体" w:hAnsi="宋体" w:cs="宋体" w:eastAsia="宋体" w:hint="default"/>
                <w:sz w:val="18"/>
                <w:szCs w:val="18"/>
              </w:rPr>
            </w:pPr>
            <w:r>
              <w:rPr>
                <w:rFonts w:ascii="宋体" w:hAnsi="宋体" w:cs="宋体" w:eastAsia="宋体" w:hint="default"/>
                <w:sz w:val="18"/>
                <w:szCs w:val="18"/>
              </w:rPr>
              <w:t>用闲置募集资金暂时</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4"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4" w:right="89"/>
              <w:jc w:val="left"/>
              <w:rPr>
                <w:rFonts w:ascii="宋体" w:hAnsi="宋体" w:cs="宋体" w:eastAsia="宋体" w:hint="default"/>
                <w:sz w:val="18"/>
                <w:szCs w:val="18"/>
              </w:rPr>
            </w:pPr>
            <w:r>
              <w:rPr>
                <w:rFonts w:ascii="宋体" w:hAnsi="宋体" w:cs="宋体" w:eastAsia="宋体" w:hint="default"/>
                <w:sz w:val="18"/>
                <w:szCs w:val="18"/>
              </w:rPr>
              <w:t>由于</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万吨稀土锌铝合金镀层钢丝、钢绞线项目</w:t>
            </w:r>
            <w:r>
              <w:rPr>
                <w:rFonts w:ascii="Times New Roman" w:hAnsi="Times New Roman" w:cs="Times New Roman" w:eastAsia="Times New Roman" w:hint="default"/>
                <w:sz w:val="18"/>
                <w:szCs w:val="18"/>
              </w:rPr>
              <w:t>”</w:t>
            </w:r>
            <w:r>
              <w:rPr>
                <w:rFonts w:ascii="宋体" w:hAnsi="宋体" w:cs="宋体" w:eastAsia="宋体" w:hint="default"/>
                <w:sz w:val="18"/>
                <w:szCs w:val="18"/>
              </w:rPr>
              <w:t>已变更实施地点至广海分公司，公司使用 部分超募资金收购中水广海钢丝绳厂资产并投入该项目建设，导致项目节余资金较多。</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存放于募集资金专户中</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1"/>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57"/>
        <w:gridCol w:w="958"/>
        <w:gridCol w:w="957"/>
        <w:gridCol w:w="958"/>
        <w:gridCol w:w="957"/>
        <w:gridCol w:w="956"/>
        <w:gridCol w:w="957"/>
        <w:gridCol w:w="956"/>
        <w:gridCol w:w="957"/>
        <w:gridCol w:w="957"/>
      </w:tblGrid>
      <w:tr>
        <w:trPr>
          <w:trHeight w:val="1338" w:hRule="exact"/>
        </w:trPr>
        <w:tc>
          <w:tcPr>
            <w:tcW w:w="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382" w:right="22"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03" w:right="24"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11"/>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 </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3"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11"/>
              <w:ind w:left="23" w:right="20"/>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(1)</w:t>
            </w:r>
          </w:p>
        </w:tc>
        <w:tc>
          <w:tcPr>
            <w:tcW w:w="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22"/>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12" w:right="20"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02" w:right="22"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362" w:hRule="exact"/>
        </w:trPr>
        <w:tc>
          <w:tcPr>
            <w:tcW w:w="95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957"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r>
      <w:tr>
        <w:trPr>
          <w:trHeight w:val="932" w:hRule="exact"/>
        </w:trPr>
        <w:tc>
          <w:tcPr>
            <w:tcW w:w="957"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22"/>
              <w:jc w:val="both"/>
              <w:rPr>
                <w:rFonts w:ascii="宋体" w:hAnsi="宋体" w:cs="宋体" w:eastAsia="宋体" w:hint="default"/>
                <w:sz w:val="18"/>
                <w:szCs w:val="18"/>
              </w:rPr>
            </w:pPr>
            <w:r>
              <w:rPr>
                <w:rFonts w:ascii="宋体" w:hAnsi="宋体" w:cs="宋体" w:eastAsia="宋体" w:hint="default"/>
                <w:sz w:val="18"/>
                <w:szCs w:val="18"/>
              </w:rPr>
              <w:t>吨稀土锌铝 合金镀层钢 丝、钢绞线</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3" w:right="24"/>
              <w:jc w:val="both"/>
              <w:rPr>
                <w:rFonts w:ascii="宋体" w:hAnsi="宋体" w:cs="宋体" w:eastAsia="宋体" w:hint="default"/>
                <w:sz w:val="18"/>
                <w:szCs w:val="18"/>
              </w:rPr>
            </w:pPr>
            <w:r>
              <w:rPr>
                <w:rFonts w:ascii="宋体" w:hAnsi="宋体" w:cs="宋体" w:eastAsia="宋体" w:hint="default"/>
                <w:sz w:val="18"/>
                <w:szCs w:val="18"/>
              </w:rPr>
              <w:t>吨稀土锌铝 合金镀层钢 丝、钢绞线</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519" w:right="0"/>
              <w:jc w:val="left"/>
              <w:rPr>
                <w:rFonts w:ascii="Times New Roman" w:hAnsi="Times New Roman" w:cs="Times New Roman" w:eastAsia="Times New Roman" w:hint="default"/>
                <w:sz w:val="18"/>
                <w:szCs w:val="18"/>
              </w:rPr>
            </w:pPr>
            <w:r>
              <w:rPr>
                <w:rFonts w:ascii="Times New Roman"/>
                <w:sz w:val="18"/>
              </w:rPr>
              <w:t>5,400</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94" w:right="0"/>
              <w:jc w:val="left"/>
              <w:rPr>
                <w:rFonts w:ascii="Times New Roman" w:hAnsi="Times New Roman" w:cs="Times New Roman" w:eastAsia="Times New Roman" w:hint="default"/>
                <w:sz w:val="18"/>
                <w:szCs w:val="18"/>
              </w:rPr>
            </w:pPr>
            <w:r>
              <w:rPr>
                <w:rFonts w:ascii="Times New Roman"/>
                <w:sz w:val="18"/>
              </w:rPr>
              <w:t>1,881.38</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94" w:right="0"/>
              <w:jc w:val="left"/>
              <w:rPr>
                <w:rFonts w:ascii="Times New Roman" w:hAnsi="Times New Roman" w:cs="Times New Roman" w:eastAsia="Times New Roman" w:hint="default"/>
                <w:sz w:val="18"/>
                <w:szCs w:val="18"/>
              </w:rPr>
            </w:pPr>
            <w:r>
              <w:rPr>
                <w:rFonts w:ascii="Times New Roman"/>
                <w:sz w:val="18"/>
              </w:rPr>
              <w:t>4,065.29</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69" w:right="0"/>
              <w:jc w:val="left"/>
              <w:rPr>
                <w:rFonts w:ascii="Times New Roman" w:hAnsi="Times New Roman" w:cs="Times New Roman" w:eastAsia="Times New Roman" w:hint="default"/>
                <w:sz w:val="18"/>
                <w:szCs w:val="18"/>
              </w:rPr>
            </w:pPr>
            <w:r>
              <w:rPr>
                <w:rFonts w:ascii="Times New Roman"/>
                <w:sz w:val="18"/>
              </w:rPr>
              <w:t>75.28%</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92" w:right="0"/>
              <w:jc w:val="left"/>
              <w:rPr>
                <w:rFonts w:ascii="Times New Roman" w:hAnsi="Times New Roman" w:cs="Times New Roman" w:eastAsia="Times New Roman" w:hint="default"/>
                <w:sz w:val="18"/>
                <w:szCs w:val="18"/>
              </w:rPr>
            </w:pPr>
            <w:r>
              <w:rPr>
                <w:rFonts w:ascii="Times New Roman"/>
                <w:sz w:val="18"/>
              </w:rPr>
              <w:t>1,002.89</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6" w:hRule="exact"/>
        </w:trPr>
        <w:tc>
          <w:tcPr>
            <w:tcW w:w="9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57"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957"/>
        <w:gridCol w:w="958"/>
        <w:gridCol w:w="957"/>
        <w:gridCol w:w="958"/>
        <w:gridCol w:w="957"/>
        <w:gridCol w:w="956"/>
        <w:gridCol w:w="957"/>
        <w:gridCol w:w="956"/>
        <w:gridCol w:w="957"/>
        <w:gridCol w:w="957"/>
      </w:tblGrid>
      <w:tr>
        <w:trPr>
          <w:trHeight w:val="402" w:hRule="exact"/>
        </w:trPr>
        <w:tc>
          <w:tcPr>
            <w:tcW w:w="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9" w:right="0"/>
              <w:jc w:val="left"/>
              <w:rPr>
                <w:rFonts w:ascii="Times New Roman" w:hAnsi="Times New Roman" w:cs="Times New Roman" w:eastAsia="Times New Roman" w:hint="default"/>
                <w:sz w:val="18"/>
                <w:szCs w:val="18"/>
              </w:rPr>
            </w:pPr>
            <w:r>
              <w:rPr>
                <w:rFonts w:ascii="Times New Roman"/>
                <w:sz w:val="18"/>
              </w:rPr>
              <w:t>5,400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4" w:right="0"/>
              <w:jc w:val="left"/>
              <w:rPr>
                <w:rFonts w:ascii="Times New Roman" w:hAnsi="Times New Roman" w:cs="Times New Roman" w:eastAsia="Times New Roman" w:hint="default"/>
                <w:sz w:val="18"/>
                <w:szCs w:val="18"/>
              </w:rPr>
            </w:pPr>
            <w:r>
              <w:rPr>
                <w:rFonts w:ascii="Times New Roman"/>
                <w:sz w:val="18"/>
              </w:rPr>
              <w:t>1,881.38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4" w:right="0"/>
              <w:jc w:val="left"/>
              <w:rPr>
                <w:rFonts w:ascii="Times New Roman" w:hAnsi="Times New Roman" w:cs="Times New Roman" w:eastAsia="Times New Roman" w:hint="default"/>
                <w:sz w:val="18"/>
                <w:szCs w:val="18"/>
              </w:rPr>
            </w:pPr>
            <w:r>
              <w:rPr>
                <w:rFonts w:ascii="Times New Roman"/>
                <w:sz w:val="18"/>
              </w:rPr>
              <w:t>4,065.29</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2" w:right="0"/>
              <w:jc w:val="left"/>
              <w:rPr>
                <w:rFonts w:ascii="Times New Roman" w:hAnsi="Times New Roman" w:cs="Times New Roman" w:eastAsia="Times New Roman" w:hint="default"/>
                <w:sz w:val="18"/>
                <w:szCs w:val="18"/>
              </w:rPr>
            </w:pPr>
            <w:r>
              <w:rPr>
                <w:rFonts w:ascii="Times New Roman"/>
                <w:sz w:val="18"/>
              </w:rPr>
              <w:t>1,002.89</w:t>
            </w:r>
          </w:p>
        </w:tc>
        <w:tc>
          <w:tcPr>
            <w:tcW w:w="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383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 w:right="22"/>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8" w:type="dxa"/>
            <w:gridSpan w:val="7"/>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本次募集资金项目</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万吨稀土锌铝合金镀层钢丝、钢绞线项目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变更实施主体 </w:t>
            </w:r>
            <w:r>
              <w:rPr>
                <w:rFonts w:ascii="宋体" w:hAnsi="宋体" w:cs="宋体" w:eastAsia="宋体" w:hint="default"/>
                <w:spacing w:val="-1"/>
                <w:sz w:val="18"/>
                <w:szCs w:val="18"/>
              </w:rPr>
              <w:t>及地点，首先，是为了抓住未来西南地区市场电网建设的巨大空间，更合理地规划公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司未来发展路线；其次，相对于广海分公司，重庆地区在原材料线材和锌的供应、人</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力资源成本方面具有一定的优势；第三，该项目主要是由各自独立的生产线构成，已</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建成的三分之一部分能独立生产产品，尚未建设的三分之二不因为项目的分开建设而</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影响项目的完整性。本次变更募投项目经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日召开的第二届董事会第四 次会议、第二届监事会第四次会议和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年度第二次临时 股东大会审议通过，同意将募投项目之一年产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万吨稀土锌铝合金镀层钢丝钢绞线 </w:t>
            </w:r>
            <w:r>
              <w:rPr>
                <w:rFonts w:ascii="宋体" w:hAnsi="宋体" w:cs="宋体" w:eastAsia="宋体" w:hint="default"/>
                <w:spacing w:val="-1"/>
                <w:sz w:val="18"/>
                <w:szCs w:val="18"/>
              </w:rPr>
              <w:t>项目在公司分公司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广海分公司未开工建设实施的部分（占项目总建设工程的三分</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4"/>
                <w:sz w:val="18"/>
                <w:szCs w:val="18"/>
              </w:rPr>
              <w:t>之二）变更至公司全资子公司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重庆市隆泰稀土新材料有限责任公司实施。《关于变更</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部分募投项目实施主体及地点的公告》已于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日披露于《证券时报》和 巨潮资讯网。</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、主要子公司、参股公司分析</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45"/>
        <w:gridCol w:w="1076"/>
        <w:gridCol w:w="942"/>
        <w:gridCol w:w="943"/>
        <w:gridCol w:w="943"/>
        <w:gridCol w:w="944"/>
        <w:gridCol w:w="943"/>
        <w:gridCol w:w="943"/>
        <w:gridCol w:w="809"/>
        <w:gridCol w:w="1077"/>
      </w:tblGrid>
      <w:tr>
        <w:trPr>
          <w:trHeight w:val="714" w:hRule="exact"/>
        </w:trPr>
        <w:tc>
          <w:tcPr>
            <w:tcW w:w="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96" w:right="107" w:hanging="92"/>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40" w:lineRule="auto" w:before="76"/>
              <w:ind w:left="19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净资产</w:t>
            </w:r>
          </w:p>
          <w:p>
            <w:pPr>
              <w:pStyle w:val="TableParagraph"/>
              <w:spacing w:line="240" w:lineRule="auto" w:before="76"/>
              <w:ind w:left="196"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营业利润</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0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37"/>
              <w:jc w:val="left"/>
              <w:rPr>
                <w:rFonts w:ascii="宋体" w:hAnsi="宋体" w:cs="宋体" w:eastAsia="宋体" w:hint="default"/>
                <w:sz w:val="18"/>
                <w:szCs w:val="18"/>
              </w:rPr>
            </w:pPr>
            <w:r>
              <w:rPr>
                <w:rFonts w:ascii="宋体" w:hAnsi="宋体" w:cs="宋体" w:eastAsia="宋体" w:hint="default"/>
                <w:sz w:val="18"/>
                <w:szCs w:val="18"/>
              </w:rPr>
              <w:t>净利润（元）</w:t>
            </w:r>
          </w:p>
        </w:tc>
      </w:tr>
      <w:tr>
        <w:trPr>
          <w:trHeight w:val="357" w:hRule="exact"/>
        </w:trPr>
        <w:tc>
          <w:tcPr>
            <w:tcW w:w="945" w:type="dxa"/>
            <w:tcBorders>
              <w:top w:val="single" w:sz="4" w:space="0" w:color="000000"/>
              <w:left w:val="single" w:sz="4" w:space="0" w:color="000000"/>
              <w:bottom w:val="nil" w:sz="6" w:space="0" w:color="auto"/>
              <w:right w:val="single" w:sz="4" w:space="0" w:color="000000"/>
            </w:tcBorders>
          </w:tcPr>
          <w:p>
            <w:pPr/>
          </w:p>
        </w:tc>
        <w:tc>
          <w:tcPr>
            <w:tcW w:w="1076"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943" w:type="dxa"/>
            <w:tcBorders>
              <w:top w:val="single" w:sz="4" w:space="0" w:color="000000"/>
              <w:left w:val="single" w:sz="4" w:space="0" w:color="000000"/>
              <w:bottom w:val="nil" w:sz="6" w:space="0" w:color="auto"/>
              <w:right w:val="single" w:sz="4" w:space="0" w:color="000000"/>
            </w:tcBorders>
          </w:tcPr>
          <w:p>
            <w:pPr/>
          </w:p>
        </w:tc>
        <w:tc>
          <w:tcPr>
            <w:tcW w:w="944"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107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重庆市隆</w:t>
            </w: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稀土锌铝</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7"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9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90"/>
              <w:jc w:val="left"/>
              <w:rPr>
                <w:rFonts w:ascii="宋体" w:hAnsi="宋体" w:cs="宋体" w:eastAsia="宋体" w:hint="default"/>
                <w:sz w:val="18"/>
                <w:szCs w:val="18"/>
              </w:rPr>
            </w:pPr>
            <w:r>
              <w:rPr>
                <w:rFonts w:ascii="宋体" w:hAnsi="宋体" w:cs="宋体" w:eastAsia="宋体" w:hint="default"/>
                <w:sz w:val="18"/>
                <w:szCs w:val="18"/>
              </w:rPr>
              <w:t>泰稀土新 材料有限</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金属制品</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3"/>
              <w:jc w:val="left"/>
              <w:rPr>
                <w:rFonts w:ascii="宋体" w:hAnsi="宋体" w:cs="宋体" w:eastAsia="宋体" w:hint="default"/>
                <w:sz w:val="18"/>
                <w:szCs w:val="18"/>
              </w:rPr>
            </w:pPr>
            <w:r>
              <w:rPr>
                <w:rFonts w:ascii="宋体" w:hAnsi="宋体" w:cs="宋体" w:eastAsia="宋体" w:hint="default"/>
                <w:spacing w:val="-3"/>
                <w:sz w:val="18"/>
                <w:szCs w:val="18"/>
              </w:rPr>
              <w:t>合金，稀土</w:t>
            </w:r>
            <w:r>
              <w:rPr>
                <w:rFonts w:ascii="宋体" w:hAnsi="宋体" w:cs="宋体" w:eastAsia="宋体" w:hint="default"/>
                <w:sz w:val="18"/>
                <w:szCs w:val="18"/>
              </w:rPr>
              <w:t> 多元合金</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01" w:right="0"/>
              <w:jc w:val="left"/>
              <w:rPr>
                <w:rFonts w:ascii="Times New Roman" w:hAnsi="Times New Roman" w:cs="Times New Roman" w:eastAsia="Times New Roman" w:hint="default"/>
                <w:sz w:val="18"/>
                <w:szCs w:val="18"/>
              </w:rPr>
            </w:pPr>
            <w:r>
              <w:rPr>
                <w:rFonts w:ascii="Times New Roman"/>
                <w:sz w:val="18"/>
              </w:rPr>
              <w:t>278,493,35</w:t>
            </w:r>
          </w:p>
          <w:p>
            <w:pPr>
              <w:pStyle w:val="TableParagraph"/>
              <w:spacing w:line="240" w:lineRule="auto" w:before="105"/>
              <w:ind w:left="595" w:right="0"/>
              <w:jc w:val="left"/>
              <w:rPr>
                <w:rFonts w:ascii="Times New Roman" w:hAnsi="Times New Roman" w:cs="Times New Roman" w:eastAsia="Times New Roman" w:hint="default"/>
                <w:sz w:val="18"/>
                <w:szCs w:val="18"/>
              </w:rPr>
            </w:pPr>
            <w:r>
              <w:rPr>
                <w:rFonts w:ascii="Times New Roman"/>
                <w:sz w:val="18"/>
              </w:rPr>
              <w:t>7.03</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64,870,665.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53</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00" w:right="0"/>
              <w:jc w:val="left"/>
              <w:rPr>
                <w:rFonts w:ascii="Times New Roman" w:hAnsi="Times New Roman" w:cs="Times New Roman" w:eastAsia="Times New Roman" w:hint="default"/>
                <w:sz w:val="18"/>
                <w:szCs w:val="18"/>
              </w:rPr>
            </w:pPr>
            <w:r>
              <w:rPr>
                <w:rFonts w:ascii="Times New Roman"/>
                <w:sz w:val="18"/>
              </w:rPr>
              <w:t>287,649,97</w:t>
            </w:r>
          </w:p>
          <w:p>
            <w:pPr>
              <w:pStyle w:val="TableParagraph"/>
              <w:spacing w:line="240" w:lineRule="auto" w:before="105"/>
              <w:ind w:left="594" w:right="0"/>
              <w:jc w:val="left"/>
              <w:rPr>
                <w:rFonts w:ascii="Times New Roman" w:hAnsi="Times New Roman" w:cs="Times New Roman" w:eastAsia="Times New Roman" w:hint="default"/>
                <w:sz w:val="18"/>
                <w:szCs w:val="18"/>
              </w:rPr>
            </w:pPr>
            <w:r>
              <w:rPr>
                <w:rFonts w:ascii="Times New Roman"/>
                <w:sz w:val="18"/>
              </w:rPr>
              <w:t>6.97</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4,608,992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.21</w:t>
            </w:r>
          </w:p>
        </w:tc>
        <w:tc>
          <w:tcPr>
            <w:tcW w:w="107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15,135,706.0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307" w:hRule="exact"/>
        </w:trPr>
        <w:tc>
          <w:tcPr>
            <w:tcW w:w="9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076"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镀层丝绳</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45" w:type="dxa"/>
            <w:tcBorders>
              <w:top w:val="nil" w:sz="6" w:space="0" w:color="auto"/>
              <w:left w:val="single" w:sz="4" w:space="0" w:color="000000"/>
              <w:bottom w:val="single" w:sz="4" w:space="0" w:color="000000"/>
              <w:right w:val="single" w:sz="4" w:space="0" w:color="000000"/>
            </w:tcBorders>
          </w:tcPr>
          <w:p>
            <w:pPr/>
          </w:p>
        </w:tc>
        <w:tc>
          <w:tcPr>
            <w:tcW w:w="1076"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及镀件等</w:t>
            </w:r>
          </w:p>
        </w:tc>
        <w:tc>
          <w:tcPr>
            <w:tcW w:w="943" w:type="dxa"/>
            <w:tcBorders>
              <w:top w:val="nil" w:sz="6" w:space="0" w:color="auto"/>
              <w:left w:val="single" w:sz="4" w:space="0" w:color="000000"/>
              <w:bottom w:val="single" w:sz="4" w:space="0" w:color="000000"/>
              <w:right w:val="single" w:sz="4" w:space="0" w:color="000000"/>
            </w:tcBorders>
          </w:tcPr>
          <w:p>
            <w:pPr/>
          </w:p>
        </w:tc>
        <w:tc>
          <w:tcPr>
            <w:tcW w:w="944"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1077" w:type="dxa"/>
            <w:tcBorders>
              <w:top w:val="nil" w:sz="6" w:space="0" w:color="auto"/>
              <w:left w:val="single" w:sz="4" w:space="0" w:color="000000"/>
              <w:bottom w:val="single" w:sz="4" w:space="0" w:color="000000"/>
              <w:right w:val="single" w:sz="4" w:space="0" w:color="000000"/>
            </w:tcBorders>
          </w:tcPr>
          <w:p>
            <w:pP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主要子公司、参股公司情况说明</w:t>
      </w:r>
    </w:p>
    <w:p>
      <w:pPr>
        <w:pStyle w:val="BodyText"/>
        <w:spacing w:line="256" w:lineRule="auto" w:before="92"/>
        <w:ind w:right="111" w:firstLine="436"/>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26</w:t>
      </w:r>
      <w:r>
        <w:rPr/>
        <w:t>日，本公司第一届董事会十五次会议审议通过了《关于设立全资子公司的议案》。根据 </w:t>
      </w:r>
      <w:r>
        <w:rPr>
          <w:spacing w:val="-2"/>
        </w:rPr>
        <w:t>协议、章程的规定，拟设全资子公司隆泰稀土注册资本为人民币</w:t>
      </w:r>
      <w:r>
        <w:rPr>
          <w:rFonts w:ascii="Times New Roman" w:hAnsi="Times New Roman" w:cs="Times New Roman" w:eastAsia="Times New Roman" w:hint="default"/>
          <w:spacing w:val="-2"/>
        </w:rPr>
        <w:t>1,000</w:t>
      </w:r>
      <w:r>
        <w:rPr>
          <w:spacing w:val="-2"/>
        </w:rPr>
        <w:t>万元，于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8</w:t>
      </w:r>
      <w:r>
        <w:rPr>
          <w:spacing w:val="-2"/>
        </w:rPr>
        <w:t>日前由本公司一</w:t>
      </w:r>
      <w:r>
        <w:rPr>
          <w:spacing w:val="-100"/>
        </w:rPr>
        <w:t> </w:t>
      </w:r>
      <w:r>
        <w:rPr>
          <w:spacing w:val="-100"/>
        </w:rPr>
      </w:r>
      <w:r>
        <w:rPr/>
        <w:t>次缴足。截至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8</w:t>
      </w:r>
      <w:r>
        <w:rPr/>
        <w:t>日止，公司已向隆泰稀土货币出资</w:t>
      </w:r>
      <w:r>
        <w:rPr>
          <w:rFonts w:ascii="Times New Roman" w:hAnsi="Times New Roman" w:cs="Times New Roman" w:eastAsia="Times New Roman" w:hint="default"/>
        </w:rPr>
        <w:t>1,000</w:t>
      </w:r>
      <w:r>
        <w:rPr/>
        <w:t>万元。</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日，隆泰稀土取得了</w:t>
      </w:r>
      <w:r>
        <w:rPr>
          <w:spacing w:val="-97"/>
        </w:rPr>
        <w:t> </w:t>
      </w:r>
      <w:r>
        <w:rPr>
          <w:spacing w:val="-97"/>
        </w:rPr>
      </w:r>
      <w:r>
        <w:rPr/>
        <w:t>重庆市武隆县工商行政管理局颁发的企业法人营业执照。</w:t>
      </w:r>
    </w:p>
    <w:p>
      <w:pPr>
        <w:pStyle w:val="BodyText"/>
        <w:spacing w:line="256" w:lineRule="auto" w:before="22"/>
        <w:ind w:right="108" w:firstLine="436"/>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日，本公司</w:t>
      </w:r>
      <w:r>
        <w:rPr>
          <w:rFonts w:ascii="Times New Roman" w:hAnsi="Times New Roman" w:cs="Times New Roman" w:eastAsia="Times New Roman" w:hint="default"/>
        </w:rPr>
        <w:t>2011</w:t>
      </w:r>
      <w:r>
        <w:rPr/>
        <w:t>年第一次临时股东大会审议通过了《关于使用部分超募资金对全资子公 </w:t>
      </w:r>
      <w:r>
        <w:rPr>
          <w:spacing w:val="-5"/>
        </w:rPr>
        <w:t>司增资以实施年产</w:t>
      </w:r>
      <w:r>
        <w:rPr>
          <w:rFonts w:ascii="Times New Roman" w:hAnsi="Times New Roman" w:cs="Times New Roman" w:eastAsia="Times New Roman" w:hint="default"/>
          <w:spacing w:val="-5"/>
        </w:rPr>
        <w:t>6</w:t>
      </w:r>
      <w:r>
        <w:rPr>
          <w:spacing w:val="-5"/>
        </w:rPr>
        <w:t>万吨高铁</w:t>
      </w:r>
      <w:r>
        <w:rPr>
          <w:rFonts w:ascii="Times New Roman" w:hAnsi="Times New Roman" w:cs="Times New Roman" w:eastAsia="Times New Roman" w:hint="default"/>
          <w:spacing w:val="-5"/>
        </w:rPr>
        <w:t>PC</w:t>
      </w:r>
      <w:r>
        <w:rPr>
          <w:spacing w:val="-5"/>
        </w:rPr>
        <w:t>制品项目的议案》，决定对隆泰稀土以货币增资人民币</w:t>
      </w:r>
      <w:r>
        <w:rPr>
          <w:rFonts w:ascii="Times New Roman" w:hAnsi="Times New Roman" w:cs="Times New Roman" w:eastAsia="Times New Roman" w:hint="default"/>
          <w:spacing w:val="-5"/>
        </w:rPr>
        <w:t>4,000</w:t>
      </w:r>
      <w:r>
        <w:rPr>
          <w:spacing w:val="-5"/>
        </w:rPr>
        <w:t>万元。截至</w:t>
      </w:r>
      <w:r>
        <w:rPr>
          <w:rFonts w:ascii="Times New Roman" w:hAnsi="Times New Roman" w:cs="Times New Roman" w:eastAsia="Times New Roman" w:hint="default"/>
          <w:spacing w:val="-5"/>
        </w:rPr>
        <w:t>2011</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22</w:t>
      </w:r>
      <w:r>
        <w:rPr/>
        <w:t>日止，公司向隆泰稀土货币增资</w:t>
      </w:r>
      <w:r>
        <w:rPr>
          <w:rFonts w:ascii="Times New Roman" w:hAnsi="Times New Roman" w:cs="Times New Roman" w:eastAsia="Times New Roman" w:hint="default"/>
        </w:rPr>
        <w:t>4,000</w:t>
      </w:r>
      <w:r>
        <w:rPr/>
        <w:t>万元。</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日取得增资后的营业执照。</w:t>
      </w:r>
    </w:p>
    <w:p>
      <w:pPr>
        <w:spacing w:line="240" w:lineRule="auto" w:before="1"/>
        <w:rPr>
          <w:rFonts w:ascii="宋体" w:hAnsi="宋体" w:cs="宋体" w:eastAsia="宋体" w:hint="default"/>
          <w:sz w:val="29"/>
          <w:szCs w:val="29"/>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footerReference w:type="default" r:id="rId16"/>
          <w:pgSz w:w="11910" w:h="16840"/>
          <w:pgMar w:footer="978" w:header="746" w:top="1060" w:bottom="1160" w:left="1020" w:right="1020"/>
          <w:pgNumType w:start="2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r>
        <w:rPr/>
        <w:t>七、公司未来发展的展望</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32" w:right="0"/>
        <w:jc w:val="left"/>
      </w:pPr>
      <w:r>
        <w:rPr>
          <w:rFonts w:ascii="Times New Roman" w:hAnsi="Times New Roman" w:cs="Times New Roman" w:eastAsia="Times New Roman" w:hint="default"/>
        </w:rPr>
        <w:t>1</w:t>
      </w:r>
      <w:r>
        <w:rPr/>
        <w:t>、行业所处的发展趋势及面临的市场竞争格局</w:t>
      </w:r>
    </w:p>
    <w:p>
      <w:pPr>
        <w:pStyle w:val="BodyText"/>
        <w:spacing w:line="256" w:lineRule="auto" w:before="21"/>
        <w:ind w:left="532" w:right="0"/>
        <w:jc w:val="left"/>
      </w:pPr>
      <w:r>
        <w:rPr/>
        <w:t>（</w:t>
      </w:r>
      <w:r>
        <w:rPr>
          <w:rFonts w:ascii="Times New Roman" w:hAnsi="Times New Roman" w:cs="Times New Roman" w:eastAsia="Times New Roman" w:hint="default"/>
        </w:rPr>
        <w:t>1</w:t>
      </w:r>
      <w:r>
        <w:rPr/>
        <w:t>）稀土镀层钢丝、钢绞线产品 </w:t>
      </w:r>
      <w:r>
        <w:rPr>
          <w:spacing w:val="-1"/>
        </w:rPr>
        <w:t>公司依靠核心技术稀土镀层技术研发的稀土镀层钢丝、钢绞线产品已经占据了一定的市场份额，产品</w:t>
      </w:r>
    </w:p>
    <w:p>
      <w:pPr>
        <w:pStyle w:val="BodyText"/>
        <w:spacing w:line="264" w:lineRule="auto" w:before="22"/>
        <w:ind w:right="209"/>
        <w:jc w:val="both"/>
      </w:pPr>
      <w:r>
        <w:rPr>
          <w:spacing w:val="-3"/>
        </w:rPr>
        <w:t>主要销售对象为国家电网用于国内电网建设。国家</w:t>
      </w:r>
      <w:r>
        <w:rPr>
          <w:rFonts w:ascii="Times New Roman" w:hAnsi="Times New Roman" w:cs="Times New Roman" w:eastAsia="Times New Roman" w:hint="default"/>
          <w:spacing w:val="-3"/>
        </w:rPr>
        <w:t>“</w:t>
      </w:r>
      <w:r>
        <w:rPr>
          <w:spacing w:val="-3"/>
        </w:rPr>
        <w:t>十二五</w:t>
      </w:r>
      <w:r>
        <w:rPr>
          <w:rFonts w:ascii="Times New Roman" w:hAnsi="Times New Roman" w:cs="Times New Roman" w:eastAsia="Times New Roman" w:hint="default"/>
          <w:spacing w:val="-3"/>
        </w:rPr>
        <w:t>”</w:t>
      </w:r>
      <w:r>
        <w:rPr>
          <w:spacing w:val="-3"/>
        </w:rPr>
        <w:t>规划中指出：</w:t>
      </w:r>
      <w:r>
        <w:rPr>
          <w:rFonts w:ascii="Times New Roman" w:hAnsi="Times New Roman" w:cs="Times New Roman" w:eastAsia="Times New Roman" w:hint="default"/>
          <w:spacing w:val="-3"/>
        </w:rPr>
        <w:t>“</w:t>
      </w:r>
      <w:r>
        <w:rPr>
          <w:spacing w:val="-3"/>
        </w:rPr>
        <w:t>适应大规模跨区输电和新能源发</w:t>
      </w:r>
      <w:r>
        <w:rPr>
          <w:spacing w:val="-74"/>
        </w:rPr>
        <w:t> </w:t>
      </w:r>
      <w:r>
        <w:rPr>
          <w:spacing w:val="-74"/>
        </w:rPr>
      </w:r>
      <w:r>
        <w:rPr>
          <w:spacing w:val="-1"/>
        </w:rPr>
        <w:t>电并网的要求，加快现代电网体系建设，进一步扩大西电东送规模，完善区域主干电网，发展特高压等大</w:t>
      </w:r>
      <w:r>
        <w:rPr>
          <w:spacing w:val="-99"/>
        </w:rPr>
        <w:t> </w:t>
      </w:r>
      <w:r>
        <w:rPr>
          <w:spacing w:val="-99"/>
        </w:rPr>
      </w:r>
      <w:r>
        <w:rPr>
          <w:spacing w:val="-1"/>
        </w:rPr>
        <w:t>容量、高效率、远距离先进输电技术，依托信息、控制和储能等先进技术，推进智能电网建设，切实加强</w:t>
      </w:r>
      <w:r>
        <w:rPr>
          <w:spacing w:val="-98"/>
        </w:rPr>
        <w:t> </w:t>
      </w:r>
      <w:r>
        <w:rPr>
          <w:spacing w:val="-98"/>
        </w:rPr>
      </w:r>
      <w:r>
        <w:rPr/>
        <w:t>城乡电网建设与改造，增强电网优化配置电力能力和供电可靠性</w:t>
      </w:r>
      <w:r>
        <w:rPr>
          <w:rFonts w:ascii="Times New Roman" w:hAnsi="Times New Roman" w:cs="Times New Roman" w:eastAsia="Times New Roman" w:hint="default"/>
        </w:rPr>
        <w:t>”</w:t>
      </w:r>
      <w:r>
        <w:rPr/>
        <w:t>。由此可见，特高压和智能电网建设将</w:t>
      </w:r>
      <w:r>
        <w:rPr>
          <w:spacing w:val="-26"/>
        </w:rPr>
        <w:t> </w:t>
      </w:r>
      <w:r>
        <w:rPr>
          <w:spacing w:val="-26"/>
        </w:rPr>
      </w:r>
      <w:r>
        <w:rPr>
          <w:spacing w:val="-1"/>
        </w:rPr>
        <w:t>是</w:t>
      </w:r>
      <w:r>
        <w:rPr>
          <w:rFonts w:ascii="Times New Roman" w:hAnsi="Times New Roman" w:cs="Times New Roman" w:eastAsia="Times New Roman" w:hint="default"/>
          <w:spacing w:val="-1"/>
        </w:rPr>
        <w:t>”</w:t>
      </w:r>
      <w:r>
        <w:rPr>
          <w:spacing w:val="-1"/>
        </w:rPr>
        <w:t>十二五</w:t>
      </w:r>
      <w:r>
        <w:rPr>
          <w:rFonts w:ascii="Times New Roman" w:hAnsi="Times New Roman" w:cs="Times New Roman" w:eastAsia="Times New Roman" w:hint="default"/>
          <w:spacing w:val="-1"/>
        </w:rPr>
        <w:t>”</w:t>
      </w:r>
      <w:r>
        <w:rPr>
          <w:spacing w:val="-1"/>
        </w:rPr>
        <w:t>期间国家电网建设的重点。</w:t>
      </w:r>
      <w:r>
        <w:rPr>
          <w:rFonts w:ascii="Times New Roman" w:hAnsi="Times New Roman" w:cs="Times New Roman" w:eastAsia="Times New Roman" w:hint="default"/>
          <w:spacing w:val="-1"/>
        </w:rPr>
        <w:t>“</w:t>
      </w:r>
      <w:r>
        <w:rPr>
          <w:spacing w:val="-1"/>
        </w:rPr>
        <w:t>十二五</w:t>
      </w:r>
      <w:r>
        <w:rPr>
          <w:rFonts w:ascii="Times New Roman" w:hAnsi="Times New Roman" w:cs="Times New Roman" w:eastAsia="Times New Roman" w:hint="default"/>
          <w:spacing w:val="-1"/>
        </w:rPr>
        <w:t>”</w:t>
      </w:r>
      <w:r>
        <w:rPr>
          <w:spacing w:val="-1"/>
        </w:rPr>
        <w:t>期间，国家电网公司预计投资超过</w:t>
      </w:r>
      <w:r>
        <w:rPr>
          <w:rFonts w:ascii="Times New Roman" w:hAnsi="Times New Roman" w:cs="Times New Roman" w:eastAsia="Times New Roman" w:hint="default"/>
          <w:spacing w:val="-1"/>
        </w:rPr>
        <w:t>1.7</w:t>
      </w:r>
      <w:r>
        <w:rPr>
          <w:spacing w:val="-1"/>
        </w:rPr>
        <w:t>万亿元用于建设以特</w:t>
      </w:r>
      <w:r>
        <w:rPr/>
        <w:t> </w:t>
      </w:r>
      <w:r>
        <w:rPr>
          <w:spacing w:val="-1"/>
        </w:rPr>
        <w:t>高压电网为骨干网架、各级电网协调发展，具有信息化、自动化、互动化特征的自主创新、国际领先的智</w:t>
      </w:r>
      <w:r>
        <w:rPr>
          <w:spacing w:val="-98"/>
        </w:rPr>
        <w:t> </w:t>
      </w:r>
      <w:r>
        <w:rPr>
          <w:spacing w:val="-98"/>
        </w:rPr>
      </w:r>
      <w:r>
        <w:rPr/>
        <w:t>能电网。根据</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月召开的国家电网</w:t>
      </w:r>
      <w:r>
        <w:rPr>
          <w:rFonts w:ascii="Times New Roman" w:hAnsi="Times New Roman" w:cs="Times New Roman" w:eastAsia="Times New Roman" w:hint="default"/>
        </w:rPr>
        <w:t>2013</w:t>
      </w:r>
      <w:r>
        <w:rPr/>
        <w:t>年工作会议提出：国家电网公司</w:t>
      </w:r>
      <w:r>
        <w:rPr>
          <w:rFonts w:ascii="Times New Roman" w:hAnsi="Times New Roman" w:cs="Times New Roman" w:eastAsia="Times New Roman" w:hint="default"/>
        </w:rPr>
        <w:t>2013</w:t>
      </w:r>
      <w:r>
        <w:rPr/>
        <w:t>年将完成固定资产投资</w:t>
      </w:r>
      <w:r>
        <w:rPr>
          <w:spacing w:val="-41"/>
        </w:rPr>
        <w:t> </w:t>
      </w:r>
      <w:r>
        <w:rPr>
          <w:spacing w:val="-41"/>
        </w:rPr>
      </w:r>
      <w:r>
        <w:rPr>
          <w:rFonts w:ascii="Times New Roman" w:hAnsi="Times New Roman" w:cs="Times New Roman" w:eastAsia="Times New Roman" w:hint="default"/>
          <w:spacing w:val="-1"/>
        </w:rPr>
        <w:t>3392</w:t>
      </w:r>
      <w:r>
        <w:rPr>
          <w:spacing w:val="-1"/>
        </w:rPr>
        <w:t>亿元，其中电网投资</w:t>
      </w:r>
      <w:r>
        <w:rPr>
          <w:rFonts w:ascii="Times New Roman" w:hAnsi="Times New Roman" w:cs="Times New Roman" w:eastAsia="Times New Roman" w:hint="default"/>
          <w:spacing w:val="-1"/>
        </w:rPr>
        <w:t>3182</w:t>
      </w:r>
      <w:r>
        <w:rPr>
          <w:spacing w:val="-1"/>
        </w:rPr>
        <w:t>亿元人民币，与</w:t>
      </w:r>
      <w:r>
        <w:rPr>
          <w:rFonts w:ascii="Times New Roman" w:hAnsi="Times New Roman" w:cs="Times New Roman" w:eastAsia="Times New Roman" w:hint="default"/>
          <w:spacing w:val="-1"/>
        </w:rPr>
        <w:t>2012</w:t>
      </w:r>
      <w:r>
        <w:rPr>
          <w:spacing w:val="-1"/>
        </w:rPr>
        <w:t>年固定资产投资</w:t>
      </w:r>
      <w:r>
        <w:rPr>
          <w:rFonts w:ascii="Times New Roman" w:hAnsi="Times New Roman" w:cs="Times New Roman" w:eastAsia="Times New Roman" w:hint="default"/>
          <w:spacing w:val="-1"/>
        </w:rPr>
        <w:t>3307</w:t>
      </w:r>
      <w:r>
        <w:rPr>
          <w:spacing w:val="-1"/>
        </w:rPr>
        <w:t>亿元、电网投资</w:t>
      </w:r>
      <w:r>
        <w:rPr>
          <w:rFonts w:ascii="Times New Roman" w:hAnsi="Times New Roman" w:cs="Times New Roman" w:eastAsia="Times New Roman" w:hint="default"/>
          <w:spacing w:val="-1"/>
        </w:rPr>
        <w:t>3054</w:t>
      </w:r>
      <w:r>
        <w:rPr>
          <w:spacing w:val="-1"/>
        </w:rPr>
        <w:t>亿元相比，投</w:t>
      </w:r>
      <w:r>
        <w:rPr>
          <w:spacing w:val="-97"/>
        </w:rPr>
        <w:t> </w:t>
      </w:r>
      <w:r>
        <w:rPr>
          <w:spacing w:val="-97"/>
        </w:rPr>
      </w:r>
      <w:r>
        <w:rPr/>
        <w:t>资数额进一步增长，同时国家电网公司将其</w:t>
      </w:r>
      <w:r>
        <w:rPr>
          <w:rFonts w:ascii="Times New Roman" w:hAnsi="Times New Roman" w:cs="Times New Roman" w:eastAsia="Times New Roman" w:hint="default"/>
        </w:rPr>
        <w:t>2020</w:t>
      </w:r>
      <w:r>
        <w:rPr/>
        <w:t>年特高压输电线预期在原有目标基础上调高了</w:t>
      </w:r>
      <w:r>
        <w:rPr>
          <w:rFonts w:ascii="Times New Roman" w:hAnsi="Times New Roman" w:cs="Times New Roman" w:eastAsia="Times New Roman" w:hint="default"/>
        </w:rPr>
        <w:t>21%</w:t>
      </w:r>
      <w:r>
        <w:rPr/>
        <w:t>。</w:t>
      </w:r>
    </w:p>
    <w:p>
      <w:pPr>
        <w:pStyle w:val="BodyText"/>
        <w:spacing w:line="273" w:lineRule="auto"/>
        <w:ind w:right="0" w:firstLine="420"/>
        <w:jc w:val="left"/>
      </w:pPr>
      <w:r>
        <w:rPr/>
        <w:t>从国家电网的投资规划中可以看出特高压和智能电网投资力度将是未来国家电网投资重点，我公司产 </w:t>
      </w:r>
      <w:r>
        <w:rPr>
          <w:spacing w:val="-4"/>
        </w:rPr>
        <w:t>品曾多次在特高压和智能电网重点示范工程中标，产品技术水平和质量获得广泛认可。并且随着全国性城、</w:t>
      </w:r>
      <w:r>
        <w:rPr>
          <w:spacing w:val="-64"/>
        </w:rPr>
        <w:t> </w:t>
      </w:r>
      <w:r>
        <w:rPr>
          <w:spacing w:val="-64"/>
        </w:rPr>
      </w:r>
      <w:r>
        <w:rPr/>
        <w:t>农网改造规划全面开展，也将给公司产品带来新的发展机遇。</w:t>
      </w:r>
    </w:p>
    <w:p>
      <w:pPr>
        <w:pStyle w:val="BodyText"/>
        <w:spacing w:line="271" w:lineRule="auto" w:before="7"/>
        <w:ind w:right="209" w:firstLine="420"/>
        <w:jc w:val="both"/>
      </w:pPr>
      <w:r>
        <w:rPr/>
        <w:t>目前国内生产镀层钢丝、钢绞线的厂家有近百家，其中大部分企业年产量在</w:t>
      </w:r>
      <w:r>
        <w:rPr>
          <w:rFonts w:ascii="Times New Roman" w:hAnsi="Times New Roman" w:cs="Times New Roman" w:eastAsia="Times New Roman" w:hint="default"/>
        </w:rPr>
        <w:t>0.1</w:t>
      </w:r>
      <w:r>
        <w:rPr/>
        <w:t>－</w:t>
      </w:r>
      <w:r>
        <w:rPr>
          <w:rFonts w:ascii="Times New Roman" w:hAnsi="Times New Roman" w:cs="Times New Roman" w:eastAsia="Times New Roman" w:hint="default"/>
        </w:rPr>
        <w:t>0.5</w:t>
      </w:r>
      <w:r>
        <w:rPr/>
        <w:t>万吨，这些企业 </w:t>
      </w:r>
      <w:r>
        <w:rPr>
          <w:spacing w:val="-1"/>
        </w:rPr>
        <w:t>技术水平低、工艺装备差、生产规模小、产品质量不稳定，仅作为固定、拴系等一般性用途，不能满足国</w:t>
      </w:r>
      <w:r>
        <w:rPr>
          <w:spacing w:val="-102"/>
        </w:rPr>
        <w:t> </w:t>
      </w:r>
      <w:r>
        <w:rPr>
          <w:spacing w:val="-102"/>
        </w:rPr>
      </w:r>
      <w:r>
        <w:rPr>
          <w:spacing w:val="-1"/>
        </w:rPr>
        <w:t>家重点行业或重点工程对产品防腐性能、质量和服务等方面的高要求。在涉及国民经济安全运行等应用领</w:t>
      </w:r>
      <w:r>
        <w:rPr>
          <w:spacing w:val="-101"/>
        </w:rPr>
        <w:t> </w:t>
      </w:r>
      <w:r>
        <w:rPr>
          <w:spacing w:val="-101"/>
        </w:rPr>
      </w:r>
      <w:r>
        <w:rPr>
          <w:spacing w:val="-1"/>
        </w:rPr>
        <w:t>域，如电力电网的建设中，在工程设计和招标采购时，对投标人都有严格的资格认证。本公司作为国内第</w:t>
      </w:r>
      <w:r>
        <w:rPr>
          <w:spacing w:val="-97"/>
        </w:rPr>
        <w:t> </w:t>
      </w:r>
      <w:r>
        <w:rPr>
          <w:spacing w:val="-97"/>
        </w:rPr>
      </w:r>
      <w:r>
        <w:rPr>
          <w:spacing w:val="-1"/>
        </w:rPr>
        <w:t>一家自主研发生产新一代稀土镀层防腐材料的企业，稀土合金镀层钢丝、钢绞线系列产品通过了国家级的</w:t>
      </w:r>
      <w:r>
        <w:rPr/>
        <w:t> </w:t>
      </w:r>
      <w:r>
        <w:rPr>
          <w:spacing w:val="-1"/>
        </w:rPr>
        <w:t>产品技术鉴定，并被列入国家级重点新产品项目计划和原国家科委的国家科技成果重点推广项目计划。公</w:t>
      </w:r>
      <w:r>
        <w:rPr>
          <w:spacing w:val="-102"/>
        </w:rPr>
        <w:t> </w:t>
      </w:r>
      <w:r>
        <w:rPr>
          <w:spacing w:val="-102"/>
        </w:rPr>
      </w:r>
      <w:r>
        <w:rPr>
          <w:spacing w:val="-1"/>
        </w:rPr>
        <w:t>司作为行业标准的主持制定者与参与者，本公司生产的多种稀土合金镀层产品不仅能够满足电力电网工程</w:t>
      </w:r>
      <w:r>
        <w:rPr/>
        <w:t> </w:t>
      </w:r>
      <w:r>
        <w:rPr>
          <w:spacing w:val="-1"/>
        </w:rPr>
        <w:t>建设的要求，而且还用于替代进口，获得了市场高端用户的认可，成为国家电网公司、南方电网公司的重</w:t>
      </w:r>
      <w:r>
        <w:rPr>
          <w:spacing w:val="-96"/>
        </w:rPr>
        <w:t> </w:t>
      </w:r>
      <w:r>
        <w:rPr>
          <w:spacing w:val="-96"/>
        </w:rPr>
      </w:r>
      <w:r>
        <w:rPr/>
        <w:t>要合作伙伴。</w:t>
      </w:r>
    </w:p>
    <w:p>
      <w:pPr>
        <w:pStyle w:val="BodyText"/>
        <w:spacing w:line="256" w:lineRule="auto" w:before="10"/>
        <w:ind w:left="532"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PC</w:t>
      </w:r>
      <w:r>
        <w:rPr/>
        <w:t>钢绞线产品 公司</w:t>
      </w:r>
      <w:r>
        <w:rPr>
          <w:rFonts w:ascii="Times New Roman" w:hAnsi="Times New Roman" w:cs="Times New Roman" w:eastAsia="Times New Roman" w:hint="default"/>
        </w:rPr>
        <w:t>2011</w:t>
      </w:r>
      <w:r>
        <w:rPr/>
        <w:t>年度上马的新产品</w:t>
      </w:r>
      <w:r>
        <w:rPr>
          <w:rFonts w:ascii="Times New Roman" w:hAnsi="Times New Roman" w:cs="Times New Roman" w:eastAsia="Times New Roman" w:hint="default"/>
        </w:rPr>
        <w:t>PC</w:t>
      </w:r>
      <w:r>
        <w:rPr/>
        <w:t>钢绞线主要应用于水利、铁路、桥梁、地铁、机场等基础建设。</w:t>
      </w:r>
      <w:r>
        <w:rPr>
          <w:rFonts w:ascii="Times New Roman" w:hAnsi="Times New Roman" w:cs="Times New Roman" w:eastAsia="Times New Roman" w:hint="default"/>
        </w:rPr>
        <w:t>“</w:t>
      </w:r>
      <w:r>
        <w:rPr/>
        <w:t>十二</w:t>
      </w:r>
    </w:p>
    <w:p>
      <w:pPr>
        <w:pStyle w:val="BodyText"/>
        <w:spacing w:line="266" w:lineRule="auto" w:before="5"/>
        <w:ind w:right="209"/>
        <w:jc w:val="both"/>
      </w:pPr>
      <w:r>
        <w:rPr/>
        <w:t>五</w:t>
      </w:r>
      <w:r>
        <w:rPr>
          <w:rFonts w:ascii="Times New Roman" w:hAnsi="Times New Roman" w:cs="Times New Roman" w:eastAsia="Times New Roman" w:hint="default"/>
        </w:rPr>
        <w:t>”</w:t>
      </w:r>
      <w:r>
        <w:rPr/>
        <w:t>期间，全社会固定资产投资规模预计仍将较快增长，包括铁路、公路、交通、能源、电网等国家建设</w:t>
      </w:r>
      <w:r>
        <w:rPr>
          <w:spacing w:val="-28"/>
        </w:rPr>
        <w:t> </w:t>
      </w:r>
      <w:r>
        <w:rPr>
          <w:spacing w:val="-28"/>
        </w:rPr>
      </w:r>
      <w:r>
        <w:rPr>
          <w:spacing w:val="-1"/>
        </w:rPr>
        <w:t>项目和地方建设项目仍然是主要投资方向，此外，产业结构调整和增长方式转变以及战略性新兴产业的快</w:t>
      </w:r>
      <w:r>
        <w:rPr/>
        <w:t> </w:t>
      </w:r>
      <w:r>
        <w:rPr>
          <w:spacing w:val="-1"/>
        </w:rPr>
        <w:t>速发展、西部大开发、振兴东北、中部崛起和建设新疆等国家战略的进一步实施，必将为公司所处的金属</w:t>
      </w:r>
      <w:r>
        <w:rPr>
          <w:spacing w:val="-97"/>
        </w:rPr>
        <w:t> </w:t>
      </w:r>
      <w:r>
        <w:rPr>
          <w:spacing w:val="-97"/>
        </w:rPr>
      </w:r>
      <w:r>
        <w:rPr/>
        <w:t>制品行业创造良好的宏观经济环境，公司新产品</w:t>
      </w:r>
      <w:r>
        <w:rPr>
          <w:rFonts w:ascii="Times New Roman" w:hAnsi="Times New Roman" w:cs="Times New Roman" w:eastAsia="Times New Roman" w:hint="default"/>
        </w:rPr>
        <w:t>PC</w:t>
      </w:r>
      <w:r>
        <w:rPr/>
        <w:t>钢绞线也将随之受益。</w:t>
      </w:r>
    </w:p>
    <w:p>
      <w:pPr>
        <w:spacing w:line="240" w:lineRule="auto" w:before="7"/>
        <w:rPr>
          <w:rFonts w:ascii="宋体" w:hAnsi="宋体" w:cs="宋体" w:eastAsia="宋体" w:hint="default"/>
          <w:sz w:val="23"/>
          <w:szCs w:val="23"/>
        </w:rPr>
      </w:pPr>
    </w:p>
    <w:p>
      <w:pPr>
        <w:pStyle w:val="BodyText"/>
        <w:spacing w:line="256" w:lineRule="auto"/>
        <w:ind w:left="532" w:right="197"/>
        <w:jc w:val="left"/>
      </w:pPr>
      <w:r>
        <w:rPr>
          <w:rFonts w:ascii="Times New Roman" w:hAnsi="Times New Roman" w:cs="Times New Roman" w:eastAsia="Times New Roman" w:hint="default"/>
        </w:rPr>
        <w:t>2</w:t>
      </w:r>
      <w:r>
        <w:rPr/>
        <w:t>、发展战略 在未来的经营中，公司将紧紧围绕电力行业和基建行业</w:t>
      </w:r>
      <w:r>
        <w:rPr>
          <w:rFonts w:ascii="Times New Roman" w:hAnsi="Times New Roman" w:cs="Times New Roman" w:eastAsia="Times New Roman" w:hint="default"/>
        </w:rPr>
        <w:t>“</w:t>
      </w:r>
      <w:r>
        <w:rPr/>
        <w:t>十二五规划</w:t>
      </w:r>
      <w:r>
        <w:rPr>
          <w:rFonts w:ascii="Times New Roman" w:hAnsi="Times New Roman" w:cs="Times New Roman" w:eastAsia="Times New Roman" w:hint="default"/>
        </w:rPr>
        <w:t>”</w:t>
      </w:r>
      <w:r>
        <w:rPr/>
        <w:t>为金属制品行业带来的机遇，继</w:t>
      </w:r>
    </w:p>
    <w:p>
      <w:pPr>
        <w:pStyle w:val="BodyText"/>
        <w:spacing w:line="273" w:lineRule="auto" w:before="5"/>
        <w:ind w:right="209"/>
        <w:jc w:val="both"/>
      </w:pPr>
      <w:r>
        <w:rPr>
          <w:spacing w:val="-1"/>
        </w:rPr>
        <w:t>续稳固国内市场地位，大力实施国际化战略，扩大产能和销量，不断扩大公司在国内和国际上的影响力和</w:t>
      </w:r>
      <w:r>
        <w:rPr>
          <w:spacing w:val="-98"/>
        </w:rPr>
        <w:t> </w:t>
      </w:r>
      <w:r>
        <w:rPr>
          <w:spacing w:val="-98"/>
        </w:rPr>
      </w:r>
      <w:r>
        <w:rPr/>
        <w:t>占有率，将公司做大做强。</w:t>
      </w:r>
    </w:p>
    <w:p>
      <w:pPr>
        <w:pStyle w:val="BodyText"/>
        <w:spacing w:line="273" w:lineRule="auto" w:before="7"/>
        <w:ind w:right="0" w:firstLine="420"/>
        <w:jc w:val="left"/>
      </w:pPr>
      <w:r>
        <w:rPr>
          <w:spacing w:val="-1"/>
        </w:rPr>
        <w:t>同时公司作为国家级高新技术企业，将继续加大研发投入和市场调研，以现有稀土镀层技术为核心，</w:t>
      </w:r>
      <w:r>
        <w:rPr/>
        <w:t> 抓住市场机遇，拓宽应用领域，不断取得更好更快的发展。</w:t>
      </w:r>
    </w:p>
    <w:p>
      <w:pPr>
        <w:spacing w:line="240" w:lineRule="auto" w:before="6"/>
        <w:rPr>
          <w:rFonts w:ascii="宋体" w:hAnsi="宋体" w:cs="宋体" w:eastAsia="宋体" w:hint="default"/>
          <w:sz w:val="24"/>
          <w:szCs w:val="24"/>
        </w:rPr>
      </w:pPr>
    </w:p>
    <w:p>
      <w:pPr>
        <w:pStyle w:val="BodyText"/>
        <w:spacing w:line="256" w:lineRule="auto"/>
        <w:ind w:left="532"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2013</w:t>
      </w:r>
      <w:r>
        <w:rPr/>
        <w:t>年公司经营计划 </w:t>
      </w:r>
      <w:r>
        <w:rPr>
          <w:spacing w:val="-1"/>
        </w:rPr>
        <w:t>公司将继续稳中求进，聚集核心竞争力，提升经济增长的质量和效益，稳健投资决策和发展步伐，坚</w:t>
      </w:r>
    </w:p>
    <w:p>
      <w:pPr>
        <w:pStyle w:val="BodyText"/>
        <w:spacing w:line="240" w:lineRule="auto" w:before="22"/>
        <w:ind w:right="0"/>
        <w:jc w:val="both"/>
      </w:pPr>
      <w:r>
        <w:rPr/>
        <w:t>持创新理念，提高公司发展的全面性、协调性和可持续性。</w:t>
      </w:r>
    </w:p>
    <w:p>
      <w:pPr>
        <w:pStyle w:val="BodyText"/>
        <w:spacing w:line="240" w:lineRule="auto" w:before="37"/>
        <w:ind w:left="532" w:right="0"/>
        <w:jc w:val="left"/>
      </w:pPr>
      <w:r>
        <w:rPr/>
        <w:t>①立足主业，巩固优势，促进转型升级</w:t>
      </w:r>
    </w:p>
    <w:p>
      <w:pPr>
        <w:spacing w:after="0" w:line="240" w:lineRule="auto"/>
        <w:jc w:val="left"/>
        <w:sectPr>
          <w:pgSz w:w="11910" w:h="16840"/>
          <w:pgMar w:header="746" w:footer="978" w:top="1060" w:bottom="1160" w:left="1020" w:right="920"/>
        </w:sectPr>
      </w:pPr>
    </w:p>
    <w:p>
      <w:pPr>
        <w:spacing w:line="240" w:lineRule="auto" w:before="9"/>
        <w:rPr>
          <w:rFonts w:ascii="宋体" w:hAnsi="宋体" w:cs="宋体" w:eastAsia="宋体" w:hint="default"/>
          <w:sz w:val="24"/>
          <w:szCs w:val="24"/>
        </w:rPr>
      </w:pPr>
    </w:p>
    <w:p>
      <w:pPr>
        <w:pStyle w:val="BodyText"/>
        <w:spacing w:line="256" w:lineRule="auto" w:before="35"/>
        <w:ind w:right="191" w:firstLine="420"/>
        <w:jc w:val="both"/>
      </w:pPr>
      <w:r>
        <w:rPr>
          <w:spacing w:val="-1"/>
        </w:rPr>
        <w:t>公司在</w:t>
      </w:r>
      <w:r>
        <w:rPr>
          <w:rFonts w:ascii="Times New Roman" w:hAnsi="Times New Roman" w:cs="Times New Roman" w:eastAsia="Times New Roman" w:hint="default"/>
          <w:spacing w:val="-1"/>
        </w:rPr>
        <w:t>2012</w:t>
      </w:r>
      <w:r>
        <w:rPr>
          <w:spacing w:val="-1"/>
        </w:rPr>
        <w:t>年的基础上，要重点抓好各分支机构产能发挥，做精做优金属制品主业，巩固现有优势，</w:t>
      </w:r>
      <w:r>
        <w:rPr/>
        <w:t> 促进产品转型升级，推进公司健康发展。</w:t>
      </w:r>
    </w:p>
    <w:p>
      <w:pPr>
        <w:pStyle w:val="BodyText"/>
        <w:spacing w:line="273" w:lineRule="auto" w:before="22"/>
        <w:ind w:left="532" w:right="0"/>
        <w:jc w:val="left"/>
      </w:pPr>
      <w:r>
        <w:rPr/>
        <w:t>②推进技术进步，增强创新能力 </w:t>
      </w:r>
      <w:r>
        <w:rPr>
          <w:spacing w:val="-1"/>
        </w:rPr>
        <w:t>公司仍然要坚持科技创新的发展战略定位，突出核心技术的形成和非核心技术的改进提升。</w:t>
      </w:r>
      <w:r>
        <w:rPr>
          <w:rFonts w:ascii="Times New Roman" w:hAnsi="Times New Roman" w:cs="Times New Roman" w:eastAsia="Times New Roman" w:hint="default"/>
          <w:spacing w:val="-1"/>
        </w:rPr>
        <w:t>2013</w:t>
      </w:r>
      <w:r>
        <w:rPr>
          <w:spacing w:val="-1"/>
        </w:rPr>
        <w:t>年要</w:t>
      </w:r>
    </w:p>
    <w:p>
      <w:pPr>
        <w:pStyle w:val="BodyText"/>
        <w:spacing w:line="273" w:lineRule="auto"/>
        <w:ind w:right="0"/>
        <w:jc w:val="left"/>
      </w:pPr>
      <w:r>
        <w:rPr>
          <w:spacing w:val="-1"/>
        </w:rPr>
        <w:t>积极推进科技创新服务于公司产品结构的能力，进一步加强生产运营过程工艺优化和成本优化，加大技改</w:t>
      </w:r>
      <w:r>
        <w:rPr/>
        <w:t> 投入，提升产品市场竞争力，提高经济运行质量。</w:t>
      </w:r>
    </w:p>
    <w:p>
      <w:pPr>
        <w:pStyle w:val="BodyText"/>
        <w:spacing w:line="273" w:lineRule="auto" w:before="7"/>
        <w:ind w:left="532" w:right="0"/>
        <w:jc w:val="left"/>
      </w:pPr>
      <w:r>
        <w:rPr/>
        <w:t>③拓宽市场销售渠道，加大营销力度 </w:t>
      </w:r>
      <w:r>
        <w:rPr>
          <w:spacing w:val="-1"/>
        </w:rPr>
        <w:t>面对严峻的市场形势，把握市场行情，抓住机遇，及时调整营销策略，整合资源，增强渠道控制力，</w:t>
      </w:r>
    </w:p>
    <w:p>
      <w:pPr>
        <w:pStyle w:val="BodyText"/>
        <w:spacing w:line="273" w:lineRule="auto" w:before="7"/>
        <w:ind w:right="0"/>
        <w:jc w:val="left"/>
      </w:pPr>
      <w:r>
        <w:rPr>
          <w:spacing w:val="-1"/>
        </w:rPr>
        <w:t>提高产品销量。公司将结合国家加大重点电网建设、城镇化建设、农网改造建设等发展契机，以及外贸市</w:t>
      </w:r>
      <w:r>
        <w:rPr>
          <w:spacing w:val="-100"/>
        </w:rPr>
        <w:t> </w:t>
      </w:r>
      <w:r>
        <w:rPr>
          <w:spacing w:val="-100"/>
        </w:rPr>
      </w:r>
      <w:r>
        <w:rPr/>
        <w:t>场的发展需要，稳步提高公司的销售市场，扩大产品的销售领域。</w:t>
      </w:r>
    </w:p>
    <w:p>
      <w:pPr>
        <w:pStyle w:val="BodyText"/>
        <w:spacing w:line="273" w:lineRule="auto" w:before="7"/>
        <w:ind w:left="532" w:right="0"/>
        <w:jc w:val="left"/>
      </w:pPr>
      <w:r>
        <w:rPr/>
        <w:t>④落实内控制度，提高管理效益 </w:t>
      </w:r>
      <w:r>
        <w:rPr>
          <w:spacing w:val="-1"/>
        </w:rPr>
        <w:t>继续积极稳妥推进以源头治理和过程控制为核心的企业内控体系，健全和完善公司管控制度，全面提</w:t>
      </w:r>
    </w:p>
    <w:p>
      <w:pPr>
        <w:pStyle w:val="BodyText"/>
        <w:spacing w:line="240" w:lineRule="auto" w:before="7"/>
        <w:ind w:right="0"/>
        <w:jc w:val="left"/>
      </w:pPr>
      <w:r>
        <w:rPr/>
        <w:t>升公司管理水平，强化风险防范能力，促进战略发展目标的实现。</w:t>
      </w:r>
    </w:p>
    <w:p>
      <w:pPr>
        <w:pStyle w:val="BodyText"/>
        <w:spacing w:line="273" w:lineRule="auto" w:before="37"/>
        <w:ind w:left="532" w:right="0"/>
        <w:jc w:val="left"/>
      </w:pPr>
      <w:r>
        <w:rPr/>
        <w:t>⑤继续抓好员工队伍建设，强调技能员工的重要性 </w:t>
      </w:r>
      <w:r>
        <w:rPr>
          <w:spacing w:val="-1"/>
        </w:rPr>
        <w:t>队伍建设向来是公司管理工作的重点。</w:t>
      </w:r>
      <w:r>
        <w:rPr>
          <w:rFonts w:ascii="Times New Roman" w:hAnsi="Times New Roman" w:cs="Times New Roman" w:eastAsia="Times New Roman" w:hint="default"/>
          <w:spacing w:val="-1"/>
        </w:rPr>
        <w:t>2013</w:t>
      </w:r>
      <w:r>
        <w:rPr>
          <w:spacing w:val="-1"/>
        </w:rPr>
        <w:t>年，要继续稳定员工队伍，坚持以人为本，坚定不移地走</w:t>
      </w:r>
    </w:p>
    <w:p>
      <w:pPr>
        <w:pStyle w:val="BodyText"/>
        <w:spacing w:line="273" w:lineRule="auto"/>
        <w:ind w:right="0"/>
        <w:jc w:val="left"/>
      </w:pPr>
      <w:r>
        <w:rPr/>
        <w:t>人才强企之路，持续推进经营管理人才、专业技术人才队伍建设，尤其加强管理队伍、研发队伍和生产骨 </w:t>
      </w:r>
      <w:r>
        <w:rPr>
          <w:spacing w:val="-4"/>
        </w:rPr>
        <w:t>干队伍的建设。推进岗位技能培训和员工转岗培训，建立改善职工生活、生产环境和劳动强度的长效机制。</w:t>
      </w:r>
    </w:p>
    <w:p>
      <w:pPr>
        <w:spacing w:line="240" w:lineRule="auto" w:before="6"/>
        <w:rPr>
          <w:rFonts w:ascii="宋体" w:hAnsi="宋体" w:cs="宋体" w:eastAsia="宋体" w:hint="default"/>
          <w:sz w:val="24"/>
          <w:szCs w:val="24"/>
        </w:rPr>
      </w:pPr>
    </w:p>
    <w:p>
      <w:pPr>
        <w:pStyle w:val="BodyText"/>
        <w:spacing w:line="256" w:lineRule="auto"/>
        <w:ind w:left="532" w:right="0"/>
        <w:jc w:val="left"/>
      </w:pPr>
      <w:r>
        <w:rPr>
          <w:rFonts w:ascii="Times New Roman" w:hAnsi="Times New Roman" w:cs="Times New Roman" w:eastAsia="Times New Roman" w:hint="default"/>
        </w:rPr>
        <w:t>4</w:t>
      </w:r>
      <w:r>
        <w:rPr/>
        <w:t>、可能面对的风险 </w:t>
      </w:r>
      <w:r>
        <w:rPr>
          <w:spacing w:val="-1"/>
        </w:rPr>
        <w:t>公司面对的业务风险，包括日常业务过程中的政策风险、经营风险、汇率风险、财务风险。</w:t>
      </w:r>
    </w:p>
    <w:p>
      <w:pPr>
        <w:pStyle w:val="BodyText"/>
        <w:spacing w:line="273" w:lineRule="auto" w:before="22"/>
        <w:ind w:right="211" w:firstLine="420"/>
        <w:jc w:val="both"/>
      </w:pPr>
      <w:r>
        <w:rPr>
          <w:spacing w:val="-1"/>
        </w:rPr>
        <w:t>①政策风险：由于公司最终客户主要是国家电网，虽然近年国家电网投资逐年加大，但仍存在投资政</w:t>
      </w:r>
      <w:r>
        <w:rPr/>
        <w:t> 策变动风险。</w:t>
      </w:r>
    </w:p>
    <w:p>
      <w:pPr>
        <w:pStyle w:val="BodyText"/>
        <w:spacing w:line="240" w:lineRule="auto" w:before="7"/>
        <w:ind w:left="532" w:right="0"/>
        <w:jc w:val="left"/>
      </w:pPr>
      <w:r>
        <w:rPr>
          <w:spacing w:val="-4"/>
        </w:rPr>
        <w:t>②经营风险：公司产品受市场原材料价格波动影响，从而导致对成本的准确控制存在一定的经营风险。</w:t>
      </w:r>
    </w:p>
    <w:p>
      <w:pPr>
        <w:pStyle w:val="BodyText"/>
        <w:spacing w:line="273" w:lineRule="auto" w:before="37"/>
        <w:ind w:right="209" w:firstLine="420"/>
        <w:jc w:val="both"/>
      </w:pPr>
      <w:r>
        <w:rPr>
          <w:spacing w:val="-1"/>
        </w:rPr>
        <w:t>③汇率风险：公司自营进出口业务，公司出口产品交易结算货币主要为美元、欧元。公司的记账本位</w:t>
      </w:r>
      <w:r>
        <w:rPr/>
        <w:t> </w:t>
      </w:r>
      <w:r>
        <w:rPr>
          <w:spacing w:val="-1"/>
        </w:rPr>
        <w:t>币为人民币，随着公司海外业务规模不断扩大，外汇收入增加，如果国家的外汇政策发生变化，或人民币</w:t>
      </w:r>
      <w:r>
        <w:rPr>
          <w:spacing w:val="-96"/>
        </w:rPr>
        <w:t> </w:t>
      </w:r>
      <w:r>
        <w:rPr>
          <w:spacing w:val="-96"/>
        </w:rPr>
      </w:r>
      <w:r>
        <w:rPr>
          <w:spacing w:val="-1"/>
        </w:rPr>
        <w:t>汇率水平发生较大波动，将会对公司的收入构成影响。但在公司主要业务集中在国内的情况下，汇率风险</w:t>
      </w:r>
      <w:r>
        <w:rPr>
          <w:spacing w:val="-98"/>
        </w:rPr>
        <w:t> </w:t>
      </w:r>
      <w:r>
        <w:rPr>
          <w:spacing w:val="-98"/>
        </w:rPr>
      </w:r>
      <w:r>
        <w:rPr/>
        <w:t>对公司影响有限。</w:t>
      </w:r>
    </w:p>
    <w:p>
      <w:pPr>
        <w:pStyle w:val="BodyText"/>
        <w:spacing w:line="240" w:lineRule="auto" w:before="7"/>
        <w:ind w:left="532" w:right="0"/>
        <w:jc w:val="left"/>
      </w:pPr>
      <w:r>
        <w:rPr/>
        <w:t>④财务风险：客户延迟付款可能影响公司的营运资金和现金流量。</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八、董事会对会计师事务所本报告期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九、与上年度财务报告相比，会计政策、会计估计和核算方法发生变化的情况说明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十一、与上年度财务报告相比，合并报表范围发生变化的情况说明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6" w:footer="978" w:top="1060" w:bottom="1160" w:left="1020" w:right="92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十二、公司利润分配及分红派息情况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报告期内利润分配政策特别是现金分红政策的制定、执行或调整情况</w:t>
      </w:r>
    </w:p>
    <w:p>
      <w:pPr>
        <w:pStyle w:val="BodyText"/>
        <w:spacing w:line="264" w:lineRule="auto" w:before="92"/>
        <w:ind w:right="102" w:firstLine="420"/>
        <w:jc w:val="both"/>
      </w:pPr>
      <w:r>
        <w:rPr>
          <w:spacing w:val="-1"/>
        </w:rPr>
        <w:t>根据中国证监会《关于进一步落实上市公司现金分红有关事项的通知》（证监发〔</w:t>
      </w:r>
      <w:r>
        <w:rPr>
          <w:rFonts w:ascii="Times New Roman" w:hAnsi="Times New Roman" w:cs="Times New Roman" w:eastAsia="Times New Roman" w:hint="default"/>
          <w:spacing w:val="-1"/>
        </w:rPr>
        <w:t>2012</w:t>
      </w:r>
      <w:r>
        <w:rPr>
          <w:spacing w:val="-1"/>
        </w:rPr>
        <w:t>〕</w:t>
      </w:r>
      <w:r>
        <w:rPr>
          <w:rFonts w:ascii="Times New Roman" w:hAnsi="Times New Roman" w:cs="Times New Roman" w:eastAsia="Times New Roman" w:hint="default"/>
          <w:spacing w:val="-1"/>
        </w:rPr>
        <w:t>37</w:t>
      </w:r>
      <w:r>
        <w:rPr>
          <w:spacing w:val="-1"/>
        </w:rPr>
        <w:t>号）及安</w:t>
      </w:r>
      <w:r>
        <w:rPr/>
        <w:t> </w:t>
      </w:r>
      <w:r>
        <w:rPr>
          <w:spacing w:val="-1"/>
        </w:rPr>
        <w:t>徽证监局有关文件的规定和要求，结合公司实际情况，对《公司章程》中涉及利润分配事项的部分条款进</w:t>
      </w:r>
      <w:r>
        <w:rPr>
          <w:spacing w:val="-101"/>
        </w:rPr>
        <w:t> </w:t>
      </w:r>
      <w:r>
        <w:rPr>
          <w:spacing w:val="-101"/>
        </w:rPr>
      </w:r>
      <w:r>
        <w:rPr>
          <w:spacing w:val="-1"/>
        </w:rPr>
        <w:t>行了修订，进一步明确了现金分红的决策程序和机制、现金分红条件、现金分红比例、充分听取独立董事</w:t>
      </w:r>
      <w:r>
        <w:rPr>
          <w:spacing w:val="-96"/>
        </w:rPr>
        <w:t> </w:t>
      </w:r>
      <w:r>
        <w:rPr>
          <w:spacing w:val="-96"/>
        </w:rPr>
      </w:r>
      <w:r>
        <w:rPr>
          <w:spacing w:val="-1"/>
        </w:rPr>
        <w:t>和中小股东关于利润分配意见的具体保障措施、现金分红政策调整的条件等内容，并经</w:t>
      </w:r>
      <w:r>
        <w:rPr>
          <w:rFonts w:ascii="Times New Roman" w:hAnsi="Times New Roman" w:cs="Times New Roman" w:eastAsia="Times New Roman" w:hint="default"/>
          <w:spacing w:val="-1"/>
        </w:rPr>
        <w:t>2012</w:t>
      </w:r>
      <w:r>
        <w:rPr>
          <w:spacing w:val="-1"/>
        </w:rPr>
        <w:t>年第一次临时</w:t>
      </w:r>
      <w:r>
        <w:rPr>
          <w:spacing w:val="-103"/>
        </w:rPr>
        <w:t> </w:t>
      </w:r>
      <w:r>
        <w:rPr>
          <w:spacing w:val="-103"/>
        </w:rPr>
      </w:r>
      <w:r>
        <w:rPr>
          <w:spacing w:val="-1"/>
        </w:rPr>
        <w:t>股东大会审议通过。具体内容详见</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15</w:t>
      </w:r>
      <w:r>
        <w:rPr>
          <w:spacing w:val="-1"/>
        </w:rPr>
        <w:t>日公司在巨潮资讯网（</w:t>
      </w:r>
      <w:hyperlink r:id="rId17">
        <w:r>
          <w:rPr>
            <w:rFonts w:ascii="Times New Roman" w:hAnsi="Times New Roman" w:cs="Times New Roman" w:eastAsia="Times New Roman" w:hint="default"/>
            <w:spacing w:val="-1"/>
          </w:rPr>
          <w:t>http://www.cninfo.com.cn</w:t>
        </w:r>
      </w:hyperlink>
      <w:r>
        <w:rPr>
          <w:spacing w:val="-1"/>
        </w:rPr>
        <w:t>）上相关信</w:t>
      </w:r>
      <w:r>
        <w:rPr>
          <w:spacing w:val="-89"/>
        </w:rPr>
        <w:t> </w:t>
      </w:r>
      <w:r>
        <w:rPr>
          <w:spacing w:val="-89"/>
        </w:rPr>
      </w:r>
      <w:r>
        <w:rPr/>
        <w:t>息披露。</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本年度利润分配及资本公积金转增股本预案</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717"/>
        <w:gridCol w:w="5851"/>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77,830,780.00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89"/>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7,783,078.00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34,525,727.74</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6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39"/>
              <w:jc w:val="left"/>
              <w:rPr>
                <w:rFonts w:ascii="宋体" w:hAnsi="宋体" w:cs="宋体" w:eastAsia="宋体" w:hint="default"/>
                <w:sz w:val="18"/>
                <w:szCs w:val="18"/>
              </w:rPr>
            </w:pPr>
            <w:r>
              <w:rPr>
                <w:rFonts w:ascii="宋体" w:hAnsi="宋体" w:cs="宋体" w:eastAsia="宋体" w:hint="default"/>
                <w:sz w:val="18"/>
                <w:szCs w:val="18"/>
              </w:rPr>
              <w:t>拟以</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日的股本总数</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77,830,780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为基数，拟按每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股派发现金红利</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元（含税），共分配现金股利人民</w:t>
            </w:r>
            <w:r>
              <w:rPr>
                <w:rFonts w:ascii="宋体" w:hAnsi="宋体" w:cs="宋体" w:eastAsia="宋体" w:hint="default"/>
                <w:sz w:val="18"/>
                <w:szCs w:val="18"/>
              </w:rPr>
              <w:t> 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7,783,078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元，剩余未分配利润结转以后年度分配。本年度不进行公积金转增股本。</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年（含报告期）的利润分配方案及资本公积金转增股本方案情况</w:t>
      </w:r>
    </w:p>
    <w:p>
      <w:pPr>
        <w:pStyle w:val="BodyText"/>
        <w:spacing w:line="264" w:lineRule="auto" w:before="78"/>
        <w:ind w:right="0"/>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2010</w:t>
      </w:r>
      <w:r>
        <w:rPr>
          <w:spacing w:val="-2"/>
        </w:rPr>
        <w:t>年半年度利润分配方案：以公司现有总股本</w:t>
      </w:r>
      <w:r>
        <w:rPr>
          <w:rFonts w:ascii="Times New Roman" w:hAnsi="Times New Roman" w:cs="Times New Roman" w:eastAsia="Times New Roman" w:hint="default"/>
          <w:spacing w:val="-2"/>
        </w:rPr>
        <w:t>77,830,780</w:t>
      </w:r>
      <w:r>
        <w:rPr>
          <w:spacing w:val="-2"/>
        </w:rPr>
        <w:t>股为基数，向全体股东每</w:t>
      </w:r>
      <w:r>
        <w:rPr>
          <w:rFonts w:ascii="Times New Roman" w:hAnsi="Times New Roman" w:cs="Times New Roman" w:eastAsia="Times New Roman" w:hint="default"/>
          <w:spacing w:val="-2"/>
        </w:rPr>
        <w:t>10</w:t>
      </w:r>
      <w:r>
        <w:rPr>
          <w:spacing w:val="-2"/>
        </w:rPr>
        <w:t>股派</w:t>
      </w:r>
      <w:r>
        <w:rPr>
          <w:rFonts w:ascii="Times New Roman" w:hAnsi="Times New Roman" w:cs="Times New Roman" w:eastAsia="Times New Roman" w:hint="default"/>
          <w:spacing w:val="-2"/>
        </w:rPr>
        <w:t>2.0</w:t>
      </w:r>
      <w:r>
        <w:rPr>
          <w:spacing w:val="-2"/>
        </w:rPr>
        <w:t>元人民币</w:t>
      </w:r>
      <w:r>
        <w:rPr>
          <w:spacing w:val="-89"/>
        </w:rPr>
        <w:t> </w:t>
      </w:r>
      <w:r>
        <w:rPr>
          <w:spacing w:val="-89"/>
        </w:rPr>
      </w:r>
      <w:r>
        <w:rPr/>
        <w:t>现金（含税）；本次不进行公积金转增股本。</w:t>
      </w:r>
      <w:r>
        <w:rPr/>
        <w:t> </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2010</w:t>
      </w:r>
      <w:r>
        <w:rPr>
          <w:spacing w:val="-2"/>
        </w:rPr>
        <w:t>年年度利润分配方案：以公司现有总股本</w:t>
      </w:r>
      <w:r>
        <w:rPr>
          <w:rFonts w:ascii="Times New Roman" w:hAnsi="Times New Roman" w:cs="Times New Roman" w:eastAsia="Times New Roman" w:hint="default"/>
          <w:spacing w:val="-2"/>
        </w:rPr>
        <w:t>77,830,780</w:t>
      </w:r>
      <w:r>
        <w:rPr>
          <w:spacing w:val="-2"/>
        </w:rPr>
        <w:t>股为基数，向全体股东每</w:t>
      </w:r>
      <w:r>
        <w:rPr>
          <w:rFonts w:ascii="Times New Roman" w:hAnsi="Times New Roman" w:cs="Times New Roman" w:eastAsia="Times New Roman" w:hint="default"/>
          <w:spacing w:val="-2"/>
        </w:rPr>
        <w:t>10</w:t>
      </w:r>
      <w:r>
        <w:rPr>
          <w:spacing w:val="-2"/>
        </w:rPr>
        <w:t>股派</w:t>
      </w:r>
      <w:r>
        <w:rPr>
          <w:rFonts w:ascii="Times New Roman" w:hAnsi="Times New Roman" w:cs="Times New Roman" w:eastAsia="Times New Roman" w:hint="default"/>
          <w:spacing w:val="-2"/>
        </w:rPr>
        <w:t>5.0</w:t>
      </w:r>
      <w:r>
        <w:rPr>
          <w:spacing w:val="-2"/>
        </w:rPr>
        <w:t>元人民币现</w:t>
      </w:r>
      <w:r>
        <w:rPr>
          <w:spacing w:val="-91"/>
        </w:rPr>
        <w:t> </w:t>
      </w:r>
      <w:r>
        <w:rPr>
          <w:spacing w:val="-91"/>
        </w:rPr>
      </w:r>
      <w:r>
        <w:rPr/>
        <w:t>金（含税）；本次不进行公积金转增股本。</w:t>
      </w:r>
      <w:r>
        <w:rPr/>
        <w:t> </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2011</w:t>
      </w:r>
      <w:r>
        <w:rPr>
          <w:spacing w:val="-2"/>
        </w:rPr>
        <w:t>年年度利润分配方案：以公司现有总股本</w:t>
      </w:r>
      <w:r>
        <w:rPr>
          <w:rFonts w:ascii="Times New Roman" w:hAnsi="Times New Roman" w:cs="Times New Roman" w:eastAsia="Times New Roman" w:hint="default"/>
          <w:spacing w:val="-2"/>
        </w:rPr>
        <w:t>77,830,780</w:t>
      </w:r>
      <w:r>
        <w:rPr>
          <w:spacing w:val="-2"/>
        </w:rPr>
        <w:t>股为基数，向全体股东每</w:t>
      </w:r>
      <w:r>
        <w:rPr>
          <w:rFonts w:ascii="Times New Roman" w:hAnsi="Times New Roman" w:cs="Times New Roman" w:eastAsia="Times New Roman" w:hint="default"/>
          <w:spacing w:val="-2"/>
        </w:rPr>
        <w:t>10</w:t>
      </w:r>
      <w:r>
        <w:rPr>
          <w:spacing w:val="-2"/>
        </w:rPr>
        <w:t>股派</w:t>
      </w:r>
      <w:r>
        <w:rPr>
          <w:rFonts w:ascii="Times New Roman" w:hAnsi="Times New Roman" w:cs="Times New Roman" w:eastAsia="Times New Roman" w:hint="default"/>
          <w:spacing w:val="-2"/>
        </w:rPr>
        <w:t>4.5</w:t>
      </w:r>
      <w:r>
        <w:rPr>
          <w:spacing w:val="-2"/>
        </w:rPr>
        <w:t>元人民币现</w:t>
      </w:r>
      <w:r>
        <w:rPr>
          <w:spacing w:val="-91"/>
        </w:rPr>
        <w:t> </w:t>
      </w:r>
      <w:r>
        <w:rPr>
          <w:spacing w:val="-91"/>
        </w:rPr>
      </w:r>
      <w:r>
        <w:rPr/>
        <w:t>金（含税）；本次不进行公积金转增股本。</w:t>
      </w:r>
      <w:r>
        <w:rPr/>
        <w:t> </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2012</w:t>
      </w:r>
      <w:r>
        <w:rPr>
          <w:spacing w:val="-2"/>
        </w:rPr>
        <w:t>年半年度利润分配方案：以公司现有总股本</w:t>
      </w:r>
      <w:r>
        <w:rPr>
          <w:rFonts w:ascii="Times New Roman" w:hAnsi="Times New Roman" w:cs="Times New Roman" w:eastAsia="Times New Roman" w:hint="default"/>
          <w:spacing w:val="-2"/>
        </w:rPr>
        <w:t>77,830,780</w:t>
      </w:r>
      <w:r>
        <w:rPr>
          <w:spacing w:val="-2"/>
        </w:rPr>
        <w:t>股为基数，向全体股东每</w:t>
      </w:r>
      <w:r>
        <w:rPr>
          <w:rFonts w:ascii="Times New Roman" w:hAnsi="Times New Roman" w:cs="Times New Roman" w:eastAsia="Times New Roman" w:hint="default"/>
          <w:spacing w:val="-2"/>
        </w:rPr>
        <w:t>10</w:t>
      </w:r>
      <w:r>
        <w:rPr>
          <w:spacing w:val="-2"/>
        </w:rPr>
        <w:t>股派</w:t>
      </w:r>
      <w:r>
        <w:rPr>
          <w:rFonts w:ascii="Times New Roman" w:hAnsi="Times New Roman" w:cs="Times New Roman" w:eastAsia="Times New Roman" w:hint="default"/>
          <w:spacing w:val="-2"/>
        </w:rPr>
        <w:t>2.5</w:t>
      </w:r>
      <w:r>
        <w:rPr>
          <w:spacing w:val="-2"/>
        </w:rPr>
        <w:t>元人民币</w:t>
      </w:r>
      <w:r>
        <w:rPr>
          <w:spacing w:val="-89"/>
        </w:rPr>
        <w:t> </w:t>
      </w:r>
      <w:r>
        <w:rPr>
          <w:spacing w:val="-89"/>
        </w:rPr>
      </w:r>
      <w:r>
        <w:rPr/>
        <w:t>现金（含税）；本次不进行公积金转增股本。</w:t>
      </w:r>
      <w:r>
        <w:rPr/>
        <w:t> </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2012</w:t>
      </w:r>
      <w:r>
        <w:rPr>
          <w:spacing w:val="-2"/>
        </w:rPr>
        <w:t>年年度利润分配预案：以公司现有总股本</w:t>
      </w:r>
      <w:r>
        <w:rPr>
          <w:rFonts w:ascii="Times New Roman" w:hAnsi="Times New Roman" w:cs="Times New Roman" w:eastAsia="Times New Roman" w:hint="default"/>
          <w:spacing w:val="-2"/>
        </w:rPr>
        <w:t>77,830,780</w:t>
      </w:r>
      <w:r>
        <w:rPr>
          <w:spacing w:val="-2"/>
        </w:rPr>
        <w:t>股为基数，向全体股东每</w:t>
      </w:r>
      <w:r>
        <w:rPr>
          <w:rFonts w:ascii="Times New Roman" w:hAnsi="Times New Roman" w:cs="Times New Roman" w:eastAsia="Times New Roman" w:hint="default"/>
          <w:spacing w:val="-2"/>
        </w:rPr>
        <w:t>10</w:t>
      </w:r>
      <w:r>
        <w:rPr>
          <w:spacing w:val="-2"/>
        </w:rPr>
        <w:t>股派</w:t>
      </w:r>
      <w:r>
        <w:rPr>
          <w:rFonts w:ascii="Times New Roman" w:hAnsi="Times New Roman" w:cs="Times New Roman" w:eastAsia="Times New Roman" w:hint="default"/>
          <w:spacing w:val="-2"/>
        </w:rPr>
        <w:t>1.0</w:t>
      </w:r>
      <w:r>
        <w:rPr>
          <w:spacing w:val="-2"/>
        </w:rPr>
        <w:t>元人民币现</w:t>
      </w:r>
      <w:r>
        <w:rPr>
          <w:spacing w:val="-91"/>
        </w:rPr>
        <w:t> </w:t>
      </w:r>
      <w:r>
        <w:rPr>
          <w:spacing w:val="-91"/>
        </w:rPr>
      </w:r>
      <w:r>
        <w:rPr/>
        <w:t>金（含税）；本次不进行公积金转增股本。</w:t>
      </w:r>
    </w:p>
    <w:p>
      <w:pPr>
        <w:spacing w:before="80"/>
        <w:ind w:left="112" w:right="0"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90" w:right="109"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7" w:right="34"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27,240,773.00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47,785,243.97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57.01%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35,023,851.00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41,423,238.27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84.55%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54,481,546.00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23,757,246.77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229.33%</w:t>
            </w: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after="0"/>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12"/>
        <w:rPr>
          <w:rFonts w:ascii="宋体" w:hAnsi="宋体" w:cs="宋体" w:eastAsia="宋体" w:hint="default"/>
          <w:sz w:val="25"/>
          <w:szCs w:val="25"/>
        </w:rPr>
      </w:pPr>
    </w:p>
    <w:p>
      <w:pPr>
        <w:spacing w:before="4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十三、社会责任情况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09" w:firstLine="420"/>
        <w:jc w:val="both"/>
      </w:pPr>
      <w:r>
        <w:rPr>
          <w:spacing w:val="-1"/>
        </w:rPr>
        <w:t>公司重视并积极履行社会责任，报告期内，公司严格按照各级监管部门的要求，合法合规经营，力求</w:t>
      </w:r>
      <w:r>
        <w:rPr/>
        <w:t> </w:t>
      </w:r>
      <w:r>
        <w:rPr>
          <w:spacing w:val="-1"/>
        </w:rPr>
        <w:t>经济效益与社会效益、短期效益与长期效益、自身发展与社会发展相协调，实现企业、员工与社会的共同</w:t>
      </w:r>
      <w:r>
        <w:rPr>
          <w:spacing w:val="-96"/>
        </w:rPr>
        <w:t> </w:t>
      </w:r>
      <w:r>
        <w:rPr>
          <w:spacing w:val="-96"/>
        </w:rPr>
      </w:r>
      <w:r>
        <w:rPr>
          <w:spacing w:val="-1"/>
        </w:rPr>
        <w:t>成长、和谐发展。公司坚持以人为本，注重对员工职业发展进行规划，为员工提供平等的发展机会，尊重</w:t>
      </w:r>
      <w:r>
        <w:rPr>
          <w:spacing w:val="-98"/>
        </w:rPr>
        <w:t> </w:t>
      </w:r>
      <w:r>
        <w:rPr>
          <w:spacing w:val="-98"/>
        </w:rPr>
      </w:r>
      <w:r>
        <w:rPr>
          <w:spacing w:val="-1"/>
        </w:rPr>
        <w:t>和维护员工的个人利益。公司严格按照国家和行业对产品质量的要求从事生产活动，切实保证公司产品质</w:t>
      </w:r>
      <w:r>
        <w:rPr>
          <w:spacing w:val="-101"/>
        </w:rPr>
        <w:t> </w:t>
      </w:r>
      <w:r>
        <w:rPr>
          <w:spacing w:val="-101"/>
        </w:rPr>
      </w:r>
      <w:r>
        <w:rPr/>
        <w:t>量，努力提高公司服务水平，致力建设资源节约型和环境友好型企业，对公司、对客户、对社会负责。</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Heading2"/>
        <w:spacing w:line="240" w:lineRule="auto"/>
        <w:ind w:right="0"/>
        <w:jc w:val="left"/>
        <w:rPr>
          <w:b w:val="0"/>
          <w:bCs w:val="0"/>
        </w:rPr>
      </w:pPr>
      <w:r>
        <w:rPr/>
        <w:t>十四、报告期内接待调研、沟通、采访等活动登记表</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494"/>
        <w:gridCol w:w="1497"/>
        <w:gridCol w:w="1497"/>
        <w:gridCol w:w="1497"/>
        <w:gridCol w:w="1497"/>
        <w:gridCol w:w="2087"/>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859" w:right="47"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中信建投王喆</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公司募投项目建设情况及 子公司建设进展等情况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中信建投罗婷</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71"/>
              <w:jc w:val="left"/>
              <w:rPr>
                <w:rFonts w:ascii="宋体" w:hAnsi="宋体" w:cs="宋体" w:eastAsia="宋体" w:hint="default"/>
                <w:sz w:val="18"/>
                <w:szCs w:val="18"/>
              </w:rPr>
            </w:pPr>
            <w:r>
              <w:rPr>
                <w:rFonts w:ascii="宋体" w:hAnsi="宋体" w:cs="宋体" w:eastAsia="宋体" w:hint="default"/>
                <w:sz w:val="18"/>
                <w:szCs w:val="18"/>
              </w:rPr>
              <w:t>公司募投项目建设情况及 子公司建设进展等情况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安邦资产管理周远</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公司募投项目建设情况及 子公司建设进展等情况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安信证券任志强</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71"/>
              <w:jc w:val="left"/>
              <w:rPr>
                <w:rFonts w:ascii="宋体" w:hAnsi="宋体" w:cs="宋体" w:eastAsia="宋体" w:hint="default"/>
                <w:sz w:val="18"/>
                <w:szCs w:val="18"/>
              </w:rPr>
            </w:pPr>
            <w:r>
              <w:rPr>
                <w:rFonts w:ascii="宋体" w:hAnsi="宋体" w:cs="宋体" w:eastAsia="宋体" w:hint="default"/>
                <w:sz w:val="18"/>
                <w:szCs w:val="18"/>
              </w:rPr>
              <w:t>公司募投项目建设情况及 产品市场情况等</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普通投资者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询问公司年报工作等情况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普通投资者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询问公司重要事项等情况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华泰证券高粱宇</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公司募投项目建设情况及 目前经营情况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公司证券部</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咨询公司业绩等情况</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公司证券部</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银河证券曹阳</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公司经营情况及发展情况</w:t>
            </w:r>
          </w:p>
        </w:tc>
      </w:tr>
      <w:tr>
        <w:trPr>
          <w:trHeight w:val="196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公司二楼会议室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23"/>
              <w:jc w:val="both"/>
              <w:rPr>
                <w:rFonts w:ascii="宋体" w:hAnsi="宋体" w:cs="宋体" w:eastAsia="宋体" w:hint="default"/>
                <w:sz w:val="18"/>
                <w:szCs w:val="18"/>
              </w:rPr>
            </w:pPr>
            <w:r>
              <w:rPr>
                <w:rFonts w:ascii="宋体" w:hAnsi="宋体" w:cs="宋体" w:eastAsia="宋体" w:hint="default"/>
                <w:sz w:val="18"/>
                <w:szCs w:val="18"/>
              </w:rPr>
              <w:t>安徽广播电视台、 张炬光、徐善荣、 李素华、何兵杰、 郭春燕、黄娟秋、 戴帮雯、石顺、王 汝昌</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公司基本情况及投资者关 系管理情况</w:t>
            </w:r>
          </w:p>
        </w:tc>
      </w:tr>
    </w:tbl>
    <w:p>
      <w:pPr>
        <w:spacing w:after="0" w:line="316"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0"/>
          <w:szCs w:val="20"/>
        </w:rPr>
      </w:pPr>
    </w:p>
    <w:p>
      <w:pPr>
        <w:spacing w:before="1"/>
        <w:ind w:left="2020" w:right="2019" w:firstLine="0"/>
        <w:jc w:val="center"/>
        <w:rPr>
          <w:rFonts w:ascii="宋体" w:hAnsi="宋体" w:cs="宋体" w:eastAsia="宋体" w:hint="default"/>
          <w:sz w:val="32"/>
          <w:szCs w:val="32"/>
        </w:rPr>
      </w:pPr>
      <w:bookmarkStart w:name="_bookmark4" w:id="5"/>
      <w:bookmarkEnd w:id="5"/>
      <w:r>
        <w:rPr/>
      </w:r>
      <w:r>
        <w:rPr>
          <w:rFonts w:ascii="宋体" w:hAnsi="宋体" w:cs="宋体" w:eastAsia="宋体" w:hint="default"/>
          <w:b/>
          <w:bCs/>
          <w:sz w:val="32"/>
          <w:szCs w:val="32"/>
        </w:rPr>
        <w:t>第五节</w:t>
      </w:r>
      <w:r>
        <w:rPr>
          <w:rFonts w:ascii="宋体" w:hAnsi="宋体" w:cs="宋体" w:eastAsia="宋体" w:hint="default"/>
          <w:b/>
          <w:bCs/>
          <w:spacing w:val="-6"/>
          <w:sz w:val="32"/>
          <w:szCs w:val="32"/>
        </w:rPr>
        <w:t> </w:t>
      </w:r>
      <w:r>
        <w:rPr>
          <w:rFonts w:ascii="宋体" w:hAnsi="宋体" w:cs="宋体" w:eastAsia="宋体" w:hint="default"/>
          <w:b/>
          <w:bCs/>
          <w:sz w:val="32"/>
          <w:szCs w:val="32"/>
        </w:rPr>
        <w:t>重要事项</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spacing w:before="26"/>
        <w:ind w:left="112" w:right="0" w:firstLine="0"/>
        <w:jc w:val="left"/>
        <w:rPr>
          <w:rFonts w:ascii="宋体" w:hAnsi="宋体" w:cs="宋体" w:eastAsia="宋体" w:hint="default"/>
          <w:sz w:val="24"/>
          <w:szCs w:val="24"/>
        </w:rPr>
      </w:pPr>
      <w:r>
        <w:rPr>
          <w:rFonts w:ascii="宋体" w:hAnsi="宋体" w:cs="宋体" w:eastAsia="宋体" w:hint="default"/>
          <w:b/>
          <w:bCs/>
          <w:sz w:val="24"/>
          <w:szCs w:val="24"/>
        </w:rPr>
        <w:t>一、重大诉讼仲裁事项</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spacing w:line="350" w:lineRule="auto" w:before="0"/>
        <w:ind w:left="112" w:right="68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本年度公司无重大诉讼、仲裁事项。 媒体质疑情况</w:t>
      </w:r>
    </w:p>
    <w:p>
      <w:pPr>
        <w:spacing w:line="340" w:lineRule="auto" w:before="32"/>
        <w:ind w:left="112" w:right="7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本年度公司无媒体质疑事项。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二、公司股权激励的实施情况及其影响</w:t>
      </w:r>
      <w:r>
        <w:rPr>
          <w:b w:val="0"/>
          <w:bCs w:val="0"/>
        </w:rPr>
      </w:r>
    </w:p>
    <w:p>
      <w:pPr>
        <w:spacing w:line="240" w:lineRule="auto" w:before="9"/>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报告期内，公司未实施股权激励计划。</w:t>
      </w:r>
    </w:p>
    <w:p>
      <w:pPr>
        <w:spacing w:line="602" w:lineRule="exact" w:before="126"/>
        <w:ind w:left="112" w:right="6854" w:firstLine="0"/>
        <w:jc w:val="left"/>
        <w:rPr>
          <w:rFonts w:ascii="宋体" w:hAnsi="宋体" w:cs="宋体" w:eastAsia="宋体" w:hint="default"/>
          <w:sz w:val="18"/>
          <w:szCs w:val="18"/>
        </w:rPr>
      </w:pPr>
      <w:r>
        <w:rPr>
          <w:rFonts w:ascii="宋体" w:hAnsi="宋体" w:cs="宋体" w:eastAsia="宋体" w:hint="default"/>
          <w:b/>
          <w:bCs/>
          <w:sz w:val="24"/>
          <w:szCs w:val="24"/>
        </w:rPr>
        <w:t>三、重大关联交易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、关联债权债务往来</w:t>
      </w:r>
      <w:r>
        <w:rPr>
          <w:rFonts w:ascii="宋体" w:hAnsi="宋体" w:cs="宋体" w:eastAsia="宋体" w:hint="default"/>
          <w:b/>
          <w:bCs/>
          <w:w w:val="99"/>
          <w:sz w:val="21"/>
          <w:szCs w:val="21"/>
        </w:rPr>
        <w:t> </w:t>
      </w:r>
      <w:r>
        <w:rPr>
          <w:rFonts w:ascii="宋体" w:hAnsi="宋体" w:cs="宋体" w:eastAsia="宋体" w:hint="default"/>
          <w:sz w:val="18"/>
          <w:szCs w:val="18"/>
        </w:rPr>
        <w:t>是否存在非经营性关联债权债务往来</w:t>
      </w:r>
    </w:p>
    <w:p>
      <w:pPr>
        <w:spacing w:before="19"/>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735"/>
        <w:gridCol w:w="1119"/>
        <w:gridCol w:w="1119"/>
        <w:gridCol w:w="1119"/>
        <w:gridCol w:w="1119"/>
        <w:gridCol w:w="1119"/>
        <w:gridCol w:w="1119"/>
        <w:gridCol w:w="1119"/>
      </w:tblGrid>
      <w:tr>
        <w:trPr>
          <w:trHeight w:val="1026" w:hRule="exact"/>
        </w:trPr>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9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64" w:right="103" w:hanging="360"/>
              <w:jc w:val="left"/>
              <w:rPr>
                <w:rFonts w:ascii="宋体" w:hAnsi="宋体" w:cs="宋体" w:eastAsia="宋体" w:hint="default"/>
                <w:sz w:val="18"/>
                <w:szCs w:val="18"/>
              </w:rPr>
            </w:pPr>
            <w:r>
              <w:rPr>
                <w:rFonts w:ascii="宋体" w:hAnsi="宋体" w:cs="宋体" w:eastAsia="宋体" w:hint="default"/>
                <w:sz w:val="18"/>
                <w:szCs w:val="18"/>
              </w:rPr>
              <w:t>债权债务类 型</w:t>
            </w:r>
          </w:p>
        </w:tc>
        <w:tc>
          <w:tcPr>
            <w:tcW w:w="1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94"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5" w:right="102"/>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1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73" w:right="21" w:hanging="351"/>
              <w:jc w:val="left"/>
              <w:rPr>
                <w:rFonts w:ascii="宋体" w:hAnsi="宋体" w:cs="宋体" w:eastAsia="宋体" w:hint="default"/>
                <w:sz w:val="18"/>
                <w:szCs w:val="18"/>
              </w:rPr>
            </w:pPr>
            <w:r>
              <w:rPr>
                <w:rFonts w:ascii="宋体" w:hAnsi="宋体" w:cs="宋体" w:eastAsia="宋体" w:hint="default"/>
                <w:spacing w:val="-3"/>
                <w:sz w:val="18"/>
                <w:szCs w:val="18"/>
              </w:rPr>
              <w:t>期初余额（万</w:t>
            </w:r>
            <w:r>
              <w:rPr>
                <w:rFonts w:ascii="宋体" w:hAnsi="宋体" w:cs="宋体" w:eastAsia="宋体" w:hint="default"/>
                <w:sz w:val="18"/>
                <w:szCs w:val="18"/>
              </w:rPr>
              <w:t> 元）</w:t>
            </w:r>
          </w:p>
        </w:tc>
        <w:tc>
          <w:tcPr>
            <w:tcW w:w="1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本期发生额</w:t>
            </w:r>
          </w:p>
          <w:p>
            <w:pPr>
              <w:pStyle w:val="TableParagraph"/>
              <w:spacing w:line="240" w:lineRule="auto" w:before="76"/>
              <w:ind w:left="19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74" w:right="22" w:hanging="351"/>
              <w:jc w:val="left"/>
              <w:rPr>
                <w:rFonts w:ascii="宋体" w:hAnsi="宋体" w:cs="宋体" w:eastAsia="宋体" w:hint="default"/>
                <w:sz w:val="18"/>
                <w:szCs w:val="18"/>
              </w:rPr>
            </w:pPr>
            <w:r>
              <w:rPr>
                <w:rFonts w:ascii="宋体" w:hAnsi="宋体" w:cs="宋体" w:eastAsia="宋体" w:hint="default"/>
                <w:spacing w:val="-4"/>
                <w:sz w:val="18"/>
                <w:szCs w:val="18"/>
              </w:rPr>
              <w:t>期末余额（万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元）</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四、重大合同及其履行情况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60" w:lineRule="auto" w:before="0"/>
        <w:ind w:left="112" w:right="8654" w:firstLine="0"/>
        <w:jc w:val="left"/>
        <w:rPr>
          <w:rFonts w:ascii="宋体" w:hAnsi="宋体" w:cs="宋体" w:eastAsia="宋体" w:hint="default"/>
          <w:sz w:val="18"/>
          <w:szCs w:val="18"/>
        </w:rPr>
      </w:pPr>
      <w:r>
        <w:rPr>
          <w:rFonts w:ascii="宋体" w:hAnsi="宋体" w:cs="宋体" w:eastAsia="宋体" w:hint="default"/>
          <w:sz w:val="18"/>
          <w:szCs w:val="18"/>
        </w:rPr>
        <w:t>托管情况说明 不适用</w:t>
      </w:r>
    </w:p>
    <w:p>
      <w:pPr>
        <w:spacing w:before="27"/>
        <w:ind w:left="112"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1"/>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7"/>
        <w:rPr>
          <w:rFonts w:ascii="宋体" w:hAnsi="宋体" w:cs="宋体" w:eastAsia="宋体" w:hint="default"/>
          <w:b/>
          <w:bCs/>
          <w:sz w:val="26"/>
          <w:szCs w:val="26"/>
        </w:rPr>
      </w:pPr>
    </w:p>
    <w:p>
      <w:pPr>
        <w:spacing w:line="360" w:lineRule="auto" w:before="0"/>
        <w:ind w:left="112" w:right="8654" w:firstLine="0"/>
        <w:jc w:val="left"/>
        <w:rPr>
          <w:rFonts w:ascii="宋体" w:hAnsi="宋体" w:cs="宋体" w:eastAsia="宋体" w:hint="default"/>
          <w:sz w:val="18"/>
          <w:szCs w:val="18"/>
        </w:rPr>
      </w:pPr>
      <w:r>
        <w:rPr>
          <w:rFonts w:ascii="宋体" w:hAnsi="宋体" w:cs="宋体" w:eastAsia="宋体" w:hint="default"/>
          <w:sz w:val="18"/>
          <w:szCs w:val="18"/>
        </w:rPr>
        <w:t>承包情况说明 不适用</w:t>
      </w:r>
    </w:p>
    <w:p>
      <w:pPr>
        <w:spacing w:before="25"/>
        <w:ind w:left="112"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7"/>
        <w:rPr>
          <w:rFonts w:ascii="宋体" w:hAnsi="宋体" w:cs="宋体" w:eastAsia="宋体" w:hint="default"/>
          <w:b/>
          <w:bCs/>
          <w:sz w:val="26"/>
          <w:szCs w:val="26"/>
        </w:rPr>
      </w:pPr>
    </w:p>
    <w:p>
      <w:pPr>
        <w:spacing w:line="360" w:lineRule="auto" w:before="0"/>
        <w:ind w:left="112" w:right="8654" w:firstLine="0"/>
        <w:jc w:val="left"/>
        <w:rPr>
          <w:rFonts w:ascii="宋体" w:hAnsi="宋体" w:cs="宋体" w:eastAsia="宋体" w:hint="default"/>
          <w:sz w:val="18"/>
          <w:szCs w:val="18"/>
        </w:rPr>
      </w:pPr>
      <w:r>
        <w:rPr>
          <w:rFonts w:ascii="宋体" w:hAnsi="宋体" w:cs="宋体" w:eastAsia="宋体" w:hint="default"/>
          <w:sz w:val="18"/>
          <w:szCs w:val="18"/>
        </w:rPr>
        <w:t>租赁情况说明 不适用</w:t>
      </w:r>
    </w:p>
    <w:p>
      <w:pPr>
        <w:spacing w:before="25"/>
        <w:ind w:left="112"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、公司或持股</w:t>
      </w:r>
      <w:r>
        <w:rPr>
          <w:spacing w:val="-64"/>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4"/>
        <w:gridCol w:w="1274"/>
        <w:gridCol w:w="1277"/>
        <w:gridCol w:w="1277"/>
        <w:gridCol w:w="1277"/>
        <w:gridCol w:w="1269"/>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9" w:type="dxa"/>
            <w:tcBorders>
              <w:top w:val="single" w:sz="4" w:space="0" w:color="000000"/>
              <w:left w:val="single" w:sz="4" w:space="0" w:color="000000"/>
              <w:bottom w:val="single" w:sz="4" w:space="0" w:color="000000"/>
              <w:right w:val="single" w:sz="4" w:space="0" w:color="000000"/>
            </w:tcBorders>
          </w:tcPr>
          <w:p>
            <w:pPr/>
          </w:p>
        </w:tc>
      </w:tr>
      <w:tr>
        <w:trPr>
          <w:trHeight w:val="8474"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刘冀鲁、刘凌 </w:t>
            </w:r>
            <w:r>
              <w:rPr>
                <w:rFonts w:ascii="宋体" w:hAnsi="宋体" w:cs="宋体" w:eastAsia="宋体" w:hint="default"/>
                <w:spacing w:val="-7"/>
                <w:sz w:val="18"/>
                <w:szCs w:val="18"/>
              </w:rPr>
              <w:t>云、喻琴、宫为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平、黄学春、唐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成宽、吴翠华、 袁福祥、赵明、 史志民、章大 林、陆江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、公司发行前 全体股东均出 </w:t>
            </w:r>
            <w:r>
              <w:rPr>
                <w:rFonts w:ascii="宋体" w:hAnsi="宋体" w:cs="宋体" w:eastAsia="宋体" w:hint="default"/>
                <w:spacing w:val="-6"/>
                <w:sz w:val="18"/>
                <w:szCs w:val="18"/>
              </w:rPr>
              <w:t>具了《关于避免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同业竞争的承 </w:t>
            </w:r>
            <w:r>
              <w:rPr>
                <w:rFonts w:ascii="宋体" w:hAnsi="宋体" w:cs="宋体" w:eastAsia="宋体" w:hint="default"/>
                <w:spacing w:val="-14"/>
                <w:sz w:val="18"/>
                <w:szCs w:val="18"/>
              </w:rPr>
              <w:t>诺函》，承诺：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自本承诺函出 </w:t>
            </w:r>
            <w:r>
              <w:rPr>
                <w:rFonts w:ascii="宋体" w:hAnsi="宋体" w:cs="宋体" w:eastAsia="宋体" w:hint="default"/>
                <w:spacing w:val="-6"/>
                <w:sz w:val="18"/>
                <w:szCs w:val="18"/>
              </w:rPr>
              <w:t>具之日起，不以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任何方式直接 或间接地从事 与股份公司主 营业务构成或 可能构成竞争 </w:t>
            </w:r>
            <w:r>
              <w:rPr>
                <w:rFonts w:ascii="宋体" w:hAnsi="宋体" w:cs="宋体" w:eastAsia="宋体" w:hint="default"/>
                <w:spacing w:val="-6"/>
                <w:sz w:val="18"/>
                <w:szCs w:val="18"/>
              </w:rPr>
              <w:t>的业务，不以任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何方式从事或 参与生产任何 与股份公司产 </w:t>
            </w:r>
            <w:r>
              <w:rPr>
                <w:rFonts w:ascii="宋体" w:hAnsi="宋体" w:cs="宋体" w:eastAsia="宋体" w:hint="default"/>
                <w:spacing w:val="-6"/>
                <w:sz w:val="18"/>
                <w:szCs w:val="18"/>
              </w:rPr>
              <w:t>品相同、相似或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可以取代股份 公司产品的业 </w:t>
            </w:r>
            <w:r>
              <w:rPr>
                <w:rFonts w:ascii="宋体" w:hAnsi="宋体" w:cs="宋体" w:eastAsia="宋体" w:hint="default"/>
                <w:spacing w:val="-6"/>
                <w:sz w:val="18"/>
                <w:szCs w:val="18"/>
              </w:rPr>
              <w:t>务或活动，不损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害股份公司和 其他股东的合 </w:t>
            </w:r>
            <w:r>
              <w:rPr>
                <w:rFonts w:ascii="宋体" w:hAnsi="宋体" w:cs="宋体" w:eastAsia="宋体" w:hint="default"/>
                <w:spacing w:val="-6"/>
                <w:sz w:val="18"/>
                <w:szCs w:val="18"/>
              </w:rPr>
              <w:t>法权益，不在股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份公司谋取任 何不正当利益。 </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、公司发行前 全体股东均承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300" w:lineRule="auto"/>
              <w:ind w:left="23" w:right="20"/>
              <w:jc w:val="left"/>
              <w:rPr>
                <w:rFonts w:ascii="宋体" w:hAnsi="宋体" w:cs="宋体" w:eastAsia="宋体" w:hint="default"/>
                <w:sz w:val="18"/>
                <w:szCs w:val="18"/>
              </w:rPr>
            </w:pPr>
            <w:r>
              <w:rPr>
                <w:rFonts w:ascii="宋体" w:hAnsi="宋体" w:cs="宋体" w:eastAsia="宋体" w:hint="default"/>
                <w:sz w:val="18"/>
                <w:szCs w:val="18"/>
              </w:rPr>
              <w:t>承诺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长期 </w:t>
            </w:r>
            <w:r>
              <w:rPr>
                <w:rFonts w:ascii="宋体" w:hAnsi="宋体" w:cs="宋体" w:eastAsia="宋体" w:hint="default"/>
                <w:spacing w:val="-8"/>
                <w:sz w:val="18"/>
                <w:szCs w:val="18"/>
              </w:rPr>
              <w:t>有效；承诺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w:t>
            </w:r>
          </w:p>
          <w:p>
            <w:pPr>
              <w:pStyle w:val="TableParagraph"/>
              <w:spacing w:line="240" w:lineRule="auto" w:before="1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300" w:lineRule="auto"/>
              <w:ind w:left="22" w:right="21"/>
              <w:jc w:val="both"/>
              <w:rPr>
                <w:rFonts w:ascii="宋体" w:hAnsi="宋体" w:cs="宋体" w:eastAsia="宋体" w:hint="default"/>
                <w:sz w:val="18"/>
                <w:szCs w:val="18"/>
              </w:rPr>
            </w:pPr>
            <w:r>
              <w:rPr>
                <w:rFonts w:ascii="宋体" w:hAnsi="宋体" w:cs="宋体" w:eastAsia="宋体" w:hint="default"/>
                <w:sz w:val="18"/>
                <w:szCs w:val="18"/>
              </w:rPr>
              <w:t>承诺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正在 </w:t>
            </w:r>
            <w:r>
              <w:rPr>
                <w:rFonts w:ascii="宋体" w:hAnsi="宋体" w:cs="宋体" w:eastAsia="宋体" w:hint="default"/>
                <w:spacing w:val="-10"/>
                <w:sz w:val="18"/>
                <w:szCs w:val="18"/>
              </w:rPr>
              <w:t>履行；承诺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已 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日履行完毕。</w:t>
            </w:r>
          </w:p>
        </w:tc>
      </w:tr>
    </w:tbl>
    <w:p>
      <w:pPr>
        <w:spacing w:after="0" w:line="300" w:lineRule="auto"/>
        <w:jc w:val="both"/>
        <w:rPr>
          <w:rFonts w:ascii="宋体" w:hAnsi="宋体" w:cs="宋体" w:eastAsia="宋体" w:hint="default"/>
          <w:sz w:val="18"/>
          <w:szCs w:val="18"/>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194"/>
        <w:gridCol w:w="1274"/>
        <w:gridCol w:w="1277"/>
        <w:gridCol w:w="1277"/>
        <w:gridCol w:w="1277"/>
        <w:gridCol w:w="1269"/>
      </w:tblGrid>
      <w:tr>
        <w:trPr>
          <w:trHeight w:val="10970" w:hRule="exact"/>
        </w:trPr>
        <w:tc>
          <w:tcPr>
            <w:tcW w:w="31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7"/>
              <w:jc w:val="left"/>
              <w:rPr>
                <w:rFonts w:ascii="宋体" w:hAnsi="宋体" w:cs="宋体" w:eastAsia="宋体" w:hint="default"/>
                <w:sz w:val="18"/>
                <w:szCs w:val="18"/>
              </w:rPr>
            </w:pPr>
            <w:r>
              <w:rPr>
                <w:rFonts w:ascii="宋体" w:hAnsi="宋体" w:cs="宋体" w:eastAsia="宋体" w:hint="default"/>
                <w:spacing w:val="-6"/>
                <w:sz w:val="18"/>
                <w:szCs w:val="18"/>
              </w:rPr>
              <w:t>诺：自公司股票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上市之日起三 </w:t>
            </w:r>
            <w:r>
              <w:rPr>
                <w:rFonts w:ascii="宋体" w:hAnsi="宋体" w:cs="宋体" w:eastAsia="宋体" w:hint="default"/>
                <w:spacing w:val="-6"/>
                <w:sz w:val="18"/>
                <w:szCs w:val="18"/>
              </w:rPr>
              <w:t>十六个月内，不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转让或者委托 他人管理其在 本次发行前已 持有的公司股 </w:t>
            </w:r>
            <w:r>
              <w:rPr>
                <w:rFonts w:ascii="宋体" w:hAnsi="宋体" w:cs="宋体" w:eastAsia="宋体" w:hint="default"/>
                <w:spacing w:val="-6"/>
                <w:sz w:val="18"/>
                <w:szCs w:val="18"/>
              </w:rPr>
              <w:t>份，也不由公司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回购其持有的 </w:t>
            </w:r>
            <w:r>
              <w:rPr>
                <w:rFonts w:ascii="宋体" w:hAnsi="宋体" w:cs="宋体" w:eastAsia="宋体" w:hint="default"/>
                <w:spacing w:val="-6"/>
                <w:sz w:val="18"/>
                <w:szCs w:val="18"/>
              </w:rPr>
              <w:t>股份。承诺期限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届满后，上述股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份可以上市流 通和转让。</w:t>
            </w:r>
            <w:r>
              <w:rPr>
                <w:rFonts w:ascii="Times New Roman" w:hAnsi="Times New Roman" w:cs="Times New Roman" w:eastAsia="Times New Roman" w:hint="default"/>
                <w:sz w:val="18"/>
                <w:szCs w:val="18"/>
              </w:rPr>
              <w:t>3</w:t>
            </w:r>
            <w:r>
              <w:rPr>
                <w:rFonts w:ascii="宋体" w:hAnsi="宋体" w:cs="宋体" w:eastAsia="宋体" w:hint="default"/>
                <w:sz w:val="18"/>
                <w:szCs w:val="18"/>
              </w:rPr>
              <w:t>、 刘冀鲁、刘凌 </w:t>
            </w:r>
            <w:r>
              <w:rPr>
                <w:rFonts w:ascii="宋体" w:hAnsi="宋体" w:cs="宋体" w:eastAsia="宋体" w:hint="default"/>
                <w:spacing w:val="-6"/>
                <w:sz w:val="18"/>
                <w:szCs w:val="18"/>
              </w:rPr>
              <w:t>云、宫为平、黄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学春、唐成宽、 吴翠华、袁福 </w:t>
            </w:r>
            <w:r>
              <w:rPr>
                <w:rFonts w:ascii="宋体" w:hAnsi="宋体" w:cs="宋体" w:eastAsia="宋体" w:hint="default"/>
                <w:spacing w:val="-6"/>
                <w:sz w:val="18"/>
                <w:szCs w:val="18"/>
              </w:rPr>
              <w:t>祥、赵明、史志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民、章大林、陆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江还承诺三年 锁定期限届满 </w:t>
            </w:r>
            <w:r>
              <w:rPr>
                <w:rFonts w:ascii="宋体" w:hAnsi="宋体" w:cs="宋体" w:eastAsia="宋体" w:hint="default"/>
                <w:spacing w:val="-6"/>
                <w:sz w:val="18"/>
                <w:szCs w:val="18"/>
              </w:rPr>
              <w:t>后，在其任职期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间每年转让的 股份不超过其 所持有本公司 股份总数的百 </w:t>
            </w:r>
            <w:r>
              <w:rPr>
                <w:rFonts w:ascii="宋体" w:hAnsi="宋体" w:cs="宋体" w:eastAsia="宋体" w:hint="default"/>
                <w:spacing w:val="-6"/>
                <w:sz w:val="18"/>
                <w:szCs w:val="18"/>
              </w:rPr>
              <w:t>分之二十；离职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以后三年内，不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转让其所持有 的本公司股份， 且三年后每年 转让的股份不 超过其所持有 公司股份总数 的百分之二十。</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是否就导致的同业竞争和关联交易问题 作出承诺</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1"/>
          <w:szCs w:val="11"/>
        </w:rPr>
      </w:pPr>
    </w:p>
    <w:p>
      <w:pPr>
        <w:spacing w:line="416" w:lineRule="exact"/>
        <w:ind w:left="10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479.4pt;height:20.85pt;mso-position-horizontal-relative:char;mso-position-vertical-relative:line" coordorigin="0,0" coordsize="9588,417">
            <v:group style="position:absolute;left:13;top:13;width:3189;height:397" coordorigin="13,13" coordsize="3189,397">
              <v:shape style="position:absolute;left:13;top:13;width:3189;height:397" coordorigin="13,13" coordsize="3189,397" path="m13,13l3202,13,3202,410,13,410,13,13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3204;top:5;width:2;height:402" coordorigin="3204,5" coordsize="2,402">
              <v:shape style="position:absolute;left:3204;top:5;width:2;height:402" coordorigin="3204,5" coordsize="0,402" path="m3204,5l320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3194;height:402" type="#_x0000_t202" filled="false" stroked="false">
                <v:textbox inset="0,0,0,0">
                  <w:txbxContent>
                    <w:p>
                      <w:pPr>
                        <w:spacing w:before="54"/>
                        <w:ind w:left="27" w:right="0" w:firstLine="0"/>
                        <w:jc w:val="left"/>
                        <w:rPr>
                          <w:rFonts w:ascii="宋体" w:hAnsi="宋体" w:cs="宋体" w:eastAsia="宋体" w:hint="default"/>
                          <w:sz w:val="18"/>
                          <w:szCs w:val="18"/>
                        </w:rPr>
                      </w:pPr>
                      <w:r>
                        <w:rPr>
                          <w:rFonts w:ascii="宋体" w:hAnsi="宋体" w:cs="宋体" w:eastAsia="宋体" w:hint="default"/>
                          <w:sz w:val="18"/>
                          <w:szCs w:val="18"/>
                        </w:rPr>
                        <w:t>承诺的履行情况</w:t>
                      </w:r>
                    </w:p>
                  </w:txbxContent>
                </v:textbox>
                <w10:wrap type="none"/>
              </v:shape>
              <v:shape style="position:absolute;left:3232;top:120;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不适用</w:t>
                      </w:r>
                    </w:p>
                  </w:txbxContent>
                </v:textbox>
                <w10:wrap type="none"/>
              </v:shape>
            </v:group>
          </v:group>
        </w:pict>
      </w:r>
      <w:r>
        <w:rPr>
          <w:rFonts w:ascii="Times New Roman" w:hAnsi="Times New Roman" w:cs="Times New Roman" w:eastAsia="Times New Roman" w:hint="default"/>
          <w:position w:val="-7"/>
          <w:sz w:val="20"/>
          <w:szCs w:val="20"/>
        </w:rPr>
      </w:r>
    </w:p>
    <w:p>
      <w:pPr>
        <w:spacing w:line="240" w:lineRule="auto" w:before="6"/>
        <w:rPr>
          <w:rFonts w:ascii="Times New Roman" w:hAnsi="Times New Roman" w:cs="Times New Roman" w:eastAsia="Times New Roman" w:hint="default"/>
          <w:sz w:val="20"/>
          <w:szCs w:val="20"/>
        </w:rPr>
      </w:pPr>
    </w:p>
    <w:p>
      <w:pPr>
        <w:spacing w:before="26"/>
        <w:ind w:left="112" w:right="0" w:firstLine="0"/>
        <w:jc w:val="left"/>
        <w:rPr>
          <w:rFonts w:ascii="宋体" w:hAnsi="宋体" w:cs="宋体" w:eastAsia="宋体" w:hint="default"/>
          <w:sz w:val="24"/>
          <w:szCs w:val="24"/>
        </w:rPr>
      </w:pPr>
      <w:r>
        <w:rPr>
          <w:rFonts w:ascii="宋体" w:hAnsi="宋体" w:cs="宋体" w:eastAsia="宋体" w:hint="default"/>
          <w:b/>
          <w:bCs/>
          <w:sz w:val="24"/>
          <w:szCs w:val="24"/>
        </w:rPr>
        <w:t>六、聘任、解聘会计师事务所情况</w:t>
      </w:r>
      <w:r>
        <w:rPr>
          <w:rFonts w:ascii="宋体" w:hAnsi="宋体" w:cs="宋体" w:eastAsia="宋体" w:hint="default"/>
          <w:sz w:val="24"/>
          <w:szCs w:val="24"/>
        </w:rPr>
      </w:r>
    </w:p>
    <w:p>
      <w:pPr>
        <w:spacing w:line="240" w:lineRule="auto" w:before="9"/>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国富浩华会计师事务所（特殊普通合伙）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侯立勋、李梅</w:t>
            </w:r>
          </w:p>
        </w:tc>
      </w:tr>
    </w:tbl>
    <w:p>
      <w:pPr>
        <w:spacing w:before="50"/>
        <w:ind w:left="112" w:right="0" w:firstLine="0"/>
        <w:jc w:val="both"/>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40" w:lineRule="auto" w:before="117"/>
        <w:ind w:left="112" w:right="7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 是否在审计期间改聘会计师事务所</w:t>
      </w:r>
    </w:p>
    <w:p>
      <w:pPr>
        <w:spacing w:line="340" w:lineRule="auto" w:before="39"/>
        <w:ind w:left="112" w:right="68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 更换会计师事务所是否履行审批程序</w:t>
      </w:r>
    </w:p>
    <w:p>
      <w:pPr>
        <w:spacing w:line="338" w:lineRule="auto" w:before="41"/>
        <w:ind w:left="112" w:right="7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 聘任、解聘会计师事务所情况说明</w:t>
      </w:r>
    </w:p>
    <w:p>
      <w:pPr>
        <w:spacing w:line="312" w:lineRule="exact" w:before="25"/>
        <w:ind w:left="112" w:right="110" w:firstLine="0"/>
        <w:jc w:val="both"/>
        <w:rPr>
          <w:rFonts w:ascii="宋体" w:hAnsi="宋体" w:cs="宋体" w:eastAsia="宋体" w:hint="default"/>
          <w:sz w:val="24"/>
          <w:szCs w:val="24"/>
        </w:rPr>
      </w:pPr>
      <w:r>
        <w:rPr>
          <w:rFonts w:ascii="宋体" w:hAnsi="宋体" w:cs="宋体" w:eastAsia="宋体" w:hint="default"/>
          <w:sz w:val="24"/>
          <w:szCs w:val="24"/>
        </w:rPr>
        <w:t>公司原聘请的</w:t>
      </w:r>
      <w:r>
        <w:rPr>
          <w:rFonts w:ascii="Times New Roman" w:hAnsi="Times New Roman" w:cs="Times New Roman" w:eastAsia="Times New Roman" w:hint="default"/>
          <w:sz w:val="24"/>
          <w:szCs w:val="24"/>
        </w:rPr>
        <w:t>2012</w:t>
      </w:r>
      <w:r>
        <w:rPr>
          <w:rFonts w:ascii="宋体" w:hAnsi="宋体" w:cs="宋体" w:eastAsia="宋体" w:hint="default"/>
          <w:sz w:val="24"/>
          <w:szCs w:val="24"/>
        </w:rPr>
        <w:t>年度审计机构为深圳市鹏城会计师事务所有限公司，根据中华人民共和国</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pacing w:val="2"/>
          <w:sz w:val="24"/>
          <w:szCs w:val="24"/>
        </w:rPr>
        <w:t>财政部《会计师事务所合并报备回复函》（财会便</w:t>
      </w:r>
      <w:r>
        <w:rPr>
          <w:rFonts w:ascii="Times New Roman" w:hAnsi="Times New Roman" w:cs="Times New Roman" w:eastAsia="Times New Roman" w:hint="default"/>
          <w:spacing w:val="2"/>
          <w:sz w:val="24"/>
          <w:szCs w:val="24"/>
        </w:rPr>
        <w:t>[2012]42</w:t>
      </w:r>
      <w:r>
        <w:rPr>
          <w:rFonts w:ascii="宋体" w:hAnsi="宋体" w:cs="宋体" w:eastAsia="宋体" w:hint="default"/>
          <w:spacing w:val="2"/>
          <w:sz w:val="24"/>
          <w:szCs w:val="24"/>
        </w:rPr>
        <w:t>号），深圳市鹏城会计师事务所</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有限公司已被国富浩华会计师事务所吸收合并。本次改聘审计机构事项已经公司第二届董事</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会第十四次会议、第二届监事会第十二次会议、公司</w:t>
      </w:r>
      <w:r>
        <w:rPr>
          <w:rFonts w:ascii="Times New Roman" w:hAnsi="Times New Roman" w:cs="Times New Roman" w:eastAsia="Times New Roman" w:hint="default"/>
          <w:sz w:val="24"/>
          <w:szCs w:val="24"/>
        </w:rPr>
        <w:t>2012</w:t>
      </w:r>
      <w:r>
        <w:rPr>
          <w:rFonts w:ascii="宋体" w:hAnsi="宋体" w:cs="宋体" w:eastAsia="宋体" w:hint="default"/>
          <w:sz w:val="24"/>
          <w:szCs w:val="24"/>
        </w:rPr>
        <w:t>年第二次临时股东大会审议通过，</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相关信息披露情况详见巨潮资讯网。</w:t>
      </w:r>
    </w:p>
    <w:p>
      <w:pPr>
        <w:spacing w:line="240" w:lineRule="auto" w:before="4"/>
        <w:rPr>
          <w:rFonts w:ascii="宋体" w:hAnsi="宋体" w:cs="宋体" w:eastAsia="宋体" w:hint="default"/>
          <w:sz w:val="28"/>
          <w:szCs w:val="28"/>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聘请内部控制审计会计师事务所、财务顾问或保荐人情况</w:t>
      </w:r>
    </w:p>
    <w:p>
      <w:pPr>
        <w:spacing w:before="115"/>
        <w:ind w:left="11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七、监事会、独立董事（如适用）对会计师事务所本报告期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r>
        <w:rPr/>
        <w:t>八、年度报告披露后面临暂停上市和终止上市情况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r>
        <w:rPr/>
        <w:t>九、其他重大事项的说明</w:t>
      </w:r>
      <w:r>
        <w:rPr>
          <w:b w:val="0"/>
          <w:bCs w:val="0"/>
        </w:rPr>
      </w:r>
    </w:p>
    <w:p>
      <w:pPr>
        <w:spacing w:line="240" w:lineRule="auto" w:before="9"/>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r>
        <w:rPr/>
        <w:t>十、公司子公司重要事项</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after="0"/>
        <w:jc w:val="both"/>
        <w:rPr>
          <w:rFonts w:ascii="宋体" w:hAnsi="宋体" w:cs="宋体" w:eastAsia="宋体" w:hint="default"/>
          <w:sz w:val="18"/>
          <w:szCs w:val="18"/>
        </w:rPr>
        <w:sectPr>
          <w:pgSz w:w="11910" w:h="16840"/>
          <w:pgMar w:header="746" w:footer="978" w:top="1060" w:bottom="1160" w:left="1020" w:right="102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十一、公司发行公司债券的情况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Heading1"/>
        <w:spacing w:line="240" w:lineRule="auto"/>
        <w:ind w:left="2928" w:right="0"/>
        <w:jc w:val="left"/>
        <w:rPr>
          <w:b w:val="0"/>
          <w:bCs w:val="0"/>
        </w:rPr>
      </w:pPr>
      <w:bookmarkStart w:name="_bookmark5" w:id="6"/>
      <w:bookmarkEnd w:id="6"/>
      <w:r>
        <w:rPr>
          <w:b w:val="0"/>
          <w:bCs w:val="0"/>
        </w:rPr>
      </w:r>
      <w:r>
        <w:rPr/>
        <w:t>第六节</w:t>
      </w:r>
      <w:r>
        <w:rPr>
          <w:spacing w:val="-12"/>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032"/>
        <w:gridCol w:w="844"/>
        <w:gridCol w:w="844"/>
        <w:gridCol w:w="844"/>
        <w:gridCol w:w="843"/>
        <w:gridCol w:w="843"/>
        <w:gridCol w:w="843"/>
        <w:gridCol w:w="843"/>
        <w:gridCol w:w="814"/>
        <w:gridCol w:w="814"/>
      </w:tblGrid>
      <w:tr>
        <w:trPr>
          <w:trHeight w:val="402" w:hRule="exact"/>
        </w:trPr>
        <w:tc>
          <w:tcPr>
            <w:tcW w:w="2032" w:type="dxa"/>
            <w:vMerge w:val="restart"/>
            <w:tcBorders>
              <w:top w:val="single" w:sz="4" w:space="0" w:color="000000"/>
              <w:left w:val="single" w:sz="4" w:space="0" w:color="000000"/>
              <w:right w:val="single" w:sz="4" w:space="0" w:color="000000"/>
            </w:tcBorders>
            <w:shd w:val="clear" w:color="auto" w:fill="D3D3D3"/>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6"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1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032" w:type="dxa"/>
            <w:vMerge/>
            <w:tcBorders>
              <w:left w:val="single" w:sz="4" w:space="0" w:color="000000"/>
              <w:bottom w:val="single" w:sz="4" w:space="0" w:color="000000"/>
              <w:right w:val="single" w:sz="4" w:space="0" w:color="000000"/>
            </w:tcBorders>
            <w:shd w:val="clear" w:color="auto" w:fill="D3D3D3"/>
          </w:tcPr>
          <w:p>
            <w:pP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25" w:right="54"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8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58,330,78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74.95%</w:t>
            </w:r>
          </w:p>
        </w:tc>
        <w:tc>
          <w:tcPr>
            <w:tcW w:w="844"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58,330,78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74.95%</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58,330,78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74.95%</w:t>
            </w:r>
          </w:p>
        </w:tc>
        <w:tc>
          <w:tcPr>
            <w:tcW w:w="844"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58,330,78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74.95%</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58,330,78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74.95%</w:t>
            </w:r>
          </w:p>
        </w:tc>
        <w:tc>
          <w:tcPr>
            <w:tcW w:w="844"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58,330,78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74.95%</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25.05%</w:t>
            </w:r>
          </w:p>
        </w:tc>
        <w:tc>
          <w:tcPr>
            <w:tcW w:w="844"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19,500,00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25.05%</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25.05%</w:t>
            </w:r>
          </w:p>
        </w:tc>
        <w:tc>
          <w:tcPr>
            <w:tcW w:w="844"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25.05%</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77,830,78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77,830,78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r>
    </w:tbl>
    <w:p>
      <w:pPr>
        <w:spacing w:line="357" w:lineRule="auto" w:before="51"/>
        <w:ind w:left="112" w:right="8114" w:firstLine="0"/>
        <w:jc w:val="left"/>
        <w:rPr>
          <w:rFonts w:ascii="宋体" w:hAnsi="宋体" w:cs="宋体" w:eastAsia="宋体" w:hint="default"/>
          <w:sz w:val="18"/>
          <w:szCs w:val="18"/>
        </w:rPr>
      </w:pPr>
      <w:r>
        <w:rPr>
          <w:rFonts w:ascii="宋体" w:hAnsi="宋体" w:cs="宋体" w:eastAsia="宋体" w:hint="default"/>
          <w:sz w:val="18"/>
          <w:szCs w:val="18"/>
        </w:rPr>
        <w:t>股份变动的原因 不适用 股份变动的批准情况</w:t>
      </w:r>
    </w:p>
    <w:p>
      <w:pPr>
        <w:spacing w:line="348" w:lineRule="auto" w:before="29"/>
        <w:ind w:left="112" w:right="8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股份变动的过户情况 不适用</w:t>
      </w:r>
    </w:p>
    <w:p>
      <w:pPr>
        <w:spacing w:before="36"/>
        <w:ind w:left="112" w:right="0"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line="348" w:lineRule="auto" w:before="117"/>
        <w:ind w:left="112" w:right="5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公司认为必要或证券监管机构要求披露的其他内容 不适用</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68"/>
        <w:gridCol w:w="1366"/>
        <w:gridCol w:w="1367"/>
        <w:gridCol w:w="1367"/>
        <w:gridCol w:w="1368"/>
        <w:gridCol w:w="1367"/>
        <w:gridCol w:w="136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09" w:right="47"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97" w:right="46" w:hanging="449"/>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88" w:right="48" w:hanging="540"/>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bl>
    <w:p>
      <w:pPr>
        <w:spacing w:after="0" w:line="240" w:lineRule="auto"/>
        <w:jc w:val="left"/>
        <w:rPr>
          <w:rFonts w:ascii="宋体" w:hAnsi="宋体" w:cs="宋体" w:eastAsia="宋体" w:hint="default"/>
          <w:sz w:val="18"/>
          <w:szCs w:val="18"/>
        </w:rPr>
        <w:sectPr>
          <w:footerReference w:type="default" r:id="rId18"/>
          <w:pgSz w:w="11910" w:h="16840"/>
          <w:pgMar w:footer="978" w:header="746" w:top="1060" w:bottom="1160" w:left="1020" w:right="1020"/>
          <w:pgNumType w:start="30"/>
        </w:sectPr>
      </w:pPr>
    </w:p>
    <w:p>
      <w:pPr>
        <w:spacing w:line="240" w:lineRule="auto" w:before="5"/>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1368"/>
        <w:gridCol w:w="1366"/>
        <w:gridCol w:w="1367"/>
        <w:gridCol w:w="1367"/>
        <w:gridCol w:w="1368"/>
        <w:gridCol w:w="1367"/>
        <w:gridCol w:w="136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97"/>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首次公开发 行</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19,500,000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前三年历次证券发行情况的说明</w:t>
      </w:r>
    </w:p>
    <w:p>
      <w:pPr>
        <w:pStyle w:val="BodyText"/>
        <w:spacing w:line="256" w:lineRule="auto" w:before="92"/>
        <w:ind w:right="0" w:firstLine="840"/>
        <w:jc w:val="left"/>
      </w:pPr>
      <w:r>
        <w:rPr/>
        <w:t>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[2010]41</w:t>
      </w:r>
      <w:r>
        <w:rPr/>
        <w:t>号</w:t>
      </w:r>
      <w:r>
        <w:rPr>
          <w:rFonts w:ascii="Times New Roman" w:hAnsi="Times New Roman" w:cs="Times New Roman" w:eastAsia="Times New Roman" w:hint="default"/>
        </w:rPr>
        <w:t>”</w:t>
      </w:r>
      <w:r>
        <w:rPr/>
        <w:t>文核准，本公司首次公开发行</w:t>
      </w:r>
      <w:r>
        <w:rPr>
          <w:rFonts w:ascii="Times New Roman" w:hAnsi="Times New Roman" w:cs="Times New Roman" w:eastAsia="Times New Roman" w:hint="default"/>
        </w:rPr>
        <w:t>1,950</w:t>
      </w:r>
      <w:r>
        <w:rPr/>
        <w:t>万股人民币 普通股股票。</w:t>
      </w:r>
    </w:p>
    <w:p>
      <w:pPr>
        <w:pStyle w:val="BodyText"/>
        <w:spacing w:line="256" w:lineRule="auto" w:before="22"/>
        <w:ind w:right="209" w:firstLine="420"/>
        <w:jc w:val="both"/>
      </w:pPr>
      <w:r>
        <w:rPr>
          <w:spacing w:val="-7"/>
          <w:w w:val="99"/>
        </w:rPr>
        <w:t>本次发行采用网下向配售对象询价配售（以下简称</w:t>
      </w:r>
      <w:r>
        <w:rPr>
          <w:rFonts w:ascii="Times New Roman" w:hAnsi="Times New Roman" w:cs="Times New Roman" w:eastAsia="Times New Roman" w:hint="default"/>
          <w:spacing w:val="-7"/>
          <w:w w:val="99"/>
        </w:rPr>
        <w:t>“</w:t>
      </w:r>
      <w:r>
        <w:rPr>
          <w:spacing w:val="-7"/>
          <w:w w:val="99"/>
        </w:rPr>
        <w:t>网下发行</w:t>
      </w:r>
      <w:r>
        <w:rPr>
          <w:rFonts w:ascii="Times New Roman" w:hAnsi="Times New Roman" w:cs="Times New Roman" w:eastAsia="Times New Roman" w:hint="default"/>
          <w:spacing w:val="-7"/>
          <w:w w:val="99"/>
        </w:rPr>
        <w:t>”</w:t>
      </w:r>
      <w:r>
        <w:rPr>
          <w:spacing w:val="-7"/>
          <w:w w:val="99"/>
        </w:rPr>
        <w:t>）与网上资金申购定价发行（以下简称</w:t>
      </w:r>
      <w:r>
        <w:rPr>
          <w:rFonts w:ascii="Times New Roman" w:hAnsi="Times New Roman" w:cs="Times New Roman" w:eastAsia="Times New Roman" w:hint="default"/>
          <w:spacing w:val="-7"/>
          <w:w w:val="99"/>
        </w:rPr>
        <w:t>“</w:t>
      </w:r>
      <w:r>
        <w:rPr>
          <w:spacing w:val="-7"/>
          <w:w w:val="99"/>
        </w:rPr>
        <w:t>网</w:t>
      </w:r>
      <w:r>
        <w:rPr/>
        <w:t> 上发行</w:t>
      </w:r>
      <w:r>
        <w:rPr>
          <w:rFonts w:ascii="Times New Roman" w:hAnsi="Times New Roman" w:cs="Times New Roman" w:eastAsia="Times New Roman" w:hint="default"/>
        </w:rPr>
        <w:t>”</w:t>
      </w:r>
      <w:r>
        <w:rPr/>
        <w:t>）相结合的方式，其中，网下配售</w:t>
      </w:r>
      <w:r>
        <w:rPr>
          <w:rFonts w:ascii="Times New Roman" w:hAnsi="Times New Roman" w:cs="Times New Roman" w:eastAsia="Times New Roman" w:hint="default"/>
        </w:rPr>
        <w:t>390</w:t>
      </w:r>
      <w:r>
        <w:rPr/>
        <w:t>万股，网上发行</w:t>
      </w:r>
      <w:r>
        <w:rPr>
          <w:rFonts w:ascii="Times New Roman" w:hAnsi="Times New Roman" w:cs="Times New Roman" w:eastAsia="Times New Roman" w:hint="default"/>
        </w:rPr>
        <w:t>1,560</w:t>
      </w:r>
      <w:r>
        <w:rPr/>
        <w:t>万股，发行价格为</w:t>
      </w:r>
      <w:r>
        <w:rPr>
          <w:rFonts w:ascii="Times New Roman" w:hAnsi="Times New Roman" w:cs="Times New Roman" w:eastAsia="Times New Roman" w:hint="default"/>
        </w:rPr>
        <w:t>32.00</w:t>
      </w:r>
      <w:r>
        <w:rPr/>
        <w:t>元</w:t>
      </w:r>
      <w:r>
        <w:rPr>
          <w:rFonts w:ascii="Times New Roman" w:hAnsi="Times New Roman" w:cs="Times New Roman" w:eastAsia="Times New Roman" w:hint="default"/>
        </w:rPr>
        <w:t>/</w:t>
      </w:r>
      <w:r>
        <w:rPr/>
        <w:t>股。本次发</w:t>
      </w:r>
      <w:r>
        <w:rPr>
          <w:spacing w:val="-86"/>
        </w:rPr>
        <w:t> </w:t>
      </w:r>
      <w:r>
        <w:rPr>
          <w:spacing w:val="-86"/>
        </w:rPr>
      </w:r>
      <w:r>
        <w:rPr/>
        <w:t>行股票于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日完成。</w:t>
      </w:r>
    </w:p>
    <w:p>
      <w:pPr>
        <w:pStyle w:val="BodyText"/>
        <w:spacing w:line="261" w:lineRule="auto" w:before="5"/>
        <w:ind w:right="206" w:firstLine="420"/>
        <w:jc w:val="both"/>
      </w:pPr>
      <w:r>
        <w:rPr>
          <w:spacing w:val="-1"/>
        </w:rPr>
        <w:t>公司首次公开发行股票完成后，经深圳证券交易所《关于马鞍山鼎泰稀土新材料股份有限公司人民币</w:t>
      </w:r>
      <w:r>
        <w:rPr/>
        <w:t> 普通股股票上市的通知》（深证上</w:t>
      </w:r>
      <w:r>
        <w:rPr>
          <w:rFonts w:ascii="Times New Roman" w:hAnsi="Times New Roman" w:cs="Times New Roman" w:eastAsia="Times New Roman" w:hint="default"/>
        </w:rPr>
        <w:t>[2010]44</w:t>
      </w:r>
      <w:r>
        <w:rPr/>
        <w:t>号文）同意，本公司发行的人民币普通股股票在深圳证券交易</w:t>
      </w:r>
      <w:r>
        <w:rPr>
          <w:spacing w:val="-69"/>
        </w:rPr>
        <w:t> </w:t>
      </w:r>
      <w:r>
        <w:rPr>
          <w:spacing w:val="-69"/>
        </w:rPr>
      </w:r>
      <w:r>
        <w:rPr>
          <w:spacing w:val="-5"/>
        </w:rPr>
        <w:t>所上市，股票简称</w:t>
      </w:r>
      <w:r>
        <w:rPr>
          <w:rFonts w:ascii="Times New Roman" w:hAnsi="Times New Roman" w:cs="Times New Roman" w:eastAsia="Times New Roman" w:hint="default"/>
          <w:spacing w:val="-5"/>
        </w:rPr>
        <w:t>“</w:t>
      </w:r>
      <w:r>
        <w:rPr>
          <w:spacing w:val="-5"/>
        </w:rPr>
        <w:t>鼎泰新材</w:t>
      </w:r>
      <w:r>
        <w:rPr>
          <w:rFonts w:ascii="Times New Roman" w:hAnsi="Times New Roman" w:cs="Times New Roman" w:eastAsia="Times New Roman" w:hint="default"/>
          <w:spacing w:val="-5"/>
        </w:rPr>
        <w:t>”</w:t>
      </w:r>
      <w:r>
        <w:rPr>
          <w:spacing w:val="-5"/>
        </w:rPr>
        <w:t>，股票代码</w:t>
      </w:r>
      <w:r>
        <w:rPr>
          <w:rFonts w:ascii="Times New Roman" w:hAnsi="Times New Roman" w:cs="Times New Roman" w:eastAsia="Times New Roman" w:hint="default"/>
          <w:spacing w:val="-5"/>
        </w:rPr>
        <w:t>“002352”</w:t>
      </w:r>
      <w:r>
        <w:rPr>
          <w:spacing w:val="-5"/>
        </w:rPr>
        <w:t>；其中，本次公开发行中网上发行的</w:t>
      </w:r>
      <w:r>
        <w:rPr>
          <w:rFonts w:ascii="Times New Roman" w:hAnsi="Times New Roman" w:cs="Times New Roman" w:eastAsia="Times New Roman" w:hint="default"/>
          <w:spacing w:val="-5"/>
        </w:rPr>
        <w:t>1,560</w:t>
      </w:r>
      <w:r>
        <w:rPr>
          <w:spacing w:val="-5"/>
        </w:rPr>
        <w:t>万股股票于</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25"/>
        </w:rPr>
        <w:t> </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5</w:t>
      </w:r>
      <w:r>
        <w:rPr/>
        <w:t>日起上市交易。</w:t>
      </w:r>
    </w:p>
    <w:p>
      <w:pPr>
        <w:pStyle w:val="BodyText"/>
        <w:spacing w:line="256" w:lineRule="auto"/>
        <w:ind w:right="0" w:firstLine="420"/>
        <w:jc w:val="left"/>
      </w:pPr>
      <w:r>
        <w:rPr/>
        <w:t>公司首次公开发行股票并上市后，公司总股份由</w:t>
      </w:r>
      <w:r>
        <w:rPr>
          <w:rFonts w:ascii="Times New Roman" w:hAnsi="Times New Roman" w:cs="Times New Roman" w:eastAsia="Times New Roman" w:hint="default"/>
        </w:rPr>
        <w:t>5,833.078</w:t>
      </w:r>
      <w:r>
        <w:rPr/>
        <w:t>万股增加到</w:t>
      </w:r>
      <w:r>
        <w:rPr>
          <w:rFonts w:ascii="Times New Roman" w:hAnsi="Times New Roman" w:cs="Times New Roman" w:eastAsia="Times New Roman" w:hint="default"/>
        </w:rPr>
        <w:t>7,783.078</w:t>
      </w:r>
      <w:r>
        <w:rPr/>
        <w:t>万股，其中，无限售条 </w:t>
      </w:r>
      <w:r>
        <w:rPr>
          <w:spacing w:val="-1"/>
        </w:rPr>
        <w:t>件的股份数为</w:t>
      </w:r>
      <w:r>
        <w:rPr>
          <w:rFonts w:ascii="Times New Roman" w:hAnsi="Times New Roman" w:cs="Times New Roman" w:eastAsia="Times New Roman" w:hint="default"/>
          <w:spacing w:val="-1"/>
        </w:rPr>
        <w:t>1,560</w:t>
      </w:r>
      <w:r>
        <w:rPr>
          <w:spacing w:val="-1"/>
        </w:rPr>
        <w:t>万股，自</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5</w:t>
      </w:r>
      <w:r>
        <w:rPr>
          <w:spacing w:val="-1"/>
        </w:rPr>
        <w:t>日起在深圳证券交易所中小企业板上市交易，占总股本的</w:t>
      </w:r>
      <w:r>
        <w:rPr>
          <w:rFonts w:ascii="Times New Roman" w:hAnsi="Times New Roman" w:cs="Times New Roman" w:eastAsia="Times New Roman" w:hint="default"/>
          <w:spacing w:val="-1"/>
        </w:rPr>
        <w:t>20.05%</w:t>
      </w:r>
      <w:r>
        <w:rPr>
          <w:spacing w:val="-1"/>
        </w:rPr>
        <w:t>；</w:t>
      </w:r>
      <w:r>
        <w:rPr>
          <w:spacing w:val="-73"/>
        </w:rPr>
        <w:t> </w:t>
      </w:r>
      <w:r>
        <w:rPr/>
        <w:t>有限售条件的股份总数为</w:t>
      </w:r>
      <w:r>
        <w:rPr>
          <w:rFonts w:ascii="Times New Roman" w:hAnsi="Times New Roman" w:cs="Times New Roman" w:eastAsia="Times New Roman" w:hint="default"/>
        </w:rPr>
        <w:t>6,223.078</w:t>
      </w:r>
      <w:r>
        <w:rPr/>
        <w:t>万股，其中向询价对象配售的</w:t>
      </w:r>
      <w:r>
        <w:rPr>
          <w:rFonts w:ascii="Times New Roman" w:hAnsi="Times New Roman" w:cs="Times New Roman" w:eastAsia="Times New Roman" w:hint="default"/>
        </w:rPr>
        <w:t>390</w:t>
      </w:r>
      <w:r>
        <w:rPr/>
        <w:t>万股限售三个月，于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5</w:t>
      </w:r>
      <w:r>
        <w:rPr/>
        <w:t>日上</w:t>
      </w:r>
      <w:r>
        <w:rPr>
          <w:spacing w:val="-45"/>
        </w:rPr>
        <w:t> </w:t>
      </w:r>
      <w:r>
        <w:rPr>
          <w:spacing w:val="-45"/>
        </w:rPr>
      </w:r>
      <w:r>
        <w:rPr/>
        <w:t>市交易。</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4"/>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7"/>
        <w:rPr>
          <w:rFonts w:ascii="宋体" w:hAnsi="宋体" w:cs="宋体" w:eastAsia="宋体" w:hint="default"/>
          <w:b/>
          <w:bCs/>
          <w:sz w:val="26"/>
          <w:szCs w:val="26"/>
        </w:rPr>
      </w:pPr>
    </w:p>
    <w:p>
      <w:pPr>
        <w:spacing w:before="0"/>
        <w:ind w:left="0" w:right="21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0"/>
        <w:gridCol w:w="1368"/>
        <w:gridCol w:w="1368"/>
        <w:gridCol w:w="684"/>
        <w:gridCol w:w="684"/>
        <w:gridCol w:w="684"/>
        <w:gridCol w:w="684"/>
        <w:gridCol w:w="1368"/>
        <w:gridCol w:w="1368"/>
      </w:tblGrid>
      <w:tr>
        <w:trPr>
          <w:trHeight w:val="402" w:hRule="exact"/>
        </w:trPr>
        <w:tc>
          <w:tcPr>
            <w:tcW w:w="27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10,407</w:t>
            </w:r>
          </w:p>
        </w:tc>
        <w:tc>
          <w:tcPr>
            <w:tcW w:w="410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9,996</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402" w:hRule="exact"/>
        </w:trPr>
        <w:tc>
          <w:tcPr>
            <w:tcW w:w="13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报告期 末持股 数量</w:t>
            </w: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0"/>
              <w:ind w:left="66" w:right="65"/>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0"/>
              <w:ind w:left="66" w:right="65"/>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0"/>
              <w:ind w:left="66" w:right="65"/>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3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936" w:hRule="exact"/>
        </w:trPr>
        <w:tc>
          <w:tcPr>
            <w:tcW w:w="1360"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刘冀鲁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46.14%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35,908,1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35,908,1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刘凌云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9.54%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7,428,2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7,428,2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喻琴</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920"/>
        </w:sectPr>
      </w:pPr>
    </w:p>
    <w:p>
      <w:pPr>
        <w:spacing w:line="240" w:lineRule="auto" w:before="0"/>
        <w:rPr>
          <w:rFonts w:ascii="Times New Roman" w:hAnsi="Times New Roman" w:cs="Times New Roman" w:eastAsia="Times New Roman" w:hint="default"/>
          <w:sz w:val="20"/>
          <w:szCs w:val="20"/>
        </w:rPr>
      </w:pPr>
      <w:r>
        <w:rPr/>
        <w:pict>
          <v:group style="position:absolute;margin-left:193.25pt;margin-top:259.900024pt;width:341.75pt;height:35.450pt;mso-position-horizontal-relative:page;mso-position-vertical-relative:page;z-index:-626728" coordorigin="3865,5198" coordsize="6835,709">
            <v:shape style="position:absolute;left:3865;top:5198;width:6835;height:709" coordorigin="3865,5198" coordsize="6835,709" path="m3865,5198l10700,5198,10700,5907,3865,5907,3865,5198xe" filled="true" fillcolor="#ffffff" stroked="false">
              <v:path arrowok="t"/>
              <v:fill type="solid"/>
            </v:shape>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360"/>
        <w:gridCol w:w="1368"/>
        <w:gridCol w:w="1368"/>
        <w:gridCol w:w="684"/>
        <w:gridCol w:w="684"/>
        <w:gridCol w:w="684"/>
        <w:gridCol w:w="684"/>
        <w:gridCol w:w="1368"/>
        <w:gridCol w:w="1368"/>
      </w:tblGrid>
      <w:tr>
        <w:trPr>
          <w:trHeight w:val="714"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宫为平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3,401,0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3,401,0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黄学春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3.72%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2,891,7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2,891,7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唐成宽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1,700,5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1,700,5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袁福祥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850,267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850,267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850,267</w:t>
            </w:r>
          </w:p>
        </w:tc>
      </w:tr>
      <w:tr>
        <w:trPr>
          <w:trHeight w:val="402"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吴翠华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1.09%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850,267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850,267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0.68%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530,588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530,588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余明丽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0.25%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192,000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94000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192,000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名股东的情况（如有</w:t>
            </w:r>
          </w:p>
        </w:tc>
        <w:tc>
          <w:tcPr>
            <w:tcW w:w="684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不适用</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714" w:hRule="exact"/>
        </w:trPr>
        <w:tc>
          <w:tcPr>
            <w:tcW w:w="27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73"/>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0"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22"/>
              <w:jc w:val="left"/>
              <w:rPr>
                <w:rFonts w:ascii="宋体" w:hAnsi="宋体" w:cs="宋体" w:eastAsia="宋体" w:hint="default"/>
                <w:sz w:val="18"/>
                <w:szCs w:val="18"/>
              </w:rPr>
            </w:pPr>
            <w:r>
              <w:rPr>
                <w:rFonts w:ascii="宋体" w:hAnsi="宋体" w:cs="宋体" w:eastAsia="宋体" w:hint="default"/>
                <w:spacing w:val="-2"/>
                <w:sz w:val="18"/>
                <w:szCs w:val="18"/>
              </w:rPr>
              <w:t>公司董事长刘冀鲁与公司总经理刘凌云系父女关系；未知其他股东之间是否存在关联关</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系，是否属于一致行动人。</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72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4"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728" w:type="dxa"/>
            <w:gridSpan w:val="2"/>
            <w:vMerge/>
            <w:tcBorders>
              <w:left w:val="single" w:sz="4" w:space="0" w:color="000000"/>
              <w:bottom w:val="single" w:sz="4" w:space="0" w:color="000000"/>
              <w:right w:val="single" w:sz="4" w:space="0" w:color="000000"/>
            </w:tcBorders>
            <w:shd w:val="clear" w:color="auto" w:fill="D3D3D3"/>
          </w:tcPr>
          <w:p>
            <w:pPr/>
          </w:p>
        </w:tc>
        <w:tc>
          <w:tcPr>
            <w:tcW w:w="4104" w:type="dxa"/>
            <w:gridSpan w:val="5"/>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余明丽</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192,000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192,000</w:t>
            </w:r>
          </w:p>
        </w:tc>
      </w:tr>
      <w:tr>
        <w:trPr>
          <w:trHeight w:val="402"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梁仕根</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180,059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180,059</w:t>
            </w:r>
          </w:p>
        </w:tc>
      </w:tr>
      <w:tr>
        <w:trPr>
          <w:trHeight w:val="402"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逄筱玲</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w:t>
            </w:r>
          </w:p>
        </w:tc>
      </w:tr>
      <w:tr>
        <w:trPr>
          <w:trHeight w:val="402"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阮建军</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138,459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138,459</w:t>
            </w:r>
          </w:p>
        </w:tc>
      </w:tr>
      <w:tr>
        <w:trPr>
          <w:trHeight w:val="402"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深圳金安顺商贸有限公司</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130,000</w:t>
            </w:r>
          </w:p>
        </w:tc>
      </w:tr>
      <w:tr>
        <w:trPr>
          <w:trHeight w:val="402"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毕勇</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115,500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115,500</w:t>
            </w:r>
          </w:p>
        </w:tc>
      </w:tr>
      <w:tr>
        <w:trPr>
          <w:trHeight w:val="714"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73"/>
              <w:jc w:val="left"/>
              <w:rPr>
                <w:rFonts w:ascii="宋体" w:hAnsi="宋体" w:cs="宋体" w:eastAsia="宋体" w:hint="default"/>
                <w:sz w:val="18"/>
                <w:szCs w:val="18"/>
              </w:rPr>
            </w:pPr>
            <w:r>
              <w:rPr>
                <w:rFonts w:ascii="宋体" w:hAnsi="宋体" w:cs="宋体" w:eastAsia="宋体" w:hint="default"/>
                <w:sz w:val="18"/>
                <w:szCs w:val="18"/>
              </w:rPr>
              <w:t>中国银河证券股份有限公司客户 信用交易担保证券账户</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3"/>
                <w:sz w:val="18"/>
              </w:rPr>
              <w:t>111,400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3"/>
                <w:sz w:val="18"/>
              </w:rPr>
              <w:t>111,400</w:t>
            </w:r>
          </w:p>
        </w:tc>
      </w:tr>
      <w:tr>
        <w:trPr>
          <w:trHeight w:val="402"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胡振荣</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105,730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105,730</w:t>
            </w:r>
          </w:p>
        </w:tc>
      </w:tr>
      <w:tr>
        <w:trPr>
          <w:trHeight w:val="402"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林雁</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w:t>
            </w:r>
          </w:p>
        </w:tc>
      </w:tr>
      <w:tr>
        <w:trPr>
          <w:trHeight w:val="402"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陈建健</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95,630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95,630</w:t>
            </w:r>
          </w:p>
        </w:tc>
      </w:tr>
      <w:tr>
        <w:trPr>
          <w:trHeight w:val="1338" w:hRule="exact"/>
        </w:trPr>
        <w:tc>
          <w:tcPr>
            <w:tcW w:w="27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82"/>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 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 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84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5"/>
              <w:ind w:left="23" w:right="57"/>
              <w:jc w:val="left"/>
              <w:rPr>
                <w:rFonts w:ascii="宋体" w:hAnsi="宋体" w:cs="宋体" w:eastAsia="宋体" w:hint="default"/>
                <w:sz w:val="18"/>
                <w:szCs w:val="18"/>
              </w:rPr>
            </w:pPr>
            <w:r>
              <w:rPr>
                <w:rFonts w:ascii="宋体" w:hAnsi="宋体" w:cs="宋体" w:eastAsia="宋体" w:hint="default"/>
                <w:sz w:val="18"/>
                <w:szCs w:val="18"/>
              </w:rPr>
              <w:t>未知前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名无限售流通股东之间，以及前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名股东之间 是否存在关联关系或属于一致行动人。</w:t>
            </w:r>
          </w:p>
        </w:tc>
      </w:tr>
      <w:tr>
        <w:trPr>
          <w:trHeight w:val="714" w:hRule="exact"/>
        </w:trPr>
        <w:tc>
          <w:tcPr>
            <w:tcW w:w="27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84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1"/>
        <w:rPr>
          <w:rFonts w:ascii="Times New Roman" w:hAnsi="Times New Roman" w:cs="Times New Roman" w:eastAsia="Times New Roman" w:hint="default"/>
          <w:sz w:val="28"/>
          <w:szCs w:val="28"/>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0"/>
        <w:ind w:left="0" w:right="139" w:firstLine="0"/>
        <w:jc w:val="right"/>
        <w:rPr>
          <w:rFonts w:ascii="宋体" w:hAnsi="宋体" w:cs="宋体" w:eastAsia="宋体" w:hint="default"/>
          <w:sz w:val="18"/>
          <w:szCs w:val="18"/>
        </w:rPr>
      </w:pPr>
      <w:r>
        <w:rPr/>
        <w:pict>
          <v:shape style="position:absolute;margin-left:56.459999pt;margin-top:-43.288307pt;width:479.15pt;height:112.1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刘冀鲁</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月任马鞍山鼎泰稀土新材料股份有限公司董事长、总经理 党委书记，</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月至今任马鞍山鼎泰稀土新材料股份有限公司董事长、党 委书记。</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报告期控股股东变更</w:t>
      </w:r>
    </w:p>
    <w:p>
      <w:pPr>
        <w:spacing w:line="547" w:lineRule="auto" w:before="115"/>
        <w:ind w:left="112" w:right="75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b/>
          <w:bCs/>
          <w:w w:val="99"/>
          <w:sz w:val="21"/>
          <w:szCs w:val="21"/>
        </w:rPr>
        <w:t> </w:t>
      </w:r>
      <w:r>
        <w:rPr>
          <w:rFonts w:ascii="宋体" w:hAnsi="宋体" w:cs="宋体" w:eastAsia="宋体" w:hint="default"/>
          <w:sz w:val="18"/>
          <w:szCs w:val="18"/>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0"/>
        <w:ind w:left="0" w:right="139" w:firstLine="0"/>
        <w:jc w:val="right"/>
        <w:rPr>
          <w:rFonts w:ascii="宋体" w:hAnsi="宋体" w:cs="宋体" w:eastAsia="宋体" w:hint="default"/>
          <w:sz w:val="18"/>
          <w:szCs w:val="18"/>
        </w:rPr>
      </w:pPr>
      <w:r>
        <w:rPr/>
        <w:pict>
          <v:shape style="position:absolute;margin-left:56.459999pt;margin-top:-43.218285pt;width:479.15pt;height:112.1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3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刘冀鲁</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月任马鞍山鼎泰稀土新材料股份有限公司董事长、总经理 党委书记，</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月至今任马鞍山鼎泰稀土新材料股份有限公司董事长、党 委书记。</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报告期实际控制人变更</w:t>
      </w:r>
    </w:p>
    <w:p>
      <w:pPr>
        <w:spacing w:line="338" w:lineRule="auto" w:before="117"/>
        <w:ind w:left="112" w:right="5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公司与实际控制人之间的产权及控制关系的方框图</w:t>
      </w:r>
    </w:p>
    <w:p>
      <w:pPr>
        <w:spacing w:line="240" w:lineRule="auto" w:before="11"/>
        <w:rPr>
          <w:rFonts w:ascii="宋体" w:hAnsi="宋体" w:cs="宋体" w:eastAsia="宋体" w:hint="default"/>
          <w:sz w:val="14"/>
          <w:szCs w:val="14"/>
        </w:rPr>
      </w:pPr>
    </w:p>
    <w:p>
      <w:pPr>
        <w:spacing w:line="2805" w:lineRule="exact"/>
        <w:ind w:left="1316" w:right="0" w:firstLine="0"/>
        <w:rPr>
          <w:rFonts w:ascii="宋体" w:hAnsi="宋体" w:cs="宋体" w:eastAsia="宋体" w:hint="default"/>
          <w:sz w:val="20"/>
          <w:szCs w:val="20"/>
        </w:rPr>
      </w:pPr>
      <w:r>
        <w:rPr>
          <w:rFonts w:ascii="宋体" w:hAnsi="宋体" w:cs="宋体" w:eastAsia="宋体" w:hint="default"/>
          <w:position w:val="-55"/>
          <w:sz w:val="20"/>
          <w:szCs w:val="20"/>
        </w:rPr>
        <w:drawing>
          <wp:inline distT="0" distB="0" distL="0" distR="0">
            <wp:extent cx="4591318" cy="1781175"/>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9" cstate="print"/>
                    <a:stretch>
                      <a:fillRect/>
                    </a:stretch>
                  </pic:blipFill>
                  <pic:spPr>
                    <a:xfrm>
                      <a:off x="0" y="0"/>
                      <a:ext cx="4591318" cy="1781175"/>
                    </a:xfrm>
                    <a:prstGeom prst="rect">
                      <a:avLst/>
                    </a:prstGeom>
                  </pic:spPr>
                </pic:pic>
              </a:graphicData>
            </a:graphic>
          </wp:inline>
        </w:drawing>
      </w:r>
      <w:r>
        <w:rPr>
          <w:rFonts w:ascii="宋体" w:hAnsi="宋体" w:cs="宋体" w:eastAsia="宋体" w:hint="default"/>
          <w:position w:val="-55"/>
          <w:sz w:val="20"/>
          <w:szCs w:val="20"/>
        </w:rPr>
      </w:r>
    </w:p>
    <w:p>
      <w:pPr>
        <w:spacing w:line="240" w:lineRule="auto" w:before="7"/>
        <w:rPr>
          <w:rFonts w:ascii="宋体" w:hAnsi="宋体" w:cs="宋体" w:eastAsia="宋体" w:hint="default"/>
          <w:sz w:val="12"/>
          <w:szCs w:val="12"/>
        </w:rPr>
      </w:pPr>
    </w:p>
    <w:p>
      <w:pPr>
        <w:spacing w:before="0"/>
        <w:ind w:left="112"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0"/>
        <w:rPr>
          <w:rFonts w:ascii="宋体" w:hAnsi="宋体" w:cs="宋体" w:eastAsia="宋体" w:hint="default"/>
          <w:sz w:val="18"/>
          <w:szCs w:val="18"/>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四、公司股东及其一致行动人在报告期提出或实施股份增持计划的情况</w:t>
      </w:r>
      <w:r>
        <w:rPr>
          <w:b w:val="0"/>
          <w:bCs w:val="0"/>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368"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股东名称</w:t>
            </w:r>
            <w:r>
              <w:rPr>
                <w:rFonts w:ascii="Times New Roman" w:hAnsi="Times New Roman" w:cs="Times New Roman" w:eastAsia="Times New Roman" w:hint="default"/>
                <w:sz w:val="18"/>
                <w:szCs w:val="18"/>
              </w:rPr>
              <w:t>/</w:t>
            </w:r>
            <w:r>
              <w:rPr>
                <w:rFonts w:ascii="宋体" w:hAnsi="宋体" w:cs="宋体" w:eastAsia="宋体" w:hint="default"/>
                <w:sz w:val="18"/>
                <w:szCs w:val="18"/>
              </w:rPr>
              <w:t>一致行</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 w:right="0"/>
              <w:jc w:val="left"/>
              <w:rPr>
                <w:rFonts w:ascii="宋体" w:hAnsi="宋体" w:cs="宋体" w:eastAsia="宋体" w:hint="default"/>
                <w:sz w:val="18"/>
                <w:szCs w:val="18"/>
              </w:rPr>
            </w:pPr>
            <w:r>
              <w:rPr>
                <w:rFonts w:ascii="宋体" w:hAnsi="宋体" w:cs="宋体" w:eastAsia="宋体" w:hint="default"/>
                <w:sz w:val="18"/>
                <w:szCs w:val="18"/>
              </w:rPr>
              <w:t>计划增持股份数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 w:right="0"/>
              <w:jc w:val="left"/>
              <w:rPr>
                <w:rFonts w:ascii="宋体" w:hAnsi="宋体" w:cs="宋体" w:eastAsia="宋体" w:hint="default"/>
                <w:sz w:val="18"/>
                <w:szCs w:val="18"/>
              </w:rPr>
            </w:pPr>
            <w:r>
              <w:rPr>
                <w:rFonts w:ascii="宋体" w:hAnsi="宋体" w:cs="宋体" w:eastAsia="宋体" w:hint="default"/>
                <w:sz w:val="18"/>
                <w:szCs w:val="18"/>
              </w:rPr>
              <w:t>计划增持股份比</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 w:right="0"/>
              <w:jc w:val="left"/>
              <w:rPr>
                <w:rFonts w:ascii="宋体" w:hAnsi="宋体" w:cs="宋体" w:eastAsia="宋体" w:hint="default"/>
                <w:sz w:val="18"/>
                <w:szCs w:val="18"/>
              </w:rPr>
            </w:pPr>
            <w:r>
              <w:rPr>
                <w:rFonts w:ascii="宋体" w:hAnsi="宋体" w:cs="宋体" w:eastAsia="宋体" w:hint="default"/>
                <w:sz w:val="18"/>
                <w:szCs w:val="18"/>
              </w:rPr>
              <w:t>实际增持股份数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 w:right="0"/>
              <w:jc w:val="left"/>
              <w:rPr>
                <w:rFonts w:ascii="宋体" w:hAnsi="宋体" w:cs="宋体" w:eastAsia="宋体" w:hint="default"/>
                <w:sz w:val="18"/>
                <w:szCs w:val="18"/>
              </w:rPr>
            </w:pPr>
            <w:r>
              <w:rPr>
                <w:rFonts w:ascii="宋体" w:hAnsi="宋体" w:cs="宋体" w:eastAsia="宋体" w:hint="default"/>
                <w:sz w:val="18"/>
                <w:szCs w:val="18"/>
              </w:rPr>
              <w:t>实际增持股份比</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 w:right="0"/>
              <w:jc w:val="left"/>
              <w:rPr>
                <w:rFonts w:ascii="宋体" w:hAnsi="宋体" w:cs="宋体" w:eastAsia="宋体" w:hint="default"/>
                <w:sz w:val="18"/>
                <w:szCs w:val="18"/>
              </w:rPr>
            </w:pPr>
            <w:r>
              <w:rPr>
                <w:rFonts w:ascii="宋体" w:hAnsi="宋体" w:cs="宋体" w:eastAsia="宋体" w:hint="default"/>
                <w:sz w:val="18"/>
                <w:szCs w:val="18"/>
              </w:rPr>
              <w:t>股份增持计划初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 w:right="0"/>
              <w:jc w:val="left"/>
              <w:rPr>
                <w:rFonts w:ascii="宋体" w:hAnsi="宋体" w:cs="宋体" w:eastAsia="宋体" w:hint="default"/>
                <w:sz w:val="18"/>
                <w:szCs w:val="18"/>
              </w:rPr>
            </w:pPr>
            <w:r>
              <w:rPr>
                <w:rFonts w:ascii="宋体" w:hAnsi="宋体" w:cs="宋体" w:eastAsia="宋体" w:hint="default"/>
                <w:sz w:val="18"/>
                <w:szCs w:val="18"/>
              </w:rPr>
              <w:t>股份增持计划实</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36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动人姓名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量</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量</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7" w:right="0"/>
              <w:jc w:val="left"/>
              <w:rPr>
                <w:rFonts w:ascii="宋体" w:hAnsi="宋体" w:cs="宋体" w:eastAsia="宋体" w:hint="default"/>
                <w:sz w:val="18"/>
                <w:szCs w:val="18"/>
              </w:rPr>
            </w:pPr>
            <w:r>
              <w:rPr>
                <w:rFonts w:ascii="宋体" w:hAnsi="宋体" w:cs="宋体" w:eastAsia="宋体" w:hint="default"/>
                <w:sz w:val="18"/>
                <w:szCs w:val="18"/>
              </w:rPr>
              <w:t>次披露日期</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8" w:right="0"/>
              <w:jc w:val="left"/>
              <w:rPr>
                <w:rFonts w:ascii="宋体" w:hAnsi="宋体" w:cs="宋体" w:eastAsia="宋体" w:hint="default"/>
                <w:sz w:val="18"/>
                <w:szCs w:val="18"/>
              </w:rPr>
            </w:pPr>
            <w:r>
              <w:rPr>
                <w:rFonts w:ascii="宋体" w:hAnsi="宋体" w:cs="宋体" w:eastAsia="宋体" w:hint="default"/>
                <w:sz w:val="18"/>
                <w:szCs w:val="18"/>
              </w:rPr>
              <w:t>施结束披露日期</w:t>
            </w:r>
          </w:p>
        </w:tc>
      </w:tr>
    </w:tbl>
    <w:p>
      <w:pPr>
        <w:spacing w:line="360" w:lineRule="auto" w:before="50"/>
        <w:ind w:left="112" w:right="8654" w:firstLine="0"/>
        <w:jc w:val="left"/>
        <w:rPr>
          <w:rFonts w:ascii="宋体" w:hAnsi="宋体" w:cs="宋体" w:eastAsia="宋体" w:hint="default"/>
          <w:sz w:val="18"/>
          <w:szCs w:val="18"/>
        </w:rPr>
      </w:pPr>
      <w:r>
        <w:rPr>
          <w:rFonts w:ascii="宋体" w:hAnsi="宋体" w:cs="宋体" w:eastAsia="宋体" w:hint="default"/>
          <w:sz w:val="18"/>
          <w:szCs w:val="18"/>
        </w:rPr>
        <w:t>其他情况说明 不适用</w:t>
      </w:r>
    </w:p>
    <w:p>
      <w:pPr>
        <w:spacing w:after="0" w:line="360"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Heading1"/>
        <w:spacing w:line="240" w:lineRule="auto"/>
        <w:ind w:left="1644" w:right="0"/>
        <w:jc w:val="left"/>
        <w:rPr>
          <w:b w:val="0"/>
          <w:bCs w:val="0"/>
        </w:rPr>
      </w:pPr>
      <w:bookmarkStart w:name="_bookmark6" w:id="7"/>
      <w:bookmarkEnd w:id="7"/>
      <w:r>
        <w:rPr>
          <w:b w:val="0"/>
          <w:bCs w:val="0"/>
        </w:rPr>
      </w:r>
      <w:r>
        <w:rPr/>
        <w:t>第七节</w:t>
      </w:r>
      <w:r>
        <w:rPr>
          <w:spacing w:val="-16"/>
        </w:rPr>
        <w:t> </w:t>
      </w:r>
      <w:r>
        <w:rPr/>
        <w:t>董事、监事、高级管理人员和员工情况</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870"/>
        <w:gridCol w:w="870"/>
        <w:gridCol w:w="870"/>
        <w:gridCol w:w="870"/>
        <w:gridCol w:w="870"/>
        <w:gridCol w:w="868"/>
        <w:gridCol w:w="869"/>
        <w:gridCol w:w="869"/>
        <w:gridCol w:w="869"/>
        <w:gridCol w:w="869"/>
        <w:gridCol w:w="869"/>
      </w:tblGrid>
      <w:tr>
        <w:trPr>
          <w:trHeight w:val="1026" w:hRule="exact"/>
        </w:trPr>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5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70"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4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50"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49" w:right="66"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47" w:right="6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70" w:right="67"/>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0" w:right="67"/>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5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9" w:right="67"/>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5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刘冀鲁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35,908,113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35,908,113</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唐成宽</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1,700,535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1,700,535</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赵颖坤</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胡卫红</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陈炬</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吴翠华</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850,267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850,267</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方伦赞</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赵增祺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戴新民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戴卫星</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4"/>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袁福祥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850,267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850,267</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马作民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刘凌云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7,428,235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7,428,235</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宫为平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3,401,070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3,401,070</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黄学春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4" w:right="20"/>
              <w:jc w:val="left"/>
              <w:rPr>
                <w:rFonts w:ascii="宋体" w:hAnsi="宋体" w:cs="宋体" w:eastAsia="宋体" w:hint="default"/>
                <w:sz w:val="18"/>
                <w:szCs w:val="18"/>
              </w:rPr>
            </w:pPr>
            <w:r>
              <w:rPr>
                <w:rFonts w:ascii="宋体" w:hAnsi="宋体" w:cs="宋体" w:eastAsia="宋体" w:hint="default"/>
                <w:sz w:val="18"/>
                <w:szCs w:val="18"/>
              </w:rPr>
              <w:t>董秘</w:t>
            </w:r>
            <w:r>
              <w:rPr>
                <w:rFonts w:ascii="宋体" w:hAnsi="宋体" w:cs="宋体" w:eastAsia="宋体" w:hint="default"/>
                <w:spacing w:val="-87"/>
                <w:sz w:val="18"/>
                <w:szCs w:val="18"/>
              </w:rPr>
              <w:t>、</w:t>
            </w:r>
            <w:r>
              <w:rPr>
                <w:rFonts w:ascii="宋体" w:hAnsi="宋体" w:cs="宋体" w:eastAsia="宋体" w:hint="default"/>
                <w:sz w:val="18"/>
                <w:szCs w:val="18"/>
              </w:rPr>
              <w:t>财务</w:t>
            </w:r>
            <w:r>
              <w:rPr>
                <w:rFonts w:ascii="宋体" w:hAnsi="宋体" w:cs="宋体" w:eastAsia="宋体" w:hint="default"/>
                <w:sz w:val="18"/>
                <w:szCs w:val="18"/>
              </w:rPr>
              <w:t> 总监</w:t>
            </w:r>
            <w:r>
              <w:rPr>
                <w:rFonts w:ascii="宋体" w:hAnsi="宋体" w:cs="宋体" w:eastAsia="宋体" w:hint="default"/>
                <w:spacing w:val="-87"/>
                <w:sz w:val="18"/>
                <w:szCs w:val="18"/>
              </w:rPr>
              <w:t>、</w:t>
            </w:r>
            <w:r>
              <w:rPr>
                <w:rFonts w:ascii="宋体" w:hAnsi="宋体" w:cs="宋体" w:eastAsia="宋体" w:hint="default"/>
                <w:sz w:val="18"/>
                <w:szCs w:val="18"/>
              </w:rPr>
              <w:t>副总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2,891,705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2,891,705</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870"/>
        <w:gridCol w:w="870"/>
        <w:gridCol w:w="870"/>
        <w:gridCol w:w="870"/>
        <w:gridCol w:w="870"/>
        <w:gridCol w:w="868"/>
        <w:gridCol w:w="869"/>
        <w:gridCol w:w="869"/>
        <w:gridCol w:w="869"/>
        <w:gridCol w:w="869"/>
        <w:gridCol w:w="869"/>
      </w:tblGrid>
      <w:tr>
        <w:trPr>
          <w:trHeight w:val="362" w:hRule="exact"/>
        </w:trPr>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章大林</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陆江</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史志民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齐跃进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53,480,192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53,480,192</w:t>
            </w:r>
          </w:p>
        </w:tc>
      </w:tr>
    </w:tbl>
    <w:p>
      <w:pPr>
        <w:spacing w:line="240" w:lineRule="auto" w:before="1"/>
        <w:rPr>
          <w:rFonts w:ascii="宋体" w:hAnsi="宋体" w:cs="宋体" w:eastAsia="宋体" w:hint="default"/>
          <w:b/>
          <w:bCs/>
          <w:sz w:val="18"/>
          <w:szCs w:val="18"/>
        </w:rPr>
      </w:pPr>
    </w:p>
    <w:p>
      <w:pPr>
        <w:spacing w:before="26"/>
        <w:ind w:left="112" w:right="0" w:firstLine="0"/>
        <w:jc w:val="both"/>
        <w:rPr>
          <w:rFonts w:ascii="宋体" w:hAnsi="宋体" w:cs="宋体" w:eastAsia="宋体" w:hint="default"/>
          <w:sz w:val="24"/>
          <w:szCs w:val="24"/>
        </w:rPr>
      </w:pPr>
      <w:r>
        <w:rPr>
          <w:rFonts w:ascii="宋体" w:hAnsi="宋体" w:cs="宋体" w:eastAsia="宋体" w:hint="default"/>
          <w:b/>
          <w:bCs/>
          <w:sz w:val="24"/>
          <w:szCs w:val="24"/>
        </w:rPr>
        <w:t>二、任职情况</w:t>
      </w:r>
      <w:r>
        <w:rPr>
          <w:rFonts w:ascii="宋体" w:hAnsi="宋体" w:cs="宋体" w:eastAsia="宋体" w:hint="default"/>
          <w:sz w:val="24"/>
          <w:szCs w:val="24"/>
        </w:rPr>
      </w:r>
    </w:p>
    <w:p>
      <w:pPr>
        <w:spacing w:line="240" w:lineRule="auto" w:before="9"/>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公司现任董事、监事、高级管理人员最近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w:t>
      </w:r>
    </w:p>
    <w:p>
      <w:pPr>
        <w:pStyle w:val="BodyText"/>
        <w:spacing w:line="273" w:lineRule="auto" w:before="75"/>
        <w:ind w:left="532" w:right="0"/>
        <w:jc w:val="left"/>
      </w:pPr>
      <w:r>
        <w:rPr/>
        <w:t>（一）董事 刘冀鲁先生，中国国籍，无境外永久居留权。</w:t>
      </w:r>
      <w:r>
        <w:rPr>
          <w:rFonts w:ascii="Times New Roman" w:hAnsi="Times New Roman" w:cs="Times New Roman" w:eastAsia="Times New Roman" w:hint="default"/>
        </w:rPr>
        <w:t>1947</w:t>
      </w:r>
      <w:r>
        <w:rPr/>
        <w:t>年</w:t>
      </w:r>
      <w:r>
        <w:rPr>
          <w:rFonts w:ascii="Times New Roman" w:hAnsi="Times New Roman" w:cs="Times New Roman" w:eastAsia="Times New Roman" w:hint="default"/>
        </w:rPr>
        <w:t>1</w:t>
      </w:r>
      <w:r>
        <w:rPr/>
        <w:t>月出生，中共党员，大学学历，工程师，安徽</w:t>
      </w:r>
    </w:p>
    <w:p>
      <w:pPr>
        <w:pStyle w:val="BodyText"/>
        <w:spacing w:line="273" w:lineRule="auto"/>
        <w:ind w:right="111"/>
        <w:jc w:val="both"/>
      </w:pPr>
      <w:r>
        <w:rPr>
          <w:spacing w:val="-1"/>
        </w:rPr>
        <w:t>省优秀民营企业家，马鞍山市老科协副会长，安徽省冶金协会副会长，马鞍山市企业家联合会副会长，马</w:t>
      </w:r>
      <w:r>
        <w:rPr>
          <w:spacing w:val="-102"/>
        </w:rPr>
        <w:t> </w:t>
      </w:r>
      <w:r>
        <w:rPr>
          <w:spacing w:val="-102"/>
        </w:rPr>
      </w:r>
      <w:r>
        <w:rPr>
          <w:spacing w:val="-1"/>
        </w:rPr>
        <w:t>鞍山工经联常务副会长。曾任马鞍山市鼎泰金属制品公司总经理，马鞍山市鼎泰科技有限责任公司董事长</w:t>
      </w:r>
      <w:r>
        <w:rPr>
          <w:spacing w:val="-101"/>
        </w:rPr>
        <w:t> </w:t>
      </w:r>
      <w:r>
        <w:rPr>
          <w:spacing w:val="-101"/>
        </w:rPr>
      </w:r>
      <w:r>
        <w:rPr/>
        <w:t>兼总经理。现任本公司董事长、党委书记。担任本公司董事的任期为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p>
    <w:p>
      <w:pPr>
        <w:pStyle w:val="BodyText"/>
        <w:spacing w:line="256" w:lineRule="auto"/>
        <w:ind w:right="111" w:firstLine="420"/>
        <w:jc w:val="both"/>
      </w:pPr>
      <w:r>
        <w:rPr/>
        <w:t>唐成宽先生，中国国籍，无境外永久居留权。</w:t>
      </w:r>
      <w:r>
        <w:rPr>
          <w:rFonts w:ascii="Times New Roman" w:hAnsi="Times New Roman" w:cs="Times New Roman" w:eastAsia="Times New Roman" w:hint="default"/>
        </w:rPr>
        <w:t>1957</w:t>
      </w:r>
      <w:r>
        <w:rPr/>
        <w:t>年</w:t>
      </w:r>
      <w:r>
        <w:rPr>
          <w:rFonts w:ascii="Times New Roman" w:hAnsi="Times New Roman" w:cs="Times New Roman" w:eastAsia="Times New Roman" w:hint="default"/>
        </w:rPr>
        <w:t>4</w:t>
      </w:r>
      <w:r>
        <w:rPr/>
        <w:t>月出生，中共党员，大学学历，工程师。曾任 马鞍山市鼎泰科技有限责任公司副总经理。现任本公司董事。担任本公司董事的任期为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2014</w:t>
      </w:r>
      <w:r>
        <w:rPr>
          <w:rFonts w:ascii="Times New Roman" w:hAnsi="Times New Roman" w:cs="Times New Roman" w:eastAsia="Times New Roman" w:hint="default"/>
          <w:spacing w:val="16"/>
        </w:rPr>
        <w:t> </w:t>
      </w:r>
      <w:r>
        <w:rPr/>
        <w:t>年</w:t>
      </w:r>
      <w:r>
        <w:rPr>
          <w:rFonts w:ascii="Times New Roman" w:hAnsi="Times New Roman" w:cs="Times New Roman" w:eastAsia="Times New Roman" w:hint="default"/>
        </w:rPr>
        <w:t>2</w:t>
      </w:r>
      <w:r>
        <w:rPr/>
        <w:t>月。</w:t>
      </w:r>
    </w:p>
    <w:p>
      <w:pPr>
        <w:pStyle w:val="BodyText"/>
        <w:spacing w:line="261" w:lineRule="auto" w:before="5"/>
        <w:ind w:right="109" w:firstLine="420"/>
        <w:jc w:val="both"/>
      </w:pPr>
      <w:r>
        <w:rPr>
          <w:spacing w:val="-1"/>
        </w:rPr>
        <w:t>吴翠华女士，中国国籍，无境外永久居留权。</w:t>
      </w:r>
      <w:r>
        <w:rPr>
          <w:rFonts w:ascii="Times New Roman" w:hAnsi="Times New Roman" w:cs="Times New Roman" w:eastAsia="Times New Roman" w:hint="default"/>
          <w:spacing w:val="-1"/>
        </w:rPr>
        <w:t>1955</w:t>
      </w:r>
      <w:r>
        <w:rPr>
          <w:spacing w:val="-1"/>
        </w:rPr>
        <w:t>年</w:t>
      </w:r>
      <w:r>
        <w:rPr>
          <w:rFonts w:ascii="Times New Roman" w:hAnsi="Times New Roman" w:cs="Times New Roman" w:eastAsia="Times New Roman" w:hint="default"/>
          <w:spacing w:val="-1"/>
        </w:rPr>
        <w:t>11</w:t>
      </w:r>
      <w:r>
        <w:rPr>
          <w:spacing w:val="-1"/>
        </w:rPr>
        <w:t>月出生，中共党员，中专学历。曾担任马鞍山</w:t>
      </w:r>
      <w:r>
        <w:rPr/>
        <w:t> </w:t>
      </w:r>
      <w:r>
        <w:rPr>
          <w:spacing w:val="-1"/>
        </w:rPr>
        <w:t>市鼎泰金属制品公司财务主管，马鞍山鼎泰科技有限责任公司工会主席兼重庆子公司副经理。现任本公司</w:t>
      </w:r>
      <w:r>
        <w:rPr>
          <w:spacing w:val="-101"/>
        </w:rPr>
        <w:t> </w:t>
      </w:r>
      <w:r>
        <w:rPr>
          <w:spacing w:val="-101"/>
        </w:rPr>
      </w:r>
      <w:r>
        <w:rPr>
          <w:spacing w:val="6"/>
        </w:rPr>
        <w:t>董事兼全资子公司重庆市隆泰稀土新材料有限责任公司总经理。担任本公司董事的任期为</w:t>
      </w:r>
      <w:r>
        <w:rPr>
          <w:rFonts w:ascii="Times New Roman" w:hAnsi="Times New Roman" w:cs="Times New Roman" w:eastAsia="Times New Roman" w:hint="default"/>
          <w:spacing w:val="6"/>
        </w:rPr>
        <w:t>2011</w:t>
      </w:r>
      <w:r>
        <w:rPr>
          <w:spacing w:val="6"/>
        </w:rPr>
        <w:t>年</w:t>
      </w:r>
      <w:r>
        <w:rPr>
          <w:rFonts w:ascii="Times New Roman" w:hAnsi="Times New Roman" w:cs="Times New Roman" w:eastAsia="Times New Roman" w:hint="default"/>
          <w:spacing w:val="6"/>
        </w:rPr>
        <w:t>2</w:t>
      </w:r>
      <w:r>
        <w:rPr>
          <w:spacing w:val="6"/>
        </w:rPr>
        <w:t>月至</w:t>
      </w:r>
      <w:r>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p>
    <w:p>
      <w:pPr>
        <w:pStyle w:val="BodyText"/>
        <w:spacing w:line="256" w:lineRule="auto"/>
        <w:ind w:right="106" w:firstLine="420"/>
        <w:jc w:val="both"/>
      </w:pPr>
      <w:r>
        <w:rPr/>
        <w:t>赵颖坤先生，中国国籍，无境外永久居留权。</w:t>
      </w:r>
      <w:r>
        <w:rPr>
          <w:rFonts w:ascii="Times New Roman" w:hAnsi="Times New Roman" w:cs="Times New Roman" w:eastAsia="Times New Roman" w:hint="default"/>
        </w:rPr>
        <w:t>1974</w:t>
      </w:r>
      <w:r>
        <w:rPr/>
        <w:t>年</w:t>
      </w:r>
      <w:r>
        <w:rPr>
          <w:rFonts w:ascii="Times New Roman" w:hAnsi="Times New Roman" w:cs="Times New Roman" w:eastAsia="Times New Roman" w:hint="default"/>
        </w:rPr>
        <w:t>5</w:t>
      </w:r>
      <w:r>
        <w:rPr/>
        <w:t>月出生，中共党员，北京大学法学博士、北京 </w:t>
      </w:r>
      <w:r>
        <w:rPr>
          <w:spacing w:val="-1"/>
        </w:rPr>
        <w:t>大学光华管理学院博士后、牛津大学</w:t>
      </w:r>
      <w:r>
        <w:rPr>
          <w:rFonts w:ascii="Times New Roman" w:hAnsi="Times New Roman" w:cs="Times New Roman" w:eastAsia="Times New Roman" w:hint="default"/>
          <w:spacing w:val="-1"/>
        </w:rPr>
        <w:t>M.Juris</w:t>
      </w:r>
      <w:r>
        <w:rPr>
          <w:spacing w:val="-1"/>
        </w:rPr>
        <w:t>。曾任安徽省绩溪县人民政府副县长。现任教于华中科技大学</w:t>
      </w:r>
      <w:r>
        <w:rPr>
          <w:spacing w:val="-101"/>
        </w:rPr>
        <w:t> </w:t>
      </w:r>
      <w:r>
        <w:rPr>
          <w:spacing w:val="-101"/>
        </w:rPr>
      </w:r>
      <w:r>
        <w:rPr/>
        <w:t>法学院。担任本公司董事的任期为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p>
    <w:p>
      <w:pPr>
        <w:pStyle w:val="BodyText"/>
        <w:spacing w:line="264" w:lineRule="auto" w:before="5"/>
        <w:ind w:right="111" w:firstLine="420"/>
        <w:jc w:val="both"/>
      </w:pPr>
      <w:r>
        <w:rPr/>
        <w:t>陈炬先生，中国国籍，无境外永久居留权。</w:t>
      </w:r>
      <w:r>
        <w:rPr>
          <w:rFonts w:ascii="Times New Roman" w:hAnsi="Times New Roman" w:cs="Times New Roman" w:eastAsia="Times New Roman" w:hint="default"/>
        </w:rPr>
        <w:t>1956</w:t>
      </w:r>
      <w:r>
        <w:rPr/>
        <w:t>年</w:t>
      </w:r>
      <w:r>
        <w:rPr>
          <w:rFonts w:ascii="Times New Roman" w:hAnsi="Times New Roman" w:cs="Times New Roman" w:eastAsia="Times New Roman" w:hint="default"/>
        </w:rPr>
        <w:t>3</w:t>
      </w:r>
      <w:r>
        <w:rPr/>
        <w:t>月出生，大专学历。曾担任马鞍山市鼎泰金属制 </w:t>
      </w:r>
      <w:r>
        <w:rPr>
          <w:spacing w:val="-1"/>
        </w:rPr>
        <w:t>品公司销售主管。现任公司董事兼全资子公司重庆市隆泰稀土新材料有限责任公司副总经理。担任本公司</w:t>
      </w:r>
      <w:r>
        <w:rPr>
          <w:spacing w:val="-101"/>
        </w:rPr>
        <w:t> </w:t>
      </w:r>
      <w:r>
        <w:rPr>
          <w:spacing w:val="-101"/>
        </w:rPr>
      </w:r>
      <w:r>
        <w:rPr/>
        <w:t>董事的任期为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p>
    <w:p>
      <w:pPr>
        <w:pStyle w:val="BodyText"/>
        <w:spacing w:line="256" w:lineRule="auto"/>
        <w:ind w:right="109" w:firstLine="420"/>
        <w:jc w:val="both"/>
      </w:pPr>
      <w:r>
        <w:rPr>
          <w:spacing w:val="-1"/>
        </w:rPr>
        <w:t>胡卫红女士，中国国籍，无境外永久居留权。</w:t>
      </w:r>
      <w:r>
        <w:rPr>
          <w:rFonts w:ascii="Times New Roman" w:hAnsi="Times New Roman" w:cs="Times New Roman" w:eastAsia="Times New Roman" w:hint="default"/>
          <w:spacing w:val="-1"/>
        </w:rPr>
        <w:t>1968</w:t>
      </w:r>
      <w:r>
        <w:rPr>
          <w:spacing w:val="-1"/>
        </w:rPr>
        <w:t>年</w:t>
      </w:r>
      <w:r>
        <w:rPr>
          <w:rFonts w:ascii="Times New Roman" w:hAnsi="Times New Roman" w:cs="Times New Roman" w:eastAsia="Times New Roman" w:hint="default"/>
          <w:spacing w:val="-1"/>
        </w:rPr>
        <w:t>12</w:t>
      </w:r>
      <w:r>
        <w:rPr>
          <w:spacing w:val="-1"/>
        </w:rPr>
        <w:t>月出生，大专学历。现任公司董事兼合同部部</w:t>
      </w:r>
      <w:r>
        <w:rPr/>
        <w:t> 长。担任本公司董事的任期为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p>
    <w:p>
      <w:pPr>
        <w:pStyle w:val="BodyText"/>
        <w:spacing w:line="268" w:lineRule="auto" w:before="5"/>
        <w:ind w:right="109" w:firstLine="420"/>
        <w:jc w:val="both"/>
      </w:pPr>
      <w:r>
        <w:rPr>
          <w:spacing w:val="-1"/>
        </w:rPr>
        <w:t>赵增祺先生，中国国籍，无境外永久居留权。</w:t>
      </w:r>
      <w:r>
        <w:rPr>
          <w:rFonts w:ascii="Times New Roman" w:hAnsi="Times New Roman" w:cs="Times New Roman" w:eastAsia="Times New Roman" w:hint="default"/>
          <w:spacing w:val="-1"/>
        </w:rPr>
        <w:t>1955</w:t>
      </w:r>
      <w:r>
        <w:rPr>
          <w:spacing w:val="-1"/>
        </w:rPr>
        <w:t>年出生，教授级高工，博士生导师。现任包钢稀土</w:t>
      </w:r>
      <w:r>
        <w:rPr/>
        <w:t> </w:t>
      </w:r>
      <w:r>
        <w:rPr>
          <w:spacing w:val="-1"/>
        </w:rPr>
        <w:t>副总工程师，稀土冶金及功能材料国家工程研究中心主任，中国稀土学会副理事长，中国金属学会功能材</w:t>
      </w:r>
      <w:r>
        <w:rPr>
          <w:spacing w:val="-101"/>
        </w:rPr>
        <w:t> </w:t>
      </w:r>
      <w:r>
        <w:rPr>
          <w:spacing w:val="-101"/>
        </w:rPr>
      </w:r>
      <w:r>
        <w:rPr>
          <w:spacing w:val="-1"/>
        </w:rPr>
        <w:t>料专业委员会委员，中国金属学会功能材料分会特种功能材料学术委员会秘书长，中国仪器仪表学会仪表</w:t>
      </w:r>
      <w:r>
        <w:rPr/>
        <w:t> </w:t>
      </w:r>
      <w:r>
        <w:rPr>
          <w:spacing w:val="-1"/>
        </w:rPr>
        <w:t>材料学会常务理事，中国兵工学会金属材料专业委员会委员，《稀土》杂志编委会委员，内蒙古工业大学</w:t>
      </w:r>
      <w:r>
        <w:rPr>
          <w:spacing w:val="-99"/>
        </w:rPr>
        <w:t> </w:t>
      </w:r>
      <w:r>
        <w:rPr>
          <w:spacing w:val="-99"/>
        </w:rPr>
      </w:r>
      <w:r>
        <w:rPr>
          <w:spacing w:val="-1"/>
        </w:rPr>
        <w:t>和内蒙古科技大学两校的兼职教授。赵增祺先生现担任本公司第二届董事会独立董事。担任本公司独立董</w:t>
      </w:r>
      <w:r>
        <w:rPr/>
        <w:t> 事的任期为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p>
    <w:p>
      <w:pPr>
        <w:pStyle w:val="BodyText"/>
        <w:spacing w:line="264" w:lineRule="auto"/>
        <w:ind w:right="114" w:firstLine="420"/>
        <w:jc w:val="both"/>
      </w:pPr>
      <w:r>
        <w:rPr/>
        <w:t>戴新民先生，中国国籍，无境外永久居留权。</w:t>
      </w:r>
      <w:r>
        <w:rPr>
          <w:rFonts w:ascii="Times New Roman" w:hAnsi="Times New Roman" w:cs="Times New Roman" w:eastAsia="Times New Roman" w:hint="default"/>
        </w:rPr>
        <w:t>1962</w:t>
      </w:r>
      <w:r>
        <w:rPr/>
        <w:t>年</w:t>
      </w:r>
      <w:r>
        <w:rPr>
          <w:rFonts w:ascii="Times New Roman" w:hAnsi="Times New Roman" w:cs="Times New Roman" w:eastAsia="Times New Roman" w:hint="default"/>
        </w:rPr>
        <w:t>2</w:t>
      </w:r>
      <w:r>
        <w:rPr/>
        <w:t>月出生，教授，注册会计师，硕士生导师。现 </w:t>
      </w:r>
      <w:r>
        <w:rPr>
          <w:spacing w:val="-1"/>
        </w:rPr>
        <w:t>任教于南京理工大学经济管理学院。戴新民先生现担任本公司第二届董事会独立董事。担任本公司独立董</w:t>
      </w:r>
      <w:r>
        <w:rPr/>
        <w:t> 事的任期为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p>
    <w:p>
      <w:pPr>
        <w:spacing w:after="0" w:line="264" w:lineRule="auto"/>
        <w:jc w:val="both"/>
        <w:sectPr>
          <w:pgSz w:w="11910" w:h="16840"/>
          <w:pgMar w:header="746" w:footer="978" w:top="1060" w:bottom="1160" w:left="1020" w:right="1020"/>
        </w:sectPr>
      </w:pPr>
    </w:p>
    <w:p>
      <w:pPr>
        <w:spacing w:line="240" w:lineRule="auto" w:before="9"/>
        <w:rPr>
          <w:rFonts w:ascii="宋体" w:hAnsi="宋体" w:cs="宋体" w:eastAsia="宋体" w:hint="default"/>
          <w:sz w:val="24"/>
          <w:szCs w:val="24"/>
        </w:rPr>
      </w:pPr>
    </w:p>
    <w:p>
      <w:pPr>
        <w:pStyle w:val="BodyText"/>
        <w:spacing w:line="264" w:lineRule="auto" w:before="35"/>
        <w:ind w:right="111" w:firstLine="420"/>
        <w:jc w:val="both"/>
      </w:pPr>
      <w:r>
        <w:rPr>
          <w:spacing w:val="-1"/>
        </w:rPr>
        <w:t>方伦赞先生，中国国籍，无境外永久居留权。</w:t>
      </w:r>
      <w:r>
        <w:rPr>
          <w:rFonts w:ascii="Times New Roman" w:hAnsi="Times New Roman" w:cs="Times New Roman" w:eastAsia="Times New Roman" w:hint="default"/>
          <w:spacing w:val="-1"/>
        </w:rPr>
        <w:t>1939</w:t>
      </w:r>
      <w:r>
        <w:rPr>
          <w:spacing w:val="-1"/>
        </w:rPr>
        <w:t>年</w:t>
      </w:r>
      <w:r>
        <w:rPr>
          <w:rFonts w:ascii="Times New Roman" w:hAnsi="Times New Roman" w:cs="Times New Roman" w:eastAsia="Times New Roman" w:hint="default"/>
          <w:spacing w:val="-1"/>
        </w:rPr>
        <w:t>11</w:t>
      </w:r>
      <w:r>
        <w:rPr>
          <w:spacing w:val="-1"/>
        </w:rPr>
        <w:t>月出生，大学学历，高级工程师。曾任天津钢</w:t>
      </w:r>
      <w:r>
        <w:rPr/>
        <w:t> </w:t>
      </w:r>
      <w:r>
        <w:rPr>
          <w:spacing w:val="-1"/>
        </w:rPr>
        <w:t>丝绳厂总工程师，现无其他任职。方伦赞先生现担任本公司第二届董事会独立董事。担任本公司独立董事</w:t>
      </w:r>
      <w:r>
        <w:rPr>
          <w:spacing w:val="-101"/>
        </w:rPr>
        <w:t> </w:t>
      </w:r>
      <w:r>
        <w:rPr>
          <w:spacing w:val="-101"/>
        </w:rPr>
      </w:r>
      <w:r>
        <w:rPr/>
        <w:t>的任期为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p>
    <w:p>
      <w:pPr>
        <w:spacing w:line="240" w:lineRule="auto" w:before="9"/>
        <w:rPr>
          <w:rFonts w:ascii="宋体" w:hAnsi="宋体" w:cs="宋体" w:eastAsia="宋体" w:hint="default"/>
          <w:sz w:val="23"/>
          <w:szCs w:val="23"/>
        </w:rPr>
      </w:pPr>
    </w:p>
    <w:p>
      <w:pPr>
        <w:pStyle w:val="BodyText"/>
        <w:spacing w:line="273" w:lineRule="auto"/>
        <w:ind w:left="532" w:right="0"/>
        <w:jc w:val="left"/>
      </w:pPr>
      <w:r>
        <w:rPr/>
        <w:t>（二）监事 戴卫星先生，中国国籍，无境外永久居留权。</w:t>
      </w:r>
      <w:r>
        <w:rPr>
          <w:rFonts w:ascii="Times New Roman" w:hAnsi="Times New Roman" w:cs="Times New Roman" w:eastAsia="Times New Roman" w:hint="default"/>
        </w:rPr>
        <w:t>1956</w:t>
      </w:r>
      <w:r>
        <w:rPr/>
        <w:t>年</w:t>
      </w:r>
      <w:r>
        <w:rPr>
          <w:rFonts w:ascii="Times New Roman" w:hAnsi="Times New Roman" w:cs="Times New Roman" w:eastAsia="Times New Roman" w:hint="default"/>
        </w:rPr>
        <w:t>9</w:t>
      </w:r>
      <w:r>
        <w:rPr/>
        <w:t>月出生，大学学历，工程师。</w:t>
      </w:r>
      <w:r>
        <w:rPr>
          <w:rFonts w:ascii="Times New Roman" w:hAnsi="Times New Roman" w:cs="Times New Roman" w:eastAsia="Times New Roman" w:hint="default"/>
        </w:rPr>
        <w:t>1983</w:t>
      </w:r>
      <w:r>
        <w:rPr/>
        <w:t>年至</w:t>
      </w:r>
      <w:r>
        <w:rPr>
          <w:rFonts w:ascii="Times New Roman" w:hAnsi="Times New Roman" w:cs="Times New Roman" w:eastAsia="Times New Roman" w:hint="default"/>
        </w:rPr>
        <w:t>1992</w:t>
      </w:r>
      <w:r>
        <w:rPr/>
        <w:t>年</w:t>
      </w:r>
    </w:p>
    <w:p>
      <w:pPr>
        <w:pStyle w:val="BodyText"/>
        <w:spacing w:line="273" w:lineRule="auto"/>
        <w:ind w:right="0"/>
        <w:jc w:val="left"/>
      </w:pPr>
      <w:r>
        <w:rPr>
          <w:spacing w:val="-1"/>
        </w:rPr>
        <w:t>在马鞍山钢铁公司初轧厂及生产计划部工作，现任海南物博贸易公司副总经理。戴卫星先生现担任本公司</w:t>
      </w:r>
      <w:r>
        <w:rPr>
          <w:spacing w:val="-101"/>
        </w:rPr>
        <w:t> </w:t>
      </w:r>
      <w:r>
        <w:rPr>
          <w:spacing w:val="-101"/>
        </w:rPr>
      </w:r>
      <w:r>
        <w:rPr/>
        <w:t>第二届监事会主席。担任本公司监事的任期为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p>
    <w:p>
      <w:pPr>
        <w:pStyle w:val="BodyText"/>
        <w:spacing w:line="256" w:lineRule="auto"/>
        <w:ind w:right="111" w:firstLine="420"/>
        <w:jc w:val="both"/>
      </w:pPr>
      <w:r>
        <w:rPr>
          <w:spacing w:val="-1"/>
        </w:rPr>
        <w:t>袁福祥先生，中国国籍，无境外永久居留权。</w:t>
      </w:r>
      <w:r>
        <w:rPr>
          <w:rFonts w:ascii="Times New Roman" w:hAnsi="Times New Roman" w:cs="Times New Roman" w:eastAsia="Times New Roman" w:hint="default"/>
          <w:spacing w:val="-1"/>
        </w:rPr>
        <w:t>1964</w:t>
      </w:r>
      <w:r>
        <w:rPr>
          <w:spacing w:val="-1"/>
        </w:rPr>
        <w:t>年</w:t>
      </w:r>
      <w:r>
        <w:rPr>
          <w:rFonts w:ascii="Times New Roman" w:hAnsi="Times New Roman" w:cs="Times New Roman" w:eastAsia="Times New Roman" w:hint="default"/>
          <w:spacing w:val="-1"/>
        </w:rPr>
        <w:t>10</w:t>
      </w:r>
      <w:r>
        <w:rPr>
          <w:spacing w:val="-1"/>
        </w:rPr>
        <w:t>月出生，大学学历，工程师。曾任马鞍山市鼎</w:t>
      </w:r>
      <w:r>
        <w:rPr/>
        <w:t> </w:t>
      </w:r>
      <w:r>
        <w:rPr>
          <w:spacing w:val="-1"/>
        </w:rPr>
        <w:t>泰金属制品公司经理助理。袁福祥先生现担任本公司第二届监事会监事。担任本公司监事的任期为</w:t>
      </w:r>
      <w:r>
        <w:rPr>
          <w:rFonts w:ascii="Times New Roman" w:hAnsi="Times New Roman" w:cs="Times New Roman" w:eastAsia="Times New Roman" w:hint="default"/>
          <w:spacing w:val="-1"/>
        </w:rPr>
        <w:t>2011</w:t>
      </w:r>
      <w:r>
        <w:rPr>
          <w:spacing w:val="-1"/>
        </w:rPr>
        <w:t>年</w:t>
      </w:r>
      <w:r>
        <w:rPr>
          <w:spacing w:val="-100"/>
        </w:rPr>
        <w:t> </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p>
    <w:p>
      <w:pPr>
        <w:pStyle w:val="BodyText"/>
        <w:spacing w:line="264" w:lineRule="auto" w:before="5"/>
        <w:ind w:right="111" w:firstLine="420"/>
        <w:jc w:val="both"/>
      </w:pPr>
      <w:r>
        <w:rPr/>
        <w:t>马作民先生，中国国籍，无境外永久居留权。</w:t>
      </w:r>
      <w:r>
        <w:rPr>
          <w:rFonts w:ascii="Times New Roman" w:hAnsi="Times New Roman" w:cs="Times New Roman" w:eastAsia="Times New Roman" w:hint="default"/>
        </w:rPr>
        <w:t>1957</w:t>
      </w:r>
      <w:r>
        <w:rPr/>
        <w:t>年</w:t>
      </w:r>
      <w:r>
        <w:rPr>
          <w:rFonts w:ascii="Times New Roman" w:hAnsi="Times New Roman" w:cs="Times New Roman" w:eastAsia="Times New Roman" w:hint="default"/>
        </w:rPr>
        <w:t>5</w:t>
      </w:r>
      <w:r>
        <w:rPr/>
        <w:t>月出生，中共党员，大专学历。曾任职于向山 </w:t>
      </w:r>
      <w:r>
        <w:rPr>
          <w:spacing w:val="-1"/>
        </w:rPr>
        <w:t>硫铁矿，现任本公司工程部部长。马作民先生现担任本公司第二届监事会职工代表监事。担任本公司监事</w:t>
      </w:r>
      <w:r>
        <w:rPr>
          <w:spacing w:val="-101"/>
        </w:rPr>
        <w:t> </w:t>
      </w:r>
      <w:r>
        <w:rPr>
          <w:spacing w:val="-101"/>
        </w:rPr>
      </w:r>
      <w:r>
        <w:rPr/>
        <w:t>的任期为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p>
    <w:p>
      <w:pPr>
        <w:spacing w:line="240" w:lineRule="auto" w:before="9"/>
        <w:rPr>
          <w:rFonts w:ascii="宋体" w:hAnsi="宋体" w:cs="宋体" w:eastAsia="宋体" w:hint="default"/>
          <w:sz w:val="23"/>
          <w:szCs w:val="23"/>
        </w:rPr>
      </w:pPr>
    </w:p>
    <w:p>
      <w:pPr>
        <w:pStyle w:val="BodyText"/>
        <w:spacing w:line="273" w:lineRule="auto"/>
        <w:ind w:left="532" w:right="0"/>
        <w:jc w:val="left"/>
      </w:pPr>
      <w:r>
        <w:rPr/>
        <w:t>（三）高级管理人员 刘凌云女士，中国国籍，无境外永久居留权。</w:t>
      </w:r>
      <w:r>
        <w:rPr>
          <w:rFonts w:ascii="Times New Roman" w:hAnsi="Times New Roman" w:cs="Times New Roman" w:eastAsia="Times New Roman" w:hint="default"/>
        </w:rPr>
        <w:t>1976</w:t>
      </w:r>
      <w:r>
        <w:rPr/>
        <w:t>年</w:t>
      </w:r>
      <w:r>
        <w:rPr>
          <w:rFonts w:ascii="Times New Roman" w:hAnsi="Times New Roman" w:cs="Times New Roman" w:eastAsia="Times New Roman" w:hint="default"/>
        </w:rPr>
        <w:t>9</w:t>
      </w:r>
      <w:r>
        <w:rPr/>
        <w:t>月出生，研究生学历。曾任马鞍山市鼎泰科技</w:t>
      </w:r>
    </w:p>
    <w:p>
      <w:pPr>
        <w:pStyle w:val="BodyText"/>
        <w:spacing w:line="273" w:lineRule="auto"/>
        <w:ind w:right="0"/>
        <w:jc w:val="left"/>
      </w:pPr>
      <w:r>
        <w:rPr>
          <w:spacing w:val="-1"/>
        </w:rPr>
        <w:t>有限责任公司管理副总经理，公司副总经理兼董事会秘书。现任本公司总经理。担任本公司高级管理人员</w:t>
      </w:r>
      <w:r>
        <w:rPr>
          <w:spacing w:val="-101"/>
        </w:rPr>
        <w:t> </w:t>
      </w:r>
      <w:r>
        <w:rPr>
          <w:spacing w:val="-101"/>
        </w:rPr>
      </w:r>
      <w:r>
        <w:rPr/>
        <w:t>的任期为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p>
    <w:p>
      <w:pPr>
        <w:pStyle w:val="BodyText"/>
        <w:spacing w:line="264" w:lineRule="auto"/>
        <w:ind w:right="111" w:firstLine="420"/>
        <w:jc w:val="both"/>
      </w:pPr>
      <w:r>
        <w:rPr/>
        <w:t>黄学春先生，中国国籍，无境外永久居留权。</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6</w:t>
      </w:r>
      <w:r>
        <w:rPr/>
        <w:t>月出生，中共党员，大学学历，会计师。曾任 </w:t>
      </w:r>
      <w:r>
        <w:rPr>
          <w:spacing w:val="-1"/>
        </w:rPr>
        <w:t>马鞍山市鼎泰科技有限责任公司财务主办会计，公司财务总监。现任本公司副总经理、财务总监、董事会</w:t>
      </w:r>
      <w:r>
        <w:rPr>
          <w:spacing w:val="-100"/>
        </w:rPr>
        <w:t> </w:t>
      </w:r>
      <w:r>
        <w:rPr>
          <w:spacing w:val="-100"/>
        </w:rPr>
      </w:r>
      <w:r>
        <w:rPr/>
        <w:t>秘书。担任本公司高级管理人员的任期为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p>
    <w:p>
      <w:pPr>
        <w:pStyle w:val="BodyText"/>
        <w:spacing w:line="264" w:lineRule="auto"/>
        <w:ind w:right="109" w:firstLine="420"/>
        <w:jc w:val="both"/>
      </w:pPr>
      <w:r>
        <w:rPr>
          <w:spacing w:val="-1"/>
        </w:rPr>
        <w:t>宫为平先生，中国国籍，无境外永久居留权。</w:t>
      </w:r>
      <w:r>
        <w:rPr>
          <w:rFonts w:ascii="Times New Roman" w:hAnsi="Times New Roman" w:cs="Times New Roman" w:eastAsia="Times New Roman" w:hint="default"/>
          <w:spacing w:val="-1"/>
        </w:rPr>
        <w:t>1963</w:t>
      </w:r>
      <w:r>
        <w:rPr>
          <w:spacing w:val="-1"/>
        </w:rPr>
        <w:t>年</w:t>
      </w:r>
      <w:r>
        <w:rPr>
          <w:rFonts w:ascii="Times New Roman" w:hAnsi="Times New Roman" w:cs="Times New Roman" w:eastAsia="Times New Roman" w:hint="default"/>
          <w:spacing w:val="-1"/>
        </w:rPr>
        <w:t>12</w:t>
      </w:r>
      <w:r>
        <w:rPr>
          <w:spacing w:val="-1"/>
        </w:rPr>
        <w:t>月出生，中共党员，大专学历。曾任马鞍山市</w:t>
      </w:r>
      <w:r>
        <w:rPr/>
        <w:t> </w:t>
      </w:r>
      <w:r>
        <w:rPr>
          <w:spacing w:val="-1"/>
        </w:rPr>
        <w:t>鼎泰金属制品公司办公室主任，马鞍山市鼎泰科技有限责任公司经营副总经理。现任本公司副总经理。担</w:t>
      </w:r>
      <w:r>
        <w:rPr>
          <w:spacing w:val="-102"/>
        </w:rPr>
        <w:t> </w:t>
      </w:r>
      <w:r>
        <w:rPr>
          <w:spacing w:val="-102"/>
        </w:rPr>
      </w:r>
      <w:r>
        <w:rPr/>
        <w:t>任本公司高级管理人员的任期为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p>
    <w:p>
      <w:pPr>
        <w:pStyle w:val="BodyText"/>
        <w:spacing w:line="256" w:lineRule="auto"/>
        <w:ind w:right="112" w:firstLine="420"/>
        <w:jc w:val="both"/>
      </w:pPr>
      <w:r>
        <w:rPr/>
        <w:t>章大林先生，中国国籍，无境外永久居留权。</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9</w:t>
      </w:r>
      <w:r>
        <w:rPr/>
        <w:t>月出生，中共党员，大专学历。曾任马鞍山市 鼎泰科技有限责任公司生产副总经理。现任本公司副总经理。担任本公司高级管理人员的任期为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rFonts w:ascii="Times New Roman" w:hAnsi="Times New Roman" w:cs="Times New Roman" w:eastAsia="Times New Roman" w:hint="default"/>
          <w:spacing w:val="16"/>
        </w:rPr>
        <w:t> </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p>
    <w:p>
      <w:pPr>
        <w:pStyle w:val="BodyText"/>
        <w:spacing w:line="261" w:lineRule="auto" w:before="5"/>
        <w:ind w:right="111" w:firstLine="420"/>
        <w:jc w:val="both"/>
      </w:pPr>
      <w:r>
        <w:rPr/>
        <w:t>陆江先生，中国国籍，无境外永久居留权。</w:t>
      </w:r>
      <w:r>
        <w:rPr>
          <w:rFonts w:ascii="Times New Roman" w:hAnsi="Times New Roman" w:cs="Times New Roman" w:eastAsia="Times New Roman" w:hint="default"/>
        </w:rPr>
        <w:t>1955</w:t>
      </w:r>
      <w:r>
        <w:rPr/>
        <w:t>年</w:t>
      </w:r>
      <w:r>
        <w:rPr>
          <w:rFonts w:ascii="Times New Roman" w:hAnsi="Times New Roman" w:cs="Times New Roman" w:eastAsia="Times New Roman" w:hint="default"/>
        </w:rPr>
        <w:t>2</w:t>
      </w:r>
      <w:r>
        <w:rPr/>
        <w:t>月出生，中共党员，大专学历，工程师。</w:t>
      </w:r>
      <w:r>
        <w:rPr>
          <w:rFonts w:ascii="Times New Roman" w:hAnsi="Times New Roman" w:cs="Times New Roman" w:eastAsia="Times New Roman" w:hint="default"/>
        </w:rPr>
        <w:t>1972</w:t>
      </w:r>
      <w:r>
        <w:rPr/>
        <w:t>年 至</w:t>
      </w:r>
      <w:r>
        <w:rPr>
          <w:rFonts w:ascii="Times New Roman" w:hAnsi="Times New Roman" w:cs="Times New Roman" w:eastAsia="Times New Roman" w:hint="default"/>
        </w:rPr>
        <w:t>1998</w:t>
      </w:r>
      <w:r>
        <w:rPr/>
        <w:t>年在天津钢丝厂任生产部部长，</w:t>
      </w:r>
      <w:r>
        <w:rPr>
          <w:rFonts w:ascii="Times New Roman" w:hAnsi="Times New Roman" w:cs="Times New Roman" w:eastAsia="Times New Roman" w:hint="default"/>
        </w:rPr>
        <w:t>1998</w:t>
      </w:r>
      <w:r>
        <w:rPr/>
        <w:t>年至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9</w:t>
      </w:r>
      <w:r>
        <w:rPr/>
        <w:t>月在天津燎原钢绞线厂任经营部部长，曾任马鞍</w:t>
      </w:r>
      <w:r>
        <w:rPr>
          <w:spacing w:val="-44"/>
        </w:rPr>
        <w:t> </w:t>
      </w:r>
      <w:r>
        <w:rPr>
          <w:spacing w:val="-44"/>
        </w:rPr>
      </w:r>
      <w:r>
        <w:rPr>
          <w:spacing w:val="-1"/>
        </w:rPr>
        <w:t>山市鼎泰科技有限责任公司工艺设备副总经理。现任本公司副总经理。担任本公司高级管理人员的任期为</w:t>
      </w:r>
      <w:r>
        <w:rPr>
          <w:spacing w:val="-101"/>
        </w:rPr>
        <w:t> </w:t>
      </w:r>
      <w:r>
        <w:rPr>
          <w:spacing w:val="-101"/>
        </w:rPr>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p>
    <w:p>
      <w:pPr>
        <w:pStyle w:val="BodyText"/>
        <w:spacing w:line="261" w:lineRule="auto"/>
        <w:ind w:right="109" w:firstLine="420"/>
        <w:jc w:val="both"/>
      </w:pPr>
      <w:r>
        <w:rPr/>
        <w:t>史志民先生，中国国籍，无境外永久居留权。</w:t>
      </w:r>
      <w:r>
        <w:rPr>
          <w:rFonts w:ascii="Times New Roman" w:hAnsi="Times New Roman" w:cs="Times New Roman" w:eastAsia="Times New Roman" w:hint="default"/>
        </w:rPr>
        <w:t>1954</w:t>
      </w:r>
      <w:r>
        <w:rPr/>
        <w:t>年</w:t>
      </w:r>
      <w:r>
        <w:rPr>
          <w:rFonts w:ascii="Times New Roman" w:hAnsi="Times New Roman" w:cs="Times New Roman" w:eastAsia="Times New Roman" w:hint="default"/>
        </w:rPr>
        <w:t>5</w:t>
      </w:r>
      <w:r>
        <w:rPr/>
        <w:t>月出生，中共党员，大学学历，教授级高级工 程师。</w:t>
      </w:r>
      <w:r>
        <w:rPr>
          <w:rFonts w:ascii="Times New Roman" w:hAnsi="Times New Roman" w:cs="Times New Roman" w:eastAsia="Times New Roman" w:hint="default"/>
        </w:rPr>
        <w:t>1977</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6</w:t>
      </w:r>
      <w:r>
        <w:rPr/>
        <w:t>月先后在马鞍山市锅炉厂任技术工人、焊接技术员、焊接工程师，总厂全质</w:t>
      </w:r>
      <w:r>
        <w:rPr>
          <w:spacing w:val="-39"/>
        </w:rPr>
        <w:t> </w:t>
      </w:r>
      <w:r>
        <w:rPr>
          <w:spacing w:val="-39"/>
        </w:rPr>
      </w:r>
      <w:r>
        <w:rPr>
          <w:spacing w:val="-1"/>
        </w:rPr>
        <w:t>办副主任，曾任马鞍山市鼎泰科技有限责任公司总工程师。现任本公司总工程师。担任本公司高级管理人</w:t>
      </w:r>
      <w:r>
        <w:rPr>
          <w:spacing w:val="-98"/>
        </w:rPr>
        <w:t> </w:t>
      </w:r>
      <w:r>
        <w:rPr>
          <w:spacing w:val="-98"/>
        </w:rPr>
      </w:r>
      <w:r>
        <w:rPr/>
        <w:t>员的任期为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p>
    <w:p>
      <w:pPr>
        <w:pStyle w:val="BodyText"/>
        <w:spacing w:line="264" w:lineRule="auto"/>
        <w:ind w:right="111" w:firstLine="420"/>
        <w:jc w:val="both"/>
      </w:pPr>
      <w:r>
        <w:rPr/>
        <w:t>齐跃进先生，男，中国国籍，无境外永久居留权。</w:t>
      </w:r>
      <w:r>
        <w:rPr>
          <w:rFonts w:ascii="Times New Roman" w:hAnsi="Times New Roman" w:cs="Times New Roman" w:eastAsia="Times New Roman" w:hint="default"/>
        </w:rPr>
        <w:t>1965</w:t>
      </w:r>
      <w:r>
        <w:rPr/>
        <w:t>年</w:t>
      </w:r>
      <w:r>
        <w:rPr>
          <w:rFonts w:ascii="Times New Roman" w:hAnsi="Times New Roman" w:cs="Times New Roman" w:eastAsia="Times New Roman" w:hint="default"/>
        </w:rPr>
        <w:t>3</w:t>
      </w:r>
      <w:r>
        <w:rPr/>
        <w:t>月出生，中共党员，大专学历。曾任马鞍 </w:t>
      </w:r>
      <w:r>
        <w:rPr>
          <w:spacing w:val="-1"/>
        </w:rPr>
        <w:t>山鼎泰科技有限责任公司品质部部长，公司销售部副部长，公司生产部部长。现任公司副总经理。担任本</w:t>
      </w:r>
      <w:r>
        <w:rPr>
          <w:spacing w:val="-100"/>
        </w:rPr>
        <w:t> </w:t>
      </w:r>
      <w:r>
        <w:rPr>
          <w:spacing w:val="-100"/>
        </w:rPr>
      </w:r>
      <w:r>
        <w:rPr/>
        <w:t>公司高级管理人员的任期为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p>
    <w:p>
      <w:pPr>
        <w:spacing w:line="240" w:lineRule="auto" w:before="7"/>
        <w:rPr>
          <w:rFonts w:ascii="宋体" w:hAnsi="宋体" w:cs="宋体" w:eastAsia="宋体" w:hint="default"/>
          <w:sz w:val="28"/>
          <w:szCs w:val="28"/>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201"/>
        <w:gridCol w:w="3189"/>
        <w:gridCol w:w="1064"/>
        <w:gridCol w:w="1196"/>
        <w:gridCol w:w="1330"/>
        <w:gridCol w:w="1588"/>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4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39" w:right="69" w:hanging="272"/>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bl>
    <w:p>
      <w:pPr>
        <w:spacing w:after="0" w:line="316"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201"/>
        <w:gridCol w:w="3189"/>
        <w:gridCol w:w="1064"/>
        <w:gridCol w:w="1196"/>
        <w:gridCol w:w="1330"/>
        <w:gridCol w:w="1588"/>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陈炬</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重庆市隆泰稀土新材料有限责任公司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刘凌云</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重庆市隆泰稀土新材料有限责任公司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黄学春</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重庆市隆泰稀土新材料有限责任公司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章大林</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重庆市隆泰稀土新材料有限责任公司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86"/>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重庆市隆泰稀土新材料有限责任公司系公司全资子公司。</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49"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6"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43" w:right="70"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赵颖坤</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华中科技大学法学院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赵增祺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包钢集团公司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副总工程师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戴新民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南京理工大学经济管理学院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戴卫星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海南物博贸易公司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86"/>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以上董事任职单位与公司无关联关系。</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三、董事、监事、高级管理人员报酬情况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w:t>
      </w:r>
    </w:p>
    <w:p>
      <w:pPr>
        <w:spacing w:line="300" w:lineRule="auto" w:before="117"/>
        <w:ind w:left="532" w:right="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、董事、监事、高级管理人员报酬的决策程序 由公司董事会薪酬与考核委员会研究制订公司董事、监事和高级管理人员的薪酬政策、方案，股东大会审议董事、监</w:t>
      </w:r>
    </w:p>
    <w:p>
      <w:pPr>
        <w:spacing w:line="316" w:lineRule="auto" w:before="31"/>
        <w:ind w:left="112" w:right="0" w:firstLine="0"/>
        <w:jc w:val="left"/>
        <w:rPr>
          <w:rFonts w:ascii="宋体" w:hAnsi="宋体" w:cs="宋体" w:eastAsia="宋体" w:hint="default"/>
          <w:sz w:val="18"/>
          <w:szCs w:val="18"/>
        </w:rPr>
      </w:pPr>
      <w:r>
        <w:rPr>
          <w:rFonts w:ascii="宋体" w:hAnsi="宋体" w:cs="宋体" w:eastAsia="宋体" w:hint="default"/>
          <w:spacing w:val="-2"/>
          <w:sz w:val="18"/>
          <w:szCs w:val="18"/>
        </w:rPr>
        <w:t>事薪酬，董事会审议高级管理人员薪酬，公司人力资源部、财务部配合董事会薪酬与考核委员会进行公司董事、高级管理人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员薪酬方案的具体实施。</w:t>
      </w:r>
    </w:p>
    <w:p>
      <w:pPr>
        <w:spacing w:line="300" w:lineRule="auto" w:before="19"/>
        <w:ind w:left="532" w:right="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、董事、监事、高级管理人员报酬的确立依据 根据公司内部董事、内部监事与高级管理人员所承担的责任、风险、压力等，确定不同的基本年薪标准，基本年薪不</w:t>
      </w:r>
    </w:p>
    <w:p>
      <w:pPr>
        <w:spacing w:line="357" w:lineRule="auto" w:before="31"/>
        <w:ind w:left="112" w:right="2534" w:firstLine="0"/>
        <w:jc w:val="left"/>
        <w:rPr>
          <w:rFonts w:ascii="宋体" w:hAnsi="宋体" w:cs="宋体" w:eastAsia="宋体" w:hint="default"/>
          <w:sz w:val="18"/>
          <w:szCs w:val="18"/>
        </w:rPr>
      </w:pPr>
      <w:r>
        <w:rPr>
          <w:rFonts w:ascii="宋体" w:hAnsi="宋体" w:cs="宋体" w:eastAsia="宋体" w:hint="default"/>
          <w:sz w:val="18"/>
          <w:szCs w:val="18"/>
        </w:rPr>
        <w:t>浮动，按月平均发放。外部董事、独立董事、外部监事津贴数额由公司股东大会审议决定。 公司报告期内董事、监事和高级管理人员报酬情况</w:t>
      </w:r>
    </w:p>
    <w:p>
      <w:pPr>
        <w:spacing w:before="29"/>
        <w:ind w:left="0" w:right="11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6"/>
        <w:gridCol w:w="1196"/>
        <w:gridCol w:w="1196"/>
        <w:gridCol w:w="1196"/>
        <w:gridCol w:w="1196"/>
        <w:gridCol w:w="1196"/>
        <w:gridCol w:w="1196"/>
        <w:gridCol w:w="1196"/>
      </w:tblGrid>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52" w:right="53"/>
              <w:jc w:val="left"/>
              <w:rPr>
                <w:rFonts w:ascii="宋体" w:hAnsi="宋体" w:cs="宋体" w:eastAsia="宋体" w:hint="default"/>
                <w:sz w:val="18"/>
                <w:szCs w:val="18"/>
              </w:rPr>
            </w:pPr>
            <w:r>
              <w:rPr>
                <w:rFonts w:ascii="宋体" w:hAnsi="宋体" w:cs="宋体" w:eastAsia="宋体" w:hint="default"/>
                <w:sz w:val="18"/>
                <w:szCs w:val="18"/>
              </w:rPr>
              <w:t>从公司获得的 应付报酬总额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53" w:right="50"/>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33" w:right="51" w:hanging="180"/>
              <w:jc w:val="left"/>
              <w:rPr>
                <w:rFonts w:ascii="宋体" w:hAnsi="宋体" w:cs="宋体" w:eastAsia="宋体" w:hint="default"/>
                <w:sz w:val="18"/>
                <w:szCs w:val="18"/>
              </w:rPr>
            </w:pPr>
            <w:r>
              <w:rPr>
                <w:rFonts w:ascii="宋体" w:hAnsi="宋体" w:cs="宋体" w:eastAsia="宋体" w:hint="default"/>
                <w:sz w:val="18"/>
                <w:szCs w:val="18"/>
              </w:rPr>
              <w:t>报告期末实际 获得报酬</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刘冀鲁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8.18</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196"/>
        <w:gridCol w:w="1196"/>
        <w:gridCol w:w="1196"/>
        <w:gridCol w:w="1196"/>
        <w:gridCol w:w="1196"/>
        <w:gridCol w:w="1196"/>
        <w:gridCol w:w="1196"/>
        <w:gridCol w:w="1196"/>
      </w:tblGrid>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唐成宽</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6.18</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吴翠华</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3.01</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胡卫红</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4.48</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陈炬</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7.18</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赵颖坤</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方伦赞</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赵增祺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戴新民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戴卫星</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袁福祥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3.01</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马作民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4.98</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刘凌云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6.18</w:t>
            </w:r>
          </w:p>
        </w:tc>
      </w:tr>
      <w:tr>
        <w:trPr>
          <w:trHeight w:val="102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黄学春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82"/>
              <w:jc w:val="both"/>
              <w:rPr>
                <w:rFonts w:ascii="宋体" w:hAnsi="宋体" w:cs="宋体" w:eastAsia="宋体" w:hint="default"/>
                <w:sz w:val="18"/>
                <w:szCs w:val="18"/>
              </w:rPr>
            </w:pPr>
            <w:r>
              <w:rPr>
                <w:rFonts w:ascii="宋体" w:hAnsi="宋体" w:cs="宋体" w:eastAsia="宋体" w:hint="default"/>
                <w:sz w:val="18"/>
                <w:szCs w:val="18"/>
              </w:rPr>
              <w:t>副总经理、财 务总监、董事 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6.18</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宫为平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6.18</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章大林</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7.78</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陆江</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6.18</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史志民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6.18</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齐跃进</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6.62</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100.82</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四、报告期核心技术团队或关键技术人员变动情况（非董事、监事、高级管理人员）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报告期内，公司核心技术团队或关键技术人员未发生变动。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pStyle w:val="BodyText"/>
        <w:spacing w:line="256" w:lineRule="auto"/>
        <w:ind w:right="0" w:firstLine="420"/>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日，公司及全资子公司在职员工总数为</w:t>
      </w:r>
      <w:r>
        <w:rPr>
          <w:rFonts w:ascii="Times New Roman" w:hAnsi="Times New Roman" w:cs="Times New Roman" w:eastAsia="Times New Roman" w:hint="default"/>
        </w:rPr>
        <w:t>811</w:t>
      </w:r>
      <w:r>
        <w:rPr/>
        <w:t>人，其中全资子公司重庆市隆泰稀土新 材料有限责任公司</w:t>
      </w:r>
      <w:r>
        <w:rPr>
          <w:rFonts w:ascii="Times New Roman" w:hAnsi="Times New Roman" w:cs="Times New Roman" w:eastAsia="Times New Roman" w:hint="default"/>
        </w:rPr>
        <w:t>207</w:t>
      </w:r>
      <w:r>
        <w:rPr/>
        <w:t>人，各类人员构成情况如下：</w:t>
      </w:r>
    </w:p>
    <w:p>
      <w:pPr>
        <w:pStyle w:val="BodyText"/>
        <w:spacing w:line="240" w:lineRule="auto" w:before="5"/>
        <w:ind w:left="532" w:right="0"/>
        <w:jc w:val="left"/>
      </w:pPr>
      <w:r>
        <w:rPr>
          <w:rFonts w:ascii="Times New Roman" w:hAnsi="Times New Roman" w:cs="Times New Roman" w:eastAsia="Times New Roman" w:hint="default"/>
        </w:rPr>
        <w:t>1</w:t>
      </w:r>
      <w:r>
        <w:rPr/>
        <w:t>、按学历划分</w:t>
      </w:r>
    </w:p>
    <w:p>
      <w:pPr>
        <w:spacing w:after="0" w:line="240" w:lineRule="auto"/>
        <w:jc w:val="left"/>
        <w:sectPr>
          <w:pgSz w:w="11910" w:h="16840"/>
          <w:pgMar w:header="746" w:footer="978" w:top="1060" w:bottom="1160" w:left="102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spacing w:line="4440" w:lineRule="exact"/>
        <w:ind w:left="114" w:right="0" w:firstLine="0"/>
        <w:rPr>
          <w:rFonts w:ascii="宋体" w:hAnsi="宋体" w:cs="宋体" w:eastAsia="宋体" w:hint="default"/>
          <w:sz w:val="20"/>
          <w:szCs w:val="20"/>
        </w:rPr>
      </w:pPr>
      <w:r>
        <w:rPr>
          <w:rFonts w:ascii="宋体" w:hAnsi="宋体" w:cs="宋体" w:eastAsia="宋体" w:hint="default"/>
          <w:position w:val="-88"/>
          <w:sz w:val="20"/>
          <w:szCs w:val="20"/>
        </w:rPr>
        <w:drawing>
          <wp:inline distT="0" distB="0" distL="0" distR="0">
            <wp:extent cx="6486525" cy="2819400"/>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21" cstate="print"/>
                    <a:stretch>
                      <a:fillRect/>
                    </a:stretch>
                  </pic:blipFill>
                  <pic:spPr>
                    <a:xfrm>
                      <a:off x="0" y="0"/>
                      <a:ext cx="6486525" cy="2819400"/>
                    </a:xfrm>
                    <a:prstGeom prst="rect">
                      <a:avLst/>
                    </a:prstGeom>
                  </pic:spPr>
                </pic:pic>
              </a:graphicData>
            </a:graphic>
          </wp:inline>
        </w:drawing>
      </w:r>
      <w:r>
        <w:rPr>
          <w:rFonts w:ascii="宋体" w:hAnsi="宋体" w:cs="宋体" w:eastAsia="宋体" w:hint="default"/>
          <w:position w:val="-88"/>
          <w:sz w:val="20"/>
          <w:szCs w:val="20"/>
        </w:rPr>
      </w:r>
    </w:p>
    <w:p>
      <w:pPr>
        <w:spacing w:line="240" w:lineRule="auto" w:before="3"/>
        <w:rPr>
          <w:rFonts w:ascii="宋体" w:hAnsi="宋体" w:cs="宋体" w:eastAsia="宋体" w:hint="default"/>
          <w:sz w:val="29"/>
          <w:szCs w:val="29"/>
        </w:rPr>
      </w:pPr>
    </w:p>
    <w:p>
      <w:pPr>
        <w:pStyle w:val="BodyText"/>
        <w:spacing w:line="240" w:lineRule="auto" w:before="35"/>
        <w:ind w:left="532" w:right="0"/>
        <w:jc w:val="left"/>
      </w:pPr>
      <w:r>
        <w:rPr>
          <w:rFonts w:ascii="Times New Roman" w:hAnsi="Times New Roman" w:cs="Times New Roman" w:eastAsia="Times New Roman" w:hint="default"/>
        </w:rPr>
        <w:t>2</w:t>
      </w:r>
      <w:r>
        <w:rPr/>
        <w:t>、按职能划分</w:t>
      </w:r>
    </w:p>
    <w:p>
      <w:pPr>
        <w:spacing w:line="240" w:lineRule="auto" w:before="5"/>
        <w:rPr>
          <w:rFonts w:ascii="宋体" w:hAnsi="宋体" w:cs="宋体" w:eastAsia="宋体" w:hint="default"/>
          <w:sz w:val="8"/>
          <w:szCs w:val="8"/>
        </w:rPr>
      </w:pPr>
    </w:p>
    <w:p>
      <w:pPr>
        <w:spacing w:line="4530" w:lineRule="exact"/>
        <w:ind w:left="114" w:right="0" w:firstLine="0"/>
        <w:rPr>
          <w:rFonts w:ascii="宋体" w:hAnsi="宋体" w:cs="宋体" w:eastAsia="宋体" w:hint="default"/>
          <w:sz w:val="20"/>
          <w:szCs w:val="20"/>
        </w:rPr>
      </w:pPr>
      <w:r>
        <w:rPr>
          <w:rFonts w:ascii="宋体" w:hAnsi="宋体" w:cs="宋体" w:eastAsia="宋体" w:hint="default"/>
          <w:position w:val="-90"/>
          <w:sz w:val="20"/>
          <w:szCs w:val="20"/>
        </w:rPr>
        <w:drawing>
          <wp:inline distT="0" distB="0" distL="0" distR="0">
            <wp:extent cx="6534150" cy="2876550"/>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22" cstate="print"/>
                    <a:stretch>
                      <a:fillRect/>
                    </a:stretch>
                  </pic:blipFill>
                  <pic:spPr>
                    <a:xfrm>
                      <a:off x="0" y="0"/>
                      <a:ext cx="6534150" cy="2876550"/>
                    </a:xfrm>
                    <a:prstGeom prst="rect">
                      <a:avLst/>
                    </a:prstGeom>
                  </pic:spPr>
                </pic:pic>
              </a:graphicData>
            </a:graphic>
          </wp:inline>
        </w:drawing>
      </w:r>
      <w:r>
        <w:rPr>
          <w:rFonts w:ascii="宋体" w:hAnsi="宋体" w:cs="宋体" w:eastAsia="宋体" w:hint="default"/>
          <w:position w:val="-90"/>
          <w:sz w:val="20"/>
          <w:szCs w:val="20"/>
        </w:rPr>
      </w:r>
    </w:p>
    <w:p>
      <w:pPr>
        <w:spacing w:line="240" w:lineRule="auto" w:before="7"/>
        <w:rPr>
          <w:rFonts w:ascii="宋体" w:hAnsi="宋体" w:cs="宋体" w:eastAsia="宋体" w:hint="default"/>
          <w:sz w:val="28"/>
          <w:szCs w:val="28"/>
        </w:rPr>
      </w:pPr>
    </w:p>
    <w:p>
      <w:pPr>
        <w:pStyle w:val="BodyText"/>
        <w:spacing w:line="240" w:lineRule="auto"/>
        <w:ind w:left="532" w:right="0"/>
        <w:jc w:val="left"/>
      </w:pPr>
      <w:r>
        <w:rPr>
          <w:rFonts w:ascii="Times New Roman" w:hAnsi="Times New Roman" w:cs="Times New Roman" w:eastAsia="Times New Roman" w:hint="default"/>
        </w:rPr>
        <w:t>3</w:t>
      </w:r>
      <w:r>
        <w:rPr/>
        <w:t>、公司没有需要承担的离退休人员。</w:t>
      </w:r>
    </w:p>
    <w:p>
      <w:pPr>
        <w:spacing w:line="240" w:lineRule="auto" w:before="6"/>
        <w:rPr>
          <w:rFonts w:ascii="宋体" w:hAnsi="宋体" w:cs="宋体" w:eastAsia="宋体" w:hint="default"/>
          <w:sz w:val="25"/>
          <w:szCs w:val="25"/>
        </w:rPr>
      </w:pPr>
    </w:p>
    <w:p>
      <w:pPr>
        <w:pStyle w:val="BodyText"/>
        <w:spacing w:line="256" w:lineRule="auto"/>
        <w:ind w:left="532" w:right="0"/>
        <w:jc w:val="left"/>
      </w:pPr>
      <w:r>
        <w:rPr>
          <w:rFonts w:ascii="Times New Roman" w:hAnsi="Times New Roman" w:cs="Times New Roman" w:eastAsia="Times New Roman" w:hint="default"/>
        </w:rPr>
        <w:t>4</w:t>
      </w:r>
      <w:r>
        <w:rPr/>
        <w:t>、员工薪酬政策 </w:t>
      </w:r>
      <w:r>
        <w:rPr>
          <w:spacing w:val="-1"/>
        </w:rPr>
        <w:t>公司严格按照《中华人民共和国劳动合同法》和有关劳动法律法规的规定，向员工提供稳定而具有竞</w:t>
      </w:r>
    </w:p>
    <w:p>
      <w:pPr>
        <w:pStyle w:val="BodyText"/>
        <w:spacing w:line="240" w:lineRule="auto" w:before="22"/>
        <w:ind w:right="0"/>
        <w:jc w:val="left"/>
      </w:pPr>
      <w:r>
        <w:rPr/>
        <w:t>争力的薪酬，以充分调动员工的积极性和创造性。</w:t>
      </w:r>
    </w:p>
    <w:p>
      <w:pPr>
        <w:spacing w:line="240" w:lineRule="auto" w:before="9"/>
        <w:rPr>
          <w:rFonts w:ascii="宋体" w:hAnsi="宋体" w:cs="宋体" w:eastAsia="宋体" w:hint="default"/>
          <w:sz w:val="26"/>
          <w:szCs w:val="26"/>
        </w:rPr>
      </w:pPr>
    </w:p>
    <w:p>
      <w:pPr>
        <w:pStyle w:val="BodyText"/>
        <w:spacing w:line="256" w:lineRule="auto"/>
        <w:ind w:left="532" w:right="0"/>
        <w:jc w:val="left"/>
      </w:pPr>
      <w:r>
        <w:rPr>
          <w:rFonts w:ascii="Times New Roman" w:hAnsi="Times New Roman" w:cs="Times New Roman" w:eastAsia="Times New Roman" w:hint="default"/>
        </w:rPr>
        <w:t>5</w:t>
      </w:r>
      <w:r>
        <w:rPr/>
        <w:t>、员工培训计划 </w:t>
      </w:r>
      <w:r>
        <w:rPr>
          <w:spacing w:val="-1"/>
        </w:rPr>
        <w:t>公司把提高员工素质作为企业发展的重要前提和基础，采用内部培训与外派培训相结合的培训方式，</w:t>
      </w:r>
    </w:p>
    <w:p>
      <w:pPr>
        <w:pStyle w:val="BodyText"/>
        <w:spacing w:line="273" w:lineRule="auto" w:before="22"/>
        <w:ind w:right="0"/>
        <w:jc w:val="left"/>
      </w:pPr>
      <w:r>
        <w:rPr>
          <w:spacing w:val="-4"/>
        </w:rPr>
        <w:t>以公司人力资源部统一培训与职能部门业务培训、员工岗位技能培训相结合的方式，提高公司的培训实效。</w:t>
      </w:r>
      <w:r>
        <w:rPr>
          <w:spacing w:val="-64"/>
        </w:rPr>
        <w:t> </w:t>
      </w:r>
      <w:r>
        <w:rPr>
          <w:spacing w:val="-64"/>
        </w:rPr>
      </w:r>
      <w:r>
        <w:rPr/>
        <w:t>公司每年会根据员工需求以及公司发展目标，制定年度培训计划，从素质能力、工作技能、管理知识、企</w:t>
      </w:r>
      <w:r>
        <w:rPr/>
        <w:t> 业文化、安全知识、环境保护等方面，对员工进行培训教育。</w:t>
      </w:r>
    </w:p>
    <w:p>
      <w:pPr>
        <w:spacing w:after="0" w:line="273" w:lineRule="auto"/>
        <w:jc w:val="left"/>
        <w:sectPr>
          <w:footerReference w:type="default" r:id="rId20"/>
          <w:pgSz w:w="11910" w:h="16840"/>
          <w:pgMar w:footer="978" w:header="746" w:top="1060" w:bottom="1160" w:left="1020" w:right="380"/>
          <w:pgNumType w:start="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Heading1"/>
        <w:spacing w:line="240" w:lineRule="auto"/>
        <w:ind w:left="3713" w:right="3829"/>
        <w:jc w:val="center"/>
        <w:rPr>
          <w:b w:val="0"/>
          <w:bCs w:val="0"/>
        </w:rPr>
      </w:pPr>
      <w:bookmarkStart w:name="_bookmark7" w:id="8"/>
      <w:bookmarkEnd w:id="8"/>
      <w:r>
        <w:rPr>
          <w:b w:val="0"/>
          <w:bCs w:val="0"/>
        </w:rPr>
      </w:r>
      <w:r>
        <w:rPr/>
        <w:t>第八节</w:t>
      </w:r>
      <w:r>
        <w:rPr>
          <w:spacing w:val="-6"/>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both"/>
        <w:rPr>
          <w:b w:val="0"/>
          <w:bCs w:val="0"/>
        </w:rPr>
      </w:pPr>
      <w:r>
        <w:rPr/>
        <w:t>一、公司治理的基本状况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32" w:right="96"/>
        <w:jc w:val="left"/>
      </w:pPr>
      <w:r>
        <w:rPr>
          <w:spacing w:val="-3"/>
        </w:rPr>
        <w:t>公司严格按照《公司法》、《证券法》、《上市公司治理准则》、《深圳证券交易所股票上市规则》、</w:t>
      </w:r>
    </w:p>
    <w:p>
      <w:pPr>
        <w:pStyle w:val="BodyText"/>
        <w:spacing w:line="273" w:lineRule="auto" w:before="37"/>
        <w:ind w:right="211"/>
        <w:jc w:val="both"/>
      </w:pPr>
      <w:r>
        <w:rPr>
          <w:spacing w:val="-1"/>
        </w:rPr>
        <w:t>《中小企业板上市公司规范运作指引》和中国证监会及深圳证券交易所颁布的其他相关法律法规的要求，</w:t>
      </w:r>
      <w:r>
        <w:rPr>
          <w:spacing w:val="-80"/>
        </w:rPr>
        <w:t> </w:t>
      </w:r>
      <w:r>
        <w:rPr>
          <w:spacing w:val="-80"/>
        </w:rPr>
      </w:r>
      <w:r>
        <w:rPr>
          <w:spacing w:val="-1"/>
        </w:rPr>
        <w:t>制定《公司章程》及其他内部控制规章制度，完善公司内部法人治理结构，健全内部管理制度，规范公司</w:t>
      </w:r>
      <w:r>
        <w:rPr/>
        <w:t> 行为。公司的治理结构符合中国证监会关于上市公司治理的相关规范性文件。</w:t>
      </w:r>
    </w:p>
    <w:p>
      <w:pPr>
        <w:pStyle w:val="BodyText"/>
        <w:spacing w:line="256" w:lineRule="auto" w:before="7"/>
        <w:ind w:left="532" w:right="96"/>
        <w:jc w:val="left"/>
      </w:pPr>
      <w:r>
        <w:rPr>
          <w:rFonts w:ascii="Times New Roman" w:hAnsi="Times New Roman" w:cs="Times New Roman" w:eastAsia="Times New Roman" w:hint="default"/>
        </w:rPr>
        <w:t>1</w:t>
      </w:r>
      <w:r>
        <w:rPr/>
        <w:t>、关于股东、股东大会 </w:t>
      </w:r>
      <w:r>
        <w:rPr>
          <w:spacing w:val="-1"/>
        </w:rPr>
        <w:t>报告期内，公司严格按照《证券法》、《公司法》等法律法规的要求及公司制定的《股东大会议事规</w:t>
      </w:r>
    </w:p>
    <w:p>
      <w:pPr>
        <w:pStyle w:val="BodyText"/>
        <w:spacing w:line="273" w:lineRule="auto" w:before="22"/>
        <w:ind w:right="231"/>
        <w:jc w:val="both"/>
      </w:pPr>
      <w:r>
        <w:rPr>
          <w:spacing w:val="-1"/>
        </w:rPr>
        <w:t>则》，规范股东大会召集、召开、表决程序，切实保证中小股东的权益，平等对待所有投资者，使他们能</w:t>
      </w:r>
      <w:r>
        <w:rPr/>
        <w:t> </w:t>
      </w:r>
      <w:r>
        <w:rPr>
          <w:spacing w:val="-1"/>
        </w:rPr>
        <w:t>够充分行使自己的权利。聘请律师列席股东大会并对股东大会的召开和表决程序出具法律意见书，充分尊</w:t>
      </w:r>
      <w:r>
        <w:rPr>
          <w:spacing w:val="-101"/>
        </w:rPr>
        <w:t> </w:t>
      </w:r>
      <w:r>
        <w:rPr>
          <w:spacing w:val="-101"/>
        </w:rPr>
      </w:r>
      <w:r>
        <w:rPr/>
        <w:t>重和维护全体股东的合法权益。</w:t>
      </w:r>
    </w:p>
    <w:p>
      <w:pPr>
        <w:pStyle w:val="BodyText"/>
        <w:spacing w:line="256" w:lineRule="auto" w:before="7"/>
        <w:ind w:left="532" w:right="96"/>
        <w:jc w:val="left"/>
      </w:pPr>
      <w:r>
        <w:rPr>
          <w:rFonts w:ascii="Times New Roman" w:hAnsi="Times New Roman" w:cs="Times New Roman" w:eastAsia="Times New Roman" w:hint="default"/>
        </w:rPr>
        <w:t>2</w:t>
      </w:r>
      <w:r>
        <w:rPr/>
        <w:t>、关于控股股东与公司 </w:t>
      </w:r>
      <w:r>
        <w:rPr>
          <w:spacing w:val="-1"/>
        </w:rPr>
        <w:t>公司控股股东严格根据《上市公司治理准则》、《深圳证券交易所股票上市规则》、《公司章程》规</w:t>
      </w:r>
    </w:p>
    <w:p>
      <w:pPr>
        <w:pStyle w:val="BodyText"/>
        <w:spacing w:line="273" w:lineRule="auto" w:before="22"/>
        <w:ind w:right="231"/>
        <w:jc w:val="both"/>
      </w:pPr>
      <w:r>
        <w:rPr>
          <w:spacing w:val="-1"/>
        </w:rPr>
        <w:t>范股东行为，通过股东大会行使股东权利，未发生超越股东大会及董事会而直接或间接干预公司经营与决</w:t>
      </w:r>
      <w:r>
        <w:rPr>
          <w:spacing w:val="-101"/>
        </w:rPr>
        <w:t> </w:t>
      </w:r>
      <w:r>
        <w:rPr>
          <w:spacing w:val="-101"/>
        </w:rPr>
      </w:r>
      <w:r>
        <w:rPr/>
        <w:t>策的行为。</w:t>
      </w:r>
    </w:p>
    <w:p>
      <w:pPr>
        <w:pStyle w:val="BodyText"/>
        <w:spacing w:line="256" w:lineRule="auto" w:before="7"/>
        <w:ind w:left="532" w:right="96"/>
        <w:jc w:val="left"/>
      </w:pPr>
      <w:r>
        <w:rPr>
          <w:rFonts w:ascii="Times New Roman" w:hAnsi="Times New Roman" w:cs="Times New Roman" w:eastAsia="Times New Roman" w:hint="default"/>
        </w:rPr>
        <w:t>3</w:t>
      </w:r>
      <w:r>
        <w:rPr/>
        <w:t>、关于董事与董事会 </w:t>
      </w:r>
      <w:r>
        <w:rPr>
          <w:spacing w:val="-1"/>
        </w:rPr>
        <w:t>公司严格按照《公司法》、《公司章程》及《上市公司股东大会规范性意见》等相关法律法规选举产</w:t>
      </w:r>
    </w:p>
    <w:p>
      <w:pPr>
        <w:pStyle w:val="BodyText"/>
        <w:spacing w:line="273" w:lineRule="auto" w:before="22"/>
        <w:ind w:left="549" w:right="96" w:hanging="437"/>
        <w:jc w:val="left"/>
      </w:pPr>
      <w:r>
        <w:rPr/>
        <w:t>生董事人选，董事会人数及人员构成符合法律法规的要求。 </w:t>
      </w:r>
      <w:r>
        <w:rPr>
          <w:spacing w:val="-2"/>
        </w:rPr>
        <w:t>公司董事会严格按照《公司章程》、《独立董事工作制度》及《董事会议事规则》、《深圳交易所中</w:t>
      </w:r>
    </w:p>
    <w:p>
      <w:pPr>
        <w:pStyle w:val="BodyText"/>
        <w:spacing w:line="273" w:lineRule="auto" w:before="7"/>
        <w:ind w:right="229"/>
        <w:jc w:val="both"/>
      </w:pPr>
      <w:r>
        <w:rPr>
          <w:spacing w:val="-1"/>
        </w:rPr>
        <w:t>小企业板块上市公司董事行为指引》等相关规定召集召开董事会，各董事认真出席董事会，认真审议各项</w:t>
      </w:r>
      <w:r>
        <w:rPr>
          <w:spacing w:val="-98"/>
        </w:rPr>
        <w:t> </w:t>
      </w:r>
      <w:r>
        <w:rPr>
          <w:spacing w:val="-98"/>
        </w:rPr>
      </w:r>
      <w:r>
        <w:rPr>
          <w:spacing w:val="-1"/>
        </w:rPr>
        <w:t>议案，履行职责，勤勉尽责。独立董事独立履行职责，维护公司整体利益，对重要及重大事项发表独立意</w:t>
      </w:r>
      <w:r>
        <w:rPr>
          <w:spacing w:val="-99"/>
        </w:rPr>
        <w:t> </w:t>
      </w:r>
      <w:r>
        <w:rPr>
          <w:spacing w:val="-99"/>
        </w:rPr>
      </w:r>
      <w:r>
        <w:rPr/>
        <w:t>见。</w:t>
      </w:r>
    </w:p>
    <w:p>
      <w:pPr>
        <w:pStyle w:val="BodyText"/>
        <w:spacing w:line="256" w:lineRule="auto" w:before="7"/>
        <w:ind w:left="744" w:right="96" w:hanging="195"/>
        <w:jc w:val="left"/>
      </w:pPr>
      <w:r>
        <w:rPr>
          <w:rFonts w:ascii="Times New Roman" w:hAnsi="Times New Roman" w:cs="Times New Roman" w:eastAsia="Times New Roman" w:hint="default"/>
        </w:rPr>
        <w:t>4</w:t>
      </w:r>
      <w:r>
        <w:rPr/>
        <w:t>、关于监事与监事会 </w:t>
      </w:r>
      <w:r>
        <w:rPr>
          <w:spacing w:val="-1"/>
        </w:rPr>
        <w:t>公司严格按照《公司法》、《公司章程》及《上市公司股东大会规范意见》等相关法律法规选举产</w:t>
      </w:r>
    </w:p>
    <w:p>
      <w:pPr>
        <w:pStyle w:val="BodyText"/>
        <w:spacing w:line="273" w:lineRule="auto" w:before="22"/>
        <w:ind w:left="532" w:right="96" w:hanging="420"/>
        <w:jc w:val="left"/>
      </w:pPr>
      <w:r>
        <w:rPr/>
        <w:t>生监事人选，监事会人数及人员构成符合法律法规的要求。 </w:t>
      </w:r>
      <w:r>
        <w:rPr>
          <w:spacing w:val="-1"/>
        </w:rPr>
        <w:t>公司监事会严格按照《公司章程》及《监事会议事规则》等相关规定召集召开监事会，各监事认真出</w:t>
      </w:r>
    </w:p>
    <w:p>
      <w:pPr>
        <w:pStyle w:val="BodyText"/>
        <w:spacing w:line="264" w:lineRule="auto" w:before="7"/>
        <w:ind w:left="532" w:right="96" w:hanging="420"/>
        <w:jc w:val="left"/>
      </w:pPr>
      <w:r>
        <w:rPr/>
        <w:t>席监事会，认真履行职责，对公司重大事项、关联交易、财务状况等进行监督并发表意见。 </w:t>
      </w:r>
      <w:r>
        <w:rPr>
          <w:rFonts w:ascii="Times New Roman" w:hAnsi="Times New Roman" w:cs="Times New Roman" w:eastAsia="Times New Roman" w:hint="default"/>
        </w:rPr>
        <w:t>5</w:t>
      </w:r>
      <w:r>
        <w:rPr/>
        <w:t>、关于信息披露与透明度 </w:t>
      </w:r>
      <w:r>
        <w:rPr>
          <w:spacing w:val="-2"/>
        </w:rPr>
        <w:t>公司根据《公司章程》、《深圳证券交易所股票上市规则》和中国证监会及深圳证券交易所的相关法</w:t>
      </w:r>
    </w:p>
    <w:p>
      <w:pPr>
        <w:pStyle w:val="BodyText"/>
        <w:spacing w:line="264" w:lineRule="auto" w:before="16"/>
        <w:ind w:right="229"/>
        <w:jc w:val="both"/>
      </w:pPr>
      <w:r>
        <w:rPr/>
        <w:t>律法规的要求，认真履行信息披露义务。公司上市后指定《证券时报》、《中国证券报》和</w:t>
      </w:r>
      <w:r>
        <w:rPr>
          <w:rFonts w:ascii="Times New Roman" w:hAnsi="Times New Roman" w:cs="Times New Roman" w:eastAsia="Times New Roman" w:hint="default"/>
        </w:rPr>
        <w:t>“</w:t>
      </w:r>
      <w:r>
        <w:rPr/>
        <w:t>巨潮资讯网</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spacing w:val="-1"/>
        </w:rPr>
        <w:t>为公司信息披露的报纸和网站，真实、准确、及时地披露公司信息，确保公司所有股东公平地获得公司相</w:t>
      </w:r>
      <w:r>
        <w:rPr>
          <w:spacing w:val="-98"/>
        </w:rPr>
        <w:t> </w:t>
      </w:r>
      <w:r>
        <w:rPr>
          <w:spacing w:val="-98"/>
        </w:rPr>
      </w:r>
      <w:r>
        <w:rPr/>
        <w:t>关信息。</w:t>
      </w:r>
    </w:p>
    <w:p>
      <w:pPr>
        <w:pStyle w:val="BodyText"/>
        <w:spacing w:line="256" w:lineRule="auto" w:before="16"/>
        <w:ind w:left="532" w:right="96"/>
        <w:jc w:val="left"/>
      </w:pPr>
      <w:r>
        <w:rPr>
          <w:rFonts w:ascii="Times New Roman" w:hAnsi="Times New Roman" w:cs="Times New Roman" w:eastAsia="Times New Roman" w:hint="default"/>
        </w:rPr>
        <w:t>6</w:t>
      </w:r>
      <w:r>
        <w:rPr/>
        <w:t>、关于投资者关系管理 </w:t>
      </w:r>
      <w:r>
        <w:rPr>
          <w:spacing w:val="-1"/>
        </w:rPr>
        <w:t>报告期内，公司严格按照有关法律法规及《深圳证券交易所股票上市规则》履行信息披露，以确保公</w:t>
      </w:r>
    </w:p>
    <w:p>
      <w:pPr>
        <w:pStyle w:val="BodyText"/>
        <w:spacing w:line="273" w:lineRule="auto" w:before="22"/>
        <w:ind w:right="229"/>
        <w:jc w:val="both"/>
      </w:pPr>
      <w:r>
        <w:rPr>
          <w:spacing w:val="-1"/>
        </w:rPr>
        <w:t>司所有股东以平等的机会获得信息；此外，公司指定董事会秘书为投资者关系管理负责人，组织实施投资</w:t>
      </w:r>
      <w:r>
        <w:rPr>
          <w:spacing w:val="-98"/>
        </w:rPr>
        <w:t> </w:t>
      </w:r>
      <w:r>
        <w:rPr>
          <w:spacing w:val="-98"/>
        </w:rPr>
      </w:r>
      <w:r>
        <w:rPr>
          <w:spacing w:val="-1"/>
        </w:rPr>
        <w:t>者关系的日常管理工作，通过电话、邮件、互动易等形式及时解答投资者问题；指定证券事务部为专门的</w:t>
      </w:r>
      <w:r>
        <w:rPr>
          <w:spacing w:val="-99"/>
        </w:rPr>
        <w:t> </w:t>
      </w:r>
      <w:r>
        <w:rPr>
          <w:spacing w:val="-99"/>
        </w:rPr>
      </w:r>
      <w:r>
        <w:rPr/>
        <w:t>投资者关系管理机构，加强与投资者的沟通，充分保证了广大投资者的知情权。</w:t>
      </w:r>
    </w:p>
    <w:p>
      <w:pPr>
        <w:pStyle w:val="BodyText"/>
        <w:spacing w:line="256" w:lineRule="auto" w:before="7"/>
        <w:ind w:left="532" w:right="96"/>
        <w:jc w:val="left"/>
      </w:pPr>
      <w:r>
        <w:rPr>
          <w:rFonts w:ascii="Times New Roman" w:hAnsi="Times New Roman" w:cs="Times New Roman" w:eastAsia="Times New Roman" w:hint="default"/>
        </w:rPr>
        <w:t>7</w:t>
      </w:r>
      <w:r>
        <w:rPr/>
        <w:t>、绩效评价与激励 </w:t>
      </w:r>
      <w:r>
        <w:rPr>
          <w:spacing w:val="-4"/>
        </w:rPr>
        <w:t>通过绩效考核，有效地达到了公司对每位员工的综合评价，进一步了解每一位员工的工作能力与专长，</w:t>
      </w:r>
    </w:p>
    <w:p>
      <w:pPr>
        <w:pStyle w:val="BodyText"/>
        <w:spacing w:line="240" w:lineRule="auto" w:before="22"/>
        <w:ind w:right="0"/>
        <w:jc w:val="both"/>
      </w:pPr>
      <w:r>
        <w:rPr/>
        <w:t>从而有效地调整合适岗位，达到绩效考核的目标；公司正逐步完善绩效考评机制，公司高级管理人员和中</w:t>
      </w:r>
    </w:p>
    <w:p>
      <w:pPr>
        <w:spacing w:after="0" w:line="240" w:lineRule="auto"/>
        <w:jc w:val="both"/>
        <w:sectPr>
          <w:pgSz w:w="11910" w:h="16840"/>
          <w:pgMar w:header="746" w:footer="978" w:top="1060" w:bottom="1160" w:left="1020" w:right="90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层管理人员的薪酬与公司经营业绩指标挂钩。</w:t>
      </w:r>
    </w:p>
    <w:p>
      <w:pPr>
        <w:pStyle w:val="BodyText"/>
        <w:spacing w:line="256" w:lineRule="auto" w:before="37"/>
        <w:ind w:left="532" w:right="0" w:firstLine="16"/>
        <w:jc w:val="left"/>
      </w:pPr>
      <w:r>
        <w:rPr>
          <w:rFonts w:ascii="Times New Roman" w:hAnsi="Times New Roman" w:cs="Times New Roman" w:eastAsia="Times New Roman" w:hint="default"/>
        </w:rPr>
        <w:t>8</w:t>
      </w:r>
      <w:r>
        <w:rPr/>
        <w:t>、关于相关利益者 </w:t>
      </w:r>
      <w:r>
        <w:rPr>
          <w:spacing w:val="-1"/>
        </w:rPr>
        <w:t>公司能够充分尊重和维护相关利益者的合法权益，实现股东、员工、社会等各方面利益的协调平衡，</w:t>
      </w:r>
    </w:p>
    <w:p>
      <w:pPr>
        <w:pStyle w:val="BodyText"/>
        <w:spacing w:line="273" w:lineRule="auto" w:before="22"/>
        <w:ind w:left="532" w:right="0" w:hanging="420"/>
        <w:jc w:val="left"/>
      </w:pPr>
      <w:r>
        <w:rPr/>
        <w:t>共同推动公司持续、健康的发展。 </w:t>
      </w:r>
      <w:r>
        <w:rPr>
          <w:spacing w:val="-1"/>
        </w:rPr>
        <w:t>公司将在治理方面继续加大力度，不断完善公司法人治理结构，继续做好信息披露工作，以增强公司</w:t>
      </w:r>
    </w:p>
    <w:p>
      <w:pPr>
        <w:pStyle w:val="BodyText"/>
        <w:spacing w:line="240" w:lineRule="auto" w:before="7"/>
        <w:ind w:right="0"/>
        <w:jc w:val="left"/>
      </w:pPr>
      <w:r>
        <w:rPr/>
        <w:t>透明度，加强投资者关系管理，保护中小投资者利益。</w:t>
      </w:r>
    </w:p>
    <w:p>
      <w:pPr>
        <w:spacing w:before="101"/>
        <w:ind w:left="112" w:right="0" w:firstLine="0"/>
        <w:jc w:val="left"/>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公司治理与《公司法》和中国证监会相关规定的要求是否存在差异</w:t>
      </w:r>
    </w:p>
    <w:p>
      <w:pPr>
        <w:spacing w:line="340" w:lineRule="auto" w:before="117"/>
        <w:ind w:left="112" w:right="4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 公司治理与《公司法》和中国证监会相关规定的要求不存在差异。</w:t>
      </w:r>
    </w:p>
    <w:p>
      <w:pPr>
        <w:spacing w:before="39"/>
        <w:ind w:left="112" w:right="0" w:firstLine="0"/>
        <w:jc w:val="left"/>
        <w:rPr>
          <w:rFonts w:ascii="宋体" w:hAnsi="宋体" w:cs="宋体" w:eastAsia="宋体" w:hint="default"/>
          <w:sz w:val="18"/>
          <w:szCs w:val="18"/>
        </w:rPr>
      </w:pPr>
      <w:r>
        <w:rPr>
          <w:rFonts w:ascii="宋体" w:hAnsi="宋体" w:cs="宋体" w:eastAsia="宋体" w:hint="default"/>
          <w:sz w:val="18"/>
          <w:szCs w:val="18"/>
        </w:rPr>
        <w:t>公司治理专项活动开展情况以及内幕信息知情人登记管理制度的制定、实施情况</w:t>
      </w:r>
    </w:p>
    <w:p>
      <w:pPr>
        <w:spacing w:line="307" w:lineRule="auto" w:before="117"/>
        <w:ind w:left="112" w:right="0" w:firstLine="631"/>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9"/>
          <w:sz w:val="18"/>
          <w:szCs w:val="18"/>
        </w:rPr>
        <w:t> </w:t>
      </w:r>
      <w:r>
        <w:rPr>
          <w:rFonts w:ascii="Times New Roman" w:hAnsi="Times New Roman" w:cs="Times New Roman" w:eastAsia="Times New Roman" w:hint="default"/>
          <w:spacing w:val="-1"/>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年开展公司治理专项活动，具体情况详见</w:t>
      </w:r>
      <w:r>
        <w:rPr>
          <w:rFonts w:ascii="宋体" w:hAnsi="宋体" w:cs="宋体" w:eastAsia="宋体" w:hint="default"/>
          <w:spacing w:val="-49"/>
          <w:sz w:val="18"/>
          <w:szCs w:val="18"/>
        </w:rPr>
        <w:t> </w:t>
      </w:r>
      <w:r>
        <w:rPr>
          <w:rFonts w:ascii="Times New Roman" w:hAnsi="Times New Roman" w:cs="Times New Roman" w:eastAsia="Times New Roman" w:hint="default"/>
          <w:spacing w:val="-1"/>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1"/>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pacing w:val="-4"/>
          <w:w w:val="99"/>
          <w:sz w:val="18"/>
          <w:szCs w:val="18"/>
        </w:rPr>
        <w:t>日刊登在巨潮资讯网（</w:t>
      </w:r>
      <w:hyperlink r:id="rId17">
        <w:r>
          <w:rPr>
            <w:rFonts w:ascii="Times New Roman" w:hAnsi="Times New Roman" w:cs="Times New Roman" w:eastAsia="Times New Roman" w:hint="default"/>
            <w:spacing w:val="-4"/>
            <w:w w:val="99"/>
            <w:sz w:val="18"/>
            <w:szCs w:val="18"/>
          </w:rPr>
          <w:t>http://www.cninfo.com.cn</w:t>
        </w:r>
      </w:hyperlink>
      <w:r>
        <w:rPr>
          <w:rFonts w:ascii="宋体" w:hAnsi="宋体" w:cs="宋体" w:eastAsia="宋体" w:hint="default"/>
          <w:spacing w:val="-4"/>
          <w:w w:val="99"/>
          <w:sz w:val="18"/>
          <w:szCs w:val="18"/>
        </w:rPr>
        <w:t>）</w:t>
      </w:r>
      <w:r>
        <w:rPr>
          <w:rFonts w:ascii="宋体" w:hAnsi="宋体" w:cs="宋体" w:eastAsia="宋体" w:hint="default"/>
          <w:sz w:val="18"/>
          <w:szCs w:val="18"/>
        </w:rPr>
        <w:t> </w:t>
      </w:r>
      <w:r>
        <w:rPr>
          <w:rFonts w:ascii="宋体" w:hAnsi="宋体" w:cs="宋体" w:eastAsia="宋体" w:hint="default"/>
          <w:spacing w:val="-6"/>
          <w:sz w:val="18"/>
          <w:szCs w:val="18"/>
        </w:rPr>
        <w:t>上的《公司治理专项活动整改报告》。</w:t>
      </w:r>
      <w:r>
        <w:rPr>
          <w:rFonts w:ascii="宋体" w:hAnsi="宋体" w:cs="宋体" w:eastAsia="宋体" w:hint="default"/>
          <w:sz w:val="18"/>
          <w:szCs w:val="18"/>
        </w:rPr>
        <w:t> </w:t>
      </w:r>
      <w:r>
        <w:rPr>
          <w:rFonts w:ascii="宋体" w:hAnsi="宋体" w:cs="宋体" w:eastAsia="宋体" w:hint="default"/>
          <w:spacing w:val="-3"/>
          <w:sz w:val="18"/>
          <w:szCs w:val="18"/>
        </w:rPr>
        <w:t>为规范公司内幕信息管理，加强内幕信息保密工作，以维护信息披露的公平原则，根</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13"/>
          <w:sz w:val="18"/>
          <w:szCs w:val="18"/>
        </w:rPr>
        <w:t>据《公司法》、《证券法》、《深圳证券交易所股票上市规则》、《中小企业板信息披露业务备忘录第</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号：内幕信息知情人报</w:t>
      </w:r>
      <w:r>
        <w:rPr>
          <w:rFonts w:ascii="宋体" w:hAnsi="宋体" w:cs="宋体" w:eastAsia="宋体" w:hint="default"/>
          <w:spacing w:val="-67"/>
          <w:sz w:val="18"/>
          <w:szCs w:val="18"/>
        </w:rPr>
        <w:t> </w:t>
      </w:r>
      <w:r>
        <w:rPr>
          <w:rFonts w:ascii="宋体" w:hAnsi="宋体" w:cs="宋体" w:eastAsia="宋体" w:hint="default"/>
          <w:spacing w:val="-5"/>
          <w:sz w:val="18"/>
          <w:szCs w:val="18"/>
        </w:rPr>
        <w:t>备相关事项》等有关法律、法规、规范性文件，以及公司《章程》、《信息披露管理制度》的相关规定，公司一届十一次董事</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会于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 </w:t>
      </w:r>
      <w:r>
        <w:rPr>
          <w:rFonts w:ascii="宋体" w:hAnsi="宋体" w:cs="宋体" w:eastAsia="宋体" w:hint="default"/>
          <w:spacing w:val="-4"/>
          <w:sz w:val="18"/>
          <w:szCs w:val="18"/>
        </w:rPr>
        <w:t>日审议通过了《公司内幕信息知情人管理制度》，后根据《中小企业板上市公司规范运作指引》和《关于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上市公司建立内幕信息知情人登记管理制度的规定》的要求，公司二届九次董事会于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日重新修订了《公司内</w:t>
      </w:r>
      <w:r>
        <w:rPr>
          <w:rFonts w:ascii="宋体" w:hAnsi="宋体" w:cs="宋体" w:eastAsia="宋体" w:hint="default"/>
          <w:sz w:val="18"/>
          <w:szCs w:val="18"/>
        </w:rPr>
        <w:t> </w:t>
      </w:r>
      <w:r>
        <w:rPr>
          <w:rFonts w:ascii="宋体" w:hAnsi="宋体" w:cs="宋体" w:eastAsia="宋体" w:hint="default"/>
          <w:spacing w:val="-7"/>
          <w:sz w:val="18"/>
          <w:szCs w:val="18"/>
        </w:rPr>
        <w:t>幕信息知情人管理制度》，具体情况详见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pacing w:val="-2"/>
          <w:w w:val="99"/>
          <w:sz w:val="18"/>
          <w:szCs w:val="18"/>
        </w:rPr>
        <w:t>日刊登在巨潮资讯网（</w:t>
      </w:r>
      <w:hyperlink r:id="rId17">
        <w:r>
          <w:rPr>
            <w:rFonts w:ascii="Times New Roman" w:hAnsi="Times New Roman" w:cs="Times New Roman" w:eastAsia="Times New Roman" w:hint="default"/>
            <w:spacing w:val="-2"/>
            <w:w w:val="99"/>
            <w:sz w:val="18"/>
            <w:szCs w:val="18"/>
          </w:rPr>
          <w:t>http://www.cninfo.com.cn</w:t>
        </w:r>
      </w:hyperlink>
      <w:r>
        <w:rPr>
          <w:rFonts w:ascii="宋体" w:hAnsi="宋体" w:cs="宋体" w:eastAsia="宋体" w:hint="default"/>
          <w:spacing w:val="-2"/>
          <w:w w:val="99"/>
          <w:sz w:val="18"/>
          <w:szCs w:val="18"/>
        </w:rPr>
        <w:t>）上的《公司内幕信</w:t>
      </w:r>
      <w:r>
        <w:rPr>
          <w:rFonts w:ascii="宋体" w:hAnsi="宋体" w:cs="宋体" w:eastAsia="宋体" w:hint="default"/>
          <w:spacing w:val="-83"/>
          <w:w w:val="99"/>
          <w:sz w:val="18"/>
          <w:szCs w:val="18"/>
        </w:rPr>
        <w:t> </w:t>
      </w:r>
      <w:r>
        <w:rPr>
          <w:rFonts w:ascii="宋体" w:hAnsi="宋体" w:cs="宋体" w:eastAsia="宋体" w:hint="default"/>
          <w:spacing w:val="-83"/>
          <w:w w:val="99"/>
          <w:sz w:val="18"/>
          <w:szCs w:val="18"/>
        </w:rPr>
      </w:r>
      <w:r>
        <w:rPr>
          <w:rFonts w:ascii="宋体" w:hAnsi="宋体" w:cs="宋体" w:eastAsia="宋体" w:hint="default"/>
          <w:spacing w:val="-4"/>
          <w:sz w:val="18"/>
          <w:szCs w:val="18"/>
        </w:rPr>
        <w:t>息知情人管理制度》。公司严格执行上述制度，报告期内，公司认真做好内幕信息知情人的登记、报备工作；组织公司董事、</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2"/>
          <w:sz w:val="18"/>
          <w:szCs w:val="18"/>
        </w:rPr>
        <w:t>监事、高级管理人员以及可接触内幕信息的相关岗位员工对相关文件进行学习，提高相关人员的合规、保密意识，规范对外</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报送信息及外部信息使用人使用本公司信息的行为。报告期内，公司未发生内幕知情人违规买卖股票及内幕信息泄露等情形。</w:t>
      </w:r>
    </w:p>
    <w:p>
      <w:pPr>
        <w:spacing w:line="240" w:lineRule="auto" w:before="3"/>
        <w:rPr>
          <w:rFonts w:ascii="宋体" w:hAnsi="宋体" w:cs="宋体" w:eastAsia="宋体" w:hint="default"/>
          <w:sz w:val="21"/>
          <w:szCs w:val="21"/>
        </w:rPr>
      </w:pPr>
    </w:p>
    <w:p>
      <w:pPr>
        <w:pStyle w:val="Heading2"/>
        <w:spacing w:line="240" w:lineRule="auto"/>
        <w:ind w:right="0"/>
        <w:jc w:val="left"/>
        <w:rPr>
          <w:b w:val="0"/>
          <w:bCs w:val="0"/>
        </w:rPr>
      </w:pP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spacing w:before="44"/>
        <w:ind w:left="0" w:right="202" w:firstLine="0"/>
        <w:jc w:val="right"/>
        <w:rPr>
          <w:rFonts w:ascii="宋体" w:hAnsi="宋体" w:cs="宋体" w:eastAsia="宋体" w:hint="default"/>
          <w:sz w:val="18"/>
          <w:szCs w:val="18"/>
        </w:rPr>
      </w:pPr>
      <w:r>
        <w:rPr/>
        <w:pict>
          <v:shape style="position:absolute;margin-left:56.459999pt;margin-top:-74.558296pt;width:479.05pt;height:288.8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2"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年度董</w:t>
                        </w: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事会工作报告的议</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《关于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4"/>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432"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300" w:lineRule="auto"/>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年年度股东大 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12" w:lineRule="auto" w:before="5"/>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度监事会工作报告 </w:t>
                        </w:r>
                        <w:r>
                          <w:rPr>
                            <w:rFonts w:ascii="宋体" w:hAnsi="宋体" w:cs="宋体" w:eastAsia="宋体" w:hint="default"/>
                            <w:spacing w:val="-23"/>
                            <w:sz w:val="18"/>
                            <w:szCs w:val="18"/>
                          </w:rPr>
                          <w:t>的议案》、《关于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年年度报告及 </w:t>
                        </w:r>
                        <w:r>
                          <w:rPr>
                            <w:rFonts w:ascii="宋体" w:hAnsi="宋体" w:cs="宋体" w:eastAsia="宋体" w:hint="default"/>
                            <w:spacing w:val="-27"/>
                            <w:sz w:val="18"/>
                            <w:szCs w:val="18"/>
                          </w:rPr>
                          <w:t>其摘要的议案》、《关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年度财务决 </w:t>
                        </w:r>
                        <w:r>
                          <w:rPr>
                            <w:rFonts w:ascii="宋体" w:hAnsi="宋体" w:cs="宋体" w:eastAsia="宋体" w:hint="default"/>
                            <w:spacing w:val="-27"/>
                            <w:sz w:val="18"/>
                            <w:szCs w:val="18"/>
                          </w:rPr>
                          <w:t>算报告的议案》、《关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年度利润分 </w:t>
                        </w:r>
                        <w:r>
                          <w:rPr>
                            <w:rFonts w:ascii="宋体" w:hAnsi="宋体" w:cs="宋体" w:eastAsia="宋体" w:hint="default"/>
                            <w:spacing w:val="-27"/>
                            <w:sz w:val="18"/>
                            <w:szCs w:val="18"/>
                          </w:rPr>
                          <w:t>配预案的议案》、《关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年度内部控 制自我评价报告的 </w:t>
                        </w:r>
                        <w:r>
                          <w:rPr>
                            <w:rFonts w:ascii="宋体" w:hAnsi="宋体" w:cs="宋体" w:eastAsia="宋体" w:hint="default"/>
                            <w:spacing w:val="-26"/>
                            <w:sz w:val="18"/>
                            <w:szCs w:val="18"/>
                          </w:rPr>
                          <w:t>议案》、《关于</w:t>
                        </w:r>
                        <w:r>
                          <w:rPr>
                            <w:rFonts w:ascii="宋体" w:hAnsi="宋体" w:cs="宋体" w:eastAsia="宋体" w:hint="default"/>
                            <w:spacing w:val="-43"/>
                            <w:sz w:val="18"/>
                            <w:szCs w:val="18"/>
                          </w:rPr>
                          <w:t> </w:t>
                        </w:r>
                        <w:r>
                          <w:rPr>
                            <w:rFonts w:ascii="Times New Roman" w:hAnsi="Times New Roman" w:cs="Times New Roman" w:eastAsia="Times New Roman" w:hint="default"/>
                            <w:spacing w:val="-2"/>
                            <w:sz w:val="18"/>
                            <w:szCs w:val="18"/>
                          </w:rPr>
                          <w:t>2011</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刊登</w:t>
                        </w:r>
                        <w:r>
                          <w:rPr>
                            <w:rFonts w:ascii="宋体" w:hAnsi="宋体" w:cs="宋体" w:eastAsia="宋体" w:hint="default"/>
                            <w:spacing w:val="-82"/>
                            <w:sz w:val="18"/>
                            <w:szCs w:val="18"/>
                          </w:rPr>
                          <w:t>在</w:t>
                        </w: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316" w:lineRule="auto" w:before="76"/>
                          <w:ind w:left="23" w:right="20"/>
                          <w:jc w:val="left"/>
                          <w:rPr>
                            <w:rFonts w:ascii="宋体" w:hAnsi="宋体" w:cs="宋体" w:eastAsia="宋体" w:hint="default"/>
                            <w:sz w:val="18"/>
                            <w:szCs w:val="18"/>
                          </w:rPr>
                        </w:pPr>
                        <w:r>
                          <w:rPr>
                            <w:rFonts w:ascii="宋体" w:hAnsi="宋体" w:cs="宋体" w:eastAsia="宋体" w:hint="default"/>
                            <w:spacing w:val="-10"/>
                            <w:sz w:val="18"/>
                            <w:szCs w:val="18"/>
                          </w:rPr>
                          <w:t>《中国证券报》和巨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潮资讯网</w:t>
                        </w:r>
                      </w:p>
                      <w:p>
                        <w:pPr>
                          <w:pStyle w:val="TableParagraph"/>
                          <w:spacing w:line="307" w:lineRule="auto" w:before="19"/>
                          <w:ind w:left="23" w:right="20"/>
                          <w:jc w:val="left"/>
                          <w:rPr>
                            <w:rFonts w:ascii="宋体" w:hAnsi="宋体" w:cs="宋体" w:eastAsia="宋体"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8"/>
                            <w:sz w:val="18"/>
                            <w:szCs w:val="18"/>
                          </w:rPr>
                          <w:t>cn</w:t>
                        </w:r>
                        <w:r>
                          <w:rPr>
                            <w:rFonts w:ascii="宋体" w:hAnsi="宋体" w:cs="宋体" w:eastAsia="宋体" w:hint="default"/>
                            <w:spacing w:val="-8"/>
                            <w:sz w:val="18"/>
                            <w:szCs w:val="18"/>
                          </w:rPr>
                          <w:t>）上的《马鞍山鼎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泰稀土新材料股份 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 度股东大会决议公 </w:t>
                        </w:r>
                        <w:r>
                          <w:rPr>
                            <w:rFonts w:ascii="宋体" w:hAnsi="宋体" w:cs="宋体" w:eastAsia="宋体" w:hint="default"/>
                            <w:spacing w:val="-14"/>
                            <w:sz w:val="18"/>
                            <w:szCs w:val="18"/>
                          </w:rPr>
                          <w:t>告》（公告编号</w:t>
                        </w:r>
                      </w:p>
                      <w:p>
                        <w:pPr>
                          <w:pStyle w:val="TableParagraph"/>
                          <w:spacing w:line="240" w:lineRule="auto" w:before="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2012-014</w:t>
                        </w:r>
                        <w:r>
                          <w:rPr>
                            <w:rFonts w:ascii="宋体" w:hAnsi="宋体" w:cs="宋体" w:eastAsia="宋体" w:hint="default"/>
                            <w:sz w:val="18"/>
                            <w:szCs w:val="18"/>
                          </w:rPr>
                          <w:t>）</w:t>
                        </w:r>
                      </w:p>
                    </w:tc>
                  </w:tr>
                  <w:tr>
                    <w:trPr>
                      <w:trHeight w:val="30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年募集资金存放与</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使用情况专项报告</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27"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的议案</w:t>
                        </w:r>
                        <w:r>
                          <w:rPr>
                            <w:rFonts w:ascii="宋体" w:hAnsi="宋体" w:cs="宋体" w:eastAsia="宋体" w:hint="default"/>
                            <w:spacing w:val="-89"/>
                            <w:sz w:val="18"/>
                            <w:szCs w:val="18"/>
                          </w:rPr>
                          <w:t>》</w:t>
                        </w:r>
                        <w:r>
                          <w:rPr>
                            <w:rFonts w:ascii="宋体" w:hAnsi="宋体" w:cs="宋体" w:eastAsia="宋体" w:hint="default"/>
                            <w:spacing w:val="-173"/>
                            <w:sz w:val="18"/>
                            <w:szCs w:val="18"/>
                          </w:rPr>
                          <w:t>、</w:t>
                        </w:r>
                        <w:r>
                          <w:rPr>
                            <w:rFonts w:ascii="宋体" w:hAnsi="宋体" w:cs="宋体" w:eastAsia="宋体" w:hint="default"/>
                            <w:sz w:val="18"/>
                            <w:szCs w:val="18"/>
                          </w:rPr>
                          <w:t>《关于续聘</w:t>
                        </w: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6" w:footer="978" w:top="1060" w:bottom="1160" w:left="1020" w:right="94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318" w:hRule="exact"/>
        </w:trPr>
        <w:tc>
          <w:tcPr>
            <w:tcW w:w="1596"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深圳市鹏城会计师</w:t>
            </w:r>
          </w:p>
        </w:tc>
        <w:tc>
          <w:tcPr>
            <w:tcW w:w="1594"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事务所有限公司为</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6"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年度审计</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08"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机构的议案</w:t>
            </w:r>
            <w:r>
              <w:rPr>
                <w:rFonts w:ascii="宋体" w:hAnsi="宋体" w:cs="宋体" w:eastAsia="宋体" w:hint="default"/>
                <w:spacing w:val="-89"/>
                <w:sz w:val="18"/>
                <w:szCs w:val="18"/>
              </w:rPr>
              <w:t>》</w:t>
            </w:r>
            <w:r>
              <w:rPr>
                <w:rFonts w:ascii="宋体" w:hAnsi="宋体" w:cs="宋体" w:eastAsia="宋体" w:hint="default"/>
                <w:spacing w:val="-173"/>
                <w:sz w:val="18"/>
                <w:szCs w:val="18"/>
              </w:rPr>
              <w:t>、</w:t>
            </w:r>
            <w:r>
              <w:rPr>
                <w:rFonts w:ascii="宋体" w:hAnsi="宋体" w:cs="宋体" w:eastAsia="宋体" w:hint="default"/>
                <w:sz w:val="18"/>
                <w:szCs w:val="18"/>
              </w:rPr>
              <w:t>《关于</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调整公司独立董事</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津贴的议案</w:t>
            </w:r>
            <w:r>
              <w:rPr>
                <w:rFonts w:ascii="宋体" w:hAnsi="宋体" w:cs="宋体" w:eastAsia="宋体" w:hint="default"/>
                <w:spacing w:val="-89"/>
                <w:sz w:val="18"/>
                <w:szCs w:val="18"/>
              </w:rPr>
              <w:t>》</w:t>
            </w:r>
            <w:r>
              <w:rPr>
                <w:rFonts w:ascii="宋体" w:hAnsi="宋体" w:cs="宋体" w:eastAsia="宋体" w:hint="default"/>
                <w:spacing w:val="-173"/>
                <w:sz w:val="18"/>
                <w:szCs w:val="18"/>
              </w:rPr>
              <w:t>、</w:t>
            </w:r>
            <w:r>
              <w:rPr>
                <w:rFonts w:ascii="宋体" w:hAnsi="宋体" w:cs="宋体" w:eastAsia="宋体" w:hint="default"/>
                <w:sz w:val="18"/>
                <w:szCs w:val="18"/>
              </w:rPr>
              <w:t>《关于</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6"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马鞍山鼎泰</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08"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稀土新材料股份有</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限公司董事</w:t>
            </w:r>
            <w:r>
              <w:rPr>
                <w:rFonts w:ascii="宋体" w:hAnsi="宋体" w:cs="宋体" w:eastAsia="宋体" w:hint="default"/>
                <w:spacing w:val="-82"/>
                <w:sz w:val="18"/>
                <w:szCs w:val="18"/>
              </w:rPr>
              <w:t>、</w:t>
            </w:r>
            <w:r>
              <w:rPr>
                <w:rFonts w:ascii="宋体" w:hAnsi="宋体" w:cs="宋体" w:eastAsia="宋体" w:hint="default"/>
                <w:sz w:val="18"/>
                <w:szCs w:val="18"/>
              </w:rPr>
              <w:t>监事与</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高级管理人员薪酬</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6"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管理制度</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89"/>
                <w:sz w:val="18"/>
                <w:szCs w:val="18"/>
              </w:rPr>
              <w:t>》</w:t>
            </w:r>
            <w:r>
              <w:rPr>
                <w:rFonts w:ascii="宋体" w:hAnsi="宋体" w:cs="宋体" w:eastAsia="宋体" w:hint="default"/>
                <w:spacing w:val="-94"/>
                <w:sz w:val="18"/>
                <w:szCs w:val="18"/>
              </w:rPr>
              <w:t>、</w:t>
            </w:r>
            <w:r>
              <w:rPr>
                <w:rFonts w:ascii="宋体" w:hAnsi="宋体" w:cs="宋体" w:eastAsia="宋体" w:hint="default"/>
                <w:sz w:val="18"/>
                <w:szCs w:val="18"/>
              </w:rPr>
              <w:t>《关于修订</w:t>
            </w:r>
            <w:r>
              <w:rPr>
                <w:rFonts w:ascii="Times New Roman" w:hAnsi="Times New Roman" w:cs="Times New Roman" w:eastAsia="Times New Roman" w:hint="default"/>
                <w:spacing w:val="-1"/>
                <w:w w:val="99"/>
                <w:sz w:val="18"/>
                <w:szCs w:val="18"/>
              </w:rPr>
              <w:t>&lt;</w:t>
            </w:r>
            <w:r>
              <w:rPr>
                <w:rFonts w:ascii="宋体" w:hAnsi="宋体" w:cs="宋体" w:eastAsia="宋体" w:hint="default"/>
                <w:sz w:val="18"/>
                <w:szCs w:val="18"/>
              </w:rPr>
              <w:t>马</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08"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鞍山鼎泰稀土新材</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料股份有限公司信</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6"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息披露管理制度</w:t>
            </w:r>
            <w:r>
              <w:rPr>
                <w:rFonts w:ascii="Times New Roman" w:hAnsi="Times New Roman" w:cs="Times New Roman" w:eastAsia="Times New Roman" w:hint="default"/>
                <w:sz w:val="18"/>
                <w:szCs w:val="18"/>
              </w:rPr>
              <w:t>&gt;</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52" w:hRule="exact"/>
        </w:trPr>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的议案》</w:t>
            </w: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spacing w:before="44"/>
        <w:ind w:left="0" w:right="122" w:firstLine="0"/>
        <w:jc w:val="right"/>
        <w:rPr>
          <w:rFonts w:ascii="宋体" w:hAnsi="宋体" w:cs="宋体" w:eastAsia="宋体" w:hint="default"/>
          <w:sz w:val="18"/>
          <w:szCs w:val="18"/>
        </w:rPr>
      </w:pPr>
      <w:r>
        <w:rPr/>
        <w:pict>
          <v:shape style="position:absolute;margin-left:56.459999pt;margin-top:-20.888294pt;width:479.05pt;height:341.6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7"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刊登</w:t>
                        </w:r>
                        <w:r>
                          <w:rPr>
                            <w:rFonts w:ascii="宋体" w:hAnsi="宋体" w:cs="宋体" w:eastAsia="宋体" w:hint="default"/>
                            <w:spacing w:val="-82"/>
                            <w:sz w:val="18"/>
                            <w:szCs w:val="18"/>
                          </w:rPr>
                          <w:t>在</w:t>
                        </w: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82"/>
                            <w:sz w:val="18"/>
                            <w:szCs w:val="18"/>
                          </w:rPr>
                          <w:t>》</w:t>
                        </w:r>
                        <w:r>
                          <w:rPr>
                            <w:rFonts w:ascii="宋体" w:hAnsi="宋体" w:cs="宋体" w:eastAsia="宋体" w:hint="default"/>
                            <w:sz w:val="18"/>
                            <w:szCs w:val="18"/>
                          </w:rPr>
                          <w:t>和巨</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潮资讯网</w:t>
                        </w: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w:t>
                          </w:r>
                        </w:hyperlink>
                      </w:p>
                    </w:tc>
                  </w:tr>
                  <w:tr>
                    <w:trPr>
                      <w:trHeight w:val="619"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21"/>
                          <w:jc w:val="left"/>
                          <w:rPr>
                            <w:rFonts w:ascii="宋体" w:hAnsi="宋体" w:cs="宋体" w:eastAsia="宋体" w:hint="default"/>
                            <w:sz w:val="18"/>
                            <w:szCs w:val="18"/>
                          </w:rPr>
                        </w:pPr>
                        <w:r>
                          <w:rPr>
                            <w:rFonts w:ascii="宋体" w:hAnsi="宋体" w:cs="宋体" w:eastAsia="宋体" w:hint="default"/>
                            <w:sz w:val="18"/>
                            <w:szCs w:val="18"/>
                          </w:rPr>
                          <w:t>度利润分配预案的 </w:t>
                        </w:r>
                        <w:r>
                          <w:rPr>
                            <w:rFonts w:ascii="宋体" w:hAnsi="宋体" w:cs="宋体" w:eastAsia="宋体" w:hint="default"/>
                            <w:spacing w:val="-27"/>
                            <w:sz w:val="18"/>
                            <w:szCs w:val="18"/>
                          </w:rPr>
                          <w:t>议案》、《关于修订公</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3" w:right="2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cn</w:t>
                        </w:r>
                        <w:r>
                          <w:rPr>
                            <w:rFonts w:ascii="宋体" w:hAnsi="宋体" w:cs="宋体" w:eastAsia="宋体" w:hint="default"/>
                            <w:spacing w:val="-8"/>
                            <w:sz w:val="18"/>
                            <w:szCs w:val="18"/>
                          </w:rPr>
                          <w:t>）上的《马鞍山鼎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泰稀土新材料股份</w:t>
                        </w: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&lt;</w:t>
                        </w:r>
                        <w:r>
                          <w:rPr>
                            <w:rFonts w:ascii="宋体" w:hAnsi="宋体" w:cs="宋体" w:eastAsia="宋体" w:hint="default"/>
                            <w:sz w:val="18"/>
                            <w:szCs w:val="18"/>
                          </w:rPr>
                          <w:t>章程</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w:t>
                        </w:r>
                      </w:p>
                    </w:tc>
                  </w:tr>
                  <w:tr>
                    <w:trPr>
                      <w:trHeight w:val="30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一次临时股东大会</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决议公告</w:t>
                        </w:r>
                        <w:r>
                          <w:rPr>
                            <w:rFonts w:ascii="宋体" w:hAnsi="宋体" w:cs="宋体" w:eastAsia="宋体" w:hint="default"/>
                            <w:spacing w:val="-92"/>
                            <w:sz w:val="18"/>
                            <w:szCs w:val="18"/>
                          </w:rPr>
                          <w:t>》</w:t>
                        </w:r>
                        <w:r>
                          <w:rPr>
                            <w:rFonts w:ascii="宋体" w:hAnsi="宋体" w:cs="宋体" w:eastAsia="宋体" w:hint="default"/>
                            <w:sz w:val="18"/>
                            <w:szCs w:val="18"/>
                          </w:rPr>
                          <w:t>（公告编</w:t>
                        </w:r>
                      </w:p>
                    </w:tc>
                  </w:tr>
                  <w:tr>
                    <w:trPr>
                      <w:trHeight w:val="357"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2012-022</w:t>
                        </w:r>
                        <w:r>
                          <w:rPr>
                            <w:rFonts w:ascii="宋体" w:hAnsi="宋体" w:cs="宋体" w:eastAsia="宋体" w:hint="default"/>
                            <w:sz w:val="18"/>
                            <w:szCs w:val="18"/>
                          </w:rPr>
                          <w:t>）</w:t>
                        </w:r>
                      </w:p>
                    </w:tc>
                  </w:tr>
                  <w:tr>
                    <w:trPr>
                      <w:trHeight w:val="358"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《关于改聘国富浩</w:t>
                        </w: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刊登</w:t>
                        </w:r>
                        <w:r>
                          <w:rPr>
                            <w:rFonts w:ascii="宋体" w:hAnsi="宋体" w:cs="宋体" w:eastAsia="宋体" w:hint="default"/>
                            <w:spacing w:val="-82"/>
                            <w:sz w:val="18"/>
                            <w:szCs w:val="18"/>
                          </w:rPr>
                          <w:t>在</w:t>
                        </w: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华会计师事务所为</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82"/>
                            <w:sz w:val="18"/>
                            <w:szCs w:val="18"/>
                          </w:rPr>
                          <w:t>》</w:t>
                        </w:r>
                        <w:r>
                          <w:rPr>
                            <w:rFonts w:ascii="宋体" w:hAnsi="宋体" w:cs="宋体" w:eastAsia="宋体" w:hint="default"/>
                            <w:sz w:val="18"/>
                            <w:szCs w:val="18"/>
                          </w:rPr>
                          <w:t>和巨</w:t>
                        </w:r>
                      </w:p>
                    </w:tc>
                  </w:tr>
                  <w:tr>
                    <w:trPr>
                      <w:trHeight w:val="316"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年度审计</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潮资讯网</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机构的议案</w:t>
                        </w:r>
                        <w:r>
                          <w:rPr>
                            <w:rFonts w:ascii="宋体" w:hAnsi="宋体" w:cs="宋体" w:eastAsia="宋体" w:hint="default"/>
                            <w:spacing w:val="-89"/>
                            <w:sz w:val="18"/>
                            <w:szCs w:val="18"/>
                          </w:rPr>
                          <w:t>》</w:t>
                        </w:r>
                        <w:r>
                          <w:rPr>
                            <w:rFonts w:ascii="宋体" w:hAnsi="宋体" w:cs="宋体" w:eastAsia="宋体" w:hint="default"/>
                            <w:spacing w:val="-173"/>
                            <w:sz w:val="18"/>
                            <w:szCs w:val="18"/>
                          </w:rPr>
                          <w:t>、</w:t>
                        </w:r>
                        <w:r>
                          <w:rPr>
                            <w:rFonts w:ascii="宋体" w:hAnsi="宋体" w:cs="宋体" w:eastAsia="宋体" w:hint="default"/>
                            <w:sz w:val="18"/>
                            <w:szCs w:val="18"/>
                          </w:rPr>
                          <w:t>《关于</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w:t>
                          </w:r>
                        </w:hyperlink>
                      </w:p>
                    </w:tc>
                  </w:tr>
                  <w:tr>
                    <w:trPr>
                      <w:trHeight w:val="620"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2" w:right="40"/>
                          <w:jc w:val="left"/>
                          <w:rPr>
                            <w:rFonts w:ascii="宋体" w:hAnsi="宋体" w:cs="宋体" w:eastAsia="宋体" w:hint="default"/>
                            <w:sz w:val="18"/>
                            <w:szCs w:val="18"/>
                          </w:rPr>
                        </w:pPr>
                        <w:r>
                          <w:rPr>
                            <w:rFonts w:ascii="宋体" w:hAnsi="宋体" w:cs="宋体" w:eastAsia="宋体" w:hint="default"/>
                            <w:sz w:val="18"/>
                            <w:szCs w:val="18"/>
                          </w:rPr>
                          <w:t>终止实施</w:t>
                        </w:r>
                        <w:r>
                          <w:rPr>
                            <w:rFonts w:ascii="Times New Roman" w:hAnsi="Times New Roman" w:cs="Times New Roman" w:eastAsia="Times New Roman" w:hint="default"/>
                            <w:sz w:val="18"/>
                            <w:szCs w:val="18"/>
                          </w:rPr>
                          <w:t>“</w:t>
                        </w:r>
                        <w:r>
                          <w:rPr>
                            <w:rFonts w:ascii="宋体" w:hAnsi="宋体" w:cs="宋体" w:eastAsia="宋体" w:hint="default"/>
                            <w:sz w:val="18"/>
                            <w:szCs w:val="18"/>
                          </w:rPr>
                          <w:t>先进涂镀 技术与稀土材料工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3" w:right="2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cn</w:t>
                        </w:r>
                        <w:r>
                          <w:rPr>
                            <w:rFonts w:ascii="宋体" w:hAnsi="宋体" w:cs="宋体" w:eastAsia="宋体" w:hint="default"/>
                            <w:spacing w:val="-8"/>
                            <w:sz w:val="18"/>
                            <w:szCs w:val="18"/>
                          </w:rPr>
                          <w:t>）上的《马鞍山鼎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泰稀土新材料股份</w:t>
                        </w:r>
                      </w:p>
                    </w:tc>
                  </w:tr>
                  <w:tr>
                    <w:trPr>
                      <w:trHeight w:val="316"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程中心项目</w:t>
                        </w:r>
                        <w:r>
                          <w:rPr>
                            <w:rFonts w:ascii="Times New Roman" w:hAnsi="Times New Roman" w:cs="Times New Roman" w:eastAsia="Times New Roman" w:hint="default"/>
                            <w:sz w:val="18"/>
                            <w:szCs w:val="18"/>
                          </w:rPr>
                          <w:t>”</w:t>
                        </w:r>
                        <w:r>
                          <w:rPr>
                            <w:rFonts w:ascii="宋体" w:hAnsi="宋体" w:cs="宋体" w:eastAsia="宋体" w:hint="default"/>
                            <w:sz w:val="18"/>
                            <w:szCs w:val="18"/>
                          </w:rPr>
                          <w:t>并将其</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w:t>
                        </w:r>
                      </w:p>
                    </w:tc>
                  </w:tr>
                  <w:tr>
                    <w:trPr>
                      <w:trHeight w:val="308"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剩余募集资金永久</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二次临时股东大会</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补充流动资金的议</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决议公告</w:t>
                        </w:r>
                        <w:r>
                          <w:rPr>
                            <w:rFonts w:ascii="宋体" w:hAnsi="宋体" w:cs="宋体" w:eastAsia="宋体" w:hint="default"/>
                            <w:spacing w:val="-92"/>
                            <w:sz w:val="18"/>
                            <w:szCs w:val="18"/>
                          </w:rPr>
                          <w:t>》</w:t>
                        </w:r>
                        <w:r>
                          <w:rPr>
                            <w:rFonts w:ascii="宋体" w:hAnsi="宋体" w:cs="宋体" w:eastAsia="宋体" w:hint="default"/>
                            <w:sz w:val="18"/>
                            <w:szCs w:val="18"/>
                          </w:rPr>
                          <w:t>（公告编</w:t>
                        </w:r>
                      </w:p>
                    </w:tc>
                  </w:tr>
                  <w:tr>
                    <w:trPr>
                      <w:trHeight w:val="356"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案》</w:t>
                        </w: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2012-031</w:t>
                        </w:r>
                        <w:r>
                          <w:rPr>
                            <w:rFonts w:ascii="宋体" w:hAnsi="宋体" w:cs="宋体" w:eastAsia="宋体" w:hint="default"/>
                            <w:sz w:val="18"/>
                            <w:szCs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before="44"/>
        <w:ind w:left="0" w:right="122"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6" w:footer="978" w:top="1060" w:bottom="1160" w:left="1020" w:right="102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三、报告期内独立董事履行职责的情况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624"/>
        <w:gridCol w:w="1324"/>
        <w:gridCol w:w="1324"/>
        <w:gridCol w:w="1324"/>
        <w:gridCol w:w="1324"/>
        <w:gridCol w:w="1324"/>
        <w:gridCol w:w="1324"/>
      </w:tblGrid>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76" w:right="24" w:hanging="449"/>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6" w:right="24" w:hanging="89"/>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赵增祺</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戴新民</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方伦赞</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w:t>
            </w:r>
          </w:p>
        </w:tc>
      </w:tr>
    </w:tbl>
    <w:p>
      <w:pPr>
        <w:spacing w:before="50"/>
        <w:ind w:left="112" w:right="0" w:firstLine="0"/>
        <w:jc w:val="both"/>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0"/>
        <w:rPr>
          <w:rFonts w:ascii="宋体" w:hAnsi="宋体" w:cs="宋体" w:eastAsia="宋体" w:hint="default"/>
          <w:sz w:val="18"/>
          <w:szCs w:val="18"/>
        </w:rPr>
      </w:pPr>
    </w:p>
    <w:p>
      <w:pPr>
        <w:pStyle w:val="Heading4"/>
        <w:spacing w:line="240" w:lineRule="auto" w:before="118"/>
        <w:ind w:right="0"/>
        <w:jc w:val="both"/>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5"/>
        <w:ind w:left="112" w:right="59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 报告期内独立董事对公司有关事项未提出异议。</w:t>
      </w:r>
    </w:p>
    <w:p>
      <w:pPr>
        <w:spacing w:line="240" w:lineRule="auto" w:before="3"/>
        <w:rPr>
          <w:rFonts w:ascii="宋体" w:hAnsi="宋体" w:cs="宋体" w:eastAsia="宋体" w:hint="default"/>
          <w:sz w:val="21"/>
          <w:szCs w:val="21"/>
        </w:rPr>
      </w:pPr>
    </w:p>
    <w:p>
      <w:pPr>
        <w:pStyle w:val="Heading4"/>
        <w:spacing w:line="240" w:lineRule="auto"/>
        <w:ind w:right="0"/>
        <w:jc w:val="both"/>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38" w:lineRule="auto" w:before="117"/>
        <w:ind w:left="112" w:right="5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 独立董事对公司有关建议被采纳或未被采纳的说明</w:t>
      </w:r>
    </w:p>
    <w:p>
      <w:pPr>
        <w:spacing w:before="2"/>
        <w:ind w:left="573" w:right="0" w:firstLine="0"/>
        <w:jc w:val="left"/>
        <w:rPr>
          <w:rFonts w:ascii="宋体" w:hAnsi="宋体" w:cs="宋体" w:eastAsia="宋体" w:hint="default"/>
          <w:sz w:val="23"/>
          <w:szCs w:val="23"/>
        </w:rPr>
      </w:pPr>
      <w:r>
        <w:rPr>
          <w:rFonts w:ascii="宋体" w:hAnsi="宋体" w:cs="宋体" w:eastAsia="宋体" w:hint="default"/>
          <w:sz w:val="23"/>
          <w:szCs w:val="23"/>
        </w:rPr>
        <w:t>公司独立董事以《关于在上市公司建立独立董事制度的指导意见》为依据，认真勤勉地履行</w:t>
      </w:r>
    </w:p>
    <w:p>
      <w:pPr>
        <w:spacing w:line="249" w:lineRule="auto" w:before="11"/>
        <w:ind w:left="112" w:right="110" w:firstLine="0"/>
        <w:jc w:val="both"/>
        <w:rPr>
          <w:rFonts w:ascii="宋体" w:hAnsi="宋体" w:cs="宋体" w:eastAsia="宋体" w:hint="default"/>
          <w:sz w:val="23"/>
          <w:szCs w:val="23"/>
        </w:rPr>
      </w:pPr>
      <w:r>
        <w:rPr>
          <w:rFonts w:ascii="宋体" w:hAnsi="宋体" w:cs="宋体" w:eastAsia="宋体" w:hint="default"/>
          <w:spacing w:val="-1"/>
          <w:sz w:val="23"/>
          <w:szCs w:val="23"/>
        </w:rPr>
        <w:t>《公司独立董事工作制度》规定的职责，深入现场调查、了解公司的生产经营情况，检查公司内</w:t>
      </w:r>
      <w:r>
        <w:rPr>
          <w:rFonts w:ascii="宋体" w:hAnsi="宋体" w:cs="宋体" w:eastAsia="宋体" w:hint="default"/>
          <w:spacing w:val="-109"/>
          <w:sz w:val="23"/>
          <w:szCs w:val="23"/>
        </w:rPr>
        <w:t> </w:t>
      </w:r>
      <w:r>
        <w:rPr>
          <w:rFonts w:ascii="宋体" w:hAnsi="宋体" w:cs="宋体" w:eastAsia="宋体" w:hint="default"/>
          <w:spacing w:val="-109"/>
          <w:sz w:val="23"/>
          <w:szCs w:val="23"/>
        </w:rPr>
      </w:r>
      <w:r>
        <w:rPr>
          <w:rFonts w:ascii="宋体" w:hAnsi="宋体" w:cs="宋体" w:eastAsia="宋体" w:hint="default"/>
          <w:spacing w:val="-1"/>
          <w:sz w:val="23"/>
          <w:szCs w:val="23"/>
        </w:rPr>
        <w:t>部控制制度的建设及执行情况，积极参加董事会会议，认真审议各项议案，对公司的相关事项发</w:t>
      </w:r>
      <w:r>
        <w:rPr>
          <w:rFonts w:ascii="宋体" w:hAnsi="宋体" w:cs="宋体" w:eastAsia="宋体" w:hint="default"/>
          <w:spacing w:val="-106"/>
          <w:sz w:val="23"/>
          <w:szCs w:val="23"/>
        </w:rPr>
        <w:t> </w:t>
      </w:r>
      <w:r>
        <w:rPr>
          <w:rFonts w:ascii="宋体" w:hAnsi="宋体" w:cs="宋体" w:eastAsia="宋体" w:hint="default"/>
          <w:spacing w:val="-106"/>
          <w:sz w:val="23"/>
          <w:szCs w:val="23"/>
        </w:rPr>
      </w:r>
      <w:r>
        <w:rPr>
          <w:rFonts w:ascii="宋体" w:hAnsi="宋体" w:cs="宋体" w:eastAsia="宋体" w:hint="default"/>
          <w:spacing w:val="-1"/>
          <w:sz w:val="23"/>
          <w:szCs w:val="23"/>
        </w:rPr>
        <w:t>表独立意见，并依自己的专业知识和能力为董事会及董事会下设的各专门委员会的决策事项做出</w:t>
      </w:r>
      <w:r>
        <w:rPr>
          <w:rFonts w:ascii="宋体" w:hAnsi="宋体" w:cs="宋体" w:eastAsia="宋体" w:hint="default"/>
          <w:spacing w:val="-109"/>
          <w:sz w:val="23"/>
          <w:szCs w:val="23"/>
        </w:rPr>
        <w:t> </w:t>
      </w:r>
      <w:r>
        <w:rPr>
          <w:rFonts w:ascii="宋体" w:hAnsi="宋体" w:cs="宋体" w:eastAsia="宋体" w:hint="default"/>
          <w:spacing w:val="-109"/>
          <w:sz w:val="23"/>
          <w:szCs w:val="23"/>
        </w:rPr>
      </w:r>
      <w:r>
        <w:rPr>
          <w:rFonts w:ascii="宋体" w:hAnsi="宋体" w:cs="宋体" w:eastAsia="宋体" w:hint="default"/>
          <w:sz w:val="23"/>
          <w:szCs w:val="23"/>
        </w:rPr>
        <w:t>独立、客观、公正的判断，在工作中保持充分的独立性，切实维护了公司和中小股东的利益。</w:t>
      </w:r>
    </w:p>
    <w:p>
      <w:pPr>
        <w:spacing w:line="240" w:lineRule="auto" w:before="7"/>
        <w:rPr>
          <w:rFonts w:ascii="宋体" w:hAnsi="宋体" w:cs="宋体" w:eastAsia="宋体" w:hint="default"/>
          <w:sz w:val="22"/>
          <w:szCs w:val="22"/>
        </w:rPr>
      </w:pPr>
    </w:p>
    <w:p>
      <w:pPr>
        <w:spacing w:before="0"/>
        <w:ind w:left="112" w:right="0" w:firstLine="0"/>
        <w:jc w:val="both"/>
        <w:rPr>
          <w:rFonts w:ascii="宋体" w:hAnsi="宋体" w:cs="宋体" w:eastAsia="宋体" w:hint="default"/>
          <w:sz w:val="24"/>
          <w:szCs w:val="24"/>
        </w:rPr>
      </w:pPr>
      <w:r>
        <w:rPr>
          <w:rFonts w:ascii="宋体" w:hAnsi="宋体" w:cs="宋体" w:eastAsia="宋体" w:hint="default"/>
          <w:b/>
          <w:bCs/>
          <w:sz w:val="24"/>
          <w:szCs w:val="24"/>
        </w:rPr>
        <w:t>四、董事会下设专门委员会在报告期内履行职责情况</w:t>
      </w:r>
      <w:r>
        <w:rPr>
          <w:rFonts w:ascii="宋体" w:hAnsi="宋体" w:cs="宋体" w:eastAsia="宋体" w:hint="default"/>
          <w:sz w:val="24"/>
          <w:szCs w:val="24"/>
        </w:rPr>
      </w:r>
    </w:p>
    <w:p>
      <w:pPr>
        <w:spacing w:line="240" w:lineRule="auto" w:before="7"/>
        <w:rPr>
          <w:rFonts w:ascii="宋体" w:hAnsi="宋体" w:cs="宋体" w:eastAsia="宋体" w:hint="default"/>
          <w:b/>
          <w:bCs/>
          <w:sz w:val="24"/>
          <w:szCs w:val="24"/>
        </w:rPr>
      </w:pPr>
    </w:p>
    <w:p>
      <w:pPr>
        <w:pStyle w:val="BodyText"/>
        <w:spacing w:line="240" w:lineRule="auto"/>
        <w:ind w:right="0"/>
        <w:jc w:val="both"/>
      </w:pPr>
      <w:r>
        <w:rPr>
          <w:rFonts w:ascii="Times New Roman" w:hAnsi="Times New Roman" w:cs="Times New Roman" w:eastAsia="Times New Roman" w:hint="default"/>
        </w:rPr>
        <w:t>1</w:t>
      </w:r>
      <w:r>
        <w:rPr/>
        <w:t>、战略委员会</w:t>
      </w:r>
    </w:p>
    <w:p>
      <w:pPr>
        <w:pStyle w:val="BodyText"/>
        <w:spacing w:line="264" w:lineRule="auto" w:before="21"/>
        <w:ind w:right="109" w:firstLine="420"/>
        <w:jc w:val="both"/>
      </w:pPr>
      <w:r>
        <w:rPr>
          <w:spacing w:val="-1"/>
        </w:rPr>
        <w:t>战略委员会在董事会的领导下，依照《董事会专门委员会议事规则》的规定，对公司长期发展战略和</w:t>
      </w:r>
      <w:r>
        <w:rPr/>
        <w:t> </w:t>
      </w:r>
      <w:r>
        <w:rPr>
          <w:spacing w:val="-1"/>
        </w:rPr>
        <w:t>重大投资进行研究并提出建议，就发展战略、产品战略、技术与创新战略、投资战略等问题为董事会决策</w:t>
      </w:r>
      <w:r>
        <w:rPr>
          <w:spacing w:val="-99"/>
        </w:rPr>
        <w:t> </w:t>
      </w:r>
      <w:r>
        <w:rPr>
          <w:spacing w:val="-99"/>
        </w:rPr>
      </w:r>
      <w:r>
        <w:rPr/>
        <w:t>提供了有力的参考意见。报告期内，战略委员会共召开两次会议，主要内容是：审议关于终止实施</w:t>
      </w:r>
      <w:r>
        <w:rPr>
          <w:rFonts w:ascii="Times New Roman" w:hAnsi="Times New Roman" w:cs="Times New Roman" w:eastAsia="Times New Roman" w:hint="default"/>
        </w:rPr>
        <w:t>“</w:t>
      </w:r>
      <w:r>
        <w:rPr/>
        <w:t>先进</w:t>
      </w:r>
      <w:r>
        <w:rPr>
          <w:spacing w:val="-28"/>
        </w:rPr>
        <w:t> </w:t>
      </w:r>
      <w:r>
        <w:rPr>
          <w:spacing w:val="-28"/>
        </w:rPr>
      </w:r>
      <w:r>
        <w:rPr/>
        <w:t>涂镀技术与稀土材料工程中心项目</w:t>
      </w:r>
      <w:r>
        <w:rPr>
          <w:rFonts w:ascii="Times New Roman" w:hAnsi="Times New Roman" w:cs="Times New Roman" w:eastAsia="Times New Roman" w:hint="default"/>
        </w:rPr>
        <w:t>”</w:t>
      </w:r>
      <w:r>
        <w:rPr/>
        <w:t>并将其剩余募集资金永久补充流动资金的议案，审议公司</w:t>
      </w:r>
      <w:r>
        <w:rPr>
          <w:rFonts w:ascii="Times New Roman" w:hAnsi="Times New Roman" w:cs="Times New Roman" w:eastAsia="Times New Roman" w:hint="default"/>
        </w:rPr>
        <w:t>2013</w:t>
      </w:r>
      <w:r>
        <w:rPr/>
        <w:t>年发展</w:t>
      </w:r>
      <w:r>
        <w:rPr>
          <w:spacing w:val="-28"/>
        </w:rPr>
        <w:t> </w:t>
      </w:r>
      <w:r>
        <w:rPr>
          <w:spacing w:val="-28"/>
        </w:rPr>
      </w:r>
      <w:r>
        <w:rPr/>
        <w:t>战略的议案。</w:t>
      </w:r>
    </w:p>
    <w:p>
      <w:pPr>
        <w:pStyle w:val="BodyText"/>
        <w:spacing w:line="240" w:lineRule="auto" w:before="16"/>
        <w:ind w:right="0"/>
        <w:jc w:val="both"/>
      </w:pPr>
      <w:r>
        <w:rPr>
          <w:rFonts w:ascii="Times New Roman" w:hAnsi="Times New Roman" w:cs="Times New Roman" w:eastAsia="Times New Roman" w:hint="default"/>
        </w:rPr>
        <w:t>2</w:t>
      </w:r>
      <w:r>
        <w:rPr/>
        <w:t>、审计委员会</w:t>
      </w:r>
    </w:p>
    <w:p>
      <w:pPr>
        <w:pStyle w:val="BodyText"/>
        <w:spacing w:line="273" w:lineRule="auto" w:before="21"/>
        <w:ind w:right="111" w:firstLine="420"/>
        <w:jc w:val="both"/>
      </w:pPr>
      <w:r>
        <w:rPr>
          <w:spacing w:val="-1"/>
        </w:rPr>
        <w:t>公司董事会设审计委员会，主要由会计专业独立董事组成并担任召集人，审计委员会督促并检查公司</w:t>
      </w:r>
      <w:r>
        <w:rPr/>
        <w:t> </w:t>
      </w:r>
      <w:r>
        <w:rPr>
          <w:spacing w:val="-1"/>
        </w:rPr>
        <w:t>的日常审计工作，审查公司内控制度的制定及执行情况，审核公司的重要会计政策，了解公司的生产经营</w:t>
      </w:r>
      <w:r>
        <w:rPr>
          <w:spacing w:val="-101"/>
        </w:rPr>
        <w:t> </w:t>
      </w:r>
      <w:r>
        <w:rPr>
          <w:spacing w:val="-101"/>
        </w:rPr>
      </w:r>
      <w:r>
        <w:rPr>
          <w:spacing w:val="-1"/>
        </w:rPr>
        <w:t>情况。报告期内，审计委员会共召开五次会议，主要内容是：听取和讨论公司审计部关于</w:t>
      </w:r>
      <w:r>
        <w:rPr>
          <w:rFonts w:ascii="Times New Roman" w:hAnsi="Times New Roman" w:cs="Times New Roman" w:eastAsia="Times New Roman" w:hint="default"/>
          <w:spacing w:val="-1"/>
        </w:rPr>
        <w:t>2011</w:t>
      </w:r>
      <w:r>
        <w:rPr>
          <w:spacing w:val="-1"/>
        </w:rPr>
        <w:t>年工作总结</w:t>
      </w:r>
    </w:p>
    <w:p>
      <w:pPr>
        <w:spacing w:after="0" w:line="273" w:lineRule="auto"/>
        <w:jc w:val="both"/>
        <w:sectPr>
          <w:pgSz w:w="11910" w:h="16840"/>
          <w:pgMar w:header="746" w:footer="978" w:top="1060" w:bottom="1160" w:left="1020" w:right="1020"/>
        </w:sectPr>
      </w:pPr>
    </w:p>
    <w:p>
      <w:pPr>
        <w:spacing w:line="240" w:lineRule="auto" w:before="9"/>
        <w:rPr>
          <w:rFonts w:ascii="宋体" w:hAnsi="宋体" w:cs="宋体" w:eastAsia="宋体" w:hint="default"/>
          <w:sz w:val="24"/>
          <w:szCs w:val="24"/>
        </w:rPr>
      </w:pPr>
    </w:p>
    <w:p>
      <w:pPr>
        <w:pStyle w:val="BodyText"/>
        <w:spacing w:line="261" w:lineRule="auto" w:before="35"/>
        <w:ind w:right="191"/>
        <w:jc w:val="both"/>
      </w:pPr>
      <w:r>
        <w:rPr>
          <w:spacing w:val="-1"/>
        </w:rPr>
        <w:t>和</w:t>
      </w:r>
      <w:r>
        <w:rPr>
          <w:rFonts w:ascii="Times New Roman" w:hAnsi="Times New Roman" w:cs="Times New Roman" w:eastAsia="Times New Roman" w:hint="default"/>
          <w:spacing w:val="-1"/>
        </w:rPr>
        <w:t>2012</w:t>
      </w:r>
      <w:r>
        <w:rPr>
          <w:spacing w:val="-1"/>
        </w:rPr>
        <w:t>年工作计划的报告及审计部各季度提交的工作汇报；审议关于募集资金存放与使用、关联方资金占</w:t>
      </w:r>
      <w:r>
        <w:rPr>
          <w:spacing w:val="-103"/>
        </w:rPr>
        <w:t> </w:t>
      </w:r>
      <w:r>
        <w:rPr>
          <w:spacing w:val="-103"/>
        </w:rPr>
      </w:r>
      <w:r>
        <w:rPr>
          <w:spacing w:val="-1"/>
        </w:rPr>
        <w:t>用及公司内部管理、财务状况、相关重大事项等内部审计情况的报告；落实</w:t>
      </w:r>
      <w:r>
        <w:rPr>
          <w:rFonts w:ascii="Times New Roman" w:hAnsi="Times New Roman" w:cs="Times New Roman" w:eastAsia="Times New Roman" w:hint="default"/>
          <w:spacing w:val="-1"/>
        </w:rPr>
        <w:t>2012</w:t>
      </w:r>
      <w:r>
        <w:rPr>
          <w:spacing w:val="-1"/>
        </w:rPr>
        <w:t>年年报审计相关工作，审</w:t>
      </w:r>
      <w:r>
        <w:rPr>
          <w:spacing w:val="-101"/>
        </w:rPr>
        <w:t> </w:t>
      </w:r>
      <w:r>
        <w:rPr>
          <w:spacing w:val="-101"/>
        </w:rPr>
      </w:r>
      <w:r>
        <w:rPr>
          <w:spacing w:val="-1"/>
        </w:rPr>
        <w:t>阅公司财务报表并形成书面意见；总结和评价外聘审计机构的年报审计工作，形成改聘决议并提交董事会</w:t>
      </w:r>
      <w:r>
        <w:rPr/>
        <w:t> 讨论通过。</w:t>
      </w:r>
    </w:p>
    <w:p>
      <w:pPr>
        <w:pStyle w:val="BodyText"/>
        <w:spacing w:line="256" w:lineRule="auto" w:before="18"/>
        <w:ind w:left="496" w:right="190" w:hanging="384"/>
        <w:jc w:val="left"/>
      </w:pPr>
      <w:r>
        <w:rPr>
          <w:rFonts w:ascii="Times New Roman" w:hAnsi="Times New Roman" w:cs="Times New Roman" w:eastAsia="Times New Roman" w:hint="default"/>
        </w:rPr>
        <w:t>3</w:t>
      </w:r>
      <w:r>
        <w:rPr/>
        <w:t>、提名委员会 报告期内，提名委员会召开了一次会议，主要内容是：审议了关于提名齐跃进先生为公司副总经理的</w:t>
      </w:r>
    </w:p>
    <w:p>
      <w:pPr>
        <w:pStyle w:val="BodyText"/>
        <w:spacing w:line="240" w:lineRule="auto" w:before="22"/>
        <w:ind w:right="0"/>
        <w:jc w:val="left"/>
      </w:pPr>
      <w:r>
        <w:rPr/>
        <w:t>议案，按照《董事会专门委员会议事规则》对公司聘任副总经理候选人资格进行了评议和审查。</w:t>
      </w:r>
    </w:p>
    <w:p>
      <w:pPr>
        <w:pStyle w:val="BodyText"/>
        <w:spacing w:line="256" w:lineRule="auto" w:before="37"/>
        <w:ind w:left="532" w:right="0" w:hanging="420"/>
        <w:jc w:val="left"/>
      </w:pPr>
      <w:r>
        <w:rPr>
          <w:rFonts w:ascii="Times New Roman" w:hAnsi="Times New Roman" w:cs="Times New Roman" w:eastAsia="Times New Roman" w:hint="default"/>
        </w:rPr>
        <w:t>4</w:t>
      </w:r>
      <w:r>
        <w:rPr/>
        <w:t>、薪酬与考核委员会 </w:t>
      </w:r>
      <w:r>
        <w:rPr>
          <w:spacing w:val="-1"/>
        </w:rPr>
        <w:t>薪酬与考核委员会对公司</w:t>
      </w:r>
      <w:r>
        <w:rPr>
          <w:rFonts w:ascii="Times New Roman" w:hAnsi="Times New Roman" w:cs="Times New Roman" w:eastAsia="Times New Roman" w:hint="default"/>
          <w:spacing w:val="-1"/>
        </w:rPr>
        <w:t>2012</w:t>
      </w:r>
      <w:r>
        <w:rPr>
          <w:spacing w:val="-1"/>
        </w:rPr>
        <w:t>年度报告中所披露的公司董事、监事和高级管理人员的薪酬情况进行了</w:t>
      </w:r>
    </w:p>
    <w:p>
      <w:pPr>
        <w:pStyle w:val="BodyText"/>
        <w:spacing w:line="256" w:lineRule="auto" w:before="5"/>
        <w:ind w:right="0"/>
        <w:jc w:val="left"/>
      </w:pPr>
      <w:r>
        <w:rPr>
          <w:spacing w:val="-1"/>
        </w:rPr>
        <w:t>审核，发表审核意见如下：公司董事、监事和高级管理人员报酬决策程序、发放标准符合规定；公司</w:t>
      </w:r>
      <w:r>
        <w:rPr>
          <w:rFonts w:ascii="Times New Roman" w:hAnsi="Times New Roman" w:cs="Times New Roman" w:eastAsia="Times New Roman" w:hint="default"/>
          <w:spacing w:val="-1"/>
        </w:rPr>
        <w:t>2012</w:t>
      </w:r>
      <w:r>
        <w:rPr>
          <w:rFonts w:ascii="Times New Roman" w:hAnsi="Times New Roman" w:cs="Times New Roman" w:eastAsia="Times New Roman" w:hint="default"/>
          <w:spacing w:val="-44"/>
        </w:rPr>
        <w:t> </w:t>
      </w:r>
      <w:r>
        <w:rPr>
          <w:rFonts w:ascii="Times New Roman" w:hAnsi="Times New Roman" w:cs="Times New Roman" w:eastAsia="Times New Roman" w:hint="default"/>
          <w:spacing w:val="-44"/>
        </w:rPr>
      </w:r>
      <w:r>
        <w:rPr/>
        <w:t>年度报告中所披露的董事、监事和高级管理人员薪酬真实、准确。</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r>
        <w:rPr/>
        <w:t>五、监事会工作情况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38" w:lineRule="auto" w:before="117"/>
        <w:ind w:left="112" w:right="67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 监事会对报告期内的监督事项无异议。</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六、公司相对于控股股东在业务、人员、资产、机构、财务等方面的独立完整情况</w:t>
      </w:r>
      <w:r>
        <w:rPr>
          <w:b w:val="0"/>
          <w:bCs w:val="0"/>
        </w:rPr>
      </w:r>
    </w:p>
    <w:p>
      <w:pPr>
        <w:spacing w:line="240" w:lineRule="auto" w:before="6"/>
        <w:rPr>
          <w:rFonts w:ascii="宋体" w:hAnsi="宋体" w:cs="宋体" w:eastAsia="宋体" w:hint="default"/>
          <w:b/>
          <w:bCs/>
          <w:sz w:val="26"/>
          <w:szCs w:val="26"/>
        </w:rPr>
      </w:pPr>
    </w:p>
    <w:p>
      <w:pPr>
        <w:spacing w:line="312" w:lineRule="auto" w:before="0"/>
        <w:ind w:left="112" w:right="101" w:firstLine="360"/>
        <w:jc w:val="both"/>
        <w:rPr>
          <w:rFonts w:ascii="宋体" w:hAnsi="宋体" w:cs="宋体" w:eastAsia="宋体" w:hint="default"/>
          <w:sz w:val="18"/>
          <w:szCs w:val="18"/>
        </w:rPr>
      </w:pPr>
      <w:r>
        <w:rPr>
          <w:rFonts w:ascii="宋体" w:hAnsi="宋体" w:cs="宋体" w:eastAsia="宋体" w:hint="default"/>
          <w:spacing w:val="-2"/>
          <w:sz w:val="18"/>
          <w:szCs w:val="18"/>
        </w:rPr>
        <w:t>公司控股股东为自然人，不存在公司与控股股东在业务、人员、资产、机构、财务等方面的问题，同时公司控股股东未</w:t>
      </w:r>
      <w:r>
        <w:rPr>
          <w:rFonts w:ascii="宋体" w:hAnsi="宋体" w:cs="宋体" w:eastAsia="宋体" w:hint="default"/>
          <w:sz w:val="18"/>
          <w:szCs w:val="18"/>
        </w:rPr>
        <w:t> 以任何形式占用公司的货币资金或其他资产。 </w:t>
      </w:r>
      <w:r>
        <w:rPr>
          <w:rFonts w:ascii="Times New Roman" w:hAnsi="Times New Roman" w:cs="Times New Roman" w:eastAsia="Times New Roman" w:hint="default"/>
          <w:sz w:val="18"/>
          <w:szCs w:val="18"/>
        </w:rPr>
        <w:t>1</w:t>
      </w:r>
      <w:r>
        <w:rPr>
          <w:rFonts w:ascii="宋体" w:hAnsi="宋体" w:cs="宋体" w:eastAsia="宋体" w:hint="default"/>
          <w:sz w:val="18"/>
          <w:szCs w:val="18"/>
        </w:rPr>
        <w:t>、业务独立情况：公司业务结构完整，自主独立经营，不依赖于股东或 </w:t>
      </w:r>
      <w:r>
        <w:rPr>
          <w:rFonts w:ascii="宋体" w:hAnsi="宋体" w:cs="宋体" w:eastAsia="宋体" w:hint="default"/>
          <w:spacing w:val="-2"/>
          <w:sz w:val="18"/>
          <w:szCs w:val="18"/>
        </w:rPr>
        <w:t>其它任何关联方，与控股股东、实际控制人及其控制的其他企业间不存在同业竞争或者显失公平的关联交易，也不存在控股</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股东直接或间接干预公司经营运作的情形。   </w:t>
      </w:r>
      <w:r>
        <w:rPr>
          <w:rFonts w:ascii="宋体" w:hAnsi="宋体" w:cs="宋体" w:eastAsia="宋体" w:hint="default"/>
          <w:spacing w:val="86"/>
          <w:sz w:val="18"/>
          <w:szCs w:val="18"/>
        </w:rPr>
        <w:t> </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、人员独立情况：本公司董事、监事、高级管理人员严格按照《公司法》、</w:t>
      </w:r>
    </w:p>
    <w:p>
      <w:pPr>
        <w:tabs>
          <w:tab w:pos="1192" w:val="left" w:leader="none"/>
          <w:tab w:pos="1732" w:val="left" w:leader="none"/>
          <w:tab w:pos="8339" w:val="left" w:leader="none"/>
        </w:tabs>
        <w:spacing w:line="312" w:lineRule="auto" w:before="3"/>
        <w:ind w:left="112" w:right="101" w:firstLine="0"/>
        <w:jc w:val="left"/>
        <w:rPr>
          <w:rFonts w:ascii="宋体" w:hAnsi="宋体" w:cs="宋体" w:eastAsia="宋体" w:hint="default"/>
          <w:sz w:val="18"/>
          <w:szCs w:val="18"/>
        </w:rPr>
      </w:pPr>
      <w:r>
        <w:rPr>
          <w:rFonts w:ascii="宋体" w:hAnsi="宋体" w:cs="宋体" w:eastAsia="宋体" w:hint="default"/>
          <w:spacing w:val="-2"/>
          <w:sz w:val="18"/>
          <w:szCs w:val="18"/>
        </w:rPr>
        <w:t>《公司章程》的规定产生，总经理、副总经理、财务负责人和董事会秘书等高级管理人员均专职在公司工作并领取薪酬，均</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1"/>
          <w:sz w:val="18"/>
          <w:szCs w:val="18"/>
        </w:rPr>
        <w:t>未在股东及其下属的其他企业中担任其他职务。公司财务人员未在股东及其下属的其他企业中兼职。</w:t>
        <w:tab/>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、资产独立情况：</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公司拥有完整的与生产经营相关的生产系统、辅助生产系统和配套设施；对与生产经营相关的厂房、土地、设备、商标、专</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利及非专利技术等资产均合法拥有所有权或使用权。公司与股东之间的资产产权界定清晰，生产经营场所独立，不存在依靠</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股东的生产经营场所进行生产经营的情况。目前公司不存在以资产为股东的债务提供担保的情况，公司对所有资产拥有完全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的控制支配权。</w:t>
        <w:tab/>
      </w:r>
      <w:r>
        <w:rPr>
          <w:rFonts w:ascii="Times New Roman" w:hAnsi="Times New Roman" w:cs="Times New Roman" w:eastAsia="Times New Roman" w:hint="default"/>
          <w:sz w:val="18"/>
          <w:szCs w:val="18"/>
        </w:rPr>
        <w:t>4</w:t>
      </w:r>
      <w:r>
        <w:rPr>
          <w:rFonts w:ascii="宋体" w:hAnsi="宋体" w:cs="宋体" w:eastAsia="宋体" w:hint="default"/>
          <w:sz w:val="18"/>
          <w:szCs w:val="18"/>
        </w:rPr>
        <w:t>、机构独立情况：本公司依法设立股东大会、董事会、监事会，根据公司章程的规定聘任了管理层， </w:t>
      </w:r>
      <w:r>
        <w:rPr>
          <w:rFonts w:ascii="宋体" w:hAnsi="宋体" w:cs="宋体" w:eastAsia="宋体" w:hint="default"/>
          <w:spacing w:val="-2"/>
          <w:sz w:val="18"/>
          <w:szCs w:val="18"/>
        </w:rPr>
        <w:t>法人治理结构完整。公司建立了适应生产经营需要的组织机构，各职能部门之间分工明确、各司其职、相互配合，并独立于</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各股东。</w:t>
        <w:tab/>
      </w:r>
      <w:r>
        <w:rPr>
          <w:rFonts w:ascii="Times New Roman" w:hAnsi="Times New Roman" w:cs="Times New Roman" w:eastAsia="Times New Roman" w:hint="default"/>
          <w:sz w:val="18"/>
          <w:szCs w:val="18"/>
        </w:rPr>
        <w:t>5</w:t>
      </w:r>
      <w:r>
        <w:rPr>
          <w:rFonts w:ascii="宋体" w:hAnsi="宋体" w:cs="宋体" w:eastAsia="宋体" w:hint="default"/>
          <w:sz w:val="18"/>
          <w:szCs w:val="18"/>
        </w:rPr>
        <w:t>、财务独立情况：公司设立后，已按照相关法律、法规的要求建立了一套独立、完整、规范的财务会计核算 </w:t>
      </w:r>
      <w:r>
        <w:rPr>
          <w:rFonts w:ascii="宋体" w:hAnsi="宋体" w:cs="宋体" w:eastAsia="宋体" w:hint="default"/>
          <w:spacing w:val="-2"/>
          <w:sz w:val="18"/>
          <w:szCs w:val="18"/>
        </w:rPr>
        <w:t>体系和财务管理制度，并建立了相应的内部控制制度，并独立作出财务决策。公司设立了独立的财务部门，配备了专职财务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人员；公司在银行单独开立账户，拥有独立的银行账号；公司作为独立的纳税人，依法独立纳税。</w:t>
      </w:r>
    </w:p>
    <w:p>
      <w:pPr>
        <w:spacing w:line="240" w:lineRule="auto" w:before="12"/>
        <w:rPr>
          <w:rFonts w:ascii="宋体" w:hAnsi="宋体" w:cs="宋体" w:eastAsia="宋体" w:hint="default"/>
          <w:sz w:val="20"/>
          <w:szCs w:val="20"/>
        </w:rPr>
      </w:pPr>
    </w:p>
    <w:p>
      <w:pPr>
        <w:pStyle w:val="Heading2"/>
        <w:spacing w:line="240" w:lineRule="auto"/>
        <w:ind w:right="0"/>
        <w:jc w:val="left"/>
        <w:rPr>
          <w:b w:val="0"/>
          <w:bCs w:val="0"/>
        </w:rPr>
      </w:pPr>
      <w:r>
        <w:rPr/>
        <w:t>七、同业竞争情况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9"/>
        <w:rPr>
          <w:rFonts w:ascii="宋体" w:hAnsi="宋体" w:cs="宋体" w:eastAsia="宋体" w:hint="default"/>
          <w:b/>
          <w:bCs/>
          <w:sz w:val="26"/>
          <w:szCs w:val="26"/>
        </w:rPr>
      </w:pPr>
    </w:p>
    <w:p>
      <w:pPr>
        <w:spacing w:line="316" w:lineRule="auto" w:before="0"/>
        <w:ind w:left="112" w:right="192" w:firstLine="360"/>
        <w:jc w:val="both"/>
        <w:rPr>
          <w:rFonts w:ascii="宋体" w:hAnsi="宋体" w:cs="宋体" w:eastAsia="宋体" w:hint="default"/>
          <w:sz w:val="18"/>
          <w:szCs w:val="18"/>
        </w:rPr>
      </w:pPr>
      <w:r>
        <w:rPr>
          <w:rFonts w:ascii="宋体" w:hAnsi="宋体" w:cs="宋体" w:eastAsia="宋体" w:hint="default"/>
          <w:spacing w:val="-2"/>
          <w:sz w:val="18"/>
          <w:szCs w:val="18"/>
        </w:rPr>
        <w:t>公司董事会按年度对公司高级管理人员的业绩和履职情况进行考评，并根据工作业绩决定年度薪酬，以考核结果作为下</w:t>
      </w:r>
      <w:r>
        <w:rPr>
          <w:rFonts w:ascii="宋体" w:hAnsi="宋体" w:cs="宋体" w:eastAsia="宋体" w:hint="default"/>
          <w:sz w:val="18"/>
          <w:szCs w:val="18"/>
        </w:rPr>
        <w:t> 一年度的岗位安排、是否续聘及职位升降和下一届任免的依据。报告期内，对高级管理人员的考评情况良好。</w:t>
      </w:r>
    </w:p>
    <w:p>
      <w:pPr>
        <w:spacing w:after="0" w:line="316" w:lineRule="auto"/>
        <w:jc w:val="both"/>
        <w:rPr>
          <w:rFonts w:ascii="宋体" w:hAnsi="宋体" w:cs="宋体" w:eastAsia="宋体" w:hint="default"/>
          <w:sz w:val="18"/>
          <w:szCs w:val="18"/>
        </w:rPr>
        <w:sectPr>
          <w:pgSz w:w="11910" w:h="16840"/>
          <w:pgMar w:header="746" w:footer="978" w:top="1060" w:bottom="1160" w:left="102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1"/>
        <w:spacing w:line="240" w:lineRule="auto"/>
        <w:ind w:left="3552" w:right="3628"/>
        <w:jc w:val="center"/>
        <w:rPr>
          <w:b w:val="0"/>
          <w:bCs w:val="0"/>
        </w:rPr>
      </w:pPr>
      <w:bookmarkStart w:name="_bookmark8" w:id="9"/>
      <w:bookmarkEnd w:id="9"/>
      <w:r>
        <w:rPr>
          <w:b w:val="0"/>
          <w:bCs w:val="0"/>
        </w:rPr>
      </w:r>
      <w:r>
        <w:rPr/>
        <w:t>第九节</w:t>
      </w:r>
      <w:r>
        <w:rPr>
          <w:spacing w:val="-6"/>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left"/>
        <w:rPr>
          <w:b w:val="0"/>
          <w:bCs w:val="0"/>
        </w:rPr>
      </w:pPr>
      <w:r>
        <w:rPr/>
        <w:t>一、内部控制建设情况</w:t>
      </w:r>
      <w:r>
        <w:rPr>
          <w:b w:val="0"/>
          <w:bCs w:val="0"/>
        </w:rPr>
      </w:r>
    </w:p>
    <w:p>
      <w:pPr>
        <w:spacing w:line="240" w:lineRule="auto" w:before="6"/>
        <w:rPr>
          <w:rFonts w:ascii="宋体" w:hAnsi="宋体" w:cs="宋体" w:eastAsia="宋体" w:hint="default"/>
          <w:b/>
          <w:bCs/>
          <w:sz w:val="26"/>
          <w:szCs w:val="26"/>
        </w:rPr>
      </w:pPr>
    </w:p>
    <w:p>
      <w:pPr>
        <w:spacing w:before="0"/>
        <w:ind w:left="472" w:right="0" w:firstLine="0"/>
        <w:jc w:val="left"/>
        <w:rPr>
          <w:rFonts w:ascii="宋体" w:hAnsi="宋体" w:cs="宋体" w:eastAsia="宋体" w:hint="default"/>
          <w:sz w:val="18"/>
          <w:szCs w:val="18"/>
        </w:rPr>
      </w:pPr>
      <w:r>
        <w:rPr>
          <w:rFonts w:ascii="宋体" w:hAnsi="宋体" w:cs="宋体" w:eastAsia="宋体" w:hint="default"/>
          <w:sz w:val="18"/>
          <w:szCs w:val="18"/>
        </w:rPr>
        <w:t>依</w:t>
      </w:r>
      <w:r>
        <w:rPr>
          <w:rFonts w:ascii="宋体" w:hAnsi="宋体" w:cs="宋体" w:eastAsia="宋体" w:hint="default"/>
          <w:spacing w:val="-41"/>
          <w:sz w:val="18"/>
          <w:szCs w:val="18"/>
        </w:rPr>
        <w:t>据</w:t>
      </w:r>
      <w:r>
        <w:rPr>
          <w:rFonts w:ascii="宋体" w:hAnsi="宋体" w:cs="宋体" w:eastAsia="宋体" w:hint="default"/>
          <w:sz w:val="18"/>
          <w:szCs w:val="18"/>
        </w:rPr>
        <w:t>《中华人民共和国公司法</w:t>
      </w:r>
      <w:r>
        <w:rPr>
          <w:rFonts w:ascii="宋体" w:hAnsi="宋体" w:cs="宋体" w:eastAsia="宋体" w:hint="default"/>
          <w:spacing w:val="-92"/>
          <w:sz w:val="18"/>
          <w:szCs w:val="18"/>
        </w:rPr>
        <w:t>》</w:t>
      </w:r>
      <w:r>
        <w:rPr>
          <w:rFonts w:ascii="宋体" w:hAnsi="宋体" w:cs="宋体" w:eastAsia="宋体" w:hint="default"/>
          <w:spacing w:val="-132"/>
          <w:sz w:val="18"/>
          <w:szCs w:val="18"/>
        </w:rPr>
        <w:t>、</w:t>
      </w:r>
      <w:r>
        <w:rPr>
          <w:rFonts w:ascii="宋体" w:hAnsi="宋体" w:cs="宋体" w:eastAsia="宋体" w:hint="default"/>
          <w:sz w:val="18"/>
          <w:szCs w:val="18"/>
        </w:rPr>
        <w:t>《中华人民共和国证券法</w:t>
      </w:r>
      <w:r>
        <w:rPr>
          <w:rFonts w:ascii="宋体" w:hAnsi="宋体" w:cs="宋体" w:eastAsia="宋体" w:hint="default"/>
          <w:spacing w:val="-92"/>
          <w:sz w:val="18"/>
          <w:szCs w:val="18"/>
        </w:rPr>
        <w:t>》</w:t>
      </w:r>
      <w:r>
        <w:rPr>
          <w:rFonts w:ascii="宋体" w:hAnsi="宋体" w:cs="宋体" w:eastAsia="宋体" w:hint="default"/>
          <w:spacing w:val="-132"/>
          <w:sz w:val="18"/>
          <w:szCs w:val="18"/>
        </w:rPr>
        <w:t>、</w:t>
      </w:r>
      <w:r>
        <w:rPr>
          <w:rFonts w:ascii="宋体" w:hAnsi="宋体" w:cs="宋体" w:eastAsia="宋体" w:hint="default"/>
          <w:sz w:val="18"/>
          <w:szCs w:val="18"/>
        </w:rPr>
        <w:t>《深圳证券交易所股票上市规则</w:t>
      </w:r>
      <w:r>
        <w:rPr>
          <w:rFonts w:ascii="宋体" w:hAnsi="宋体" w:cs="宋体" w:eastAsia="宋体" w:hint="default"/>
          <w:spacing w:val="-92"/>
          <w:sz w:val="18"/>
          <w:szCs w:val="18"/>
        </w:rPr>
        <w:t>》</w:t>
      </w:r>
      <w:r>
        <w:rPr>
          <w:rFonts w:ascii="宋体" w:hAnsi="宋体" w:cs="宋体" w:eastAsia="宋体" w:hint="default"/>
          <w:spacing w:val="-132"/>
          <w:sz w:val="18"/>
          <w:szCs w:val="18"/>
        </w:rPr>
        <w:t>、</w:t>
      </w:r>
      <w:r>
        <w:rPr>
          <w:rFonts w:ascii="宋体" w:hAnsi="宋体" w:cs="宋体" w:eastAsia="宋体" w:hint="default"/>
          <w:sz w:val="18"/>
          <w:szCs w:val="18"/>
        </w:rPr>
        <w:t>《企业内部控制基本规范》</w:t>
      </w:r>
    </w:p>
    <w:p>
      <w:pPr>
        <w:tabs>
          <w:tab w:pos="4024" w:val="left" w:leader="none"/>
          <w:tab w:pos="4432" w:val="left" w:leader="none"/>
          <w:tab w:pos="6026" w:val="left" w:leader="none"/>
        </w:tabs>
        <w:spacing w:line="312" w:lineRule="auto" w:before="76"/>
        <w:ind w:left="112" w:right="101" w:firstLine="0"/>
        <w:jc w:val="left"/>
        <w:rPr>
          <w:rFonts w:ascii="宋体" w:hAnsi="宋体" w:cs="宋体" w:eastAsia="宋体" w:hint="default"/>
          <w:sz w:val="18"/>
          <w:szCs w:val="18"/>
        </w:rPr>
      </w:pPr>
      <w:r>
        <w:rPr>
          <w:rFonts w:ascii="宋体" w:hAnsi="宋体" w:cs="宋体" w:eastAsia="宋体" w:hint="default"/>
          <w:spacing w:val="-1"/>
          <w:sz w:val="18"/>
          <w:szCs w:val="18"/>
        </w:rPr>
        <w:t>（财会</w:t>
      </w:r>
      <w:r>
        <w:rPr>
          <w:rFonts w:ascii="Times New Roman" w:hAnsi="Times New Roman" w:cs="Times New Roman" w:eastAsia="Times New Roman" w:hint="default"/>
          <w:spacing w:val="-1"/>
          <w:sz w:val="18"/>
          <w:szCs w:val="18"/>
        </w:rPr>
        <w:t>[2008]7</w:t>
      </w:r>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号）、《深圳证券交易所中小企业板上市公司规范运作指引》等有关法律法规的相关要求，公司为合理保证各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项目标的实现，建立了相关的内部控制程序，主要包括：生产经营控制，财务管理控制，重大事项管理控制，分、子公司管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理控制，信息披露控制，内部审计控制等。</w:t>
        <w:tab/>
        <w:t>生产经营控制：公司制定了明确的各职能部门的工作权限与职责，规定了</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生产、采购、销售及安全管理等的程序与工作流程，建立了完善的质量管理体系，通过了</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ISO9001</w:t>
      </w:r>
      <w:r>
        <w:rPr>
          <w:rFonts w:ascii="宋体" w:hAnsi="宋体" w:cs="宋体" w:eastAsia="宋体" w:hint="default"/>
          <w:sz w:val="18"/>
          <w:szCs w:val="18"/>
        </w:rPr>
        <w:t>、安全生产标准化等体系 </w:t>
      </w:r>
      <w:r>
        <w:rPr>
          <w:rFonts w:ascii="宋体" w:hAnsi="宋体" w:cs="宋体" w:eastAsia="宋体" w:hint="default"/>
          <w:spacing w:val="-1"/>
          <w:sz w:val="18"/>
          <w:szCs w:val="18"/>
        </w:rPr>
        <w:t>认证。上述体系与管理程序的建立使得公司的经营运作得到有效控制。</w:t>
        <w:tab/>
      </w:r>
      <w:r>
        <w:rPr>
          <w:rFonts w:ascii="宋体" w:hAnsi="宋体" w:cs="宋体" w:eastAsia="宋体" w:hint="default"/>
          <w:spacing w:val="-3"/>
          <w:sz w:val="18"/>
          <w:szCs w:val="18"/>
        </w:rPr>
        <w:t>财务管理控制：依据《会计法》和《企业会计准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则》等有关法律法规的规定，结合具体情况建立了完善的财务管理制度及相关办法，通过严格的内部控制体系，控制财务风</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险，合理筹集资金，有效营运资产，控制成本费用，规范收益分配、合并、分立、解散、清算或者变更公司形式等财务行为，</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实现公司资产效益最大化和公司资产的优化组合。</w:t>
        <w:tab/>
      </w:r>
      <w:r>
        <w:rPr>
          <w:rFonts w:ascii="宋体" w:hAnsi="宋体" w:cs="宋体" w:eastAsia="宋体" w:hint="default"/>
          <w:spacing w:val="-3"/>
          <w:sz w:val="18"/>
          <w:szCs w:val="18"/>
        </w:rPr>
        <w:t>重大事项管理控制：公司制定了《关联交易内部控制及决策制度》、</w:t>
      </w:r>
    </w:p>
    <w:p>
      <w:pPr>
        <w:tabs>
          <w:tab w:pos="1643" w:val="left" w:leader="none"/>
          <w:tab w:pos="4612" w:val="left" w:leader="none"/>
          <w:tab w:pos="4927" w:val="left" w:leader="none"/>
          <w:tab w:pos="5459" w:val="left" w:leader="none"/>
        </w:tabs>
        <w:spacing w:line="316" w:lineRule="auto" w:before="22"/>
        <w:ind w:left="112" w:right="101" w:firstLine="0"/>
        <w:jc w:val="left"/>
        <w:rPr>
          <w:rFonts w:ascii="宋体" w:hAnsi="宋体" w:cs="宋体" w:eastAsia="宋体" w:hint="default"/>
          <w:sz w:val="18"/>
          <w:szCs w:val="18"/>
        </w:rPr>
      </w:pPr>
      <w:r>
        <w:rPr>
          <w:rFonts w:ascii="宋体" w:hAnsi="宋体" w:cs="宋体" w:eastAsia="宋体" w:hint="default"/>
          <w:spacing w:val="-8"/>
          <w:sz w:val="18"/>
          <w:szCs w:val="18"/>
        </w:rPr>
        <w:t>《对外担保管理制度》、《对外投资管理制度》、《重大信息内部报告制度》等制度，对公司的重大事项的基本原则和决策程序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予以明确的规定。报告期内的重大决策行为，均事前进行了市场调研、可行性论证，根据涉及金额大小提交董事会、股东大</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会审议通过。</w:t>
        <w:tab/>
        <w:t>分、子公司管理控制：公司通过向分、子公司委派董事、监事及重要高级管理人员加强对其管理，并制 </w:t>
      </w:r>
      <w:r>
        <w:rPr>
          <w:rFonts w:ascii="宋体" w:hAnsi="宋体" w:cs="宋体" w:eastAsia="宋体" w:hint="default"/>
          <w:spacing w:val="-2"/>
          <w:sz w:val="18"/>
          <w:szCs w:val="18"/>
        </w:rPr>
        <w:t>定《分、子公司管理制度》等规章制度加以约束和控制。</w:t>
        <w:tab/>
        <w:tab/>
      </w:r>
      <w:r>
        <w:rPr>
          <w:rFonts w:ascii="宋体" w:hAnsi="宋体" w:cs="宋体" w:eastAsia="宋体" w:hint="default"/>
          <w:spacing w:val="-8"/>
          <w:sz w:val="18"/>
          <w:szCs w:val="18"/>
        </w:rPr>
        <w:t>信息披露控制：公司现已制定了《信息披露管理制度》、《重大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信息内部报告制度》、《内幕信息知情人管理制度》、《外部信息使用人管理制度》和《投资者关系管理办法》等内控制度，以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确保公司信息披露真实、准确、完整、及时、公平。</w:t>
        <w:tab/>
      </w:r>
      <w:r>
        <w:rPr>
          <w:rFonts w:ascii="宋体" w:hAnsi="宋体" w:cs="宋体" w:eastAsia="宋体" w:hint="default"/>
          <w:spacing w:val="-4"/>
          <w:sz w:val="18"/>
          <w:szCs w:val="18"/>
        </w:rPr>
        <w:t>内部审计控制：公司制定了《内部审计制度》，对公司内部审计工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作作了明确的规定和要求。公司董事会下设专门的审计委员会，在董事会审计委员会的领导下，根据年度审计工作计划开展</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审计工作，实施日常或专题内部控制检查。通过内部审计及时发现经营活动中存在的问题，提出整改建议，落实整改措施， </w:t>
      </w:r>
      <w:r>
        <w:rPr>
          <w:rFonts w:ascii="宋体" w:hAnsi="宋体" w:cs="宋体" w:eastAsia="宋体" w:hint="default"/>
          <w:spacing w:val="-1"/>
          <w:sz w:val="18"/>
          <w:szCs w:val="18"/>
        </w:rPr>
        <w:t>提升内部控制管理的有效性，进一步防范经营风险和财务风险。</w:t>
        <w:tab/>
      </w:r>
      <w:r>
        <w:rPr>
          <w:rFonts w:ascii="宋体" w:hAnsi="宋体" w:cs="宋体" w:eastAsia="宋体" w:hint="default"/>
          <w:spacing w:val="-2"/>
          <w:sz w:val="18"/>
          <w:szCs w:val="18"/>
        </w:rPr>
        <w:t>内部控制体系的建设是一项系统而复杂的工程，也是一</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个动态提高管理水平、不断完善公司治理的过程，公司今后将继续根据国家法律法规及公司执行过程中的自我监控进一步健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全和完善内控管理体系，不断完善公司内部控制结构，提高防范风险能力，加强信息披露管理，切实保障投资者的合法权益，</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全面提升公司管理水平，强化公司防范风险的能力，促进公司规范运营和健康发展。</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t>二、董事会关于内部控制责任的声明</w:t>
      </w:r>
      <w:r>
        <w:rPr>
          <w:b w:val="0"/>
          <w:bCs w:val="0"/>
        </w:rPr>
      </w:r>
    </w:p>
    <w:p>
      <w:pPr>
        <w:spacing w:line="240" w:lineRule="auto" w:before="6"/>
        <w:rPr>
          <w:rFonts w:ascii="宋体" w:hAnsi="宋体" w:cs="宋体" w:eastAsia="宋体" w:hint="default"/>
          <w:b/>
          <w:bCs/>
          <w:sz w:val="26"/>
          <w:szCs w:val="26"/>
        </w:rPr>
      </w:pPr>
    </w:p>
    <w:p>
      <w:pPr>
        <w:spacing w:line="316" w:lineRule="auto" w:before="0"/>
        <w:ind w:left="112" w:right="0" w:firstLine="0"/>
        <w:jc w:val="left"/>
        <w:rPr>
          <w:rFonts w:ascii="宋体" w:hAnsi="宋体" w:cs="宋体" w:eastAsia="宋体" w:hint="default"/>
          <w:sz w:val="18"/>
          <w:szCs w:val="18"/>
        </w:rPr>
      </w:pPr>
      <w:r>
        <w:rPr>
          <w:rFonts w:ascii="宋体" w:hAnsi="宋体" w:cs="宋体" w:eastAsia="宋体" w:hint="default"/>
          <w:spacing w:val="-2"/>
          <w:sz w:val="18"/>
          <w:szCs w:val="18"/>
        </w:rPr>
        <w:t>公司董事会及全体董事保证内部控制相关内容不存在任何虚假记载、误导性陈述或者重大遗漏，并对其内容的真实性、准确</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性和完整性承担个别及连带责任。</w:t>
      </w: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r>
        <w:rPr/>
        <w:t>三、建立财务报告内部控制的依据</w:t>
      </w:r>
      <w:r>
        <w:rPr>
          <w:b w:val="0"/>
          <w:bCs w:val="0"/>
        </w:rPr>
      </w:r>
    </w:p>
    <w:p>
      <w:pPr>
        <w:spacing w:line="240" w:lineRule="auto" w:before="9"/>
        <w:rPr>
          <w:rFonts w:ascii="宋体" w:hAnsi="宋体" w:cs="宋体" w:eastAsia="宋体" w:hint="default"/>
          <w:b/>
          <w:bCs/>
          <w:sz w:val="26"/>
          <w:szCs w:val="26"/>
        </w:rPr>
      </w:pPr>
    </w:p>
    <w:p>
      <w:pPr>
        <w:spacing w:line="316" w:lineRule="auto" w:before="0"/>
        <w:ind w:left="112" w:right="178" w:firstLine="0"/>
        <w:jc w:val="left"/>
        <w:rPr>
          <w:rFonts w:ascii="Times New Roman" w:hAnsi="Times New Roman" w:cs="Times New Roman" w:eastAsia="Times New Roman" w:hint="default"/>
          <w:sz w:val="18"/>
          <w:szCs w:val="18"/>
        </w:rPr>
      </w:pPr>
      <w:r>
        <w:rPr>
          <w:rFonts w:ascii="宋体" w:hAnsi="宋体" w:cs="宋体" w:eastAsia="宋体" w:hint="default"/>
          <w:spacing w:val="-14"/>
          <w:sz w:val="18"/>
          <w:szCs w:val="18"/>
        </w:rPr>
        <w:t>公司依据《公司法》、《会计法》、《企业会计准则》、《企业内部控制基本规范》及《企业内部控制应用指引》、《企业内部控制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评价指引》的要求，结合公司内部控制管理制度和评价的办法，在内部控制日常监督和专项监督的基础上，对公司截至</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2012</w:t>
      </w:r>
    </w:p>
    <w:p>
      <w:pPr>
        <w:spacing w:line="248" w:lineRule="exact"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日内部控制的设计与运行的有效性进行评价。</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四、内部控制自我评价报告</w:t>
      </w:r>
      <w:r>
        <w:rPr>
          <w:b w:val="0"/>
          <w:bCs w:val="0"/>
        </w:rPr>
      </w:r>
    </w:p>
    <w:p>
      <w:pPr>
        <w:spacing w:line="240" w:lineRule="auto" w:before="4"/>
        <w:rPr>
          <w:rFonts w:ascii="宋体" w:hAnsi="宋体" w:cs="宋体" w:eastAsia="宋体" w:hint="default"/>
          <w:b/>
          <w:bCs/>
          <w:sz w:val="25"/>
          <w:szCs w:val="25"/>
        </w:rPr>
      </w:pPr>
    </w:p>
    <w:p>
      <w:pPr>
        <w:spacing w:line="818" w:lineRule="exact"/>
        <w:ind w:left="104"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4pt;height:40.950pt;mso-position-horizontal-relative:char;mso-position-vertical-relative:line" coordorigin="0,0" coordsize="9588,819">
            <v:group style="position:absolute;left:13;top:13;width:9563;height:397" coordorigin="13,13" coordsize="9563,397">
              <v:shape style="position:absolute;left:13;top:13;width:9563;height:397" coordorigin="13,13" coordsize="9563,397" path="m13,13l9576,13,9576,410,13,410,13,13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5;top:814;width:9578;height:2" coordorigin="5,814" coordsize="9578,2">
              <v:shape style="position:absolute;left:5;top:814;width:9578;height:2" coordorigin="5,814" coordsize="9578,0" path="m5,814l9582,814e" filled="false" stroked="true" strokeweight=".48pt" strokecolor="#000000">
                <v:path arrowok="t"/>
              </v:shape>
            </v:group>
            <v:group style="position:absolute;left:10;top:5;width:2;height:804" coordorigin="10,5" coordsize="2,804">
              <v:shape style="position:absolute;left:10;top:5;width:2;height:804" coordorigin="10,5" coordsize="0,804" path="m10,5l10,809e" filled="false" stroked="true" strokeweight=".48pt" strokecolor="#000000">
                <v:path arrowok="t"/>
              </v:shape>
            </v:group>
            <v:group style="position:absolute;left:9578;top:5;width:2;height:804" coordorigin="9578,5" coordsize="2,804">
              <v:shape style="position:absolute;left:9578;top:5;width:2;height:804" coordorigin="9578,5" coordsize="0,804" path="m9578,5l9578,809e" filled="false" stroked="true" strokeweight=".48pt" strokecolor="#000000">
                <v:path arrowok="t"/>
              </v:shape>
              <v:shape style="position:absolute;left:10;top:10;width:9568;height:402" type="#_x0000_t202" filled="false" stroked="false">
                <v:textbox inset="0,0,0,0">
                  <w:txbxContent>
                    <w:p>
                      <w:pPr>
                        <w:spacing w:before="56"/>
                        <w:ind w:left="1993" w:right="0" w:firstLine="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xbxContent>
                </v:textbox>
                <w10:wrap type="none"/>
              </v:shape>
              <v:shape style="position:absolute;left:10;top:412;width:9568;height:402" type="#_x0000_t202" filled="false" stroked="false">
                <v:textbox inset="0,0,0,0">
                  <w:txbxContent>
                    <w:p>
                      <w:pPr>
                        <w:spacing w:before="54"/>
                        <w:ind w:left="27" w:right="0" w:firstLine="0"/>
                        <w:jc w:val="left"/>
                        <w:rPr>
                          <w:rFonts w:ascii="宋体" w:hAnsi="宋体" w:cs="宋体" w:eastAsia="宋体" w:hint="default"/>
                          <w:sz w:val="18"/>
                          <w:szCs w:val="18"/>
                        </w:rPr>
                      </w:pPr>
                      <w:r>
                        <w:rPr>
                          <w:rFonts w:ascii="宋体" w:hAnsi="宋体" w:cs="宋体" w:eastAsia="宋体" w:hint="default"/>
                          <w:sz w:val="18"/>
                          <w:szCs w:val="18"/>
                        </w:rPr>
                        <w:t>报告期内，公司未发现内部控制重大缺陷。</w:t>
                      </w:r>
                    </w:p>
                  </w:txbxContent>
                </v:textbox>
                <w10:wrap type="none"/>
              </v:shape>
            </v:group>
          </v:group>
        </w:pict>
      </w:r>
      <w:r>
        <w:rPr>
          <w:rFonts w:ascii="宋体" w:hAnsi="宋体" w:cs="宋体" w:eastAsia="宋体" w:hint="default"/>
          <w:position w:val="-15"/>
          <w:sz w:val="20"/>
          <w:szCs w:val="20"/>
        </w:rPr>
      </w:r>
    </w:p>
    <w:p>
      <w:pPr>
        <w:spacing w:after="0" w:line="818" w:lineRule="exact"/>
        <w:rPr>
          <w:rFonts w:ascii="宋体" w:hAnsi="宋体" w:cs="宋体" w:eastAsia="宋体" w:hint="default"/>
          <w:sz w:val="20"/>
          <w:szCs w:val="20"/>
        </w:rPr>
        <w:sectPr>
          <w:pgSz w:w="11910" w:h="16840"/>
          <w:pgMar w:header="746" w:footer="978" w:top="1060" w:bottom="1160" w:left="1020" w:right="940"/>
        </w:sectPr>
      </w:pPr>
    </w:p>
    <w:p>
      <w:pPr>
        <w:spacing w:line="240" w:lineRule="auto" w:before="5"/>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2662"/>
        <w:gridCol w:w="6906"/>
      </w:tblGrid>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107"/>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日期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索引</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年度内部控制自我评价报告》详见巨潮咨询网（</w:t>
            </w:r>
            <w:hyperlink r:id="rId17">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spacing w:line="240" w:lineRule="auto" w:before="2"/>
        <w:rPr>
          <w:rFonts w:ascii="宋体" w:hAnsi="宋体" w:cs="宋体" w:eastAsia="宋体" w:hint="default"/>
          <w:b/>
          <w:bCs/>
          <w:sz w:val="18"/>
          <w:szCs w:val="18"/>
        </w:rPr>
      </w:pPr>
    </w:p>
    <w:p>
      <w:pPr>
        <w:spacing w:before="26"/>
        <w:ind w:left="112" w:right="0" w:firstLine="0"/>
        <w:jc w:val="left"/>
        <w:rPr>
          <w:rFonts w:ascii="宋体" w:hAnsi="宋体" w:cs="宋体" w:eastAsia="宋体" w:hint="default"/>
          <w:sz w:val="24"/>
          <w:szCs w:val="24"/>
        </w:rPr>
      </w:pPr>
      <w:r>
        <w:rPr>
          <w:rFonts w:ascii="宋体" w:hAnsi="宋体" w:cs="宋体" w:eastAsia="宋体" w:hint="default"/>
          <w:b/>
          <w:bCs/>
          <w:sz w:val="24"/>
          <w:szCs w:val="24"/>
        </w:rPr>
        <w:t>五、内部控制审计报告</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662"/>
        <w:gridCol w:w="6906"/>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82"/>
              <w:jc w:val="left"/>
              <w:rPr>
                <w:rFonts w:ascii="宋体" w:hAnsi="宋体" w:cs="宋体" w:eastAsia="宋体" w:hint="default"/>
                <w:sz w:val="18"/>
                <w:szCs w:val="18"/>
              </w:rPr>
            </w:pPr>
            <w:r>
              <w:rPr>
                <w:rFonts w:ascii="宋体" w:hAnsi="宋体" w:cs="宋体" w:eastAsia="宋体" w:hint="default"/>
                <w:sz w:val="18"/>
                <w:szCs w:val="18"/>
              </w:rPr>
              <w:t>我们认为，鼎泰新材按照《企业内部控制基本规范》及相关规定，于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日在所有重大方面保持了有效的与 财务报表相关的内部控制。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84"/>
              <w:jc w:val="center"/>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《内部控制鉴证报告》详见巨潮咨询网（</w:t>
            </w:r>
            <w:hyperlink r:id="rId17">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会计师事务所是否出具非标准意见的内部控制审计报告</w:t>
      </w:r>
    </w:p>
    <w:p>
      <w:pPr>
        <w:spacing w:line="340" w:lineRule="auto" w:before="115"/>
        <w:ind w:left="112" w:right="3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 会计师事务所出具的内部控制审计报告与董事会的自我评价报告意见是否一致</w:t>
      </w:r>
    </w:p>
    <w:p>
      <w:pPr>
        <w:spacing w:before="41"/>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六、年度报告重大差错责任追究制度的建立与执行情况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spacing w:line="316" w:lineRule="auto" w:before="0"/>
        <w:ind w:left="112" w:right="0" w:firstLine="631"/>
        <w:jc w:val="left"/>
        <w:rPr>
          <w:rFonts w:ascii="宋体" w:hAnsi="宋体" w:cs="宋体" w:eastAsia="宋体" w:hint="default"/>
          <w:sz w:val="18"/>
          <w:szCs w:val="18"/>
        </w:rPr>
      </w:pPr>
      <w:r>
        <w:rPr>
          <w:rFonts w:ascii="宋体" w:hAnsi="宋体" w:cs="宋体" w:eastAsia="宋体" w:hint="default"/>
          <w:spacing w:val="-7"/>
          <w:sz w:val="18"/>
          <w:szCs w:val="18"/>
        </w:rPr>
        <w:t>公司根据《公司法》、《会计法》、《上市公司信息披露管理办法》等法律、法规、规范性文件，已建立《年报信息披</w:t>
      </w:r>
      <w:r>
        <w:rPr>
          <w:rFonts w:ascii="宋体" w:hAnsi="宋体" w:cs="宋体" w:eastAsia="宋体" w:hint="default"/>
          <w:sz w:val="18"/>
          <w:szCs w:val="18"/>
        </w:rPr>
        <w:t> </w:t>
      </w:r>
      <w:r>
        <w:rPr>
          <w:rFonts w:ascii="宋体" w:hAnsi="宋体" w:cs="宋体" w:eastAsia="宋体" w:hint="default"/>
          <w:spacing w:val="-4"/>
          <w:sz w:val="18"/>
          <w:szCs w:val="18"/>
        </w:rPr>
        <w:t>露重大差错责任追究制度》，明确了年报信息披露重大差错的责任认定及追究，并规定一旦发生重大会计差错、遗漏等情况，</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2"/>
          <w:sz w:val="18"/>
          <w:szCs w:val="18"/>
        </w:rPr>
        <w:t>将按照该制度规定对责任人进行严肃处理。报告期内，公司未发生重大会计差错更正、重大遗漏信息补充以及业绩预告修正</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等情况。</w:t>
      </w:r>
    </w:p>
    <w:p>
      <w:pPr>
        <w:spacing w:after="0" w:line="316" w:lineRule="auto"/>
        <w:jc w:val="left"/>
        <w:rPr>
          <w:rFonts w:ascii="宋体" w:hAnsi="宋体" w:cs="宋体" w:eastAsia="宋体" w:hint="default"/>
          <w:sz w:val="18"/>
          <w:szCs w:val="18"/>
        </w:rPr>
        <w:sectPr>
          <w:pgSz w:w="11910" w:h="16840"/>
          <w:pgMar w:header="746" w:footer="978" w:top="1060" w:bottom="1160" w:left="102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1"/>
        <w:spacing w:line="240" w:lineRule="auto"/>
        <w:ind w:left="3713" w:right="3829"/>
        <w:jc w:val="center"/>
        <w:rPr>
          <w:b w:val="0"/>
          <w:bCs w:val="0"/>
        </w:rPr>
      </w:pPr>
      <w:bookmarkStart w:name="_bookmark9" w:id="10"/>
      <w:bookmarkEnd w:id="10"/>
      <w:r>
        <w:rPr>
          <w:b w:val="0"/>
          <w:bCs w:val="0"/>
        </w:rPr>
      </w:r>
      <w:r>
        <w:rPr/>
        <w:t>第十节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96"/>
        <w:jc w:val="left"/>
        <w:rPr>
          <w:b w:val="0"/>
          <w:bCs w:val="0"/>
        </w:rPr>
      </w:pP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5"/>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国富浩华会计师事务所（特殊普通合伙）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国浩审字</w:t>
            </w:r>
            <w:r>
              <w:rPr>
                <w:rFonts w:ascii="Times New Roman" w:hAnsi="Times New Roman" w:cs="Times New Roman" w:eastAsia="Times New Roman" w:hint="default"/>
                <w:sz w:val="18"/>
                <w:szCs w:val="18"/>
              </w:rPr>
              <w:t>[2013]817A0015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bl>
    <w:p>
      <w:pPr>
        <w:spacing w:before="50"/>
        <w:ind w:left="3708" w:right="3829"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pStyle w:val="Heading1"/>
        <w:spacing w:line="240" w:lineRule="auto" w:before="160"/>
        <w:ind w:left="3710" w:right="3829"/>
        <w:jc w:val="center"/>
        <w:rPr>
          <w:b w:val="0"/>
          <w:bCs w:val="0"/>
        </w:rPr>
      </w:pPr>
      <w:r>
        <w:rPr/>
        <w:t>审 计 报</w:t>
      </w:r>
      <w:r>
        <w:rPr>
          <w:spacing w:val="-8"/>
        </w:rPr>
        <w:t> </w:t>
      </w:r>
      <w:r>
        <w:rPr/>
        <w:t>告</w:t>
      </w:r>
      <w:r>
        <w:rPr>
          <w:b w:val="0"/>
          <w:bCs w:val="0"/>
        </w:rPr>
      </w:r>
    </w:p>
    <w:p>
      <w:pPr>
        <w:spacing w:line="240" w:lineRule="auto" w:before="0"/>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pgSz w:w="11910" w:h="16840"/>
          <w:pgMar w:header="746" w:footer="978" w:top="1060" w:bottom="1160" w:left="1020" w:right="900"/>
        </w:sectPr>
      </w:pPr>
    </w:p>
    <w:p>
      <w:pPr>
        <w:spacing w:line="240" w:lineRule="auto" w:before="7"/>
        <w:rPr>
          <w:rFonts w:ascii="宋体" w:hAnsi="宋体" w:cs="宋体" w:eastAsia="宋体" w:hint="default"/>
          <w:b/>
          <w:bCs/>
          <w:sz w:val="23"/>
          <w:szCs w:val="23"/>
        </w:rPr>
      </w:pPr>
    </w:p>
    <w:p>
      <w:pPr>
        <w:pStyle w:val="Heading2"/>
        <w:spacing w:line="240" w:lineRule="auto"/>
        <w:ind w:right="0"/>
        <w:jc w:val="left"/>
        <w:rPr>
          <w:b w:val="0"/>
          <w:bCs w:val="0"/>
        </w:rPr>
      </w:pPr>
      <w:r>
        <w:rPr>
          <w:w w:val="95"/>
        </w:rPr>
        <w:t>马鞍山鼎泰稀土新材料股份有限公司全体股东：</w:t>
      </w:r>
      <w:r>
        <w:rPr>
          <w:b w:val="0"/>
          <w:bCs w:val="0"/>
        </w:rPr>
      </w:r>
    </w:p>
    <w:p>
      <w:pPr>
        <w:spacing w:before="44"/>
        <w:ind w:left="11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国浩审字</w:t>
      </w:r>
      <w:r>
        <w:rPr>
          <w:rFonts w:ascii="Times New Roman" w:hAnsi="Times New Roman" w:cs="Times New Roman" w:eastAsia="Times New Roman" w:hint="default"/>
          <w:sz w:val="18"/>
          <w:szCs w:val="18"/>
        </w:rPr>
        <w:t>[2013]817A0015</w:t>
      </w:r>
      <w:r>
        <w:rPr>
          <w:rFonts w:ascii="宋体" w:hAnsi="宋体" w:cs="宋体" w:eastAsia="宋体" w:hint="default"/>
          <w:sz w:val="18"/>
          <w:szCs w:val="18"/>
        </w:rPr>
        <w:t>号</w:t>
      </w:r>
    </w:p>
    <w:p>
      <w:pPr>
        <w:spacing w:after="0"/>
        <w:jc w:val="left"/>
        <w:rPr>
          <w:rFonts w:ascii="宋体" w:hAnsi="宋体" w:cs="宋体" w:eastAsia="宋体" w:hint="default"/>
          <w:sz w:val="18"/>
          <w:szCs w:val="18"/>
        </w:rPr>
        <w:sectPr>
          <w:type w:val="continuous"/>
          <w:pgSz w:w="11910" w:h="16840"/>
          <w:pgMar w:top="1060" w:bottom="1160" w:left="1020" w:right="900"/>
          <w:cols w:num="2" w:equalWidth="0">
            <w:col w:w="5172" w:space="2304"/>
            <w:col w:w="2514"/>
          </w:cols>
        </w:sectPr>
      </w:pPr>
    </w:p>
    <w:p>
      <w:pPr>
        <w:pStyle w:val="Heading3"/>
        <w:spacing w:line="312" w:lineRule="exact" w:before="28"/>
        <w:ind w:right="108" w:firstLine="480"/>
        <w:jc w:val="left"/>
      </w:pPr>
      <w:r>
        <w:rPr/>
        <w:t>我们审计了后附的马鞍山鼎泰稀土新材料股份有限公司（以下简称</w:t>
      </w:r>
      <w:r>
        <w:rPr>
          <w:rFonts w:ascii="Times New Roman" w:hAnsi="Times New Roman" w:cs="Times New Roman" w:eastAsia="Times New Roman" w:hint="default"/>
        </w:rPr>
        <w:t>“</w:t>
      </w:r>
      <w:r>
        <w:rPr/>
        <w:t>鼎泰新材公司</w:t>
      </w:r>
      <w:r>
        <w:rPr>
          <w:rFonts w:ascii="Times New Roman" w:hAnsi="Times New Roman" w:cs="Times New Roman" w:eastAsia="Times New Roman" w:hint="default"/>
        </w:rPr>
        <w:t>”“</w:t>
      </w:r>
      <w:r>
        <w:rPr/>
        <w:t>）财 </w:t>
      </w:r>
      <w:r>
        <w:rPr>
          <w:spacing w:val="-2"/>
        </w:rPr>
        <w:t>务报表，包括</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日的合并及母公司资产负债表，</w:t>
      </w:r>
      <w:r>
        <w:rPr>
          <w:rFonts w:ascii="Times New Roman" w:hAnsi="Times New Roman" w:cs="Times New Roman" w:eastAsia="Times New Roman" w:hint="default"/>
          <w:spacing w:val="-2"/>
        </w:rPr>
        <w:t>2012</w:t>
      </w:r>
      <w:r>
        <w:rPr>
          <w:spacing w:val="-2"/>
        </w:rPr>
        <w:t>年度的合并及母公司利润表、</w:t>
      </w:r>
      <w:r>
        <w:rPr>
          <w:spacing w:val="-108"/>
        </w:rPr>
        <w:t> </w:t>
      </w:r>
      <w:r>
        <w:rPr/>
        <w:t>合并及母公司现金流量表、合并及母公司股东权益变动表以及财务报表附注。</w:t>
      </w:r>
    </w:p>
    <w:p>
      <w:pPr>
        <w:spacing w:line="312" w:lineRule="exact" w:before="0"/>
        <w:ind w:left="592" w:right="214" w:firstLine="0"/>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w w:val="99"/>
          <w:sz w:val="24"/>
          <w:szCs w:val="24"/>
        </w:rPr>
        <w:t> </w:t>
      </w:r>
      <w:r>
        <w:rPr>
          <w:rFonts w:ascii="宋体" w:hAnsi="宋体" w:cs="宋体" w:eastAsia="宋体" w:hint="default"/>
          <w:sz w:val="24"/>
          <w:szCs w:val="24"/>
        </w:rPr>
        <w:t>编制和公允列报财务报表是鼎泰新材公司管理层的责任，这种责任包括：</w:t>
      </w:r>
      <w:r>
        <w:rPr>
          <w:rFonts w:ascii="Times New Roman" w:hAnsi="Times New Roman" w:cs="Times New Roman" w:eastAsia="Times New Roman" w:hint="default"/>
          <w:sz w:val="24"/>
          <w:szCs w:val="24"/>
        </w:rPr>
        <w:t>(1)</w:t>
      </w:r>
      <w:r>
        <w:rPr>
          <w:rFonts w:ascii="宋体" w:hAnsi="宋体" w:cs="宋体" w:eastAsia="宋体" w:hint="default"/>
          <w:sz w:val="24"/>
          <w:szCs w:val="24"/>
        </w:rPr>
        <w:t>按照企业会</w:t>
      </w:r>
    </w:p>
    <w:p>
      <w:pPr>
        <w:pStyle w:val="Heading3"/>
        <w:spacing w:line="312" w:lineRule="exact"/>
        <w:ind w:right="214"/>
        <w:jc w:val="left"/>
      </w:pPr>
      <w:r>
        <w:rPr/>
        <w:t>计准则的规定编制财务报表，并使其实现公允反映；</w:t>
      </w:r>
      <w:r>
        <w:rPr>
          <w:rFonts w:ascii="Times New Roman" w:hAnsi="Times New Roman" w:cs="Times New Roman" w:eastAsia="Times New Roman" w:hint="default"/>
        </w:rPr>
        <w:t>(2)</w:t>
      </w:r>
      <w:r>
        <w:rPr/>
        <w:t>设计、执行和维护必要的内部控制， 以使财务报表不存在由于舞弊或错误导致的重大错报。</w:t>
      </w:r>
    </w:p>
    <w:p>
      <w:pPr>
        <w:spacing w:line="312" w:lineRule="exact" w:before="0"/>
        <w:ind w:left="592" w:right="96" w:firstLine="0"/>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w w:val="99"/>
          <w:sz w:val="24"/>
          <w:szCs w:val="24"/>
        </w:rPr>
        <w:t> </w:t>
      </w:r>
      <w:r>
        <w:rPr>
          <w:rFonts w:ascii="宋体" w:hAnsi="宋体" w:cs="宋体" w:eastAsia="宋体" w:hint="default"/>
          <w:sz w:val="24"/>
          <w:szCs w:val="24"/>
        </w:rPr>
        <w:t>我们的责任是在执行审计工作的基础上对财务报表发表审计意见。我们按照中国注册会</w:t>
      </w:r>
    </w:p>
    <w:p>
      <w:pPr>
        <w:pStyle w:val="Heading3"/>
        <w:spacing w:line="312" w:lineRule="exact"/>
        <w:ind w:right="96"/>
        <w:jc w:val="left"/>
      </w:pPr>
      <w:r>
        <w:rPr/>
        <w:t>计师审计准则的规定执行了审计工作。中国注册会计师审计准则要求我们遵守中国注册会计</w:t>
      </w:r>
      <w:r>
        <w:rPr>
          <w:spacing w:val="-89"/>
        </w:rPr>
        <w:t> </w:t>
      </w:r>
      <w:r>
        <w:rPr>
          <w:spacing w:val="-89"/>
        </w:rPr>
      </w:r>
      <w:r>
        <w:rPr/>
        <w:t>师职业道德守则，计划和执行审计工作以对财务报表是否不存在重大错报获取合理保证。</w:t>
      </w:r>
    </w:p>
    <w:p>
      <w:pPr>
        <w:spacing w:line="312" w:lineRule="exact" w:before="0"/>
        <w:ind w:left="112" w:right="96" w:firstLine="480"/>
        <w:jc w:val="left"/>
        <w:rPr>
          <w:rFonts w:ascii="宋体" w:hAnsi="宋体" w:cs="宋体" w:eastAsia="宋体" w:hint="default"/>
          <w:sz w:val="24"/>
          <w:szCs w:val="24"/>
        </w:rPr>
      </w:pPr>
      <w:r>
        <w:rPr>
          <w:rFonts w:ascii="宋体" w:hAnsi="宋体" w:cs="宋体" w:eastAsia="宋体" w:hint="default"/>
          <w:sz w:val="24"/>
          <w:szCs w:val="24"/>
        </w:rPr>
        <w:t>审计工作涉及实施审计程序，以获取有关财务报表金额和披露的审计证据。选择的审计 </w:t>
      </w:r>
      <w:r>
        <w:rPr>
          <w:rFonts w:ascii="宋体" w:hAnsi="宋体" w:cs="宋体" w:eastAsia="宋体" w:hint="default"/>
          <w:spacing w:val="-2"/>
          <w:sz w:val="24"/>
          <w:szCs w:val="24"/>
        </w:rPr>
        <w:t>程序取决于注册会计师的判断，包括对由于舞弊或错误导致的财务报表重大错报风险的评估。</w:t>
      </w:r>
      <w:r>
        <w:rPr>
          <w:rFonts w:ascii="宋体" w:hAnsi="宋体" w:cs="宋体" w:eastAsia="宋体" w:hint="default"/>
          <w:sz w:val="24"/>
          <w:szCs w:val="24"/>
        </w:rPr>
        <w:t> 在进行风险评估时，注册会计师考虑与财务报表编制和公允列报相关的内部控制，以设计恰</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当的审计程序，但目的并非对内部控制的有效性发表意见。审计工作还包括评价管理层选用</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会计政策的恰当性和作出会计估计的合理性，以及评价财务报表的总体列报。</w:t>
      </w:r>
    </w:p>
    <w:p>
      <w:pPr>
        <w:spacing w:line="283" w:lineRule="exact" w:before="0"/>
        <w:ind w:left="592" w:right="96" w:firstLine="0"/>
        <w:jc w:val="left"/>
        <w:rPr>
          <w:rFonts w:ascii="宋体" w:hAnsi="宋体" w:cs="宋体" w:eastAsia="宋体" w:hint="default"/>
          <w:sz w:val="24"/>
          <w:szCs w:val="24"/>
        </w:rPr>
      </w:pPr>
      <w:r>
        <w:rPr>
          <w:rFonts w:ascii="宋体" w:hAnsi="宋体" w:cs="宋体" w:eastAsia="宋体" w:hint="default"/>
          <w:sz w:val="24"/>
          <w:szCs w:val="24"/>
        </w:rPr>
        <w:t>我们相信，我们获取的审计证据是充分、适当的，为发表审计意见提供了基础。</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5"/>
          <w:szCs w:val="25"/>
        </w:rPr>
      </w:pPr>
    </w:p>
    <w:p>
      <w:pPr>
        <w:spacing w:line="312" w:lineRule="exact" w:before="0"/>
        <w:ind w:left="592" w:right="96" w:firstLine="0"/>
        <w:jc w:val="left"/>
        <w:rPr>
          <w:rFonts w:ascii="宋体" w:hAnsi="宋体" w:cs="宋体" w:eastAsia="宋体" w:hint="default"/>
          <w:sz w:val="24"/>
          <w:szCs w:val="24"/>
        </w:rPr>
      </w:pPr>
      <w:r>
        <w:rPr>
          <w:rFonts w:ascii="宋体" w:hAnsi="宋体" w:cs="宋体" w:eastAsia="宋体" w:hint="default"/>
          <w:b/>
          <w:bCs/>
          <w:sz w:val="24"/>
          <w:szCs w:val="24"/>
        </w:rPr>
        <w:t>三、审计意见</w:t>
      </w:r>
      <w:r>
        <w:rPr>
          <w:rFonts w:ascii="宋体" w:hAnsi="宋体" w:cs="宋体" w:eastAsia="宋体" w:hint="default"/>
          <w:b/>
          <w:bCs/>
          <w:w w:val="99"/>
          <w:sz w:val="24"/>
          <w:szCs w:val="24"/>
        </w:rPr>
        <w:t> </w:t>
      </w:r>
      <w:r>
        <w:rPr>
          <w:rFonts w:ascii="宋体" w:hAnsi="宋体" w:cs="宋体" w:eastAsia="宋体" w:hint="default"/>
          <w:sz w:val="24"/>
          <w:szCs w:val="24"/>
        </w:rPr>
        <w:t>我们认为，鼎泰新材公司的财务报表在所有重大方面按照企业会计准则的规定编制，公</w:t>
      </w:r>
    </w:p>
    <w:p>
      <w:pPr>
        <w:spacing w:line="312" w:lineRule="exact" w:before="0"/>
        <w:ind w:left="112" w:right="96" w:firstLine="0"/>
        <w:jc w:val="left"/>
        <w:rPr>
          <w:rFonts w:ascii="宋体" w:hAnsi="宋体" w:cs="宋体" w:eastAsia="宋体" w:hint="default"/>
          <w:sz w:val="24"/>
          <w:szCs w:val="24"/>
        </w:rPr>
      </w:pPr>
      <w:r>
        <w:rPr>
          <w:rFonts w:ascii="宋体" w:hAnsi="宋体" w:cs="宋体" w:eastAsia="宋体" w:hint="default"/>
          <w:sz w:val="24"/>
          <w:szCs w:val="24"/>
        </w:rPr>
        <w:t>允反映了鼎泰新材公司</w:t>
      </w:r>
      <w:r>
        <w:rPr>
          <w:rFonts w:ascii="Times New Roman" w:hAnsi="Times New Roman" w:cs="Times New Roman" w:eastAsia="Times New Roman" w:hint="default"/>
          <w:sz w:val="24"/>
          <w:szCs w:val="24"/>
        </w:rPr>
        <w:t>2012</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31</w:t>
      </w:r>
      <w:r>
        <w:rPr>
          <w:rFonts w:ascii="宋体" w:hAnsi="宋体" w:cs="宋体" w:eastAsia="宋体" w:hint="default"/>
          <w:sz w:val="24"/>
          <w:szCs w:val="24"/>
        </w:rPr>
        <w:t>日的合并及母公司财务状况以及</w:t>
      </w:r>
      <w:r>
        <w:rPr>
          <w:rFonts w:ascii="Times New Roman" w:hAnsi="Times New Roman" w:cs="Times New Roman" w:eastAsia="Times New Roman" w:hint="default"/>
          <w:sz w:val="24"/>
          <w:szCs w:val="24"/>
        </w:rPr>
        <w:t>2012</w:t>
      </w:r>
      <w:r>
        <w:rPr>
          <w:rFonts w:ascii="宋体" w:hAnsi="宋体" w:cs="宋体" w:eastAsia="宋体" w:hint="default"/>
          <w:sz w:val="24"/>
          <w:szCs w:val="24"/>
        </w:rPr>
        <w:t>年度的合并及母公</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司经营成果和现金流量。</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3"/>
          <w:szCs w:val="23"/>
        </w:rPr>
      </w:pPr>
    </w:p>
    <w:p>
      <w:pPr>
        <w:tabs>
          <w:tab w:pos="6470" w:val="left" w:leader="none"/>
        </w:tabs>
        <w:spacing w:before="0"/>
        <w:ind w:left="489" w:right="96" w:firstLine="0"/>
        <w:jc w:val="left"/>
        <w:rPr>
          <w:rFonts w:ascii="宋体" w:hAnsi="宋体" w:cs="宋体" w:eastAsia="宋体" w:hint="default"/>
          <w:sz w:val="24"/>
          <w:szCs w:val="24"/>
        </w:rPr>
      </w:pPr>
      <w:r>
        <w:rPr/>
        <w:pict>
          <v:group style="position:absolute;margin-left:56.700001pt;margin-top:.925623pt;width:423.6pt;height:.1pt;mso-position-horizontal-relative:page;mso-position-vertical-relative:paragraph;z-index:-626512" coordorigin="1134,19" coordsize="8472,2">
            <v:shape style="position:absolute;left:1134;top:19;width:8472;height:2" coordorigin="1134,19" coordsize="8472,0" path="m1134,19l9606,19e" filled="false" stroked="true" strokeweight=".72pt" strokecolor="#000000">
              <v:path arrowok="t"/>
            </v:shape>
            <w10:wrap type="none"/>
          </v:group>
        </w:pict>
      </w:r>
      <w:r>
        <w:rPr>
          <w:rFonts w:ascii="宋体" w:hAnsi="宋体" w:cs="宋体" w:eastAsia="宋体" w:hint="default"/>
          <w:sz w:val="24"/>
          <w:szCs w:val="24"/>
        </w:rPr>
        <w:t>国富浩华会计师事务所（特殊普通合伙）</w:t>
        <w:tab/>
        <w:t>中国注册会计师</w:t>
      </w:r>
    </w:p>
    <w:p>
      <w:pPr>
        <w:spacing w:line="240" w:lineRule="auto" w:before="5"/>
        <w:rPr>
          <w:rFonts w:ascii="宋体" w:hAnsi="宋体" w:cs="宋体" w:eastAsia="宋体" w:hint="default"/>
          <w:sz w:val="3"/>
          <w:szCs w:val="3"/>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24.35pt;height:.75pt;mso-position-horizontal-relative:char;mso-position-vertical-relative:line" coordorigin="0,0" coordsize="8487,15">
            <v:group style="position:absolute;left:7;top:7;width:8472;height:2" coordorigin="7,7" coordsize="8472,2">
              <v:shape style="position:absolute;left:7;top:7;width:8472;height:2" coordorigin="7,7" coordsize="8472,0" path="m7,7l8479,7e" filled="false" stroked="true" strokeweight=".7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60" w:bottom="1160" w:left="1020" w:right="900"/>
        </w:sectPr>
      </w:pPr>
    </w:p>
    <w:p>
      <w:pPr>
        <w:spacing w:line="240" w:lineRule="auto" w:before="5"/>
        <w:rPr>
          <w:rFonts w:ascii="宋体" w:hAnsi="宋体" w:cs="宋体" w:eastAsia="宋体" w:hint="default"/>
          <w:sz w:val="28"/>
          <w:szCs w:val="28"/>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24.35pt;height:.75pt;mso-position-horizontal-relative:char;mso-position-vertical-relative:line" coordorigin="0,0" coordsize="8487,15">
            <v:group style="position:absolute;left:7;top:7;width:8472;height:2" coordorigin="7,7" coordsize="8472,2">
              <v:shape style="position:absolute;left:7;top:7;width:8472;height:2" coordorigin="7,7" coordsize="8472,0" path="m7,7l8479,7e" filled="false" stroked="true" strokeweight=".72pt" strokecolor="#000000">
                <v:path arrowok="t"/>
              </v:shape>
            </v:group>
          </v:group>
        </w:pict>
      </w:r>
      <w:r>
        <w:rPr>
          <w:rFonts w:ascii="宋体" w:hAnsi="宋体" w:cs="宋体" w:eastAsia="宋体" w:hint="default"/>
          <w:sz w:val="2"/>
          <w:szCs w:val="2"/>
        </w:rPr>
      </w:r>
    </w:p>
    <w:p>
      <w:pPr>
        <w:spacing w:line="299" w:lineRule="exact" w:before="0"/>
        <w:ind w:left="2128" w:right="0" w:firstLine="0"/>
        <w:jc w:val="left"/>
        <w:rPr>
          <w:rFonts w:ascii="宋体" w:hAnsi="宋体" w:cs="宋体" w:eastAsia="宋体" w:hint="default"/>
          <w:sz w:val="24"/>
          <w:szCs w:val="24"/>
        </w:rPr>
      </w:pPr>
      <w:r>
        <w:rPr>
          <w:rFonts w:ascii="宋体" w:hAnsi="宋体" w:cs="宋体" w:eastAsia="宋体" w:hint="default"/>
          <w:sz w:val="24"/>
          <w:szCs w:val="24"/>
        </w:rPr>
        <w:t>中国</w:t>
      </w:r>
      <w:r>
        <w:rPr>
          <w:rFonts w:ascii="Times New Roman" w:hAnsi="Times New Roman" w:cs="Times New Roman" w:eastAsia="Times New Roman" w:hint="default"/>
          <w:sz w:val="24"/>
          <w:szCs w:val="24"/>
        </w:rPr>
        <w:t>·</w:t>
      </w:r>
      <w:r>
        <w:rPr>
          <w:rFonts w:ascii="宋体" w:hAnsi="宋体" w:cs="宋体" w:eastAsia="宋体" w:hint="default"/>
          <w:sz w:val="24"/>
          <w:szCs w:val="24"/>
        </w:rPr>
        <w:t>北京</w:t>
      </w:r>
    </w:p>
    <w:p>
      <w:pPr>
        <w:spacing w:line="240" w:lineRule="auto" w:before="2"/>
        <w:rPr>
          <w:rFonts w:ascii="宋体" w:hAnsi="宋体" w:cs="宋体" w:eastAsia="宋体" w:hint="default"/>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24.35pt;height:.75pt;mso-position-horizontal-relative:char;mso-position-vertical-relative:line" coordorigin="0,0" coordsize="8487,15">
            <v:group style="position:absolute;left:7;top:7;width:8472;height:2" coordorigin="7,7" coordsize="8472,2">
              <v:shape style="position:absolute;left:7;top:7;width:8472;height:2" coordorigin="7,7" coordsize="8472,0" path="m7,7l8479,7e" filled="false" stroked="true" strokeweight=".72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3"/>
          <w:szCs w:val="23"/>
        </w:rPr>
      </w:pPr>
    </w:p>
    <w:p>
      <w:pPr>
        <w:tabs>
          <w:tab w:pos="6950" w:val="left" w:leader="none"/>
        </w:tabs>
        <w:spacing w:line="532" w:lineRule="auto" w:before="0"/>
        <w:ind w:left="6470" w:right="1713" w:hanging="5021"/>
        <w:jc w:val="left"/>
        <w:rPr>
          <w:rFonts w:ascii="宋体" w:hAnsi="宋体" w:cs="宋体" w:eastAsia="宋体" w:hint="default"/>
          <w:sz w:val="24"/>
          <w:szCs w:val="24"/>
        </w:rPr>
      </w:pPr>
      <w:r>
        <w:rPr/>
        <w:pict>
          <v:group style="position:absolute;margin-left:56.700001pt;margin-top:1.025601pt;width:423.6pt;height:.1pt;mso-position-horizontal-relative:page;mso-position-vertical-relative:paragraph;z-index:-626392" coordorigin="1134,21" coordsize="8472,2">
            <v:shape style="position:absolute;left:1134;top:21;width:8472;height:2" coordorigin="1134,21" coordsize="8472,0" path="m1134,21l9606,21e" filled="false" stroked="true" strokeweight=".72pt" strokecolor="#000000">
              <v:path arrowok="t"/>
            </v:shape>
            <w10:wrap type="none"/>
          </v:group>
        </w:pict>
      </w:r>
      <w:r>
        <w:rPr/>
        <w:pict>
          <v:group style="position:absolute;margin-left:56.700001pt;margin-top:18.375601pt;width:423.6pt;height:.1pt;mso-position-horizontal-relative:page;mso-position-vertical-relative:paragraph;z-index:-626368" coordorigin="1134,368" coordsize="8472,2">
            <v:shape style="position:absolute;left:1134;top:368;width:8472;height:2" coordorigin="1134,368" coordsize="8472,0" path="m1134,368l9606,368e" filled="false" stroked="true" strokeweight=".72pt" strokecolor="#000000">
              <v:path arrowok="t"/>
            </v:shape>
            <w10:wrap type="none"/>
          </v:group>
        </w:pict>
      </w:r>
      <w:r>
        <w:rPr/>
        <w:pict>
          <v:group style="position:absolute;margin-left:56.700001pt;margin-top:35.725601pt;width:423.6pt;height:.1pt;mso-position-horizontal-relative:page;mso-position-vertical-relative:paragraph;z-index:-626344" coordorigin="1134,715" coordsize="8472,2">
            <v:shape style="position:absolute;left:1134;top:715;width:8472;height:2" coordorigin="1134,715" coordsize="8472,0" path="m1134,715l9606,715e" filled="false" stroked="true" strokeweight=".72pt" strokecolor="#000000">
              <v:path arrowok="t"/>
            </v:shape>
            <w10:wrap type="none"/>
          </v:group>
        </w:pict>
      </w:r>
      <w:r>
        <w:rPr/>
        <w:pict>
          <v:group style="position:absolute;margin-left:56.700001pt;margin-top:53.0756pt;width:423.6pt;height:.1pt;mso-position-horizontal-relative:page;mso-position-vertical-relative:paragraph;z-index:-626320" coordorigin="1134,1062" coordsize="8472,2">
            <v:shape style="position:absolute;left:1134;top:1062;width:8472;height:2" coordorigin="1134,1062" coordsize="8472,0" path="m1134,1062l9606,1062e" filled="false" stroked="true" strokeweight=".72pt" strokecolor="#000000">
              <v:path arrowok="t"/>
            </v:shape>
            <w10:wrap type="none"/>
          </v:group>
        </w:pict>
      </w:r>
      <w:r>
        <w:rPr>
          <w:rFonts w:ascii="宋体" w:hAnsi="宋体" w:cs="宋体" w:eastAsia="宋体" w:hint="default"/>
          <w:sz w:val="24"/>
          <w:szCs w:val="24"/>
        </w:rPr>
        <w:t>二〇一三年四月十九日</w:t>
        <w:tab/>
        <w:tab/>
        <w:t>侯立勋 中国注册会计师</w:t>
      </w:r>
    </w:p>
    <w:p>
      <w:pPr>
        <w:spacing w:line="240" w:lineRule="auto" w:before="7"/>
        <w:rPr>
          <w:rFonts w:ascii="宋体" w:hAnsi="宋体" w:cs="宋体" w:eastAsia="宋体" w:hint="default"/>
          <w:sz w:val="7"/>
          <w:szCs w:val="7"/>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24.35pt;height:.75pt;mso-position-horizontal-relative:char;mso-position-vertical-relative:line" coordorigin="0,0" coordsize="8487,15">
            <v:group style="position:absolute;left:7;top:7;width:8472;height:2" coordorigin="7,7" coordsize="8472,2">
              <v:shape style="position:absolute;left:7;top:7;width:8472;height:2" coordorigin="7,7" coordsize="8472,0" path="m7,7l8479,7e" filled="false" stroked="true" strokeweight=".72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4"/>
          <w:szCs w:val="24"/>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24.35pt;height:.75pt;mso-position-horizontal-relative:char;mso-position-vertical-relative:line" coordorigin="0,0" coordsize="8487,15">
            <v:group style="position:absolute;left:7;top:7;width:8472;height:2" coordorigin="7,7" coordsize="8472,2">
              <v:shape style="position:absolute;left:7;top:7;width:8472;height:2" coordorigin="7,7" coordsize="8472,0" path="m7,7l8479,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p>
      <w:pPr>
        <w:tabs>
          <w:tab w:pos="479" w:val="left" w:leader="none"/>
        </w:tabs>
        <w:spacing w:before="0"/>
        <w:ind w:left="0" w:right="2193" w:firstLine="0"/>
        <w:jc w:val="right"/>
        <w:rPr>
          <w:rFonts w:ascii="宋体" w:hAnsi="宋体" w:cs="宋体" w:eastAsia="宋体" w:hint="default"/>
          <w:sz w:val="24"/>
          <w:szCs w:val="24"/>
        </w:rPr>
      </w:pPr>
      <w:r>
        <w:rPr/>
        <w:pict>
          <v:group style="position:absolute;margin-left:56.700001pt;margin-top:.965627pt;width:423.6pt;height:.1pt;mso-position-horizontal-relative:page;mso-position-vertical-relative:paragraph;z-index:-626296" coordorigin="1134,19" coordsize="8472,2">
            <v:shape style="position:absolute;left:1134;top:19;width:8472;height:2" coordorigin="1134,19" coordsize="8472,0" path="m1134,19l9606,19e" filled="false" stroked="true" strokeweight=".72pt" strokecolor="#000000">
              <v:path arrowok="t"/>
            </v:shape>
            <w10:wrap type="none"/>
          </v:group>
        </w:pict>
      </w:r>
      <w:r>
        <w:rPr>
          <w:rFonts w:ascii="宋体" w:hAnsi="宋体" w:cs="宋体" w:eastAsia="宋体" w:hint="default"/>
          <w:sz w:val="24"/>
          <w:szCs w:val="24"/>
        </w:rPr>
        <w:t>李</w:t>
        <w:tab/>
        <w:t>梅</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spacing w:before="26"/>
        <w:ind w:left="112" w:right="0" w:firstLine="0"/>
        <w:jc w:val="left"/>
        <w:rPr>
          <w:rFonts w:ascii="宋体" w:hAnsi="宋体" w:cs="宋体" w:eastAsia="宋体" w:hint="default"/>
          <w:sz w:val="24"/>
          <w:szCs w:val="24"/>
        </w:rPr>
      </w:pPr>
      <w:r>
        <w:rPr>
          <w:rFonts w:ascii="宋体" w:hAnsi="宋体" w:cs="宋体" w:eastAsia="宋体" w:hint="default"/>
          <w:b/>
          <w:bCs/>
          <w:sz w:val="24"/>
          <w:szCs w:val="24"/>
        </w:rPr>
        <w:t>二、财务报表</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编制单位：马鞍山鼎泰稀土新材料股份有限公司</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124,244,314.34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256,161,449.69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213,507,520.71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63,419,237.26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183,202,131.27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191,178,562.56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111,241,036.62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170,644,565.89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59,991.78</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2,833,636.35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4,484,724.25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119,499,742.43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90,591,581.00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754,588,373.50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776,480,120.65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52"/>
              <w:jc w:val="righ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10,025,000.00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10,025,000.00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217,444,390.20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186,369,188.19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431,000.00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4,938,179.00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54,133,832.74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54,380,038.90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1,462,503.17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1,605,197.04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283,496,726.11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257,317,603.13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1,038,085,099.61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1,033,797,723.78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163,036,546.16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952"/>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56,215,811.82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12,431,533.96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9,386,565.47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7,980,597.20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952"/>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3"/>
          <w:pgSz w:w="11910" w:h="16840"/>
          <w:pgMar w:footer="978" w:header="746" w:top="1060" w:bottom="1160" w:left="1020" w:right="1020"/>
          <w:pgNumType w:start="5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1,883,914.66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1,941,424.23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16,084,238.63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8,828,778.12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2,052,031.78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1,815,878.34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1,322,865.44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1,600,084.25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300,981,973.96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277,598,296.10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6,640,000.00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6,640,000.00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18,600,000.00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25,240,000.00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37,640,000.00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326,221,973.96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315,238,296.10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89"/>
                <w:sz w:val="18"/>
                <w:szCs w:val="18"/>
              </w:rPr>
              <w:t>）</w:t>
            </w:r>
            <w:r>
              <w:rPr>
                <w:rFonts w:ascii="宋体" w:hAnsi="宋体" w:cs="宋体" w:eastAsia="宋体" w:hint="default"/>
                <w:sz w:val="18"/>
                <w:szCs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77,830,780.00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77,830,780.00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579,996,139.78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579,996,139.78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19,510,478.13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16,246,263.45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34,525,727.74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44,486,244.45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711,863,125.65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718,559,427.68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711,863,125.65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718,559,427.68</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2"/>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007" w:right="0"/>
              <w:jc w:val="left"/>
              <w:rPr>
                <w:rFonts w:ascii="Times New Roman" w:hAnsi="Times New Roman" w:cs="Times New Roman" w:eastAsia="Times New Roman" w:hint="default"/>
                <w:sz w:val="18"/>
                <w:szCs w:val="18"/>
              </w:rPr>
            </w:pPr>
            <w:r>
              <w:rPr>
                <w:rFonts w:ascii="Times New Roman"/>
                <w:sz w:val="18"/>
              </w:rPr>
              <w:t>1,038,085,099.61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006" w:right="0"/>
              <w:jc w:val="left"/>
              <w:rPr>
                <w:rFonts w:ascii="Times New Roman" w:hAnsi="Times New Roman" w:cs="Times New Roman" w:eastAsia="Times New Roman" w:hint="default"/>
                <w:sz w:val="18"/>
                <w:szCs w:val="18"/>
              </w:rPr>
            </w:pPr>
            <w:r>
              <w:rPr>
                <w:rFonts w:ascii="Times New Roman"/>
                <w:sz w:val="18"/>
              </w:rPr>
              <w:t>1,033,797,723.78</w:t>
            </w:r>
          </w:p>
        </w:tc>
      </w:tr>
    </w:tbl>
    <w:p>
      <w:pPr>
        <w:spacing w:line="240" w:lineRule="auto" w:before="1"/>
        <w:rPr>
          <w:rFonts w:ascii="Times New Roman" w:hAnsi="Times New Roman" w:cs="Times New Roman" w:eastAsia="Times New Roman" w:hint="default"/>
          <w:sz w:val="23"/>
          <w:szCs w:val="23"/>
        </w:rPr>
      </w:pPr>
    </w:p>
    <w:p>
      <w:pPr>
        <w:tabs>
          <w:tab w:pos="3532" w:val="left" w:leader="none"/>
          <w:tab w:pos="7672" w:val="left" w:leader="none"/>
        </w:tabs>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法定代表人：刘冀鲁</w:t>
        <w:tab/>
        <w:t>主管会计工作负责人：黄学春</w:t>
        <w:tab/>
        <w:t>会计机构负责人：黄学春</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编制单位：马鞍山鼎泰稀土新材料股份有限公司</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5"/>
        <w:gridCol w:w="3302"/>
        <w:gridCol w:w="3301"/>
      </w:tblGrid>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123,414,970.49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252,154,108.25</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199,737,520.71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63,419,237.26</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156,655,671.26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161,124,313.53</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105,731,730.32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152,368,638.59</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59,991.78</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129,196,088.30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108,617,931.18</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116,390,127.26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104,296,652.16</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831,186,100.12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841,980,880.97</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50,050,000.00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50,050,000.00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114,026,708.25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111,134,746.11</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431,000.00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4,938,179.00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21,448,838.45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21,984,779.49</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5"/>
        <w:gridCol w:w="3302"/>
        <w:gridCol w:w="3301"/>
      </w:tblGrid>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1,331,919.66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1,368,733.71</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187,288,466.36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189,476,438.31</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1,018,474,566.48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1,031,457,319.28</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149,266,546.16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133,000,000.00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110,000,000.00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91,081,783.52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42,086,726.64</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5,436,096.41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4,444,597.16</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1,451,133.05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1,766,521.84</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13,284,119.18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11,279,805.87</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2,052,031.78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1,815,878.34</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1,277,787.38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1,599,321.25</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314,849,497.48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305,992,851.10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6,640,000.00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6,640,000.00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6,640,000.00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6,640,000.00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321,489,497.48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312,632,851.10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89"/>
                <w:sz w:val="18"/>
                <w:szCs w:val="18"/>
              </w:rPr>
              <w:t>）</w:t>
            </w:r>
            <w:r>
              <w:rPr>
                <w:rFonts w:ascii="宋体" w:hAnsi="宋体" w:cs="宋体" w:eastAsia="宋体" w:hint="default"/>
                <w:sz w:val="18"/>
                <w:szCs w:val="18"/>
              </w:rPr>
              <w:t>：</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77,830,780.00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77,830,780.00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579,996,139.78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579,996,139.78</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5"/>
        <w:gridCol w:w="3302"/>
        <w:gridCol w:w="3301"/>
      </w:tblGrid>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19,510,478.13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16,246,263.45</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19,647,671.09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44,751,284.95</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696,985,069.00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718,824,468.18</w:t>
            </w: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1,018,474,566.48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1,031,457,319.28</w:t>
            </w:r>
          </w:p>
        </w:tc>
      </w:tr>
    </w:tbl>
    <w:p>
      <w:pPr>
        <w:spacing w:line="240" w:lineRule="auto" w:before="3"/>
        <w:rPr>
          <w:rFonts w:ascii="Times New Roman" w:hAnsi="Times New Roman" w:cs="Times New Roman" w:eastAsia="Times New Roman" w:hint="default"/>
          <w:sz w:val="23"/>
          <w:szCs w:val="23"/>
        </w:rPr>
      </w:pPr>
    </w:p>
    <w:p>
      <w:pPr>
        <w:tabs>
          <w:tab w:pos="3532" w:val="left" w:leader="none"/>
          <w:tab w:pos="7672" w:val="left" w:leader="none"/>
        </w:tabs>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法定代表人：刘冀鲁</w:t>
        <w:tab/>
        <w:t>主管会计工作负责人：黄学春</w:t>
        <w:tab/>
        <w:t>会计机构负责人：黄学春</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编制单位：马鞍山鼎泰稀土新材料股份有限公司</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833,419,819.29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691,126,685.96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833,419,819.29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691,126,685.96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792,247,470.68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652,399,600.79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722,447,323.00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599,304,709.62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2,118,471.45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1,584,101.56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34,203,958.35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23,311,306.81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25,869,864.61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20,934,699.79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6,030,253.37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3,345,611.74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1,577,599.90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3,919,171.27</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-483,368.92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-25,925.36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2"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40,688,979.69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38,701,159.81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15,803,032.32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11,108,449.04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445,566.86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793,100.81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1,255.43</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74"/>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56,046,445.15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49,016,508.04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8,261,201.18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7,593,269.77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47,785,243.97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41,423,238.27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41,423,238.27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47,785,243.97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41,423,238.27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0.61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0.53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0.61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0.53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47,785,243.97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41,423,238.27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47,785,243.97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41,423,238.27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w:t>
      </w:r>
    </w:p>
    <w:p>
      <w:pPr>
        <w:spacing w:line="240" w:lineRule="auto" w:before="0"/>
        <w:rPr>
          <w:rFonts w:ascii="宋体" w:hAnsi="宋体" w:cs="宋体" w:eastAsia="宋体" w:hint="default"/>
          <w:sz w:val="18"/>
          <w:szCs w:val="18"/>
        </w:rPr>
      </w:pPr>
    </w:p>
    <w:p>
      <w:pPr>
        <w:tabs>
          <w:tab w:pos="3532" w:val="left" w:leader="none"/>
          <w:tab w:pos="7672" w:val="left" w:leader="none"/>
        </w:tabs>
        <w:spacing w:before="141"/>
        <w:ind w:left="112" w:right="0" w:firstLine="0"/>
        <w:jc w:val="left"/>
        <w:rPr>
          <w:rFonts w:ascii="宋体" w:hAnsi="宋体" w:cs="宋体" w:eastAsia="宋体" w:hint="default"/>
          <w:sz w:val="18"/>
          <w:szCs w:val="18"/>
        </w:rPr>
      </w:pPr>
      <w:r>
        <w:rPr>
          <w:rFonts w:ascii="宋体" w:hAnsi="宋体" w:cs="宋体" w:eastAsia="宋体" w:hint="default"/>
          <w:sz w:val="18"/>
          <w:szCs w:val="18"/>
        </w:rPr>
        <w:t>法定代表人：刘冀鲁</w:t>
        <w:tab/>
        <w:t>主管会计工作负责人：黄学春</w:t>
        <w:tab/>
        <w:t>会计机构负责人：黄学春</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2"/>
        <w:rPr>
          <w:rFonts w:ascii="宋体" w:hAnsi="宋体" w:cs="宋体" w:eastAsia="宋体" w:hint="default"/>
          <w:b/>
          <w:bCs/>
          <w:sz w:val="22"/>
          <w:szCs w:val="22"/>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编制单位：马鞍山鼎泰稀土新材料股份有限公司</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5"/>
        <w:gridCol w:w="3302"/>
        <w:gridCol w:w="3301"/>
      </w:tblGrid>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bl>
    <w:p>
      <w:pPr>
        <w:spacing w:after="0" w:line="240" w:lineRule="auto"/>
        <w:jc w:val="center"/>
        <w:rPr>
          <w:rFonts w:ascii="宋体" w:hAnsi="宋体" w:cs="宋体" w:eastAsia="宋体"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5"/>
        <w:gridCol w:w="3302"/>
        <w:gridCol w:w="3301"/>
      </w:tblGrid>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592,316,581.43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562,554,464.60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496,042,027.13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473,856,411.84</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1,993,488.99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1,570,360.24</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31,842,444.04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21,645,656.95</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18,854,997.20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16,344,848.40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5,061,066.62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3,536,657.57</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1,652,896.49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2,973,538.39</w:t>
            </w: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-798,368.92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-28,326.09</w:t>
            </w: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36,071,292.04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42,598,665.12</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2,610,832.32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8,969,998.48</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445,566.86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574,156.18</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1,255.43</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38,236,557.50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50,994,507.42</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5,594,410.68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7,216,886.01</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32,642,146.82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43,777,621.41</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0.56</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0.56</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32,642,146.82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43,777,621.41</w:t>
            </w:r>
          </w:p>
        </w:tc>
      </w:tr>
    </w:tbl>
    <w:p>
      <w:pPr>
        <w:spacing w:line="240" w:lineRule="auto" w:before="5"/>
        <w:rPr>
          <w:rFonts w:ascii="宋体" w:hAnsi="宋体" w:cs="宋体" w:eastAsia="宋体" w:hint="default"/>
          <w:sz w:val="20"/>
          <w:szCs w:val="20"/>
        </w:rPr>
      </w:pPr>
    </w:p>
    <w:p>
      <w:pPr>
        <w:tabs>
          <w:tab w:pos="3532" w:val="left" w:leader="none"/>
          <w:tab w:pos="7672" w:val="left" w:leader="none"/>
        </w:tabs>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法定代表人：刘冀鲁</w:t>
        <w:tab/>
        <w:t>主管会计工作负责人：黄学春</w:t>
        <w:tab/>
        <w:t>会计机构负责人：黄学春</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编制单位：马鞍山鼎泰稀土新材料股份有限公司</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42" w:right="0"/>
              <w:jc w:val="left"/>
              <w:rPr>
                <w:rFonts w:ascii="Times New Roman" w:hAnsi="Times New Roman" w:cs="Times New Roman" w:eastAsia="Times New Roman" w:hint="default"/>
                <w:sz w:val="18"/>
                <w:szCs w:val="18"/>
              </w:rPr>
            </w:pPr>
            <w:r>
              <w:rPr>
                <w:rFonts w:ascii="Times New Roman"/>
                <w:sz w:val="18"/>
              </w:rPr>
              <w:t>776,467,927.41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43" w:right="0"/>
              <w:jc w:val="left"/>
              <w:rPr>
                <w:rFonts w:ascii="Times New Roman" w:hAnsi="Times New Roman" w:cs="Times New Roman" w:eastAsia="Times New Roman" w:hint="default"/>
                <w:sz w:val="18"/>
                <w:szCs w:val="18"/>
              </w:rPr>
            </w:pPr>
            <w:r>
              <w:rPr>
                <w:rFonts w:ascii="Times New Roman"/>
                <w:sz w:val="18"/>
              </w:rPr>
              <w:t>647,360,395.53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51"/>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1,878,756.24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1,082,639.70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8,227,536.99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47,503,785.04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786,574,220.64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695,946,820.27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662,574,087.52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597,525,712.55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33,932,497.99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27,732,622.45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23,659,906.49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20,131,782.73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39,290,604.63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33,972,505.87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759,457,096.63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679,362,623.60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27,117,124.01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16,584,196.67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8,228,000.00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1,478,000.00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756,547.44</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10,026,000.00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756,547.44</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26,593,610.60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74,765,072.85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35,593,610.60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74,765,072.85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-25,567,610.60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-74,008,525.41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182,335,990.24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153,000,000.00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36,034,154.40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6,050,000.00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218,370,144.64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159,050,000.00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254,661,980.10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71,378,137.86</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61,077,224.62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41,677,495.79</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10,567,467.00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326,306,671.72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149,055,633.65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-107,936,527.08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9,994,366.35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-63,434.28</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-106,450,447.95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-47,429,962.39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220,127,295.29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267,557,257.68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113,676,847.34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220,127,295.29</w:t>
            </w:r>
          </w:p>
        </w:tc>
      </w:tr>
    </w:tbl>
    <w:p>
      <w:pPr>
        <w:spacing w:line="240" w:lineRule="auto" w:before="1"/>
        <w:rPr>
          <w:rFonts w:ascii="Times New Roman" w:hAnsi="Times New Roman" w:cs="Times New Roman" w:eastAsia="Times New Roman" w:hint="default"/>
          <w:sz w:val="23"/>
          <w:szCs w:val="23"/>
        </w:rPr>
      </w:pPr>
    </w:p>
    <w:p>
      <w:pPr>
        <w:tabs>
          <w:tab w:pos="3532" w:val="left" w:leader="none"/>
          <w:tab w:pos="7672" w:val="left" w:leader="none"/>
        </w:tabs>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法定代表人：刘冀鲁</w:t>
        <w:tab/>
        <w:t>主管会计工作负责人：黄学春</w:t>
        <w:tab/>
        <w:t>会计机构负责人：黄学春</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编制单位：马鞍山鼎泰稀土新材料股份有限公司</w:t>
      </w:r>
    </w:p>
    <w:p>
      <w:pPr>
        <w:spacing w:after="0"/>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12"/>
        <w:rPr>
          <w:rFonts w:ascii="宋体" w:hAnsi="宋体" w:cs="宋体" w:eastAsia="宋体" w:hint="default"/>
          <w:sz w:val="25"/>
          <w:szCs w:val="25"/>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448,369,013.69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644,793,695.76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1,082,639.70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6,177,745.65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47,491,085.04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454,546,759.34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693,367,420.50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347,798,607.36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598,820,266.78</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26,215,046.34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23,301,636.08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20,313,103.70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17,906,834.09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52,347,993.76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30,544,862.07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446,674,751.16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670,573,599.02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7,872,008.18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22,793,821.48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8,228,000.00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1,478,000.00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756,547.44</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9,711,000.00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756,547.44</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4,469,365.59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15,017,535.02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29,829,771.65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13,469,365.59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84,847,306.67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-3,758,365.59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-84,090,759.23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182,335,990.24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36,034,154.40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6,050,000.00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218,370,144.64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159,050,000.00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254,661,980.10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71,378,137.86</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60,481,967.71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41,677,495.79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10,567,467.00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325,711,414.81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149,055,633.65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-107,341,270.17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9,994,366.35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-44,822.78</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-103,272,450.36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-51,302,571.40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216,119,953.85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267,422,525.25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112,847,503.49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216,119,953.85</w:t>
            </w:r>
          </w:p>
        </w:tc>
      </w:tr>
    </w:tbl>
    <w:p>
      <w:pPr>
        <w:spacing w:line="240" w:lineRule="auto" w:before="4"/>
        <w:rPr>
          <w:rFonts w:ascii="宋体" w:hAnsi="宋体" w:cs="宋体" w:eastAsia="宋体" w:hint="default"/>
          <w:sz w:val="20"/>
          <w:szCs w:val="20"/>
        </w:rPr>
      </w:pPr>
    </w:p>
    <w:p>
      <w:pPr>
        <w:tabs>
          <w:tab w:pos="3532" w:val="left" w:leader="none"/>
          <w:tab w:pos="7672" w:val="left" w:leader="none"/>
        </w:tabs>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法定代表人：刘冀鲁</w:t>
        <w:tab/>
        <w:t>主管会计工作负责人：黄学春</w:t>
        <w:tab/>
        <w:t>会计机构负责人：黄学春</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footerReference w:type="default" r:id="rId24"/>
          <w:pgSz w:w="11910" w:h="16840"/>
          <w:pgMar w:footer="978" w:header="746" w:top="1060" w:bottom="1160" w:left="1020" w:right="1020"/>
          <w:pgNumType w:start="60"/>
        </w:sectPr>
      </w:pPr>
    </w:p>
    <w:p>
      <w:pPr>
        <w:spacing w:line="357" w:lineRule="auto"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编制单位：马鞍山鼎泰稀土新材料股份有限公司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3893" w:space="5025"/>
            <w:col w:w="952"/>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67"/>
        <w:gridCol w:w="685"/>
        <w:gridCol w:w="687"/>
        <w:gridCol w:w="686"/>
        <w:gridCol w:w="686"/>
        <w:gridCol w:w="684"/>
        <w:gridCol w:w="686"/>
        <w:gridCol w:w="686"/>
        <w:gridCol w:w="686"/>
        <w:gridCol w:w="817"/>
        <w:gridCol w:w="894"/>
      </w:tblGrid>
      <w:tr>
        <w:trPr>
          <w:trHeight w:val="402" w:hRule="exact"/>
        </w:trPr>
        <w:tc>
          <w:tcPr>
            <w:tcW w:w="2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7197"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402" w:hRule="exact"/>
        </w:trPr>
        <w:tc>
          <w:tcPr>
            <w:tcW w:w="2367" w:type="dxa"/>
            <w:vMerge/>
            <w:tcBorders>
              <w:left w:val="single" w:sz="4" w:space="0" w:color="000000"/>
              <w:right w:val="single" w:sz="4" w:space="0" w:color="000000"/>
            </w:tcBorders>
            <w:shd w:val="clear" w:color="auto" w:fill="D3D3D3"/>
          </w:tcPr>
          <w:p>
            <w:pPr/>
          </w:p>
        </w:tc>
        <w:tc>
          <w:tcPr>
            <w:tcW w:w="5486"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4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224" w:right="41"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72" w:right="80"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026" w:hRule="exact"/>
        </w:trPr>
        <w:tc>
          <w:tcPr>
            <w:tcW w:w="2367" w:type="dxa"/>
            <w:vMerge/>
            <w:tcBorders>
              <w:left w:val="single" w:sz="4" w:space="0" w:color="000000"/>
              <w:bottom w:val="single" w:sz="4" w:space="0" w:color="000000"/>
              <w:right w:val="single" w:sz="4" w:space="0" w:color="000000"/>
            </w:tcBorders>
            <w:shd w:val="clear" w:color="auto" w:fill="D3D3D3"/>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7" w:right="6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8" w:right="20"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7" w:right="6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58" w:right="68"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7" w:type="dxa"/>
            <w:vMerge/>
            <w:tcBorders>
              <w:left w:val="single" w:sz="4" w:space="0" w:color="000000"/>
              <w:bottom w:val="single" w:sz="4" w:space="0" w:color="000000"/>
              <w:right w:val="single" w:sz="4" w:space="0" w:color="000000"/>
            </w:tcBorders>
            <w:shd w:val="clear" w:color="auto" w:fill="D3D3D3"/>
          </w:tcPr>
          <w:p>
            <w:pPr/>
          </w:p>
        </w:tc>
        <w:tc>
          <w:tcPr>
            <w:tcW w:w="894"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1" w:right="0"/>
              <w:jc w:val="left"/>
              <w:rPr>
                <w:rFonts w:ascii="Times New Roman" w:hAnsi="Times New Roman" w:cs="Times New Roman" w:eastAsia="Times New Roman" w:hint="default"/>
                <w:sz w:val="18"/>
                <w:szCs w:val="18"/>
              </w:rPr>
            </w:pPr>
            <w:r>
              <w:rPr>
                <w:rFonts w:ascii="Times New Roman"/>
                <w:sz w:val="18"/>
              </w:rPr>
              <w:t>77,830,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780.00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579,996,</w:t>
            </w:r>
          </w:p>
          <w:p>
            <w:pPr>
              <w:pStyle w:val="TableParagraph"/>
              <w:spacing w:line="240" w:lineRule="auto" w:before="105"/>
              <w:ind w:left="134" w:right="0"/>
              <w:jc w:val="center"/>
              <w:rPr>
                <w:rFonts w:ascii="Times New Roman" w:hAnsi="Times New Roman" w:cs="Times New Roman" w:eastAsia="Times New Roman" w:hint="default"/>
                <w:sz w:val="18"/>
                <w:szCs w:val="18"/>
              </w:rPr>
            </w:pPr>
            <w:r>
              <w:rPr>
                <w:rFonts w:ascii="Times New Roman"/>
                <w:sz w:val="18"/>
              </w:rPr>
              <w:t>139.78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16,246,</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263.45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44,486,2</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44.45</w:t>
            </w: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718,559,42</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7.68</w:t>
            </w: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2"/>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685"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2"/>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685"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1" w:right="0"/>
              <w:jc w:val="left"/>
              <w:rPr>
                <w:rFonts w:ascii="Times New Roman" w:hAnsi="Times New Roman" w:cs="Times New Roman" w:eastAsia="Times New Roman" w:hint="default"/>
                <w:sz w:val="18"/>
                <w:szCs w:val="18"/>
              </w:rPr>
            </w:pPr>
            <w:r>
              <w:rPr>
                <w:rFonts w:ascii="Times New Roman"/>
                <w:sz w:val="18"/>
              </w:rPr>
              <w:t>77,830,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780.00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579,996,</w:t>
            </w:r>
          </w:p>
          <w:p>
            <w:pPr>
              <w:pStyle w:val="TableParagraph"/>
              <w:spacing w:line="240" w:lineRule="auto" w:before="105"/>
              <w:ind w:left="134" w:right="0"/>
              <w:jc w:val="center"/>
              <w:rPr>
                <w:rFonts w:ascii="Times New Roman" w:hAnsi="Times New Roman" w:cs="Times New Roman" w:eastAsia="Times New Roman" w:hint="default"/>
                <w:sz w:val="18"/>
                <w:szCs w:val="18"/>
              </w:rPr>
            </w:pPr>
            <w:r>
              <w:rPr>
                <w:rFonts w:ascii="Times New Roman"/>
                <w:sz w:val="18"/>
              </w:rPr>
              <w:t>139.78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16,246,</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263.45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44,486,2</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44.45</w:t>
            </w: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718,559,42</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7.68</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5"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7" w:right="0"/>
              <w:jc w:val="center"/>
              <w:rPr>
                <w:rFonts w:ascii="Times New Roman" w:hAnsi="Times New Roman" w:cs="Times New Roman" w:eastAsia="Times New Roman" w:hint="default"/>
                <w:sz w:val="18"/>
                <w:szCs w:val="18"/>
              </w:rPr>
            </w:pPr>
            <w:r>
              <w:rPr>
                <w:rFonts w:ascii="Times New Roman"/>
                <w:sz w:val="18"/>
              </w:rPr>
              <w:t>3,264,2</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14.68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 w:right="0"/>
              <w:jc w:val="center"/>
              <w:rPr>
                <w:rFonts w:ascii="Times New Roman" w:hAnsi="Times New Roman" w:cs="Times New Roman" w:eastAsia="Times New Roman" w:hint="default"/>
                <w:sz w:val="18"/>
                <w:szCs w:val="18"/>
              </w:rPr>
            </w:pPr>
            <w:r>
              <w:rPr>
                <w:rFonts w:ascii="Times New Roman"/>
                <w:sz w:val="18"/>
              </w:rPr>
              <w:t>-9,960,5</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16.71</w:t>
            </w: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-6,696,302.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03</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5"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47,785,2</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43.97</w:t>
            </w: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47,785,243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.97</w:t>
            </w: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5"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367"/>
        <w:gridCol w:w="685"/>
        <w:gridCol w:w="687"/>
        <w:gridCol w:w="686"/>
        <w:gridCol w:w="686"/>
        <w:gridCol w:w="684"/>
        <w:gridCol w:w="686"/>
        <w:gridCol w:w="686"/>
        <w:gridCol w:w="686"/>
        <w:gridCol w:w="817"/>
        <w:gridCol w:w="894"/>
      </w:tblGrid>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5"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47,785,2</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43.97</w:t>
            </w: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47,785,243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.97</w:t>
            </w: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5"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5"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7" w:right="0"/>
              <w:jc w:val="center"/>
              <w:rPr>
                <w:rFonts w:ascii="Times New Roman" w:hAnsi="Times New Roman" w:cs="Times New Roman" w:eastAsia="Times New Roman" w:hint="default"/>
                <w:sz w:val="18"/>
                <w:szCs w:val="18"/>
              </w:rPr>
            </w:pPr>
            <w:r>
              <w:rPr>
                <w:rFonts w:ascii="Times New Roman"/>
                <w:sz w:val="18"/>
              </w:rPr>
              <w:t>3,264,2</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14.68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center"/>
              <w:rPr>
                <w:rFonts w:ascii="Times New Roman" w:hAnsi="Times New Roman" w:cs="Times New Roman" w:eastAsia="Times New Roman" w:hint="default"/>
                <w:sz w:val="18"/>
                <w:szCs w:val="18"/>
              </w:rPr>
            </w:pPr>
            <w:r>
              <w:rPr>
                <w:rFonts w:ascii="Times New Roman"/>
                <w:sz w:val="18"/>
              </w:rPr>
              <w:t>-57,745,</w:t>
            </w:r>
          </w:p>
          <w:p>
            <w:pPr>
              <w:pStyle w:val="TableParagraph"/>
              <w:spacing w:line="240" w:lineRule="auto" w:before="105"/>
              <w:ind w:left="136" w:right="0"/>
              <w:jc w:val="center"/>
              <w:rPr>
                <w:rFonts w:ascii="Times New Roman" w:hAnsi="Times New Roman" w:cs="Times New Roman" w:eastAsia="Times New Roman" w:hint="default"/>
                <w:sz w:val="18"/>
                <w:szCs w:val="18"/>
              </w:rPr>
            </w:pPr>
            <w:r>
              <w:rPr>
                <w:rFonts w:ascii="Times New Roman"/>
                <w:sz w:val="18"/>
              </w:rPr>
              <w:t>760.68</w:t>
            </w: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-54,481,54</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6.00</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7" w:right="0"/>
              <w:jc w:val="center"/>
              <w:rPr>
                <w:rFonts w:ascii="Times New Roman" w:hAnsi="Times New Roman" w:cs="Times New Roman" w:eastAsia="Times New Roman" w:hint="default"/>
                <w:sz w:val="18"/>
                <w:szCs w:val="18"/>
              </w:rPr>
            </w:pPr>
            <w:r>
              <w:rPr>
                <w:rFonts w:ascii="Times New Roman"/>
                <w:sz w:val="18"/>
              </w:rPr>
              <w:t>3,264,2</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14.68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 w:right="0"/>
              <w:jc w:val="center"/>
              <w:rPr>
                <w:rFonts w:ascii="Times New Roman" w:hAnsi="Times New Roman" w:cs="Times New Roman" w:eastAsia="Times New Roman" w:hint="default"/>
                <w:sz w:val="18"/>
                <w:szCs w:val="18"/>
              </w:rPr>
            </w:pPr>
            <w:r>
              <w:rPr>
                <w:rFonts w:ascii="Times New Roman"/>
                <w:sz w:val="18"/>
              </w:rPr>
              <w:t>-3,264,2</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14.68</w:t>
            </w: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5"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 w:right="0"/>
              <w:jc w:val="center"/>
              <w:rPr>
                <w:rFonts w:ascii="Times New Roman" w:hAnsi="Times New Roman" w:cs="Times New Roman" w:eastAsia="Times New Roman" w:hint="default"/>
                <w:sz w:val="18"/>
                <w:szCs w:val="18"/>
              </w:rPr>
            </w:pPr>
            <w:r>
              <w:rPr>
                <w:rFonts w:ascii="Times New Roman"/>
                <w:sz w:val="18"/>
              </w:rPr>
              <w:t>-54,481,</w:t>
            </w:r>
          </w:p>
          <w:p>
            <w:pPr>
              <w:pStyle w:val="TableParagraph"/>
              <w:spacing w:line="240" w:lineRule="auto" w:before="105"/>
              <w:ind w:left="136" w:right="0"/>
              <w:jc w:val="center"/>
              <w:rPr>
                <w:rFonts w:ascii="Times New Roman" w:hAnsi="Times New Roman" w:cs="Times New Roman" w:eastAsia="Times New Roman" w:hint="default"/>
                <w:sz w:val="18"/>
                <w:szCs w:val="18"/>
              </w:rPr>
            </w:pPr>
            <w:r>
              <w:rPr>
                <w:rFonts w:ascii="Times New Roman"/>
                <w:sz w:val="18"/>
              </w:rPr>
              <w:t>546.00</w:t>
            </w: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 w:right="0"/>
              <w:jc w:val="left"/>
              <w:rPr>
                <w:rFonts w:ascii="Times New Roman" w:hAnsi="Times New Roman" w:cs="Times New Roman" w:eastAsia="Times New Roman" w:hint="default"/>
                <w:sz w:val="18"/>
                <w:szCs w:val="18"/>
              </w:rPr>
            </w:pPr>
            <w:r>
              <w:rPr>
                <w:rFonts w:ascii="Times New Roman"/>
                <w:sz w:val="18"/>
              </w:rPr>
              <w:t>-54,481,54</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5"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5"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1" w:right="0"/>
              <w:jc w:val="left"/>
              <w:rPr>
                <w:rFonts w:ascii="Times New Roman" w:hAnsi="Times New Roman" w:cs="Times New Roman" w:eastAsia="Times New Roman" w:hint="default"/>
                <w:sz w:val="18"/>
                <w:szCs w:val="18"/>
              </w:rPr>
            </w:pPr>
            <w:r>
              <w:rPr>
                <w:rFonts w:ascii="Times New Roman"/>
                <w:sz w:val="18"/>
              </w:rPr>
              <w:t>77,830,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780.00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579,996,</w:t>
            </w:r>
          </w:p>
          <w:p>
            <w:pPr>
              <w:pStyle w:val="TableParagraph"/>
              <w:spacing w:line="240" w:lineRule="auto" w:before="105"/>
              <w:ind w:left="134" w:right="0"/>
              <w:jc w:val="center"/>
              <w:rPr>
                <w:rFonts w:ascii="Times New Roman" w:hAnsi="Times New Roman" w:cs="Times New Roman" w:eastAsia="Times New Roman" w:hint="default"/>
                <w:sz w:val="18"/>
                <w:szCs w:val="18"/>
              </w:rPr>
            </w:pPr>
            <w:r>
              <w:rPr>
                <w:rFonts w:ascii="Times New Roman"/>
                <w:sz w:val="18"/>
              </w:rPr>
              <w:t>139.78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19,510,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478.13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34,525,7</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27.74</w:t>
            </w: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711,863,12</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5.65</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67"/>
        <w:gridCol w:w="685"/>
        <w:gridCol w:w="687"/>
        <w:gridCol w:w="686"/>
        <w:gridCol w:w="686"/>
        <w:gridCol w:w="684"/>
        <w:gridCol w:w="686"/>
        <w:gridCol w:w="686"/>
        <w:gridCol w:w="686"/>
        <w:gridCol w:w="817"/>
        <w:gridCol w:w="894"/>
      </w:tblGrid>
      <w:tr>
        <w:trPr>
          <w:trHeight w:val="402" w:hRule="exact"/>
        </w:trPr>
        <w:tc>
          <w:tcPr>
            <w:tcW w:w="2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7197"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402" w:hRule="exact"/>
        </w:trPr>
        <w:tc>
          <w:tcPr>
            <w:tcW w:w="2367" w:type="dxa"/>
            <w:vMerge/>
            <w:tcBorders>
              <w:left w:val="single" w:sz="4" w:space="0" w:color="000000"/>
              <w:right w:val="single" w:sz="4" w:space="0" w:color="000000"/>
            </w:tcBorders>
            <w:shd w:val="clear" w:color="auto" w:fill="D3D3D3"/>
          </w:tcPr>
          <w:p>
            <w:pPr/>
          </w:p>
        </w:tc>
        <w:tc>
          <w:tcPr>
            <w:tcW w:w="5486"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74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224" w:right="41"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72" w:right="80"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026" w:hRule="exact"/>
        </w:trPr>
        <w:tc>
          <w:tcPr>
            <w:tcW w:w="2367" w:type="dxa"/>
            <w:vMerge/>
            <w:tcBorders>
              <w:left w:val="single" w:sz="4" w:space="0" w:color="000000"/>
              <w:bottom w:val="single" w:sz="4" w:space="0" w:color="000000"/>
              <w:right w:val="single" w:sz="4" w:space="0" w:color="000000"/>
            </w:tcBorders>
            <w:shd w:val="clear" w:color="auto" w:fill="D3D3D3"/>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7" w:right="6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8" w:right="20"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7" w:right="6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58" w:right="68"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7" w:type="dxa"/>
            <w:vMerge/>
            <w:tcBorders>
              <w:left w:val="single" w:sz="4" w:space="0" w:color="000000"/>
              <w:bottom w:val="single" w:sz="4" w:space="0" w:color="000000"/>
              <w:right w:val="single" w:sz="4" w:space="0" w:color="000000"/>
            </w:tcBorders>
            <w:shd w:val="clear" w:color="auto" w:fill="D3D3D3"/>
          </w:tcPr>
          <w:p>
            <w:pPr/>
          </w:p>
        </w:tc>
        <w:tc>
          <w:tcPr>
            <w:tcW w:w="894"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1" w:right="0"/>
              <w:jc w:val="left"/>
              <w:rPr>
                <w:rFonts w:ascii="Times New Roman" w:hAnsi="Times New Roman" w:cs="Times New Roman" w:eastAsia="Times New Roman" w:hint="default"/>
                <w:sz w:val="18"/>
                <w:szCs w:val="18"/>
              </w:rPr>
            </w:pPr>
            <w:r>
              <w:rPr>
                <w:rFonts w:ascii="Times New Roman"/>
                <w:sz w:val="18"/>
              </w:rPr>
              <w:t>77,830,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780.00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579,996,</w:t>
            </w:r>
          </w:p>
          <w:p>
            <w:pPr>
              <w:pStyle w:val="TableParagraph"/>
              <w:spacing w:line="240" w:lineRule="auto" w:before="105"/>
              <w:ind w:left="134" w:right="0"/>
              <w:jc w:val="center"/>
              <w:rPr>
                <w:rFonts w:ascii="Times New Roman" w:hAnsi="Times New Roman" w:cs="Times New Roman" w:eastAsia="Times New Roman" w:hint="default"/>
                <w:sz w:val="18"/>
                <w:szCs w:val="18"/>
              </w:rPr>
            </w:pPr>
            <w:r>
              <w:rPr>
                <w:rFonts w:ascii="Times New Roman"/>
                <w:sz w:val="18"/>
              </w:rPr>
              <w:t>139.78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11,868,5</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01.31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46,356,1</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58.32</w:t>
            </w: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716,051,57</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9.41</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367"/>
        <w:gridCol w:w="685"/>
        <w:gridCol w:w="687"/>
        <w:gridCol w:w="686"/>
        <w:gridCol w:w="686"/>
        <w:gridCol w:w="684"/>
        <w:gridCol w:w="686"/>
        <w:gridCol w:w="686"/>
        <w:gridCol w:w="686"/>
        <w:gridCol w:w="817"/>
        <w:gridCol w:w="894"/>
      </w:tblGrid>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1"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85"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5"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5"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1" w:right="0"/>
              <w:jc w:val="left"/>
              <w:rPr>
                <w:rFonts w:ascii="Times New Roman" w:hAnsi="Times New Roman" w:cs="Times New Roman" w:eastAsia="Times New Roman" w:hint="default"/>
                <w:sz w:val="18"/>
                <w:szCs w:val="18"/>
              </w:rPr>
            </w:pPr>
            <w:r>
              <w:rPr>
                <w:rFonts w:ascii="Times New Roman"/>
                <w:sz w:val="18"/>
              </w:rPr>
              <w:t>77,830,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780.00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579,996,</w:t>
            </w:r>
          </w:p>
          <w:p>
            <w:pPr>
              <w:pStyle w:val="TableParagraph"/>
              <w:spacing w:line="240" w:lineRule="auto" w:before="105"/>
              <w:ind w:left="134" w:right="0"/>
              <w:jc w:val="center"/>
              <w:rPr>
                <w:rFonts w:ascii="Times New Roman" w:hAnsi="Times New Roman" w:cs="Times New Roman" w:eastAsia="Times New Roman" w:hint="default"/>
                <w:sz w:val="18"/>
                <w:szCs w:val="18"/>
              </w:rPr>
            </w:pPr>
            <w:r>
              <w:rPr>
                <w:rFonts w:ascii="Times New Roman"/>
                <w:sz w:val="18"/>
              </w:rPr>
              <w:t>139.78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11,868,5</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01.31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46,356,1</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58.32</w:t>
            </w: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716,051,57</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9.41</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5"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7" w:right="0"/>
              <w:jc w:val="center"/>
              <w:rPr>
                <w:rFonts w:ascii="Times New Roman" w:hAnsi="Times New Roman" w:cs="Times New Roman" w:eastAsia="Times New Roman" w:hint="default"/>
                <w:sz w:val="18"/>
                <w:szCs w:val="18"/>
              </w:rPr>
            </w:pPr>
            <w:r>
              <w:rPr>
                <w:rFonts w:ascii="Times New Roman"/>
                <w:sz w:val="18"/>
              </w:rPr>
              <w:t>4,377,7</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62.14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 w:right="0"/>
              <w:jc w:val="center"/>
              <w:rPr>
                <w:rFonts w:ascii="Times New Roman" w:hAnsi="Times New Roman" w:cs="Times New Roman" w:eastAsia="Times New Roman" w:hint="default"/>
                <w:sz w:val="18"/>
                <w:szCs w:val="18"/>
              </w:rPr>
            </w:pPr>
            <w:r>
              <w:rPr>
                <w:rFonts w:ascii="Times New Roman"/>
                <w:sz w:val="18"/>
              </w:rPr>
              <w:t>-1,869,9</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13.87</w:t>
            </w: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2,507,848.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27</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5"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41,423,2</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38.27</w:t>
            </w: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41,423,238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.27</w:t>
            </w: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5"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5"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41,423,2</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38.27</w:t>
            </w: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41,423,238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.27</w:t>
            </w: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5"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5"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7" w:right="0"/>
              <w:jc w:val="center"/>
              <w:rPr>
                <w:rFonts w:ascii="Times New Roman" w:hAnsi="Times New Roman" w:cs="Times New Roman" w:eastAsia="Times New Roman" w:hint="default"/>
                <w:sz w:val="18"/>
                <w:szCs w:val="18"/>
              </w:rPr>
            </w:pPr>
            <w:r>
              <w:rPr>
                <w:rFonts w:ascii="Times New Roman"/>
                <w:sz w:val="18"/>
              </w:rPr>
              <w:t>4,377,7</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62.14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center"/>
              <w:rPr>
                <w:rFonts w:ascii="Times New Roman" w:hAnsi="Times New Roman" w:cs="Times New Roman" w:eastAsia="Times New Roman" w:hint="default"/>
                <w:sz w:val="18"/>
                <w:szCs w:val="18"/>
              </w:rPr>
            </w:pPr>
            <w:r>
              <w:rPr>
                <w:rFonts w:ascii="Times New Roman"/>
                <w:sz w:val="18"/>
              </w:rPr>
              <w:t>-43,293,</w:t>
            </w:r>
          </w:p>
          <w:p>
            <w:pPr>
              <w:pStyle w:val="TableParagraph"/>
              <w:spacing w:line="240" w:lineRule="auto" w:before="105"/>
              <w:ind w:left="136" w:right="0"/>
              <w:jc w:val="center"/>
              <w:rPr>
                <w:rFonts w:ascii="Times New Roman" w:hAnsi="Times New Roman" w:cs="Times New Roman" w:eastAsia="Times New Roman" w:hint="default"/>
                <w:sz w:val="18"/>
                <w:szCs w:val="18"/>
              </w:rPr>
            </w:pPr>
            <w:r>
              <w:rPr>
                <w:rFonts w:ascii="Times New Roman"/>
                <w:sz w:val="18"/>
              </w:rPr>
              <w:t>152.14</w:t>
            </w: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-38,915,39</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7" w:right="0"/>
              <w:jc w:val="center"/>
              <w:rPr>
                <w:rFonts w:ascii="Times New Roman" w:hAnsi="Times New Roman" w:cs="Times New Roman" w:eastAsia="Times New Roman" w:hint="default"/>
                <w:sz w:val="18"/>
                <w:szCs w:val="18"/>
              </w:rPr>
            </w:pPr>
            <w:r>
              <w:rPr>
                <w:rFonts w:ascii="Times New Roman"/>
                <w:sz w:val="18"/>
              </w:rPr>
              <w:t>4,377,7</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62.14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 w:right="0"/>
              <w:jc w:val="center"/>
              <w:rPr>
                <w:rFonts w:ascii="Times New Roman" w:hAnsi="Times New Roman" w:cs="Times New Roman" w:eastAsia="Times New Roman" w:hint="default"/>
                <w:sz w:val="18"/>
                <w:szCs w:val="18"/>
              </w:rPr>
            </w:pPr>
            <w:r>
              <w:rPr>
                <w:rFonts w:ascii="Times New Roman"/>
                <w:sz w:val="18"/>
              </w:rPr>
              <w:t>-4,377,7</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62.14</w:t>
            </w: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5"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 w:right="0"/>
              <w:jc w:val="center"/>
              <w:rPr>
                <w:rFonts w:ascii="Times New Roman" w:hAnsi="Times New Roman" w:cs="Times New Roman" w:eastAsia="Times New Roman" w:hint="default"/>
                <w:sz w:val="18"/>
                <w:szCs w:val="18"/>
              </w:rPr>
            </w:pPr>
            <w:r>
              <w:rPr>
                <w:rFonts w:ascii="Times New Roman"/>
                <w:sz w:val="18"/>
              </w:rPr>
              <w:t>-38,915,</w:t>
            </w:r>
          </w:p>
          <w:p>
            <w:pPr>
              <w:pStyle w:val="TableParagraph"/>
              <w:spacing w:line="240" w:lineRule="auto" w:before="105"/>
              <w:ind w:left="136" w:right="0"/>
              <w:jc w:val="center"/>
              <w:rPr>
                <w:rFonts w:ascii="Times New Roman" w:hAnsi="Times New Roman" w:cs="Times New Roman" w:eastAsia="Times New Roman" w:hint="default"/>
                <w:sz w:val="18"/>
                <w:szCs w:val="18"/>
              </w:rPr>
            </w:pPr>
            <w:r>
              <w:rPr>
                <w:rFonts w:ascii="Times New Roman"/>
                <w:sz w:val="18"/>
              </w:rPr>
              <w:t>390.00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 w:right="0"/>
              <w:jc w:val="left"/>
              <w:rPr>
                <w:rFonts w:ascii="Times New Roman" w:hAnsi="Times New Roman" w:cs="Times New Roman" w:eastAsia="Times New Roman" w:hint="default"/>
                <w:sz w:val="18"/>
                <w:szCs w:val="18"/>
              </w:rPr>
            </w:pPr>
            <w:r>
              <w:rPr>
                <w:rFonts w:ascii="Times New Roman"/>
                <w:sz w:val="18"/>
              </w:rPr>
              <w:t>-38,915,39</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5"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5"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367"/>
        <w:gridCol w:w="685"/>
        <w:gridCol w:w="687"/>
        <w:gridCol w:w="686"/>
        <w:gridCol w:w="686"/>
        <w:gridCol w:w="684"/>
        <w:gridCol w:w="686"/>
        <w:gridCol w:w="686"/>
        <w:gridCol w:w="686"/>
        <w:gridCol w:w="817"/>
        <w:gridCol w:w="894"/>
      </w:tblGrid>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1" w:right="0"/>
              <w:jc w:val="left"/>
              <w:rPr>
                <w:rFonts w:ascii="Times New Roman" w:hAnsi="Times New Roman" w:cs="Times New Roman" w:eastAsia="Times New Roman" w:hint="default"/>
                <w:sz w:val="18"/>
                <w:szCs w:val="18"/>
              </w:rPr>
            </w:pPr>
            <w:r>
              <w:rPr>
                <w:rFonts w:ascii="Times New Roman"/>
                <w:sz w:val="18"/>
              </w:rPr>
              <w:t>77,830,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780.00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579,996,</w:t>
            </w:r>
          </w:p>
          <w:p>
            <w:pPr>
              <w:pStyle w:val="TableParagraph"/>
              <w:spacing w:line="240" w:lineRule="auto" w:before="105"/>
              <w:ind w:left="134" w:right="0"/>
              <w:jc w:val="center"/>
              <w:rPr>
                <w:rFonts w:ascii="Times New Roman" w:hAnsi="Times New Roman" w:cs="Times New Roman" w:eastAsia="Times New Roman" w:hint="default"/>
                <w:sz w:val="18"/>
                <w:szCs w:val="18"/>
              </w:rPr>
            </w:pPr>
            <w:r>
              <w:rPr>
                <w:rFonts w:ascii="Times New Roman"/>
                <w:sz w:val="18"/>
              </w:rPr>
              <w:t>139.78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16,246,</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263.45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44,486,2</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44.45</w:t>
            </w:r>
          </w:p>
        </w:tc>
        <w:tc>
          <w:tcPr>
            <w:tcW w:w="686"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718,559,42</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7.68</w:t>
            </w:r>
          </w:p>
        </w:tc>
      </w:tr>
    </w:tbl>
    <w:p>
      <w:pPr>
        <w:spacing w:line="240" w:lineRule="auto" w:before="3"/>
        <w:rPr>
          <w:rFonts w:ascii="Times New Roman" w:hAnsi="Times New Roman" w:cs="Times New Roman" w:eastAsia="Times New Roman" w:hint="default"/>
          <w:sz w:val="23"/>
          <w:szCs w:val="23"/>
        </w:rPr>
      </w:pPr>
    </w:p>
    <w:p>
      <w:pPr>
        <w:tabs>
          <w:tab w:pos="3532" w:val="left" w:leader="none"/>
          <w:tab w:pos="7672" w:val="left" w:leader="none"/>
        </w:tabs>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法定代表人：刘冀鲁</w:t>
        <w:tab/>
        <w:t>主管会计工作负责人：黄学春</w:t>
        <w:tab/>
        <w:t>会计机构负责人：黄学春</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6" w:footer="978" w:top="1060" w:bottom="1160" w:left="1020" w:right="1020"/>
        </w:sectPr>
      </w:pPr>
    </w:p>
    <w:p>
      <w:pPr>
        <w:spacing w:line="360" w:lineRule="auto"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编制单位：马鞍山鼎泰稀土新材料股份有限公司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3893" w:space="5025"/>
            <w:col w:w="952"/>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476"/>
        <w:gridCol w:w="885"/>
        <w:gridCol w:w="885"/>
        <w:gridCol w:w="885"/>
        <w:gridCol w:w="886"/>
        <w:gridCol w:w="886"/>
        <w:gridCol w:w="886"/>
        <w:gridCol w:w="886"/>
        <w:gridCol w:w="892"/>
      </w:tblGrid>
      <w:tr>
        <w:trPr>
          <w:trHeight w:val="402" w:hRule="exact"/>
        </w:trPr>
        <w:tc>
          <w:tcPr>
            <w:tcW w:w="24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091"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714" w:hRule="exact"/>
        </w:trPr>
        <w:tc>
          <w:tcPr>
            <w:tcW w:w="2476" w:type="dxa"/>
            <w:vMerge/>
            <w:tcBorders>
              <w:left w:val="single" w:sz="4" w:space="0" w:color="000000"/>
              <w:bottom w:val="single" w:sz="4" w:space="0" w:color="000000"/>
              <w:right w:val="single" w:sz="4" w:space="0" w:color="000000"/>
            </w:tcBorders>
            <w:shd w:val="clear" w:color="auto" w:fill="D3D3D3"/>
          </w:tcPr>
          <w:p>
            <w:pPr/>
          </w:p>
        </w:tc>
        <w:tc>
          <w:tcPr>
            <w:tcW w:w="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196" w:lineRule="exact"/>
              <w:ind w:left="77"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96"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tc>
        <w:tc>
          <w:tcPr>
            <w:tcW w:w="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14"/>
                <w:sz w:val="18"/>
                <w:szCs w:val="18"/>
              </w:rPr>
              <w:t>减：库存股</w:t>
            </w: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57" w:right="78"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48" w:right="77"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70" w:right="80"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77,830,780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1" w:right="0"/>
              <w:jc w:val="left"/>
              <w:rPr>
                <w:rFonts w:ascii="Times New Roman" w:hAnsi="Times New Roman" w:cs="Times New Roman" w:eastAsia="Times New Roman" w:hint="default"/>
                <w:sz w:val="18"/>
                <w:szCs w:val="18"/>
              </w:rPr>
            </w:pPr>
            <w:r>
              <w:rPr>
                <w:rFonts w:ascii="Times New Roman"/>
                <w:sz w:val="18"/>
              </w:rPr>
              <w:t>579,996,13</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9.78</w:t>
            </w:r>
          </w:p>
        </w:tc>
        <w:tc>
          <w:tcPr>
            <w:tcW w:w="8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16,246,263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44,751,284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.95</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718,824,46</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8.18</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77,830,780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1" w:right="0"/>
              <w:jc w:val="left"/>
              <w:rPr>
                <w:rFonts w:ascii="Times New Roman" w:hAnsi="Times New Roman" w:cs="Times New Roman" w:eastAsia="Times New Roman" w:hint="default"/>
                <w:sz w:val="18"/>
                <w:szCs w:val="18"/>
              </w:rPr>
            </w:pPr>
            <w:r>
              <w:rPr>
                <w:rFonts w:ascii="Times New Roman"/>
                <w:sz w:val="18"/>
              </w:rPr>
              <w:t>579,996,13</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9.78</w:t>
            </w:r>
          </w:p>
        </w:tc>
        <w:tc>
          <w:tcPr>
            <w:tcW w:w="8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16,246,263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44,751,284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.95</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718,824,46</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8.18</w:t>
            </w: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3,264,214.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68</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-25,103,61</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3.86</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8" w:right="0"/>
              <w:jc w:val="left"/>
              <w:rPr>
                <w:rFonts w:ascii="Times New Roman" w:hAnsi="Times New Roman" w:cs="Times New Roman" w:eastAsia="Times New Roman" w:hint="default"/>
                <w:sz w:val="18"/>
                <w:szCs w:val="18"/>
              </w:rPr>
            </w:pPr>
            <w:r>
              <w:rPr>
                <w:rFonts w:ascii="Times New Roman"/>
                <w:sz w:val="18"/>
              </w:rPr>
              <w:t>-21,839,39</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9.18</w:t>
            </w: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32,642,146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.82</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32,642,146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32,642,146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.82</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32,642,146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22"/>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金额</w:t>
            </w: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3,264,214.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68</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-57,745,76</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0.68</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8" w:right="0"/>
              <w:jc w:val="left"/>
              <w:rPr>
                <w:rFonts w:ascii="Times New Roman" w:hAnsi="Times New Roman" w:cs="Times New Roman" w:eastAsia="Times New Roman" w:hint="default"/>
                <w:sz w:val="18"/>
                <w:szCs w:val="18"/>
              </w:rPr>
            </w:pPr>
            <w:r>
              <w:rPr>
                <w:rFonts w:ascii="Times New Roman"/>
                <w:sz w:val="18"/>
              </w:rPr>
              <w:t>-54,481,54</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6.00</w:t>
            </w: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3,264,214.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68</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-3,264,214.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68</w:t>
            </w: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1020" w:right="1020"/>
        </w:sectPr>
      </w:pPr>
    </w:p>
    <w:p>
      <w:pPr>
        <w:spacing w:line="240" w:lineRule="auto" w:before="5"/>
        <w:rPr>
          <w:rFonts w:ascii="宋体" w:hAnsi="宋体" w:cs="宋体" w:eastAsia="宋体" w:hint="default"/>
          <w:sz w:val="28"/>
          <w:szCs w:val="28"/>
        </w:rPr>
      </w:pPr>
      <w:r>
        <w:rPr/>
        <w:pict>
          <v:group style="position:absolute;margin-left:180.649994pt;margin-top:148.300018pt;width:44pt;height:39.950pt;mso-position-horizontal-relative:page;mso-position-vertical-relative:page;z-index:-626272" coordorigin="3613,2966" coordsize="880,799">
            <v:group style="position:absolute;left:3613;top:2966;width:880;height:397" coordorigin="3613,2966" coordsize="880,397">
              <v:shape style="position:absolute;left:3613;top:2966;width:880;height:397" coordorigin="3613,2966" coordsize="880,397" path="m3613,2966l4493,2966,4493,3363,3613,3363,3613,2966xe" filled="true" fillcolor="#ffffff" stroked="false">
                <v:path arrowok="t"/>
                <v:fill type="solid"/>
              </v:shape>
            </v:group>
            <v:group style="position:absolute;left:3613;top:3368;width:880;height:397" coordorigin="3613,3368" coordsize="880,397">
              <v:shape style="position:absolute;left:3613;top:3368;width:880;height:397" coordorigin="3613,3368" coordsize="880,397" path="m3613,3368l4493,3368,4493,3765,3613,3765,3613,3368xe" filled="true" fillcolor="#ffffff" stroked="false">
                <v:path arrowok="t"/>
                <v:fill type="solid"/>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2476"/>
        <w:gridCol w:w="885"/>
        <w:gridCol w:w="885"/>
        <w:gridCol w:w="885"/>
        <w:gridCol w:w="886"/>
        <w:gridCol w:w="886"/>
        <w:gridCol w:w="886"/>
        <w:gridCol w:w="886"/>
        <w:gridCol w:w="892"/>
      </w:tblGrid>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-54,481,54</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6.00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8" w:right="0"/>
              <w:jc w:val="left"/>
              <w:rPr>
                <w:rFonts w:ascii="Times New Roman" w:hAnsi="Times New Roman" w:cs="Times New Roman" w:eastAsia="Times New Roman" w:hint="default"/>
                <w:sz w:val="18"/>
                <w:szCs w:val="18"/>
              </w:rPr>
            </w:pPr>
            <w:r>
              <w:rPr>
                <w:rFonts w:ascii="Times New Roman"/>
                <w:sz w:val="18"/>
              </w:rPr>
              <w:t>-54,481,54</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．资本公积转增资本（或股本</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．盈余公积转增资本（或股本</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77,830,780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1" w:right="0"/>
              <w:jc w:val="left"/>
              <w:rPr>
                <w:rFonts w:ascii="Times New Roman" w:hAnsi="Times New Roman" w:cs="Times New Roman" w:eastAsia="Times New Roman" w:hint="default"/>
                <w:sz w:val="18"/>
                <w:szCs w:val="18"/>
              </w:rPr>
            </w:pPr>
            <w:r>
              <w:rPr>
                <w:rFonts w:ascii="Times New Roman"/>
                <w:sz w:val="18"/>
              </w:rPr>
              <w:t>579,996,13</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9.78</w:t>
            </w:r>
          </w:p>
        </w:tc>
        <w:tc>
          <w:tcPr>
            <w:tcW w:w="8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19,510,478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19,647,671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.09</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696,985,06</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9.00</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5"/>
        <w:gridCol w:w="885"/>
        <w:gridCol w:w="885"/>
        <w:gridCol w:w="885"/>
        <w:gridCol w:w="884"/>
        <w:gridCol w:w="884"/>
        <w:gridCol w:w="884"/>
        <w:gridCol w:w="884"/>
        <w:gridCol w:w="882"/>
      </w:tblGrid>
      <w:tr>
        <w:trPr>
          <w:trHeight w:val="402" w:hRule="exact"/>
        </w:trPr>
        <w:tc>
          <w:tcPr>
            <w:tcW w:w="24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07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714" w:hRule="exact"/>
        </w:trPr>
        <w:tc>
          <w:tcPr>
            <w:tcW w:w="2495" w:type="dxa"/>
            <w:vMerge/>
            <w:tcBorders>
              <w:left w:val="single" w:sz="4" w:space="0" w:color="000000"/>
              <w:bottom w:val="single" w:sz="4" w:space="0" w:color="000000"/>
              <w:right w:val="single" w:sz="4" w:space="0" w:color="000000"/>
            </w:tcBorders>
            <w:shd w:val="clear" w:color="auto" w:fill="D3D3D3"/>
          </w:tcPr>
          <w:p>
            <w:pPr/>
          </w:p>
        </w:tc>
        <w:tc>
          <w:tcPr>
            <w:tcW w:w="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196" w:lineRule="exact"/>
              <w:ind w:left="77"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96"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tc>
        <w:tc>
          <w:tcPr>
            <w:tcW w:w="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14"/>
                <w:sz w:val="18"/>
                <w:szCs w:val="18"/>
              </w:rPr>
              <w:t>减：库存股</w:t>
            </w:r>
          </w:p>
        </w:tc>
        <w:tc>
          <w:tcPr>
            <w:tcW w:w="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56"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347" w:right="76"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166" w:right="75"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77,830,780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579,996,13</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9.78</w:t>
            </w:r>
          </w:p>
        </w:tc>
        <w:tc>
          <w:tcPr>
            <w:tcW w:w="88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11,868,501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.31</w:t>
            </w: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44,266,815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.68</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713,962,23</w:t>
            </w:r>
          </w:p>
          <w:p>
            <w:pPr>
              <w:pStyle w:val="TableParagraph"/>
              <w:spacing w:line="240" w:lineRule="auto" w:before="105"/>
              <w:ind w:left="533" w:right="0"/>
              <w:jc w:val="left"/>
              <w:rPr>
                <w:rFonts w:ascii="Times New Roman" w:hAnsi="Times New Roman" w:cs="Times New Roman" w:eastAsia="Times New Roman" w:hint="default"/>
                <w:sz w:val="18"/>
                <w:szCs w:val="18"/>
              </w:rPr>
            </w:pPr>
            <w:r>
              <w:rPr>
                <w:rFonts w:ascii="Times New Roman"/>
                <w:sz w:val="18"/>
              </w:rPr>
              <w:t>6.77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77,830,780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579,996,13</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9.78</w:t>
            </w:r>
          </w:p>
        </w:tc>
        <w:tc>
          <w:tcPr>
            <w:tcW w:w="88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11,868,501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.31</w:t>
            </w: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44,266,815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.68</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713,962,23</w:t>
            </w:r>
          </w:p>
          <w:p>
            <w:pPr>
              <w:pStyle w:val="TableParagraph"/>
              <w:spacing w:line="240" w:lineRule="auto" w:before="105"/>
              <w:ind w:left="533" w:right="0"/>
              <w:jc w:val="left"/>
              <w:rPr>
                <w:rFonts w:ascii="Times New Roman" w:hAnsi="Times New Roman" w:cs="Times New Roman" w:eastAsia="Times New Roman" w:hint="default"/>
                <w:sz w:val="18"/>
                <w:szCs w:val="18"/>
              </w:rPr>
            </w:pPr>
            <w:r>
              <w:rPr>
                <w:rFonts w:ascii="Times New Roman"/>
                <w:sz w:val="18"/>
              </w:rPr>
              <w:t>6.77</w:t>
            </w: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4,377,762.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w:t>
            </w: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484,469.27</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4,862,231.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41</w:t>
            </w: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43,777,621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.41</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43,777,621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.41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43,777,621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.41</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43,777,621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.41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w:t>
            </w: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r>
        <w:rPr/>
        <w:pict>
          <v:group style="position:absolute;margin-left:181.600006pt;margin-top:278.000031pt;width:44pt;height:39.950pt;mso-position-horizontal-relative:page;mso-position-vertical-relative:page;z-index:-626248" coordorigin="3632,5560" coordsize="880,799">
            <v:group style="position:absolute;left:3632;top:5560;width:880;height:397" coordorigin="3632,5560" coordsize="880,397">
              <v:shape style="position:absolute;left:3632;top:5560;width:880;height:397" coordorigin="3632,5560" coordsize="880,397" path="m3632,5560l4512,5560,4512,5957,3632,5957,3632,5560xe" filled="true" fillcolor="#ffffff" stroked="false">
                <v:path arrowok="t"/>
                <v:fill type="solid"/>
              </v:shape>
            </v:group>
            <v:group style="position:absolute;left:3632;top:5962;width:880;height:397" coordorigin="3632,5962" coordsize="880,397">
              <v:shape style="position:absolute;left:3632;top:5962;width:880;height:397" coordorigin="3632,5962" coordsize="880,397" path="m3632,5962l4512,5962,4512,6359,3632,6359,3632,5962xe" filled="true" fillcolor="#ffffff" stroked="false">
                <v:path arrowok="t"/>
                <v:fill type="solid"/>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2495"/>
        <w:gridCol w:w="885"/>
        <w:gridCol w:w="885"/>
        <w:gridCol w:w="885"/>
        <w:gridCol w:w="884"/>
        <w:gridCol w:w="884"/>
        <w:gridCol w:w="884"/>
        <w:gridCol w:w="884"/>
        <w:gridCol w:w="882"/>
      </w:tblGrid>
      <w:tr>
        <w:trPr>
          <w:trHeight w:val="36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4,377,762.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w:t>
            </w: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-43,293,15</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2.14</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-38,915,39</w:t>
            </w:r>
          </w:p>
          <w:p>
            <w:pPr>
              <w:pStyle w:val="TableParagraph"/>
              <w:spacing w:line="240" w:lineRule="auto" w:before="105"/>
              <w:ind w:left="53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4,377,762.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w:t>
            </w: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-4,377,762.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w:t>
            </w: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-38,915,39</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0.00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0" w:right="0"/>
              <w:jc w:val="left"/>
              <w:rPr>
                <w:rFonts w:ascii="Times New Roman" w:hAnsi="Times New Roman" w:cs="Times New Roman" w:eastAsia="Times New Roman" w:hint="default"/>
                <w:sz w:val="18"/>
                <w:szCs w:val="18"/>
              </w:rPr>
            </w:pPr>
            <w:r>
              <w:rPr>
                <w:rFonts w:ascii="Times New Roman"/>
                <w:sz w:val="18"/>
              </w:rPr>
              <w:t>-38,915,39</w:t>
            </w:r>
          </w:p>
          <w:p>
            <w:pPr>
              <w:pStyle w:val="TableParagraph"/>
              <w:spacing w:line="240" w:lineRule="auto" w:before="105"/>
              <w:ind w:left="53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．资本公积转增资本（或股本</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．盈余公积转增资本（或股本</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77,830,780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579,996,13</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9.78</w:t>
            </w:r>
          </w:p>
        </w:tc>
        <w:tc>
          <w:tcPr>
            <w:tcW w:w="885"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16,246,263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.45</w:t>
            </w: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44,751,284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.95</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718,824,46</w:t>
            </w:r>
          </w:p>
          <w:p>
            <w:pPr>
              <w:pStyle w:val="TableParagraph"/>
              <w:spacing w:line="240" w:lineRule="auto" w:before="105"/>
              <w:ind w:left="533" w:right="0"/>
              <w:jc w:val="left"/>
              <w:rPr>
                <w:rFonts w:ascii="Times New Roman" w:hAnsi="Times New Roman" w:cs="Times New Roman" w:eastAsia="Times New Roman" w:hint="default"/>
                <w:sz w:val="18"/>
                <w:szCs w:val="18"/>
              </w:rPr>
            </w:pPr>
            <w:r>
              <w:rPr>
                <w:rFonts w:ascii="Times New Roman"/>
                <w:sz w:val="18"/>
              </w:rPr>
              <w:t>8.18</w:t>
            </w:r>
          </w:p>
        </w:tc>
      </w:tr>
    </w:tbl>
    <w:p>
      <w:pPr>
        <w:spacing w:line="240" w:lineRule="auto" w:before="6"/>
        <w:rPr>
          <w:rFonts w:ascii="宋体" w:hAnsi="宋体" w:cs="宋体" w:eastAsia="宋体" w:hint="default"/>
          <w:sz w:val="20"/>
          <w:szCs w:val="20"/>
        </w:rPr>
      </w:pPr>
    </w:p>
    <w:p>
      <w:pPr>
        <w:tabs>
          <w:tab w:pos="3532" w:val="left" w:leader="none"/>
          <w:tab w:pos="7672" w:val="left" w:leader="none"/>
        </w:tabs>
        <w:spacing w:before="44"/>
        <w:ind w:left="112" w:right="0" w:firstLine="0"/>
        <w:jc w:val="both"/>
        <w:rPr>
          <w:rFonts w:ascii="宋体" w:hAnsi="宋体" w:cs="宋体" w:eastAsia="宋体" w:hint="default"/>
          <w:sz w:val="18"/>
          <w:szCs w:val="18"/>
        </w:rPr>
      </w:pPr>
      <w:r>
        <w:rPr>
          <w:rFonts w:ascii="宋体" w:hAnsi="宋体" w:cs="宋体" w:eastAsia="宋体" w:hint="default"/>
          <w:sz w:val="18"/>
          <w:szCs w:val="18"/>
        </w:rPr>
        <w:t>法定代表人：刘冀鲁</w:t>
        <w:tab/>
        <w:t>主管会计工作负责人：黄学春</w:t>
        <w:tab/>
        <w:t>会计机构负责人：黄学春</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r>
        <w:rPr/>
        <w:t>三、公司基本情况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532" w:right="4904" w:firstLine="16"/>
        <w:jc w:val="left"/>
      </w:pPr>
      <w:r>
        <w:rPr/>
        <w:t>（一）公司概况 公司名称：马鞍山鼎泰稀土新材料股份有限公司 注册地址：</w:t>
      </w:r>
      <w:r>
        <w:rPr>
          <w:spacing w:val="-3"/>
        </w:rPr>
        <w:t> </w:t>
      </w:r>
      <w:r>
        <w:rPr/>
        <w:t>当涂工业园</w:t>
      </w:r>
    </w:p>
    <w:p>
      <w:pPr>
        <w:pStyle w:val="BodyText"/>
        <w:spacing w:line="273" w:lineRule="auto" w:before="7"/>
        <w:ind w:left="532" w:right="6748"/>
        <w:jc w:val="left"/>
      </w:pPr>
      <w:r>
        <w:rPr/>
        <w:t>办公地址： 当涂工业园 注册资本：</w:t>
      </w:r>
      <w:r>
        <w:rPr>
          <w:spacing w:val="-7"/>
        </w:rPr>
        <w:t> </w:t>
      </w:r>
      <w:r>
        <w:rPr>
          <w:rFonts w:ascii="Times New Roman" w:hAnsi="Times New Roman" w:cs="Times New Roman" w:eastAsia="Times New Roman" w:hint="default"/>
        </w:rPr>
        <w:t>77,830,780.00</w:t>
      </w:r>
      <w:r>
        <w:rPr/>
        <w:t>元</w:t>
      </w:r>
    </w:p>
    <w:p>
      <w:pPr>
        <w:pStyle w:val="BodyText"/>
        <w:spacing w:line="256" w:lineRule="auto"/>
        <w:ind w:left="532" w:right="5849"/>
        <w:jc w:val="left"/>
      </w:pPr>
      <w:r>
        <w:rPr/>
        <w:t>法人营业执照号码：</w:t>
      </w:r>
      <w:r>
        <w:rPr>
          <w:rFonts w:ascii="Times New Roman" w:hAnsi="Times New Roman" w:cs="Times New Roman" w:eastAsia="Times New Roman" w:hint="default"/>
        </w:rPr>
        <w:t>340521000002878 </w:t>
      </w:r>
      <w:r>
        <w:rPr/>
        <w:t>法定代表人：</w:t>
      </w:r>
      <w:r>
        <w:rPr>
          <w:spacing w:val="-4"/>
        </w:rPr>
        <w:t> </w:t>
      </w:r>
      <w:r>
        <w:rPr/>
        <w:t>刘冀鲁</w:t>
      </w:r>
    </w:p>
    <w:p>
      <w:pPr>
        <w:spacing w:line="240" w:lineRule="auto" w:before="7"/>
        <w:rPr>
          <w:rFonts w:ascii="宋体" w:hAnsi="宋体" w:cs="宋体" w:eastAsia="宋体" w:hint="default"/>
          <w:sz w:val="25"/>
          <w:szCs w:val="25"/>
        </w:rPr>
      </w:pPr>
    </w:p>
    <w:p>
      <w:pPr>
        <w:pStyle w:val="BodyText"/>
        <w:spacing w:line="273" w:lineRule="auto"/>
        <w:ind w:left="549" w:right="104"/>
        <w:jc w:val="left"/>
      </w:pPr>
      <w:r>
        <w:rPr/>
        <w:t>（二）公司历史沿革 马鞍山鼎泰稀土新材料股份有限公司（以下简称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）由马鞍山市鼎泰科技有限责任公</w:t>
      </w:r>
    </w:p>
    <w:p>
      <w:pPr>
        <w:pStyle w:val="BodyText"/>
        <w:spacing w:line="256" w:lineRule="auto"/>
        <w:ind w:right="108"/>
        <w:jc w:val="both"/>
      </w:pPr>
      <w:r>
        <w:rPr/>
        <w:t>司（以下简称</w:t>
      </w:r>
      <w:r>
        <w:rPr>
          <w:rFonts w:ascii="Times New Roman" w:hAnsi="Times New Roman" w:cs="Times New Roman" w:eastAsia="Times New Roman" w:hint="default"/>
        </w:rPr>
        <w:t>“</w:t>
      </w:r>
      <w:r>
        <w:rPr/>
        <w:t>鼎泰科技公司</w:t>
      </w:r>
      <w:r>
        <w:rPr>
          <w:rFonts w:ascii="Times New Roman" w:hAnsi="Times New Roman" w:cs="Times New Roman" w:eastAsia="Times New Roman" w:hint="default"/>
        </w:rPr>
        <w:t>”</w:t>
      </w:r>
      <w:r>
        <w:rPr/>
        <w:t>）整体变更设立。</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日鼎泰科技公司股东会决议和</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22 </w:t>
      </w:r>
      <w:r>
        <w:rPr/>
        <w:t>日股份公司创立大会决议，同意以公司原有股东为发起人，以截止</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日经审计的净资产人民币</w:t>
      </w:r>
      <w:r>
        <w:rPr>
          <w:spacing w:val="-39"/>
        </w:rPr>
        <w:t> </w:t>
      </w:r>
      <w:r>
        <w:rPr>
          <w:spacing w:val="-39"/>
        </w:rPr>
      </w:r>
      <w:r>
        <w:rPr>
          <w:rFonts w:ascii="Times New Roman" w:hAnsi="Times New Roman" w:cs="Times New Roman" w:eastAsia="Times New Roman" w:hint="default"/>
        </w:rPr>
        <w:t>50,187,996.92</w:t>
      </w:r>
      <w:r>
        <w:rPr/>
        <w:t>元按</w:t>
      </w:r>
      <w:r>
        <w:rPr>
          <w:rFonts w:ascii="Times New Roman" w:hAnsi="Times New Roman" w:cs="Times New Roman" w:eastAsia="Times New Roman" w:hint="default"/>
        </w:rPr>
        <w:t>1</w:t>
      </w:r>
      <w:r>
        <w:rPr/>
        <w:t>：</w:t>
      </w:r>
      <w:r>
        <w:rPr>
          <w:rFonts w:ascii="Times New Roman" w:hAnsi="Times New Roman" w:cs="Times New Roman" w:eastAsia="Times New Roman" w:hint="default"/>
        </w:rPr>
        <w:t>0.9963</w:t>
      </w:r>
      <w:r>
        <w:rPr/>
        <w:t>折成公司股份，公司整体变更为股份公司，变更后的公司股本为人民币</w:t>
      </w:r>
      <w:r>
        <w:rPr>
          <w:rFonts w:ascii="Times New Roman" w:hAnsi="Times New Roman" w:cs="Times New Roman" w:eastAsia="Times New Roman" w:hint="default"/>
        </w:rPr>
        <w:t>5,000</w:t>
      </w:r>
      <w:r>
        <w:rPr>
          <w:rFonts w:ascii="Times New Roman" w:hAnsi="Times New Roman" w:cs="Times New Roman" w:eastAsia="Times New Roman" w:hint="default"/>
          <w:spacing w:val="6"/>
        </w:rPr>
        <w:t> </w:t>
      </w:r>
      <w:r>
        <w:rPr/>
        <w:t>万元，未折成股份的人民币</w:t>
      </w:r>
      <w:r>
        <w:rPr>
          <w:rFonts w:ascii="Times New Roman" w:hAnsi="Times New Roman" w:cs="Times New Roman" w:eastAsia="Times New Roman" w:hint="default"/>
        </w:rPr>
        <w:t>187,996.92</w:t>
      </w:r>
      <w:r>
        <w:rPr/>
        <w:t>元列为资本公积金。</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日，安徽省马鞍山市工商行政管</w:t>
      </w:r>
    </w:p>
    <w:p>
      <w:pPr>
        <w:spacing w:after="0" w:line="256" w:lineRule="auto"/>
        <w:jc w:val="both"/>
        <w:sectPr>
          <w:pgSz w:w="11910" w:h="16840"/>
          <w:pgMar w:header="746" w:footer="978" w:top="1060" w:bottom="1160" w:left="1020" w:right="102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理局核准了股份公司设立登记，工商注册号：</w:t>
      </w:r>
      <w:r>
        <w:rPr>
          <w:rFonts w:ascii="Times New Roman" w:hAnsi="Times New Roman" w:cs="Times New Roman" w:eastAsia="Times New Roman" w:hint="default"/>
        </w:rPr>
        <w:t>340521000002878</w:t>
      </w:r>
      <w:r>
        <w:rPr/>
        <w:t>。</w:t>
      </w:r>
    </w:p>
    <w:p>
      <w:pPr>
        <w:pStyle w:val="BodyText"/>
        <w:spacing w:line="256" w:lineRule="auto" w:before="21"/>
        <w:ind w:right="0" w:firstLine="420"/>
        <w:jc w:val="left"/>
      </w:pP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24</w:t>
      </w:r>
      <w:r>
        <w:rPr>
          <w:spacing w:val="-3"/>
        </w:rPr>
        <w:t>日，本公司</w:t>
      </w:r>
      <w:r>
        <w:rPr>
          <w:rFonts w:ascii="Times New Roman" w:hAnsi="Times New Roman" w:cs="Times New Roman" w:eastAsia="Times New Roman" w:hint="default"/>
          <w:spacing w:val="-3"/>
        </w:rPr>
        <w:t>2007</w:t>
      </w:r>
      <w:r>
        <w:rPr>
          <w:spacing w:val="-3"/>
        </w:rPr>
        <w:t>年第一次临时股东大会决议，同意原股东和新增股东共</w:t>
      </w:r>
      <w:r>
        <w:rPr>
          <w:rFonts w:ascii="Times New Roman" w:hAnsi="Times New Roman" w:cs="Times New Roman" w:eastAsia="Times New Roman" w:hint="default"/>
          <w:spacing w:val="-3"/>
        </w:rPr>
        <w:t>12</w:t>
      </w:r>
      <w:r>
        <w:rPr>
          <w:spacing w:val="-3"/>
        </w:rPr>
        <w:t>人以现金增资，</w:t>
      </w:r>
      <w:r>
        <w:rPr/>
        <w:t> 增资后的股本为人民币</w:t>
      </w:r>
      <w:r>
        <w:rPr>
          <w:rFonts w:ascii="Times New Roman" w:hAnsi="Times New Roman" w:cs="Times New Roman" w:eastAsia="Times New Roman" w:hint="default"/>
        </w:rPr>
        <w:t>58,330,780.00</w:t>
      </w:r>
      <w:r>
        <w:rPr/>
        <w:t>元。</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日，安徽省马鞍山市工商行政管理局核准了上述增</w:t>
      </w:r>
      <w:r>
        <w:rPr>
          <w:spacing w:val="-91"/>
        </w:rPr>
        <w:t> </w:t>
      </w:r>
      <w:r>
        <w:rPr>
          <w:spacing w:val="-91"/>
        </w:rPr>
      </w:r>
      <w:r>
        <w:rPr/>
        <w:t>资工商变更登记。</w:t>
      </w:r>
    </w:p>
    <w:p>
      <w:pPr>
        <w:pStyle w:val="BodyText"/>
        <w:spacing w:line="261" w:lineRule="auto" w:before="22"/>
        <w:ind w:right="0" w:firstLine="420"/>
        <w:jc w:val="left"/>
      </w:pPr>
      <w:r>
        <w:rPr>
          <w:spacing w:val="3"/>
        </w:rPr>
        <w:t>经中国证券监督管理委员会《关于核准马鞍山鼎泰稀土新材料股份有限公司首次公开发行股票的批</w:t>
      </w:r>
      <w:r>
        <w:rPr/>
        <w:t> 复》（证监许可</w:t>
      </w:r>
      <w:r>
        <w:rPr>
          <w:rFonts w:ascii="Times New Roman" w:hAnsi="Times New Roman" w:cs="Times New Roman" w:eastAsia="Times New Roman" w:hint="default"/>
        </w:rPr>
        <w:t>[2010]41</w:t>
      </w:r>
      <w:r>
        <w:rPr/>
        <w:t>号</w:t>
      </w:r>
      <w:r>
        <w:rPr>
          <w:rFonts w:ascii="Times New Roman" w:hAnsi="Times New Roman" w:cs="Times New Roman" w:eastAsia="Times New Roman" w:hint="default"/>
        </w:rPr>
        <w:t>)</w:t>
      </w:r>
      <w:r>
        <w:rPr/>
        <w:t>核准，由主承销国元证券股份有限公司采用网下询价配售与网上资金申购定价 </w:t>
      </w:r>
      <w:r>
        <w:rPr>
          <w:spacing w:val="2"/>
        </w:rPr>
        <w:t>发行相结合的方式发行人民币普通股（</w:t>
      </w:r>
      <w:r>
        <w:rPr>
          <w:rFonts w:ascii="Times New Roman" w:hAnsi="Times New Roman" w:cs="Times New Roman" w:eastAsia="Times New Roman" w:hint="default"/>
          <w:spacing w:val="2"/>
        </w:rPr>
        <w:t>A </w:t>
      </w:r>
      <w:r>
        <w:rPr/>
        <w:t>股）</w:t>
      </w:r>
      <w:r>
        <w:rPr>
          <w:rFonts w:ascii="Times New Roman" w:hAnsi="Times New Roman" w:cs="Times New Roman" w:eastAsia="Times New Roman" w:hint="default"/>
        </w:rPr>
        <w:t>19,500,000</w:t>
      </w:r>
      <w:r>
        <w:rPr/>
        <w:t>股，发行价格为每股人民币</w:t>
      </w:r>
      <w:r>
        <w:rPr>
          <w:rFonts w:ascii="Times New Roman" w:hAnsi="Times New Roman" w:cs="Times New Roman" w:eastAsia="Times New Roman" w:hint="default"/>
        </w:rPr>
        <w:t>32</w:t>
      </w:r>
      <w:r>
        <w:rPr/>
        <w:t>元。截至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rFonts w:ascii="Times New Roman" w:hAnsi="Times New Roman" w:cs="Times New Roman" w:eastAsia="Times New Roman" w:hint="default"/>
          <w:spacing w:val="-33"/>
        </w:rPr>
        <w:t> </w:t>
      </w:r>
      <w:r>
        <w:rPr>
          <w:spacing w:val="-3"/>
        </w:rPr>
        <w:t>月</w:t>
      </w:r>
      <w:r>
        <w:rPr>
          <w:rFonts w:ascii="Times New Roman" w:hAnsi="Times New Roman" w:cs="Times New Roman" w:eastAsia="Times New Roman" w:hint="default"/>
          <w:spacing w:val="-3"/>
        </w:rPr>
        <w:t>28</w:t>
      </w:r>
      <w:r>
        <w:rPr>
          <w:spacing w:val="-3"/>
        </w:rPr>
        <w:t>日，公司实际已向社会公开发行人民币普通股（</w:t>
      </w:r>
      <w:r>
        <w:rPr>
          <w:rFonts w:ascii="Times New Roman" w:hAnsi="Times New Roman" w:cs="Times New Roman" w:eastAsia="Times New Roman" w:hint="default"/>
          <w:spacing w:val="-3"/>
        </w:rPr>
        <w:t>A</w:t>
      </w:r>
      <w:r>
        <w:rPr>
          <w:spacing w:val="-3"/>
        </w:rPr>
        <w:t>股）</w:t>
      </w:r>
      <w:r>
        <w:rPr>
          <w:rFonts w:ascii="Times New Roman" w:hAnsi="Times New Roman" w:cs="Times New Roman" w:eastAsia="Times New Roman" w:hint="default"/>
          <w:spacing w:val="-3"/>
        </w:rPr>
        <w:t>19,500,000</w:t>
      </w:r>
      <w:r>
        <w:rPr>
          <w:spacing w:val="-3"/>
        </w:rPr>
        <w:t>股，发行后总股本为</w:t>
      </w:r>
      <w:r>
        <w:rPr>
          <w:rFonts w:ascii="Times New Roman" w:hAnsi="Times New Roman" w:cs="Times New Roman" w:eastAsia="Times New Roman" w:hint="default"/>
          <w:spacing w:val="-3"/>
        </w:rPr>
        <w:t>77,830,780.00</w:t>
      </w:r>
      <w:r>
        <w:rPr>
          <w:spacing w:val="-3"/>
        </w:rPr>
        <w:t>元。</w:t>
      </w:r>
      <w:r>
        <w:rPr>
          <w:spacing w:val="-61"/>
        </w:rPr>
        <w:t> </w:t>
      </w:r>
      <w:r>
        <w:rPr>
          <w:spacing w:val="-61"/>
        </w:rPr>
      </w:r>
      <w:r>
        <w:rPr/>
        <w:t>上述资金到位情况业经深圳市鹏城会计师事务所有限公司验证，并由其出具深鹏所验字</w:t>
      </w:r>
      <w:r>
        <w:rPr>
          <w:rFonts w:ascii="Times New Roman" w:hAnsi="Times New Roman" w:cs="Times New Roman" w:eastAsia="Times New Roman" w:hint="default"/>
        </w:rPr>
        <w:t>[2010]040</w:t>
      </w:r>
      <w:r>
        <w:rPr/>
        <w:t>号《验资 报告》。</w:t>
      </w:r>
    </w:p>
    <w:p>
      <w:pPr>
        <w:pStyle w:val="BodyText"/>
        <w:spacing w:line="264" w:lineRule="auto" w:before="18"/>
        <w:ind w:right="209" w:firstLine="436"/>
        <w:jc w:val="both"/>
      </w:pPr>
      <w:r>
        <w:rPr>
          <w:spacing w:val="-2"/>
        </w:rPr>
        <w:t>经深圳证券交易所《关于马鞍山鼎泰稀土新材料股份有限公司人民币普通股股票上市的通知》（深证</w:t>
      </w:r>
      <w:r>
        <w:rPr/>
        <w:t> 上</w:t>
      </w:r>
      <w:r>
        <w:rPr>
          <w:rFonts w:ascii="Times New Roman" w:hAnsi="Times New Roman" w:cs="Times New Roman" w:eastAsia="Times New Roman" w:hint="default"/>
        </w:rPr>
        <w:t>[2010]44</w:t>
      </w:r>
      <w:r>
        <w:rPr/>
        <w:t>号文）同意，本公司发行的人民币普通股股票在深圳证券交易所上市，股票简称</w:t>
      </w:r>
      <w:r>
        <w:rPr>
          <w:rFonts w:ascii="Times New Roman" w:hAnsi="Times New Roman" w:cs="Times New Roman" w:eastAsia="Times New Roman" w:hint="default"/>
        </w:rPr>
        <w:t>“</w:t>
      </w:r>
      <w:r>
        <w:rPr/>
        <w:t>鼎泰新材</w:t>
      </w:r>
      <w:r>
        <w:rPr>
          <w:rFonts w:ascii="Times New Roman" w:hAnsi="Times New Roman" w:cs="Times New Roman" w:eastAsia="Times New Roman" w:hint="default"/>
        </w:rPr>
        <w:t>”</w:t>
      </w:r>
      <w:r>
        <w:rPr/>
        <w:t>，</w:t>
      </w:r>
      <w:r>
        <w:rPr>
          <w:spacing w:val="-47"/>
        </w:rPr>
        <w:t> </w:t>
      </w:r>
      <w:r>
        <w:rPr/>
        <w:t>股票代码</w:t>
      </w:r>
      <w:r>
        <w:rPr>
          <w:rFonts w:ascii="Times New Roman" w:hAnsi="Times New Roman" w:cs="Times New Roman" w:eastAsia="Times New Roman" w:hint="default"/>
        </w:rPr>
        <w:t>“002352”</w:t>
      </w:r>
      <w:r>
        <w:rPr/>
        <w:t>。</w:t>
      </w:r>
    </w:p>
    <w:p>
      <w:pPr>
        <w:pStyle w:val="BodyText"/>
        <w:spacing w:line="289" w:lineRule="exact"/>
        <w:ind w:left="429" w:right="0"/>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5</w:t>
      </w:r>
      <w:r>
        <w:rPr/>
        <w:t>日，安徽省马鞍山市工商行政管理局核准了上述增资工商变更登记。</w:t>
      </w:r>
    </w:p>
    <w:p>
      <w:pPr>
        <w:pStyle w:val="BodyText"/>
        <w:spacing w:line="273" w:lineRule="auto" w:before="21"/>
        <w:ind w:left="532" w:right="0"/>
        <w:jc w:val="left"/>
      </w:pPr>
      <w:r>
        <w:rPr/>
        <w:t>（三）公司行业性质、经营范围 </w:t>
      </w:r>
      <w:r>
        <w:rPr>
          <w:spacing w:val="-4"/>
        </w:rPr>
        <w:t>许可经营项目：无。一般经营项目：生产、销售：稀土多元合金镀层丝绳及镀件、金属丝绳及其制品、</w:t>
      </w:r>
    </w:p>
    <w:p>
      <w:pPr>
        <w:pStyle w:val="BodyText"/>
        <w:spacing w:line="273" w:lineRule="auto" w:before="7"/>
        <w:ind w:right="0"/>
        <w:jc w:val="left"/>
      </w:pPr>
      <w:r>
        <w:rPr>
          <w:spacing w:val="-1"/>
        </w:rPr>
        <w:t>紧固件、弹簧；交通安全设施产品制造、安装；自营或代理各类商品和技术进出口业务（国家限定企业经</w:t>
      </w:r>
      <w:r>
        <w:rPr>
          <w:spacing w:val="-100"/>
        </w:rPr>
        <w:t> </w:t>
      </w:r>
      <w:r>
        <w:rPr>
          <w:spacing w:val="-100"/>
        </w:rPr>
      </w:r>
      <w:r>
        <w:rPr/>
        <w:t>营或禁止进出口的商品和技术除外）。</w:t>
      </w:r>
    </w:p>
    <w:p>
      <w:pPr>
        <w:pStyle w:val="BodyText"/>
        <w:spacing w:line="273" w:lineRule="auto" w:before="7"/>
        <w:ind w:left="535" w:right="0" w:firstLine="64"/>
        <w:jc w:val="left"/>
      </w:pPr>
      <w:r>
        <w:rPr/>
        <w:t>（四）公司主要产品或提供的劳务 </w:t>
      </w:r>
      <w:r>
        <w:rPr>
          <w:spacing w:val="-1"/>
        </w:rPr>
        <w:t>主要产品及提供的劳务：稀土锌铝合金镀层钢丝、稀土锌铝合金镀层钢绞线。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Heading2"/>
        <w:spacing w:line="240" w:lineRule="auto"/>
        <w:ind w:right="0"/>
        <w:jc w:val="left"/>
        <w:rPr>
          <w:b w:val="0"/>
          <w:bCs w:val="0"/>
        </w:rPr>
      </w:pPr>
      <w:r>
        <w:rPr/>
        <w:t>四、公司主要会计政策、会计估计和前期差错</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0"/>
        <w:jc w:val="left"/>
      </w:pPr>
      <w:r>
        <w:rPr>
          <w:spacing w:val="-1"/>
        </w:rPr>
        <w:t>本公司以持续经营为基础，根据实际发生的交易和事项，按照《企业会计准则</w:t>
      </w:r>
      <w:r>
        <w:rPr>
          <w:rFonts w:ascii="Times New Roman" w:hAnsi="Times New Roman" w:cs="Times New Roman" w:eastAsia="Times New Roman" w:hint="default"/>
          <w:spacing w:val="-1"/>
        </w:rPr>
        <w:t>――</w:t>
      </w:r>
      <w:r>
        <w:rPr>
          <w:spacing w:val="-1"/>
        </w:rPr>
        <w:t>基本准则》和其他各项</w:t>
      </w:r>
      <w:r>
        <w:rPr>
          <w:spacing w:val="-101"/>
        </w:rPr>
        <w:t> </w:t>
      </w:r>
      <w:r>
        <w:rPr>
          <w:spacing w:val="-101"/>
        </w:rPr>
      </w:r>
      <w:r>
        <w:rPr/>
        <w:t>会计准则的规定进行确认和计量，在此基础上编制财务报表。</w:t>
      </w:r>
    </w:p>
    <w:p>
      <w:pPr>
        <w:spacing w:line="240" w:lineRule="auto" w:before="8"/>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0"/>
        <w:jc w:val="left"/>
      </w:pPr>
      <w:r>
        <w:rPr>
          <w:spacing w:val="-1"/>
        </w:rPr>
        <w:t>本公司基于上述编制基础编制的财务报表符合企业会计准则的要求，真实、完整地反映了本公司</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47"/>
        </w:rPr>
        <w:t> </w:t>
      </w:r>
      <w:r>
        <w:rPr/>
        <w:t>月</w:t>
      </w:r>
      <w:r>
        <w:rPr>
          <w:rFonts w:ascii="Times New Roman" w:hAnsi="Times New Roman" w:cs="Times New Roman" w:eastAsia="Times New Roman" w:hint="default"/>
        </w:rPr>
        <w:t>31</w:t>
      </w:r>
      <w:r>
        <w:rPr/>
        <w:t>日的财务状况，以及</w:t>
      </w:r>
      <w:r>
        <w:rPr>
          <w:rFonts w:ascii="Times New Roman" w:hAnsi="Times New Roman" w:cs="Times New Roman" w:eastAsia="Times New Roman" w:hint="default"/>
        </w:rPr>
        <w:t>2012</w:t>
      </w:r>
      <w:r>
        <w:rPr/>
        <w:t>年度经营成果和现金流量等有关信息。</w:t>
      </w:r>
    </w:p>
    <w:p>
      <w:pPr>
        <w:spacing w:line="240" w:lineRule="auto" w:before="4"/>
        <w:rPr>
          <w:rFonts w:ascii="宋体" w:hAnsi="宋体" w:cs="宋体" w:eastAsia="宋体" w:hint="default"/>
          <w:sz w:val="23"/>
          <w:szCs w:val="23"/>
        </w:rPr>
      </w:pPr>
    </w:p>
    <w:p>
      <w:pPr>
        <w:pStyle w:val="BodyText"/>
        <w:spacing w:line="516" w:lineRule="auto"/>
        <w:ind w:right="3534"/>
        <w:jc w:val="left"/>
      </w:pPr>
      <w:r>
        <w:rPr>
          <w:rFonts w:ascii="Times New Roman" w:hAnsi="Times New Roman" w:cs="Times New Roman" w:eastAsia="Times New Roman" w:hint="default"/>
          <w:b/>
          <w:bCs/>
        </w:rPr>
        <w:t>3</w:t>
      </w:r>
      <w:r>
        <w:rPr>
          <w:rFonts w:ascii="宋体" w:hAnsi="宋体" w:cs="宋体" w:eastAsia="宋体" w:hint="default"/>
          <w:b/>
          <w:bCs/>
        </w:rPr>
        <w:t>、会计期间</w:t>
      </w:r>
      <w:r>
        <w:rPr>
          <w:rFonts w:ascii="宋体" w:hAnsi="宋体" w:cs="宋体" w:eastAsia="宋体" w:hint="default"/>
          <w:b/>
          <w:bCs/>
          <w:w w:val="99"/>
        </w:rPr>
        <w:t> </w:t>
      </w:r>
      <w:r>
        <w:rPr/>
        <w:t>本公司采用公历年度，即从每年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日为一个会计年度。</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30"/>
          <w:szCs w:val="30"/>
        </w:rPr>
      </w:pPr>
    </w:p>
    <w:p>
      <w:pPr>
        <w:spacing w:line="506" w:lineRule="auto" w:before="0"/>
        <w:ind w:left="112" w:right="68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本公司以人民币为记账本位币。</w:t>
      </w:r>
    </w:p>
    <w:p>
      <w:pPr>
        <w:spacing w:after="0" w:line="506" w:lineRule="auto"/>
        <w:jc w:val="left"/>
        <w:rPr>
          <w:rFonts w:ascii="宋体" w:hAnsi="宋体" w:cs="宋体" w:eastAsia="宋体" w:hint="default"/>
          <w:sz w:val="21"/>
          <w:szCs w:val="21"/>
        </w:rPr>
        <w:sectPr>
          <w:footerReference w:type="default" r:id="rId25"/>
          <w:pgSz w:w="11910" w:h="16840"/>
          <w:pgMar w:footer="978" w:header="746" w:top="1060" w:bottom="1160" w:left="1020" w:right="920"/>
          <w:pgNumType w:start="66"/>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pStyle w:val="BodyText"/>
        <w:spacing w:line="273" w:lineRule="auto"/>
        <w:ind w:right="0"/>
        <w:jc w:val="left"/>
      </w:pPr>
      <w:r>
        <w:rPr>
          <w:spacing w:val="-3"/>
        </w:rPr>
        <w:t>合并方在企业合并中取得的资产和负债，按照合并日在被合并方的账面价值计量。合并方取得的净资产账</w:t>
      </w:r>
      <w:r>
        <w:rPr>
          <w:spacing w:val="-60"/>
        </w:rPr>
        <w:t> </w:t>
      </w:r>
      <w:r>
        <w:rPr>
          <w:spacing w:val="-60"/>
        </w:rPr>
      </w:r>
      <w:r>
        <w:rPr>
          <w:spacing w:val="-5"/>
        </w:rPr>
        <w:t>面价值与支付的合并对价账面价值（或发行股份面值总额）的差额，调整资本公积；资本公积不足冲减的，</w:t>
      </w:r>
      <w:r>
        <w:rPr>
          <w:spacing w:val="-68"/>
        </w:rPr>
        <w:t> </w:t>
      </w:r>
      <w:r>
        <w:rPr>
          <w:spacing w:val="-68"/>
        </w:rPr>
      </w:r>
      <w:r>
        <w:rPr>
          <w:spacing w:val="-5"/>
        </w:rPr>
        <w:t>调整留存收益。合并方为进行企业合并发生的各项直接相关费用，包括为进行企业合并而支付的审计费用、</w:t>
      </w:r>
      <w:r>
        <w:rPr>
          <w:spacing w:val="-71"/>
        </w:rPr>
        <w:t> </w:t>
      </w:r>
      <w:r>
        <w:rPr>
          <w:spacing w:val="-71"/>
        </w:rPr>
      </w:r>
      <w:r>
        <w:rPr>
          <w:spacing w:val="-2"/>
        </w:rPr>
        <w:t>评估费用、法律服务费用等，于发生时计入当期损益。企业合并形成母子公司关系的，母公司编制合并日</w:t>
      </w:r>
      <w:r>
        <w:rPr>
          <w:spacing w:val="-101"/>
        </w:rPr>
        <w:t> </w:t>
      </w:r>
      <w:r>
        <w:rPr>
          <w:spacing w:val="-101"/>
        </w:rPr>
      </w:r>
      <w:r>
        <w:rPr>
          <w:spacing w:val="-2"/>
        </w:rPr>
        <w:t>的合并资产负债表、合并利润表和合并现金流量表。合并资产负债表中被合并方的各项资产、负债，按其</w:t>
      </w:r>
      <w:r>
        <w:rPr>
          <w:spacing w:val="-101"/>
        </w:rPr>
        <w:t> </w:t>
      </w:r>
      <w:r>
        <w:rPr>
          <w:spacing w:val="-101"/>
        </w:rPr>
      </w:r>
      <w:r>
        <w:rPr>
          <w:spacing w:val="-3"/>
        </w:rPr>
        <w:t>账面价值计量。因被合并方采用的会计政策与合并方不一致，按照本准则规定进行调整的，以调整后的账</w:t>
      </w:r>
      <w:r>
        <w:rPr>
          <w:spacing w:val="-60"/>
        </w:rPr>
        <w:t> </w:t>
      </w:r>
      <w:r>
        <w:rPr>
          <w:spacing w:val="-60"/>
        </w:rPr>
      </w:r>
      <w:r>
        <w:rPr>
          <w:spacing w:val="-3"/>
        </w:rPr>
        <w:t>面价值计量。合并利润表包括参与合并各方自合并当期期初至合并日所发生的收入、费用和利润。被合并</w:t>
      </w:r>
      <w:r>
        <w:rPr>
          <w:spacing w:val="-60"/>
        </w:rPr>
        <w:t> </w:t>
      </w:r>
      <w:r>
        <w:rPr>
          <w:spacing w:val="-60"/>
        </w:rPr>
      </w:r>
      <w:r>
        <w:rPr>
          <w:spacing w:val="-3"/>
        </w:rPr>
        <w:t>方在合并前实现的净利润，在合并利润表中单列项目反映。合并现金流量表包括参与合并各方自合并当期</w:t>
      </w:r>
      <w:r>
        <w:rPr>
          <w:spacing w:val="-60"/>
        </w:rPr>
        <w:t> </w:t>
      </w:r>
      <w:r>
        <w:rPr>
          <w:spacing w:val="-60"/>
        </w:rPr>
      </w:r>
      <w:r>
        <w:rPr/>
        <w:t>期初至合并日的现金流量。</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211"/>
        <w:jc w:val="both"/>
      </w:pPr>
      <w:r>
        <w:rPr>
          <w:spacing w:val="-1"/>
        </w:rPr>
        <w:t>购买方在购买日为取得对被购买方的控制权而付出的资产、发生或承担的负债以及发行的权益性证券的公</w:t>
      </w:r>
      <w:r>
        <w:rPr/>
        <w:t> </w:t>
      </w:r>
      <w:r>
        <w:rPr>
          <w:spacing w:val="-1"/>
        </w:rPr>
        <w:t>允价值加上各项直接相关费用为合并成本。购买方在购买日对作为企业合并对价付出的资产、发生或承担</w:t>
      </w:r>
      <w:r>
        <w:rPr>
          <w:spacing w:val="-101"/>
        </w:rPr>
        <w:t> </w:t>
      </w:r>
      <w:r>
        <w:rPr>
          <w:spacing w:val="-101"/>
        </w:rPr>
      </w:r>
      <w:r>
        <w:rPr>
          <w:spacing w:val="-1"/>
        </w:rPr>
        <w:t>的负债应当按照公允价值计量，公允价值与其账面价值的差额，计入当期损益。购买方对合并成本大于合</w:t>
      </w:r>
      <w:r>
        <w:rPr>
          <w:spacing w:val="-101"/>
        </w:rPr>
        <w:t> </w:t>
      </w:r>
      <w:r>
        <w:rPr>
          <w:spacing w:val="-101"/>
        </w:rPr>
      </w:r>
      <w:r>
        <w:rPr>
          <w:spacing w:val="-1"/>
        </w:rPr>
        <w:t>并中取得的被购买方可辨认净资产公允价值份额的差额，确认为商誉。购买方对合并成本小于合并中取得</w:t>
      </w:r>
      <w:r>
        <w:rPr>
          <w:spacing w:val="-101"/>
        </w:rPr>
        <w:t> </w:t>
      </w:r>
      <w:r>
        <w:rPr>
          <w:spacing w:val="-101"/>
        </w:rPr>
      </w:r>
      <w:r>
        <w:rPr>
          <w:spacing w:val="-1"/>
        </w:rPr>
        <w:t>的被购买方可辨认净资产公允价值份额的时，对取得的被购买方各项可辨认资产、负债及或有负债的公允</w:t>
      </w:r>
      <w:r>
        <w:rPr/>
        <w:t> </w:t>
      </w:r>
      <w:r>
        <w:rPr>
          <w:spacing w:val="-1"/>
        </w:rPr>
        <w:t>价值以及合并成本的计量进行复核；经复核后合并成本仍小于合并中取得的被购买方可辨认净资产公允价</w:t>
      </w:r>
      <w:r>
        <w:rPr/>
        <w:t> </w:t>
      </w:r>
      <w:r>
        <w:rPr>
          <w:spacing w:val="-1"/>
        </w:rPr>
        <w:t>值份额的，其差额应当计入当期损益。企业合并形成母子公司关系的，母公司编制购买日的合并资产负债</w:t>
      </w:r>
      <w:r>
        <w:rPr>
          <w:spacing w:val="-101"/>
        </w:rPr>
        <w:t> </w:t>
      </w:r>
      <w:r>
        <w:rPr>
          <w:spacing w:val="-101"/>
        </w:rPr>
      </w:r>
      <w:r>
        <w:rPr/>
        <w:t>表，因企业合并取得的被购买方各项可辨认资产、负债及或有负债以公允价值列示。</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pStyle w:val="BodyText"/>
        <w:spacing w:line="264" w:lineRule="auto"/>
        <w:ind w:right="0" w:firstLine="420"/>
        <w:jc w:val="left"/>
      </w:pPr>
      <w:r>
        <w:rPr>
          <w:rFonts w:ascii="Times New Roman" w:hAnsi="Times New Roman" w:cs="Times New Roman" w:eastAsia="Times New Roman" w:hint="default"/>
        </w:rPr>
        <w:t>A</w:t>
      </w:r>
      <w:r>
        <w:rPr/>
        <w:t>、合并财务报表以本公司和纳入合并财务报表范围的各子公司的财务报表及其他有关资料为合并依 </w:t>
      </w:r>
      <w:r>
        <w:rPr>
          <w:spacing w:val="-4"/>
        </w:rPr>
        <w:t>据，按照权益法调整对子公司的长期股权投资，将本公司和纳入合并财务报表范围的各子公司之间的投资、</w:t>
      </w:r>
      <w:r>
        <w:rPr>
          <w:spacing w:val="-64"/>
        </w:rPr>
        <w:t> </w:t>
      </w:r>
      <w:r>
        <w:rPr>
          <w:spacing w:val="-64"/>
        </w:rPr>
      </w:r>
      <w:r>
        <w:rPr/>
        <w:t>交易及往来等全部抵销，并计算少数股东损益及少数股东权益后合并编制而成。</w:t>
      </w:r>
    </w:p>
    <w:p>
      <w:pPr>
        <w:pStyle w:val="BodyText"/>
        <w:spacing w:line="256" w:lineRule="auto" w:before="16"/>
        <w:ind w:right="0" w:firstLine="420"/>
        <w:jc w:val="left"/>
      </w:pPr>
      <w:r>
        <w:rPr>
          <w:rFonts w:ascii="Times New Roman" w:hAnsi="Times New Roman" w:cs="Times New Roman" w:eastAsia="Times New Roman" w:hint="default"/>
        </w:rPr>
        <w:t>B</w:t>
      </w:r>
      <w:r>
        <w:rPr/>
        <w:t>、合并时，如纳入合并范围的子公司与本公司会计政策不一致，按本公司执行的会计政策对其进行 调整后合并。</w:t>
      </w:r>
    </w:p>
    <w:p>
      <w:pPr>
        <w:pStyle w:val="BodyText"/>
        <w:spacing w:line="256" w:lineRule="auto" w:before="22"/>
        <w:ind w:right="0" w:firstLine="420"/>
        <w:jc w:val="left"/>
      </w:pPr>
      <w:r>
        <w:rPr>
          <w:rFonts w:ascii="Times New Roman" w:hAnsi="Times New Roman" w:cs="Times New Roman" w:eastAsia="Times New Roman" w:hint="default"/>
        </w:rPr>
        <w:t>C</w:t>
      </w:r>
      <w:r>
        <w:rPr/>
        <w:t>、对于同一控制下企业合并取得的子公司，视同该企业合并于合并当期的期初已经发生，从合并当 期的期初起将其资产、负债、经营成果和现金流量纳入合并财务报表。</w:t>
      </w:r>
    </w:p>
    <w:p>
      <w:pPr>
        <w:pStyle w:val="BodyText"/>
        <w:spacing w:line="256" w:lineRule="auto" w:before="22"/>
        <w:ind w:right="0" w:firstLine="408"/>
        <w:jc w:val="left"/>
      </w:pPr>
      <w:r>
        <w:rPr>
          <w:rFonts w:ascii="Times New Roman" w:hAnsi="Times New Roman" w:cs="Times New Roman" w:eastAsia="Times New Roman" w:hint="default"/>
          <w:spacing w:val="-1"/>
        </w:rPr>
        <w:t>D</w:t>
      </w:r>
      <w:r>
        <w:rPr>
          <w:spacing w:val="-1"/>
        </w:rPr>
        <w:t>、同一控制下的企业合并事项的，被重组方合并前的净损益应计入非经常性损益，并在申报财务报</w:t>
      </w:r>
      <w:r>
        <w:rPr/>
        <w:t> 表中单独列示。</w:t>
      </w:r>
    </w:p>
    <w:p>
      <w:pPr>
        <w:pStyle w:val="BodyText"/>
        <w:spacing w:line="256" w:lineRule="auto" w:before="22"/>
        <w:ind w:right="211" w:firstLine="420"/>
        <w:jc w:val="both"/>
      </w:pPr>
      <w:r>
        <w:rPr>
          <w:rFonts w:ascii="Times New Roman" w:hAnsi="Times New Roman" w:cs="Times New Roman" w:eastAsia="Times New Roman" w:hint="default"/>
        </w:rPr>
        <w:t>E</w:t>
      </w:r>
      <w:r>
        <w:rPr/>
        <w:t>、重组属于同一公司控制权人下的非企业合并事项，但被重组方重组前一个会计年度末的资产总额 或前一个会计年度的营业收入或利润总额达到或超过重组前发行人相应项目</w:t>
      </w:r>
      <w:r>
        <w:rPr>
          <w:rFonts w:ascii="Times New Roman" w:hAnsi="Times New Roman" w:cs="Times New Roman" w:eastAsia="Times New Roman" w:hint="default"/>
        </w:rPr>
        <w:t>20%</w:t>
      </w:r>
      <w:r>
        <w:rPr/>
        <w:t>的，从合并当期的期初起 编制备考利润表。</w:t>
      </w:r>
    </w:p>
    <w:p>
      <w:pPr>
        <w:pStyle w:val="BodyText"/>
        <w:spacing w:line="256" w:lineRule="auto" w:before="22"/>
        <w:ind w:right="0" w:firstLine="840"/>
        <w:jc w:val="left"/>
      </w:pPr>
      <w:r>
        <w:rPr>
          <w:rFonts w:ascii="Times New Roman" w:hAnsi="Times New Roman" w:cs="Times New Roman" w:eastAsia="Times New Roman" w:hint="default"/>
        </w:rPr>
        <w:t>F</w:t>
      </w:r>
      <w:r>
        <w:rPr/>
        <w:t>、对于因非同一控制下企业合并取得的子公司，在编制合并报表时，以购买日可辨认净资产公 允价值为基础对个别财务报表进行调整。</w:t>
      </w:r>
    </w:p>
    <w:p>
      <w:pPr>
        <w:spacing w:after="0" w:line="256" w:lineRule="auto"/>
        <w:jc w:val="left"/>
        <w:sectPr>
          <w:pgSz w:w="11910" w:h="16840"/>
          <w:pgMar w:header="746" w:footer="978" w:top="1060" w:bottom="1160" w:left="1020" w:right="92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532" w:right="0"/>
        <w:jc w:val="left"/>
      </w:pPr>
      <w:r>
        <w:rPr/>
        <w:t>现金是指本公司的库存现金以及随时用于支付的存款。 </w:t>
      </w:r>
      <w:r>
        <w:rPr>
          <w:spacing w:val="-1"/>
        </w:rPr>
        <w:t>现金等价物为本公司持有的期限短（一般是指从购买日起三个月内到期）、流动性强、易于转换为已</w:t>
      </w:r>
    </w:p>
    <w:p>
      <w:pPr>
        <w:pStyle w:val="BodyText"/>
        <w:spacing w:line="240" w:lineRule="auto" w:before="7"/>
        <w:ind w:right="0"/>
        <w:jc w:val="left"/>
      </w:pPr>
      <w:r>
        <w:rPr/>
        <w:t>知金额现金且价值变动风险很小的投资。</w:t>
      </w: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）外币业务</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pStyle w:val="BodyText"/>
        <w:spacing w:line="273" w:lineRule="auto"/>
        <w:ind w:right="0" w:firstLine="420"/>
        <w:jc w:val="left"/>
      </w:pPr>
      <w:r>
        <w:rPr>
          <w:spacing w:val="-1"/>
        </w:rPr>
        <w:t>本公司外币交易均按交易发生日的即期近似汇率折算为记账本位币。该即期近似汇率指交易发生日当</w:t>
      </w:r>
      <w:r>
        <w:rPr/>
        <w:t> 月月初的汇率。</w:t>
      </w:r>
    </w:p>
    <w:p>
      <w:pPr>
        <w:pStyle w:val="BodyText"/>
        <w:spacing w:line="240" w:lineRule="auto" w:before="7"/>
        <w:ind w:left="532" w:right="0"/>
        <w:jc w:val="left"/>
      </w:pPr>
      <w:r>
        <w:rPr/>
        <w:t>在资产负债表日，应当按照下列规定对外币货币性项目和外币非货币性项目进行处理：</w:t>
      </w:r>
    </w:p>
    <w:p>
      <w:pPr>
        <w:pStyle w:val="BodyText"/>
        <w:spacing w:line="256" w:lineRule="auto" w:before="37"/>
        <w:ind w:right="0" w:firstLine="420"/>
        <w:jc w:val="left"/>
      </w:pPr>
      <w:r>
        <w:rPr>
          <w:rFonts w:ascii="Times New Roman" w:hAnsi="Times New Roman" w:cs="Times New Roman" w:eastAsia="Times New Roman" w:hint="default"/>
        </w:rPr>
        <w:t>a</w:t>
      </w:r>
      <w:r>
        <w:rPr/>
        <w:t>、外币货币性项目，采用资产负债表日即期汇率折算。因资产负债表日即期汇率与初始确认时或前 一资产负债表日即期汇率不同而产生的汇兑差额，计入当期损益。</w:t>
      </w:r>
    </w:p>
    <w:p>
      <w:pPr>
        <w:pStyle w:val="BodyText"/>
        <w:spacing w:line="261" w:lineRule="auto" w:before="22"/>
        <w:ind w:right="0" w:firstLine="420"/>
        <w:jc w:val="left"/>
      </w:pPr>
      <w:r>
        <w:rPr>
          <w:rFonts w:ascii="Times New Roman" w:hAnsi="Times New Roman" w:cs="Times New Roman" w:eastAsia="Times New Roman" w:hint="default"/>
        </w:rPr>
        <w:t>b</w:t>
      </w:r>
      <w:r>
        <w:rPr/>
        <w:t>、以历史成本计量的外币非货币性项目，仍采用交易发生日的即期汇率折算，不改变其记账本位币 金额。 </w:t>
      </w:r>
      <w:r>
        <w:rPr>
          <w:rFonts w:ascii="Times New Roman" w:hAnsi="Times New Roman" w:cs="Times New Roman" w:eastAsia="Times New Roman" w:hint="default"/>
        </w:rPr>
        <w:t>c</w:t>
      </w:r>
      <w:r>
        <w:rPr/>
        <w:t>、以公允价值计量的外币非货币性项目，采用公允价值确定日的即期汇率折算，折算后的记账本位币金</w:t>
      </w:r>
      <w:r>
        <w:rPr>
          <w:spacing w:val="-26"/>
        </w:rPr>
        <w:t> </w:t>
      </w:r>
      <w:r>
        <w:rPr>
          <w:spacing w:val="-26"/>
        </w:rPr>
      </w:r>
      <w:r>
        <w:rPr/>
        <w:t>额与原记账本位币金额的差额，作为公允价值变动处理，计入当期损益。</w:t>
      </w:r>
    </w:p>
    <w:p>
      <w:pPr>
        <w:spacing w:line="600" w:lineRule="atLeast" w:before="9"/>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w w:val="99"/>
          <w:sz w:val="21"/>
          <w:szCs w:val="21"/>
        </w:rPr>
        <w:t> </w:t>
      </w:r>
      <w:r>
        <w:rPr>
          <w:rFonts w:ascii="宋体" w:hAnsi="宋体" w:cs="宋体" w:eastAsia="宋体" w:hint="default"/>
          <w:spacing w:val="-1"/>
          <w:sz w:val="21"/>
          <w:szCs w:val="21"/>
        </w:rPr>
        <w:t>以外币为本位币的子公司，在编制折合人民币财务报表时，采用现行汇率法，即所有资产、负债及损</w:t>
      </w:r>
    </w:p>
    <w:p>
      <w:pPr>
        <w:pStyle w:val="BodyText"/>
        <w:spacing w:line="256" w:lineRule="auto" w:before="37"/>
        <w:ind w:right="114"/>
        <w:jc w:val="both"/>
      </w:pPr>
      <w:r>
        <w:rPr/>
        <w:t>益类项目按照合并会计报表决算日的市场汇率折算为母公司记账本位币，所有者权益类项目除</w:t>
      </w:r>
      <w:r>
        <w:rPr>
          <w:rFonts w:ascii="Times New Roman" w:hAnsi="Times New Roman" w:cs="Times New Roman" w:eastAsia="Times New Roman" w:hint="default"/>
        </w:rPr>
        <w:t>“</w:t>
      </w:r>
      <w:r>
        <w:rPr/>
        <w:t>未分配利</w:t>
      </w:r>
      <w:r>
        <w:rPr>
          <w:spacing w:val="-27"/>
        </w:rPr>
        <w:t> </w:t>
      </w:r>
      <w:r>
        <w:rPr>
          <w:spacing w:val="-27"/>
        </w:rPr>
      </w:r>
      <w:r>
        <w:rPr/>
        <w:t>润</w:t>
      </w:r>
      <w:r>
        <w:rPr>
          <w:rFonts w:ascii="Times New Roman" w:hAnsi="Times New Roman" w:cs="Times New Roman" w:eastAsia="Times New Roman" w:hint="default"/>
        </w:rPr>
        <w:t>”</w:t>
      </w:r>
      <w:r>
        <w:rPr/>
        <w:t>项目外，均按照发生时的市场汇率折算为母公司本位币。由于折算汇率不同产生的折算差额，在折合</w:t>
      </w:r>
      <w:r>
        <w:rPr>
          <w:spacing w:val="-28"/>
        </w:rPr>
        <w:t> </w:t>
      </w:r>
      <w:r>
        <w:rPr>
          <w:spacing w:val="-28"/>
        </w:rPr>
      </w:r>
      <w:r>
        <w:rPr/>
        <w:t>人民币资产负债表所有者权益类设外币报表折算差额项目反映</w:t>
      </w:r>
    </w:p>
    <w:p>
      <w:pPr>
        <w:spacing w:line="240" w:lineRule="auto" w:before="8"/>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9</w:t>
      </w:r>
      <w:r>
        <w:rPr/>
        <w:t>、金融工具</w:t>
      </w:r>
      <w:r>
        <w:rPr>
          <w:b w:val="0"/>
          <w:bCs w:val="0"/>
        </w:rPr>
      </w:r>
    </w:p>
    <w:p>
      <w:pPr>
        <w:pStyle w:val="BodyText"/>
        <w:spacing w:line="590" w:lineRule="atLeast" w:before="24"/>
        <w:ind w:left="532" w:right="0" w:hanging="420"/>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w w:val="99"/>
        </w:rPr>
        <w:t> </w:t>
      </w:r>
      <w:r>
        <w:rPr>
          <w:spacing w:val="-1"/>
        </w:rPr>
        <w:t>金融资产分为以公允价值计量且其变动计入当期损益的金融资产（包括交易性金融资产和指定为以公</w:t>
      </w:r>
    </w:p>
    <w:p>
      <w:pPr>
        <w:pStyle w:val="BodyText"/>
        <w:spacing w:line="273" w:lineRule="auto" w:before="37"/>
        <w:ind w:right="0"/>
        <w:jc w:val="left"/>
      </w:pPr>
      <w:r>
        <w:rPr>
          <w:spacing w:val="-1"/>
        </w:rPr>
        <w:t>允价值计量且其变动计入当期损益的金融资产）、持有至到期投资、贷款和应收款项、可供出售金融资产</w:t>
      </w:r>
      <w:r>
        <w:rPr>
          <w:spacing w:val="-97"/>
        </w:rPr>
        <w:t> </w:t>
      </w:r>
      <w:r>
        <w:rPr>
          <w:spacing w:val="-97"/>
        </w:rPr>
      </w:r>
      <w:r>
        <w:rPr/>
        <w:t>等四类。</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left="532" w:right="3224"/>
        <w:jc w:val="left"/>
      </w:pPr>
      <w:r>
        <w:rPr/>
        <w:t>公司成为金融工具合同的一方时，确认一项金融资产或金融负债。 金融资产或金融负债的计量：</w:t>
      </w:r>
    </w:p>
    <w:p>
      <w:pPr>
        <w:pStyle w:val="BodyText"/>
        <w:spacing w:line="264" w:lineRule="auto" w:before="7"/>
        <w:ind w:right="109" w:firstLine="420"/>
        <w:jc w:val="both"/>
      </w:pPr>
      <w:r>
        <w:rPr>
          <w:rFonts w:ascii="Times New Roman" w:hAnsi="Times New Roman" w:cs="Times New Roman" w:eastAsia="Times New Roman" w:hint="default"/>
        </w:rPr>
        <w:t>a</w:t>
      </w:r>
      <w:r>
        <w:rPr/>
        <w:t>、初始确认金融资产或金融负债按照公允价值计量。对于以公允价值计量且其变动计入当期损益的 </w:t>
      </w:r>
      <w:r>
        <w:rPr>
          <w:spacing w:val="-1"/>
        </w:rPr>
        <w:t>金融资产，相关交易费用应当直接计入当期损益；对于其他类别的金融资产，相关交易费用应当计入初始</w:t>
      </w:r>
      <w:r>
        <w:rPr>
          <w:spacing w:val="-98"/>
        </w:rPr>
        <w:t> </w:t>
      </w:r>
      <w:r>
        <w:rPr>
          <w:spacing w:val="-98"/>
        </w:rPr>
      </w:r>
      <w:r>
        <w:rPr/>
        <w:t>确认金额。</w:t>
      </w:r>
    </w:p>
    <w:p>
      <w:pPr>
        <w:pStyle w:val="BodyText"/>
        <w:spacing w:line="256" w:lineRule="auto" w:before="16"/>
        <w:ind w:right="0" w:firstLine="420"/>
        <w:jc w:val="left"/>
      </w:pPr>
      <w:r>
        <w:rPr>
          <w:rFonts w:ascii="Times New Roman" w:hAnsi="Times New Roman" w:cs="Times New Roman" w:eastAsia="Times New Roman" w:hint="default"/>
        </w:rPr>
        <w:t>b</w:t>
      </w:r>
      <w:r>
        <w:rPr/>
        <w:t>、本公司按照公允价值对金融资产或金融负债进行后续计量，且不扣除将来处置该金融资产时可能 发生的交易费用。但是，下列情况除外：</w:t>
      </w:r>
    </w:p>
    <w:p>
      <w:pPr>
        <w:spacing w:after="0" w:line="256" w:lineRule="auto"/>
        <w:jc w:val="left"/>
        <w:sectPr>
          <w:pgSz w:w="11910" w:h="16840"/>
          <w:pgMar w:header="746" w:footer="978" w:top="1060" w:bottom="1160" w:left="1020" w:right="1020"/>
        </w:sectPr>
      </w:pPr>
    </w:p>
    <w:p>
      <w:pPr>
        <w:spacing w:line="240" w:lineRule="auto" w:before="9"/>
        <w:rPr>
          <w:rFonts w:ascii="宋体" w:hAnsi="宋体" w:cs="宋体" w:eastAsia="宋体" w:hint="default"/>
          <w:sz w:val="24"/>
          <w:szCs w:val="24"/>
        </w:rPr>
      </w:pPr>
    </w:p>
    <w:p>
      <w:pPr>
        <w:pStyle w:val="BodyText"/>
        <w:spacing w:line="240" w:lineRule="auto" w:before="35"/>
        <w:ind w:left="532"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6"/>
        </w:rPr>
        <w:t> </w:t>
      </w:r>
      <w:r>
        <w:rPr/>
        <w:t>持有至到期投资以及贷款和应收款项，采用实际利率法，按摊余成本计量。</w:t>
      </w:r>
    </w:p>
    <w:p>
      <w:pPr>
        <w:pStyle w:val="BodyText"/>
        <w:spacing w:line="256" w:lineRule="auto" w:before="21"/>
        <w:ind w:right="0"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2"/>
        </w:rPr>
        <w:t> </w:t>
      </w:r>
      <w:r>
        <w:rPr>
          <w:spacing w:val="-3"/>
        </w:rPr>
        <w:t>在活跃市场中没有报价且其公允价值不能可靠计量的权益工具投资，以及与该权益工具挂钩并须通</w:t>
      </w:r>
      <w:r>
        <w:rPr/>
        <w:t> 过交付该权益工具结算的衍生金融资产，按照成本计量。</w:t>
      </w:r>
    </w:p>
    <w:p>
      <w:pPr>
        <w:spacing w:line="240" w:lineRule="auto" w:before="8"/>
        <w:rPr>
          <w:rFonts w:ascii="宋体" w:hAnsi="宋体" w:cs="宋体" w:eastAsia="宋体" w:hint="default"/>
          <w:sz w:val="25"/>
          <w:szCs w:val="25"/>
        </w:rPr>
      </w:pPr>
    </w:p>
    <w:p>
      <w:pPr>
        <w:spacing w:line="590" w:lineRule="atLeast" w:before="0"/>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）金融资产转移的确认依据和计量方法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本公司于将金融资产所有权上几乎所有的风险和报酬转移给转入方或已放弃对该金融资产的控制时，</w:t>
      </w:r>
    </w:p>
    <w:p>
      <w:pPr>
        <w:pStyle w:val="BodyText"/>
        <w:spacing w:line="240" w:lineRule="auto" w:before="37"/>
        <w:ind w:right="0"/>
        <w:jc w:val="left"/>
      </w:pPr>
      <w:r>
        <w:rPr/>
        <w:t>终止确认该金融资产。保留了</w:t>
      </w:r>
    </w:p>
    <w:p>
      <w:pPr>
        <w:spacing w:line="240" w:lineRule="auto" w:before="13"/>
        <w:rPr>
          <w:rFonts w:ascii="宋体" w:hAnsi="宋体" w:cs="宋体" w:eastAsia="宋体" w:hint="default"/>
          <w:sz w:val="23"/>
          <w:szCs w:val="23"/>
        </w:rPr>
      </w:pPr>
    </w:p>
    <w:p>
      <w:pPr>
        <w:pStyle w:val="BodyText"/>
        <w:spacing w:line="240" w:lineRule="auto" w:before="35"/>
        <w:ind w:left="532" w:right="0"/>
        <w:jc w:val="left"/>
      </w:pPr>
      <w:r>
        <w:rPr/>
        <w:t>金融资产所有权上几乎所有的风险和报酬的，继续确认所转移的金融资产，并将收到的对价确认为一</w:t>
      </w:r>
    </w:p>
    <w:p>
      <w:pPr>
        <w:pStyle w:val="BodyText"/>
        <w:spacing w:line="240" w:lineRule="auto" w:before="37"/>
        <w:ind w:right="0"/>
        <w:jc w:val="left"/>
      </w:pPr>
      <w:r>
        <w:rPr/>
        <w:t>项金</w:t>
      </w:r>
    </w:p>
    <w:p>
      <w:pPr>
        <w:spacing w:line="240" w:lineRule="auto" w:before="13"/>
        <w:rPr>
          <w:rFonts w:ascii="宋体" w:hAnsi="宋体" w:cs="宋体" w:eastAsia="宋体" w:hint="default"/>
          <w:sz w:val="23"/>
          <w:szCs w:val="23"/>
        </w:rPr>
      </w:pPr>
    </w:p>
    <w:p>
      <w:pPr>
        <w:pStyle w:val="BodyText"/>
        <w:spacing w:line="240" w:lineRule="auto" w:before="35"/>
        <w:ind w:left="532" w:right="0"/>
        <w:jc w:val="left"/>
      </w:pPr>
      <w:r>
        <w:rPr>
          <w:spacing w:val="-4"/>
        </w:rPr>
        <w:t>融负债。公司既没有转移也没有保留金融资产所有权上几乎所有的风险和报酬的，分别下列情况处理：</w:t>
      </w:r>
    </w:p>
    <w:p>
      <w:pPr>
        <w:pStyle w:val="BodyText"/>
        <w:spacing w:line="240" w:lineRule="auto" w:before="86"/>
        <w:ind w:right="0"/>
        <w:jc w:val="left"/>
        <w:rPr>
          <w:rFonts w:ascii="Times New Roman" w:hAnsi="Times New Roman" w:cs="Times New Roman" w:eastAsia="Times New Roman" w:hint="default"/>
        </w:rPr>
      </w:pPr>
      <w:r>
        <w:rPr>
          <w:rFonts w:ascii="Times New Roman"/>
        </w:rPr>
        <w:t>(1)</w:t>
      </w:r>
    </w:p>
    <w:p>
      <w:pPr>
        <w:spacing w:line="240" w:lineRule="auto" w:before="11"/>
        <w:rPr>
          <w:rFonts w:ascii="Times New Roman" w:hAnsi="Times New Roman" w:cs="Times New Roman" w:eastAsia="Times New Roman" w:hint="default"/>
          <w:sz w:val="25"/>
          <w:szCs w:val="25"/>
        </w:rPr>
      </w:pPr>
    </w:p>
    <w:p>
      <w:pPr>
        <w:pStyle w:val="BodyText"/>
        <w:spacing w:line="240" w:lineRule="auto" w:before="35"/>
        <w:ind w:left="532" w:right="0"/>
        <w:jc w:val="left"/>
      </w:pPr>
      <w:r>
        <w:rPr/>
        <w:t>放弃了对该金融资产控制的，终止确认该金融资产；</w:t>
      </w:r>
      <w:r>
        <w:rPr>
          <w:rFonts w:ascii="Times New Roman" w:hAnsi="Times New Roman" w:cs="Times New Roman" w:eastAsia="Times New Roman" w:hint="default"/>
        </w:rPr>
        <w:t>(2) </w:t>
      </w:r>
      <w:r>
        <w:rPr>
          <w:rFonts w:ascii="Times New Roman" w:hAnsi="Times New Roman" w:cs="Times New Roman" w:eastAsia="Times New Roman" w:hint="default"/>
          <w:spacing w:val="39"/>
        </w:rPr>
        <w:t> </w:t>
      </w:r>
      <w:r>
        <w:rPr/>
        <w:t>未放弃对该金融资产控制的，按照继续涉入</w:t>
      </w:r>
    </w:p>
    <w:p>
      <w:pPr>
        <w:pStyle w:val="BodyText"/>
        <w:spacing w:line="240" w:lineRule="auto" w:before="21"/>
        <w:ind w:right="0"/>
        <w:jc w:val="left"/>
      </w:pPr>
      <w:r>
        <w:rPr/>
        <w:t>所转</w:t>
      </w:r>
    </w:p>
    <w:p>
      <w:pPr>
        <w:spacing w:line="240" w:lineRule="auto" w:before="13"/>
        <w:rPr>
          <w:rFonts w:ascii="宋体" w:hAnsi="宋体" w:cs="宋体" w:eastAsia="宋体" w:hint="default"/>
          <w:sz w:val="23"/>
          <w:szCs w:val="23"/>
        </w:rPr>
      </w:pPr>
    </w:p>
    <w:p>
      <w:pPr>
        <w:pStyle w:val="BodyText"/>
        <w:spacing w:line="240" w:lineRule="auto" w:before="35"/>
        <w:ind w:left="532" w:right="0"/>
        <w:jc w:val="left"/>
      </w:pPr>
      <w:r>
        <w:rPr/>
        <w:t>移金融资产的程度确认有关金融资产，并相应确认有关负债。</w:t>
      </w:r>
    </w:p>
    <w:p>
      <w:pPr>
        <w:spacing w:line="240" w:lineRule="auto" w:before="13"/>
        <w:rPr>
          <w:rFonts w:ascii="宋体" w:hAnsi="宋体" w:cs="宋体" w:eastAsia="宋体" w:hint="default"/>
          <w:sz w:val="23"/>
          <w:szCs w:val="23"/>
        </w:rPr>
      </w:pPr>
    </w:p>
    <w:p>
      <w:pPr>
        <w:pStyle w:val="BodyText"/>
        <w:spacing w:line="240" w:lineRule="auto" w:before="35"/>
        <w:ind w:left="952" w:right="0"/>
        <w:jc w:val="left"/>
      </w:pPr>
      <w:r>
        <w:rPr/>
        <w:t>金融资产整体转移满足终止确认条件的，将下列两项金额的差额计入当期损益：</w:t>
      </w:r>
      <w:r>
        <w:rPr>
          <w:rFonts w:ascii="Times New Roman" w:hAnsi="Times New Roman" w:cs="Times New Roman" w:eastAsia="Times New Roman" w:hint="default"/>
        </w:rPr>
        <w:t>(1) </w:t>
      </w:r>
      <w:r>
        <w:rPr>
          <w:rFonts w:ascii="Times New Roman" w:hAnsi="Times New Roman" w:cs="Times New Roman" w:eastAsia="Times New Roman" w:hint="default"/>
          <w:spacing w:val="39"/>
        </w:rPr>
        <w:t> </w:t>
      </w:r>
      <w:r>
        <w:rPr/>
        <w:t>所转移金融</w:t>
      </w:r>
    </w:p>
    <w:p>
      <w:pPr>
        <w:pStyle w:val="BodyText"/>
        <w:spacing w:line="240" w:lineRule="auto" w:before="21"/>
        <w:ind w:right="0"/>
        <w:jc w:val="left"/>
      </w:pPr>
      <w:r>
        <w:rPr/>
        <w:t>资产</w:t>
      </w:r>
    </w:p>
    <w:p>
      <w:pPr>
        <w:spacing w:line="240" w:lineRule="auto" w:before="13"/>
        <w:rPr>
          <w:rFonts w:ascii="宋体" w:hAnsi="宋体" w:cs="宋体" w:eastAsia="宋体" w:hint="default"/>
          <w:sz w:val="23"/>
          <w:szCs w:val="23"/>
        </w:rPr>
      </w:pPr>
    </w:p>
    <w:p>
      <w:pPr>
        <w:pStyle w:val="BodyText"/>
        <w:spacing w:line="240" w:lineRule="auto" w:before="35"/>
        <w:ind w:left="532" w:right="0"/>
        <w:jc w:val="left"/>
      </w:pPr>
      <w:r>
        <w:rPr/>
        <w:t>的账面价值；</w:t>
      </w:r>
      <w:r>
        <w:rPr>
          <w:rFonts w:ascii="Times New Roman" w:hAnsi="Times New Roman" w:cs="Times New Roman" w:eastAsia="Times New Roman" w:hint="default"/>
        </w:rPr>
        <w:t>(2) </w:t>
      </w:r>
      <w:r>
        <w:rPr>
          <w:rFonts w:ascii="Times New Roman" w:hAnsi="Times New Roman" w:cs="Times New Roman" w:eastAsia="Times New Roman" w:hint="default"/>
          <w:spacing w:val="41"/>
        </w:rPr>
        <w:t> </w:t>
      </w:r>
      <w:r>
        <w:rPr/>
        <w:t>因转移而收到的对价，与原直接计入所有者权益的公允价值变动累计额之和。金融</w:t>
      </w:r>
    </w:p>
    <w:p>
      <w:pPr>
        <w:pStyle w:val="BodyText"/>
        <w:spacing w:line="240" w:lineRule="auto" w:before="21"/>
        <w:ind w:right="0"/>
        <w:jc w:val="left"/>
      </w:pPr>
      <w:r>
        <w:rPr/>
        <w:t>资产</w:t>
      </w:r>
    </w:p>
    <w:p>
      <w:pPr>
        <w:spacing w:line="240" w:lineRule="auto" w:before="13"/>
        <w:rPr>
          <w:rFonts w:ascii="宋体" w:hAnsi="宋体" w:cs="宋体" w:eastAsia="宋体" w:hint="default"/>
          <w:sz w:val="23"/>
          <w:szCs w:val="23"/>
        </w:rPr>
      </w:pPr>
    </w:p>
    <w:p>
      <w:pPr>
        <w:pStyle w:val="BodyText"/>
        <w:spacing w:line="240" w:lineRule="auto" w:before="35"/>
        <w:ind w:left="532" w:right="0"/>
        <w:jc w:val="left"/>
      </w:pPr>
      <w:r>
        <w:rPr/>
        <w:t>部分转移满足终止确认条件的，将所转移金融资产整体的账面价值，在终止确认部分和未终止确认部</w:t>
      </w:r>
    </w:p>
    <w:p>
      <w:pPr>
        <w:pStyle w:val="BodyText"/>
        <w:spacing w:line="240" w:lineRule="auto" w:before="37"/>
        <w:ind w:right="0"/>
        <w:jc w:val="left"/>
      </w:pPr>
      <w:r>
        <w:rPr/>
        <w:t>分之</w:t>
      </w:r>
    </w:p>
    <w:p>
      <w:pPr>
        <w:spacing w:line="240" w:lineRule="auto" w:before="13"/>
        <w:rPr>
          <w:rFonts w:ascii="宋体" w:hAnsi="宋体" w:cs="宋体" w:eastAsia="宋体" w:hint="default"/>
          <w:sz w:val="23"/>
          <w:szCs w:val="23"/>
        </w:rPr>
      </w:pPr>
    </w:p>
    <w:p>
      <w:pPr>
        <w:pStyle w:val="BodyText"/>
        <w:spacing w:line="240" w:lineRule="auto" w:before="35"/>
        <w:ind w:left="532" w:right="0"/>
        <w:jc w:val="left"/>
      </w:pPr>
      <w:r>
        <w:rPr/>
        <w:t>间，按照各自的相对公允价值进行分摊，并将下列两项金额的差额计入当期损益：</w:t>
      </w:r>
      <w:r>
        <w:rPr>
          <w:rFonts w:ascii="Times New Roman" w:hAnsi="Times New Roman" w:cs="Times New Roman" w:eastAsia="Times New Roman" w:hint="default"/>
        </w:rPr>
        <w:t>(1) </w:t>
      </w:r>
      <w:r>
        <w:rPr>
          <w:rFonts w:ascii="Times New Roman" w:hAnsi="Times New Roman" w:cs="Times New Roman" w:eastAsia="Times New Roman" w:hint="default"/>
          <w:spacing w:val="39"/>
        </w:rPr>
        <w:t> </w:t>
      </w:r>
      <w:r>
        <w:rPr/>
        <w:t>终止确认部分</w:t>
      </w:r>
    </w:p>
    <w:p>
      <w:pPr>
        <w:pStyle w:val="BodyText"/>
        <w:spacing w:line="240" w:lineRule="auto" w:before="21"/>
        <w:ind w:right="0"/>
        <w:jc w:val="left"/>
      </w:pPr>
      <w:r>
        <w:rPr/>
        <w:t>的账</w:t>
      </w:r>
    </w:p>
    <w:p>
      <w:pPr>
        <w:spacing w:line="240" w:lineRule="auto" w:before="13"/>
        <w:rPr>
          <w:rFonts w:ascii="宋体" w:hAnsi="宋体" w:cs="宋体" w:eastAsia="宋体" w:hint="default"/>
          <w:sz w:val="23"/>
          <w:szCs w:val="23"/>
        </w:rPr>
      </w:pPr>
    </w:p>
    <w:p>
      <w:pPr>
        <w:pStyle w:val="BodyText"/>
        <w:spacing w:line="240" w:lineRule="auto" w:before="35"/>
        <w:ind w:left="532" w:right="0"/>
        <w:jc w:val="left"/>
      </w:pPr>
      <w:r>
        <w:rPr/>
        <w:t>面价值；</w:t>
      </w:r>
      <w:r>
        <w:rPr>
          <w:rFonts w:ascii="Times New Roman" w:hAnsi="Times New Roman" w:cs="Times New Roman" w:eastAsia="Times New Roman" w:hint="default"/>
        </w:rPr>
        <w:t>(2) </w:t>
      </w:r>
      <w:r>
        <w:rPr>
          <w:rFonts w:ascii="Times New Roman" w:hAnsi="Times New Roman" w:cs="Times New Roman" w:eastAsia="Times New Roman" w:hint="default"/>
          <w:spacing w:val="39"/>
        </w:rPr>
        <w:t> </w:t>
      </w:r>
      <w:r>
        <w:rPr/>
        <w:t>终止确认部分的对价，与原直接计入所有者权益的公允价值变动累计额中对应终止确认</w:t>
      </w:r>
    </w:p>
    <w:p>
      <w:pPr>
        <w:pStyle w:val="BodyText"/>
        <w:spacing w:line="240" w:lineRule="auto" w:before="21"/>
        <w:ind w:right="0"/>
        <w:jc w:val="left"/>
      </w:pPr>
      <w:r>
        <w:rPr/>
        <w:t>部分</w:t>
      </w:r>
    </w:p>
    <w:p>
      <w:pPr>
        <w:spacing w:line="240" w:lineRule="auto" w:before="13"/>
        <w:rPr>
          <w:rFonts w:ascii="宋体" w:hAnsi="宋体" w:cs="宋体" w:eastAsia="宋体" w:hint="default"/>
          <w:sz w:val="23"/>
          <w:szCs w:val="23"/>
        </w:rPr>
      </w:pPr>
    </w:p>
    <w:p>
      <w:pPr>
        <w:pStyle w:val="BodyText"/>
        <w:spacing w:line="240" w:lineRule="auto" w:before="35"/>
        <w:ind w:left="532" w:right="0"/>
        <w:jc w:val="left"/>
      </w:pPr>
      <w:r>
        <w:rPr/>
        <w:t>的金额之和。</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90" w:lineRule="atLeast" w:before="141"/>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）金融负债终止确认条件</w:t>
      </w:r>
      <w:r>
        <w:rPr>
          <w:rFonts w:ascii="宋体" w:hAnsi="宋体" w:cs="宋体" w:eastAsia="宋体" w:hint="default"/>
          <w:b/>
          <w:bCs/>
          <w:w w:val="99"/>
          <w:sz w:val="21"/>
          <w:szCs w:val="21"/>
        </w:rPr>
        <w:t> </w:t>
      </w:r>
      <w:r>
        <w:rPr>
          <w:rFonts w:ascii="宋体" w:hAnsi="宋体" w:cs="宋体" w:eastAsia="宋体" w:hint="default"/>
          <w:spacing w:val="-1"/>
          <w:sz w:val="21"/>
          <w:szCs w:val="21"/>
        </w:rPr>
        <w:t>当金融负债的现时义务全部或部分已经解除时，终止确认该金融负债或义务已解除的部分。终止确认</w:t>
      </w:r>
    </w:p>
    <w:p>
      <w:pPr>
        <w:pStyle w:val="BodyText"/>
        <w:spacing w:line="240" w:lineRule="auto" w:before="37"/>
        <w:ind w:right="0"/>
        <w:jc w:val="left"/>
      </w:pPr>
      <w:r>
        <w:rPr/>
        <w:t>部分的账面价值与支付的对价之间的差额，计入当期损益。</w:t>
      </w:r>
    </w:p>
    <w:p>
      <w:pPr>
        <w:spacing w:after="0" w:line="240" w:lineRule="auto"/>
        <w:jc w:val="left"/>
        <w:sectPr>
          <w:pgSz w:w="11910" w:h="16840"/>
          <w:pgMar w:header="746" w:footer="978" w:top="1060" w:bottom="1160" w:left="1020" w:right="920"/>
        </w:sectPr>
      </w:pPr>
    </w:p>
    <w:p>
      <w:pPr>
        <w:spacing w:line="240" w:lineRule="auto" w:before="9"/>
        <w:rPr>
          <w:rFonts w:ascii="宋体" w:hAnsi="宋体" w:cs="宋体" w:eastAsia="宋体" w:hint="default"/>
          <w:sz w:val="24"/>
          <w:szCs w:val="24"/>
        </w:rPr>
      </w:pPr>
    </w:p>
    <w:p>
      <w:pPr>
        <w:pStyle w:val="Heading4"/>
        <w:spacing w:line="240" w:lineRule="auto" w:before="35"/>
        <w:ind w:left="532" w:right="0" w:hanging="420"/>
        <w:jc w:val="left"/>
        <w:rPr>
          <w:b w:val="0"/>
          <w:bCs w:val="0"/>
        </w:rPr>
      </w:pPr>
      <w:r>
        <w:rPr/>
        <w:t>（</w:t>
      </w:r>
      <w:r>
        <w:rPr>
          <w:rFonts w:ascii="Times New Roman" w:hAnsi="Times New Roman" w:cs="Times New Roman" w:eastAsia="Times New Roman" w:hint="default"/>
        </w:rPr>
        <w:t>5</w:t>
      </w:r>
      <w:r>
        <w:rPr/>
        <w:t>）金融资产和金融负债公允价值的确定方法</w:t>
      </w:r>
      <w:r>
        <w:rPr>
          <w:b w:val="0"/>
          <w:bCs w:val="0"/>
        </w:rPr>
      </w:r>
    </w:p>
    <w:p>
      <w:pPr>
        <w:spacing w:line="240" w:lineRule="auto" w:before="7"/>
        <w:rPr>
          <w:rFonts w:ascii="宋体" w:hAnsi="宋体" w:cs="宋体" w:eastAsia="宋体" w:hint="default"/>
          <w:b/>
          <w:bCs/>
          <w:sz w:val="24"/>
          <w:szCs w:val="24"/>
        </w:rPr>
      </w:pPr>
    </w:p>
    <w:p>
      <w:pPr>
        <w:pStyle w:val="BodyText"/>
        <w:spacing w:line="264" w:lineRule="auto"/>
        <w:ind w:left="532" w:right="0"/>
        <w:jc w:val="left"/>
      </w:pPr>
      <w:r>
        <w:rPr/>
        <w:t>金融资产或金融负债公允价值的确定： </w:t>
      </w:r>
      <w:r>
        <w:rPr>
          <w:rFonts w:ascii="Times New Roman" w:hAnsi="Times New Roman" w:cs="Times New Roman" w:eastAsia="Times New Roman" w:hint="default"/>
        </w:rPr>
        <w:t>a</w:t>
      </w:r>
      <w:r>
        <w:rPr/>
        <w:t>、存在活跃市场的金融资产，将活跃市场中的报价确定为公允价值； </w:t>
      </w:r>
      <w:r>
        <w:rPr>
          <w:rFonts w:ascii="Times New Roman" w:hAnsi="Times New Roman" w:cs="Times New Roman" w:eastAsia="Times New Roman" w:hint="default"/>
        </w:rPr>
        <w:t>b</w:t>
      </w:r>
      <w:r>
        <w:rPr/>
        <w:t>、金融资产不存在活跃市场的，采用估值技术确定公允价值。采用估值技术得出的结果，反映估值</w:t>
      </w:r>
    </w:p>
    <w:p>
      <w:pPr>
        <w:pStyle w:val="BodyText"/>
        <w:spacing w:line="273" w:lineRule="exact"/>
        <w:ind w:right="0"/>
        <w:jc w:val="left"/>
      </w:pPr>
      <w:r>
        <w:rPr/>
        <w:t>日在公平交易中可能采用的交易价格</w:t>
      </w:r>
    </w:p>
    <w:p>
      <w:pPr>
        <w:spacing w:line="590" w:lineRule="atLeast" w:before="40"/>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）金融资产（不含应收款项）减值测试方法、减值准备计提方法</w:t>
      </w:r>
      <w:r>
        <w:rPr>
          <w:rFonts w:ascii="宋体" w:hAnsi="宋体" w:cs="宋体" w:eastAsia="宋体" w:hint="default"/>
          <w:b/>
          <w:bCs/>
          <w:w w:val="99"/>
          <w:sz w:val="21"/>
          <w:szCs w:val="21"/>
        </w:rPr>
        <w:t> </w:t>
      </w:r>
      <w:r>
        <w:rPr>
          <w:rFonts w:ascii="宋体" w:hAnsi="宋体" w:cs="宋体" w:eastAsia="宋体" w:hint="default"/>
          <w:spacing w:val="-1"/>
          <w:sz w:val="21"/>
          <w:szCs w:val="21"/>
        </w:rPr>
        <w:t>金融资产减值：在资产负债表日对以公允价值计量且其变动计入当期损益的金融资产以外的金融资产</w:t>
      </w:r>
    </w:p>
    <w:p>
      <w:pPr>
        <w:pStyle w:val="BodyText"/>
        <w:spacing w:line="273" w:lineRule="auto" w:before="37"/>
        <w:ind w:right="0"/>
        <w:jc w:val="left"/>
      </w:pPr>
      <w:r>
        <w:rPr>
          <w:spacing w:val="-1"/>
        </w:rPr>
        <w:t>的账面价值进行检查，有客观证据表明该金融资产发生减值的，计提减值准备。金融资产发生减值的客观</w:t>
      </w:r>
      <w:r>
        <w:rPr>
          <w:spacing w:val="-101"/>
        </w:rPr>
        <w:t> </w:t>
      </w:r>
      <w:r>
        <w:rPr>
          <w:spacing w:val="-101"/>
        </w:rPr>
      </w:r>
      <w:r>
        <w:rPr/>
        <w:t>证据，包括下列各项：</w:t>
      </w:r>
    </w:p>
    <w:p>
      <w:pPr>
        <w:pStyle w:val="BodyText"/>
        <w:spacing w:line="256" w:lineRule="auto" w:before="7"/>
        <w:ind w:left="532" w:right="0"/>
        <w:jc w:val="left"/>
      </w:pPr>
      <w:r>
        <w:rPr>
          <w:rFonts w:ascii="Times New Roman" w:hAnsi="Times New Roman" w:cs="Times New Roman" w:eastAsia="Times New Roman" w:hint="default"/>
        </w:rPr>
        <w:t>a</w:t>
      </w:r>
      <w:r>
        <w:rPr/>
        <w:t>、发行方或债务人发生严重财务困难； </w:t>
      </w:r>
      <w:r>
        <w:rPr>
          <w:rFonts w:ascii="Times New Roman" w:hAnsi="Times New Roman" w:cs="Times New Roman" w:eastAsia="Times New Roman" w:hint="default"/>
        </w:rPr>
        <w:t>b</w:t>
      </w:r>
      <w:r>
        <w:rPr/>
        <w:t>、债务人违反了合同条款，如偿付利息或本金发生违约或逾期等； </w:t>
      </w:r>
      <w:r>
        <w:rPr>
          <w:rFonts w:ascii="Times New Roman" w:hAnsi="Times New Roman" w:cs="Times New Roman" w:eastAsia="Times New Roman" w:hint="default"/>
        </w:rPr>
        <w:t>c</w:t>
      </w:r>
      <w:r>
        <w:rPr/>
        <w:t>、本公司出于经济或法律等方面因素的考虑，对发生困难的债务人作出让步； </w:t>
      </w:r>
      <w:r>
        <w:rPr>
          <w:rFonts w:ascii="Times New Roman" w:hAnsi="Times New Roman" w:cs="Times New Roman" w:eastAsia="Times New Roman" w:hint="default"/>
        </w:rPr>
        <w:t>d</w:t>
      </w:r>
      <w:r>
        <w:rPr/>
        <w:t>、债务人很可能倒闭或进行其他财务重组； </w:t>
      </w:r>
      <w:r>
        <w:rPr>
          <w:rFonts w:ascii="Times New Roman" w:hAnsi="Times New Roman" w:cs="Times New Roman" w:eastAsia="Times New Roman" w:hint="default"/>
        </w:rPr>
        <w:t>e</w:t>
      </w:r>
      <w:r>
        <w:rPr/>
        <w:t>、因发行方发生重大财务困难，该金融资产无法在活跃市场继续交易； </w:t>
      </w:r>
      <w:r>
        <w:rPr>
          <w:rFonts w:ascii="Times New Roman" w:hAnsi="Times New Roman" w:cs="Times New Roman" w:eastAsia="Times New Roman" w:hint="default"/>
          <w:spacing w:val="-3"/>
        </w:rPr>
        <w:t>f</w:t>
      </w:r>
      <w:r>
        <w:rPr>
          <w:spacing w:val="-3"/>
        </w:rPr>
        <w:t>、债务人经营所处的技术、市场、经济和法律环境等发生重大不利变化，使本公司可能无法收回投资</w:t>
      </w:r>
    </w:p>
    <w:p>
      <w:pPr>
        <w:pStyle w:val="BodyText"/>
        <w:spacing w:line="240" w:lineRule="auto" w:before="5"/>
        <w:ind w:right="0"/>
        <w:jc w:val="left"/>
      </w:pPr>
      <w:r>
        <w:rPr/>
        <w:t>成本；</w:t>
      </w:r>
    </w:p>
    <w:p>
      <w:pPr>
        <w:pStyle w:val="BodyText"/>
        <w:spacing w:line="256" w:lineRule="auto" w:before="37"/>
        <w:ind w:left="532" w:right="4169"/>
        <w:jc w:val="left"/>
      </w:pPr>
      <w:r>
        <w:rPr>
          <w:rFonts w:ascii="Times New Roman" w:hAnsi="Times New Roman" w:cs="Times New Roman" w:eastAsia="Times New Roman" w:hint="default"/>
        </w:rPr>
        <w:t>g</w:t>
      </w:r>
      <w:r>
        <w:rPr/>
        <w:t>、权益工具投资的公允价值发生严重或非暂时性下跌； </w:t>
      </w:r>
      <w:r>
        <w:rPr>
          <w:rFonts w:ascii="Times New Roman" w:hAnsi="Times New Roman" w:cs="Times New Roman" w:eastAsia="Times New Roman" w:hint="default"/>
        </w:rPr>
        <w:t>h</w:t>
      </w:r>
      <w:r>
        <w:rPr/>
        <w:t>、其他表明金融资产发生减值的客观证据。 金融资产减值损失的计量：</w:t>
      </w:r>
    </w:p>
    <w:p>
      <w:pPr>
        <w:pStyle w:val="BodyText"/>
        <w:spacing w:line="256" w:lineRule="auto" w:before="22"/>
        <w:ind w:left="532" w:right="0"/>
        <w:jc w:val="left"/>
      </w:pPr>
      <w:r>
        <w:rPr>
          <w:rFonts w:ascii="Times New Roman" w:hAnsi="Times New Roman" w:cs="Times New Roman" w:eastAsia="Times New Roman" w:hint="default"/>
        </w:rPr>
        <w:t>a</w:t>
      </w:r>
      <w:r>
        <w:rPr/>
        <w:t>、以公允价值计量且其变动计入当期损益的金融资产不需要进行减值测试； </w:t>
      </w:r>
      <w:r>
        <w:rPr>
          <w:rFonts w:ascii="Times New Roman" w:hAnsi="Times New Roman" w:cs="Times New Roman" w:eastAsia="Times New Roman" w:hint="default"/>
        </w:rPr>
        <w:t>b</w:t>
      </w:r>
      <w:r>
        <w:rPr/>
        <w:t>、持有至到期投资的减值损失的计量：按预计未来现金流现值低于期末账面价值的差额计提减值准</w:t>
      </w:r>
    </w:p>
    <w:p>
      <w:pPr>
        <w:pStyle w:val="BodyText"/>
        <w:spacing w:line="240" w:lineRule="auto" w:before="5"/>
        <w:ind w:right="0"/>
        <w:jc w:val="left"/>
      </w:pPr>
      <w:r>
        <w:rPr/>
        <w:t>备；</w:t>
      </w:r>
    </w:p>
    <w:p>
      <w:pPr>
        <w:pStyle w:val="BodyText"/>
        <w:spacing w:line="240" w:lineRule="auto" w:before="37"/>
        <w:ind w:left="532" w:right="0"/>
        <w:jc w:val="left"/>
      </w:pPr>
      <w:r>
        <w:rPr>
          <w:rFonts w:ascii="Times New Roman" w:hAnsi="Times New Roman" w:cs="Times New Roman" w:eastAsia="Times New Roman" w:hint="default"/>
        </w:rPr>
        <w:t>c</w:t>
      </w:r>
      <w:r>
        <w:rPr/>
        <w:t>、应收款项坏账准备的确认标准、计提方法：单项金额重大的，单独进行减值测试，根据其未来现</w:t>
      </w:r>
    </w:p>
    <w:p>
      <w:pPr>
        <w:pStyle w:val="BodyText"/>
        <w:spacing w:line="273" w:lineRule="auto" w:before="21"/>
        <w:ind w:right="109"/>
        <w:jc w:val="both"/>
      </w:pPr>
      <w:r>
        <w:rPr>
          <w:spacing w:val="-1"/>
        </w:rPr>
        <w:t>金流量现值低于其账面价值的差额，确认减值损失，计提坏账准备；单项金额不重大，经测试未减值的应</w:t>
      </w:r>
      <w:r>
        <w:rPr>
          <w:spacing w:val="-97"/>
        </w:rPr>
        <w:t> </w:t>
      </w:r>
      <w:r>
        <w:rPr>
          <w:spacing w:val="-97"/>
        </w:rPr>
      </w:r>
      <w:r>
        <w:rPr>
          <w:spacing w:val="-1"/>
        </w:rPr>
        <w:t>收款项，采用账龄分析法，按应收款项的账龄和规定的提取比例确认减值损失，计提坏账准备；单项金额</w:t>
      </w:r>
      <w:r>
        <w:rPr>
          <w:spacing w:val="-98"/>
        </w:rPr>
        <w:t> </w:t>
      </w:r>
      <w:r>
        <w:rPr>
          <w:spacing w:val="-98"/>
        </w:rPr>
      </w:r>
      <w:r>
        <w:rPr>
          <w:spacing w:val="-1"/>
        </w:rPr>
        <w:t>不重大但按信用风险特征组合法组合后风险较大的应收款项，单独进行测试，并计提个别坏账准备。经单</w:t>
      </w:r>
      <w:r>
        <w:rPr>
          <w:spacing w:val="-98"/>
        </w:rPr>
        <w:t> </w:t>
      </w:r>
      <w:r>
        <w:rPr>
          <w:spacing w:val="-98"/>
        </w:rPr>
      </w:r>
      <w:r>
        <w:rPr/>
        <w:t>独测试未减值的应收款项，采用账龄分析法，按应收款项的账龄和规定的提取比例确认减值损失。</w:t>
      </w:r>
    </w:p>
    <w:p>
      <w:pPr>
        <w:pStyle w:val="BodyText"/>
        <w:spacing w:line="256" w:lineRule="auto" w:before="7"/>
        <w:ind w:right="0" w:firstLine="420"/>
        <w:jc w:val="left"/>
      </w:pPr>
      <w:r>
        <w:rPr>
          <w:rFonts w:ascii="Times New Roman" w:hAnsi="Times New Roman" w:cs="Times New Roman" w:eastAsia="Times New Roman" w:hint="default"/>
        </w:rPr>
        <w:t>d</w:t>
      </w:r>
      <w:r>
        <w:rPr/>
        <w:t>、可供出售的金融资产减值的判断：若该项金融资产公允价值出现持续下降，且其下降属于非暂时 性的，则可认定该项金融资产发生了减值。</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4"/>
        <w:spacing w:line="240" w:lineRule="auto"/>
        <w:ind w:right="0"/>
        <w:jc w:val="both"/>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7"/>
        <w:rPr>
          <w:rFonts w:ascii="宋体" w:hAnsi="宋体" w:cs="宋体" w:eastAsia="宋体" w:hint="default"/>
          <w:b/>
          <w:bCs/>
          <w:sz w:val="24"/>
          <w:szCs w:val="24"/>
        </w:rPr>
      </w:pPr>
    </w:p>
    <w:p>
      <w:pPr>
        <w:spacing w:before="0"/>
        <w:ind w:left="11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）单项金额重大的应收款项坏账准备</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5055"/>
        <w:gridCol w:w="4513"/>
      </w:tblGrid>
      <w:tr>
        <w:trPr>
          <w:trHeight w:val="1026" w:hRule="exact"/>
        </w:trPr>
        <w:tc>
          <w:tcPr>
            <w:tcW w:w="5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2"/>
              <w:jc w:val="both"/>
              <w:rPr>
                <w:rFonts w:ascii="宋体" w:hAnsi="宋体" w:cs="宋体" w:eastAsia="宋体" w:hint="default"/>
                <w:sz w:val="18"/>
                <w:szCs w:val="18"/>
              </w:rPr>
            </w:pPr>
            <w:r>
              <w:rPr>
                <w:rFonts w:ascii="宋体" w:hAnsi="宋体" w:cs="宋体" w:eastAsia="宋体" w:hint="default"/>
                <w:spacing w:val="-2"/>
                <w:sz w:val="18"/>
                <w:szCs w:val="18"/>
              </w:rPr>
              <w:t>本公司根据公司经营规模、业务性质及客户结算状况等确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定单项金额重大的应收账款标准为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pacing w:val="-6"/>
                <w:sz w:val="18"/>
                <w:szCs w:val="18"/>
              </w:rPr>
              <w:t>万元，其他应收款</w:t>
            </w:r>
            <w:r>
              <w:rPr>
                <w:rFonts w:ascii="宋体" w:hAnsi="宋体" w:cs="宋体" w:eastAsia="宋体" w:hint="default"/>
                <w:sz w:val="18"/>
                <w:szCs w:val="18"/>
              </w:rPr>
              <w:t> 标准为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1026" w:hRule="exact"/>
        </w:trPr>
        <w:tc>
          <w:tcPr>
            <w:tcW w:w="5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pacing w:val="-2"/>
                <w:sz w:val="18"/>
                <w:szCs w:val="18"/>
              </w:rPr>
              <w:t>有证据表明单项金额重大的应收款项发生减值的，根据预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计未来能收回的现金流量现值低于其账面价值</w:t>
            </w:r>
            <w:r>
              <w:rPr>
                <w:rFonts w:ascii="宋体" w:hAnsi="宋体" w:cs="宋体" w:eastAsia="宋体" w:hint="default"/>
                <w:spacing w:val="1"/>
                <w:sz w:val="18"/>
                <w:szCs w:val="18"/>
              </w:rPr>
              <w:t> </w:t>
            </w:r>
            <w:r>
              <w:rPr>
                <w:rFonts w:ascii="宋体" w:hAnsi="宋体" w:cs="宋体" w:eastAsia="宋体" w:hint="default"/>
                <w:sz w:val="18"/>
                <w:szCs w:val="18"/>
              </w:rPr>
              <w:t>的差额，</w:t>
            </w:r>
            <w:r>
              <w:rPr>
                <w:rFonts w:ascii="宋体" w:hAnsi="宋体" w:cs="宋体" w:eastAsia="宋体" w:hint="default"/>
                <w:sz w:val="18"/>
                <w:szCs w:val="18"/>
              </w:rPr>
              <w:t> 确认减值损失，计提坏账准备。</w:t>
            </w:r>
          </w:p>
        </w:tc>
      </w:tr>
    </w:tbl>
    <w:p>
      <w:pPr>
        <w:spacing w:after="0" w:line="316" w:lineRule="auto"/>
        <w:jc w:val="both"/>
        <w:rPr>
          <w:rFonts w:ascii="宋体" w:hAnsi="宋体" w:cs="宋体" w:eastAsia="宋体" w:hint="default"/>
          <w:sz w:val="18"/>
          <w:szCs w:val="18"/>
        </w:rPr>
        <w:sectPr>
          <w:footerReference w:type="default" r:id="rId26"/>
          <w:pgSz w:w="11910" w:h="16840"/>
          <w:pgMar w:footer="978" w:header="746" w:top="1060" w:bottom="1160" w:left="1020" w:right="1020"/>
          <w:pgNumType w:start="70"/>
        </w:sectPr>
      </w:pPr>
    </w:p>
    <w:p>
      <w:pPr>
        <w:spacing w:line="240" w:lineRule="auto" w:before="9"/>
        <w:rPr>
          <w:rFonts w:ascii="宋体" w:hAnsi="宋体" w:cs="宋体" w:eastAsia="宋体" w:hint="default"/>
          <w:b/>
          <w:bCs/>
          <w:sz w:val="24"/>
          <w:szCs w:val="24"/>
        </w:rPr>
      </w:pPr>
    </w:p>
    <w:p>
      <w:pPr>
        <w:spacing w:before="35"/>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）按组合计提坏账准备的应收款项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599"/>
        <w:gridCol w:w="2186"/>
        <w:gridCol w:w="4783"/>
      </w:tblGrid>
      <w:tr>
        <w:trPr>
          <w:trHeight w:val="714"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17" w:right="98"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714"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69"/>
              <w:jc w:val="left"/>
              <w:rPr>
                <w:rFonts w:ascii="宋体" w:hAnsi="宋体" w:cs="宋体" w:eastAsia="宋体" w:hint="default"/>
                <w:sz w:val="18"/>
                <w:szCs w:val="18"/>
              </w:rPr>
            </w:pPr>
            <w:r>
              <w:rPr>
                <w:rFonts w:ascii="宋体" w:hAnsi="宋体" w:cs="宋体" w:eastAsia="宋体" w:hint="default"/>
                <w:sz w:val="18"/>
                <w:szCs w:val="18"/>
              </w:rPr>
              <w:t>单项金额不重大的应收款项，以账龄为信用风险特征进行组 合并结合现实</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599"/>
        <w:gridCol w:w="2975"/>
        <w:gridCol w:w="3994"/>
      </w:tblGrid>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3%</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100%</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12" w:right="66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组合中，采用其他方法计提坏账准备的</w:t>
      </w:r>
    </w:p>
    <w:p>
      <w:pPr>
        <w:spacing w:before="4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354"/>
        <w:gridCol w:w="6214"/>
      </w:tblGrid>
      <w:tr>
        <w:trPr>
          <w:trHeight w:val="402" w:hRule="exact"/>
        </w:trPr>
        <w:tc>
          <w:tcPr>
            <w:tcW w:w="3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有确凿证据表明其可收回性存在疑问</w:t>
            </w:r>
            <w:r>
              <w:rPr>
                <w:rFonts w:ascii="宋体" w:hAnsi="宋体" w:cs="宋体" w:eastAsia="宋体" w:hint="default"/>
                <w:spacing w:val="-2"/>
                <w:sz w:val="18"/>
                <w:szCs w:val="18"/>
              </w:rPr>
              <w:t> </w:t>
            </w:r>
            <w:r>
              <w:rPr>
                <w:rFonts w:ascii="宋体" w:hAnsi="宋体" w:cs="宋体" w:eastAsia="宋体" w:hint="default"/>
                <w:sz w:val="18"/>
                <w:szCs w:val="18"/>
              </w:rPr>
              <w:t>。</w:t>
            </w:r>
          </w:p>
        </w:tc>
      </w:tr>
      <w:tr>
        <w:trPr>
          <w:trHeight w:val="714" w:hRule="exact"/>
        </w:trPr>
        <w:tc>
          <w:tcPr>
            <w:tcW w:w="3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8"/>
              <w:jc w:val="left"/>
              <w:rPr>
                <w:rFonts w:ascii="宋体" w:hAnsi="宋体" w:cs="宋体" w:eastAsia="宋体" w:hint="default"/>
                <w:sz w:val="18"/>
                <w:szCs w:val="18"/>
              </w:rPr>
            </w:pPr>
            <w:r>
              <w:rPr>
                <w:rFonts w:ascii="宋体" w:hAnsi="宋体" w:cs="宋体" w:eastAsia="宋体" w:hint="default"/>
                <w:sz w:val="18"/>
                <w:szCs w:val="18"/>
              </w:rPr>
              <w:t>单独进行减值测试，根据应收款项未来现金流量现值低于其账面价值的差额计 提坏账准备。</w:t>
            </w:r>
          </w:p>
        </w:tc>
      </w:tr>
    </w:tbl>
    <w:p>
      <w:pPr>
        <w:spacing w:line="240" w:lineRule="auto" w:before="3"/>
        <w:rPr>
          <w:rFonts w:ascii="宋体" w:hAnsi="宋体" w:cs="宋体" w:eastAsia="宋体" w:hint="default"/>
          <w:b/>
          <w:bCs/>
          <w:sz w:val="19"/>
          <w:szCs w:val="19"/>
        </w:rPr>
      </w:pPr>
    </w:p>
    <w:p>
      <w:pPr>
        <w:spacing w:before="35"/>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存货分为库存商品、原材料、委托加工材料、在产品、产成品、低值易耗品、包装物等七大类。</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计价方法：加权平均法</w:t>
      </w:r>
    </w:p>
    <w:p>
      <w:pPr>
        <w:pStyle w:val="BodyText"/>
        <w:spacing w:line="240" w:lineRule="auto" w:before="92"/>
        <w:ind w:right="0"/>
        <w:jc w:val="left"/>
      </w:pPr>
      <w:r>
        <w:rPr/>
        <w:t>各类存货的购入与入库按实际成本计价，发出采用加权平均法计价。</w:t>
      </w:r>
    </w:p>
    <w:p>
      <w:pPr>
        <w:spacing w:after="0" w:line="240" w:lineRule="auto"/>
        <w:jc w:val="left"/>
        <w:sectPr>
          <w:pgSz w:w="11910" w:h="16840"/>
          <w:pgMar w:header="746" w:footer="978" w:top="1060" w:bottom="1160" w:left="1020" w:right="1020"/>
        </w:sectPr>
      </w:pPr>
    </w:p>
    <w:p>
      <w:pPr>
        <w:spacing w:line="240" w:lineRule="auto" w:before="9"/>
        <w:rPr>
          <w:rFonts w:ascii="宋体" w:hAnsi="宋体" w:cs="宋体" w:eastAsia="宋体" w:hint="default"/>
          <w:sz w:val="24"/>
          <w:szCs w:val="24"/>
        </w:rPr>
      </w:pPr>
    </w:p>
    <w:p>
      <w:pPr>
        <w:pStyle w:val="Heading4"/>
        <w:spacing w:line="240" w:lineRule="auto" w:before="35"/>
        <w:ind w:right="203"/>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4"/>
        <w:rPr>
          <w:rFonts w:ascii="宋体" w:hAnsi="宋体" w:cs="宋体" w:eastAsia="宋体" w:hint="default"/>
          <w:b/>
          <w:bCs/>
          <w:sz w:val="25"/>
          <w:szCs w:val="25"/>
        </w:rPr>
      </w:pPr>
    </w:p>
    <w:p>
      <w:pPr>
        <w:pStyle w:val="BodyText"/>
        <w:spacing w:line="273" w:lineRule="auto"/>
        <w:ind w:left="124" w:right="105" w:firstLine="420"/>
        <w:jc w:val="both"/>
      </w:pPr>
      <w:r>
        <w:rPr>
          <w:spacing w:val="-2"/>
        </w:rPr>
        <w:t>存货可变现净值系根据本公司在正常经营过程中，以估计售价减去估计完工成本及销售所必须的估计费</w:t>
      </w:r>
      <w:r>
        <w:rPr/>
        <w:t> 用后的价值。</w:t>
      </w:r>
    </w:p>
    <w:p>
      <w:pPr>
        <w:pStyle w:val="BodyText"/>
        <w:spacing w:line="273" w:lineRule="auto" w:before="7"/>
        <w:ind w:left="124" w:right="105" w:firstLine="420"/>
        <w:jc w:val="both"/>
      </w:pPr>
      <w:r>
        <w:rPr>
          <w:spacing w:val="-2"/>
        </w:rPr>
        <w:t>存货跌价准备的计提方法：本公司于每年中期期末及年度终了在对存货进行全面盘点的基础上，对遭受</w:t>
      </w:r>
      <w:r>
        <w:rPr/>
        <w:t> </w:t>
      </w:r>
      <w:r>
        <w:rPr>
          <w:spacing w:val="-2"/>
        </w:rPr>
        <w:t>损失，全部或部分陈旧过时或销售价格低于成本的存货，根据存货成本与可变现净值孰低计量，按单个存货</w:t>
      </w:r>
      <w:r>
        <w:rPr>
          <w:spacing w:val="-70"/>
        </w:rPr>
        <w:t> </w:t>
      </w:r>
      <w:r>
        <w:rPr>
          <w:spacing w:val="-70"/>
        </w:rPr>
      </w:r>
      <w:r>
        <w:rPr>
          <w:spacing w:val="-2"/>
        </w:rPr>
        <w:t>项目对同类存货项目的可变现净值低于存货成本的差额计提存货跌价准备，并计入当期损益。确定可变现净</w:t>
      </w:r>
      <w:r>
        <w:rPr>
          <w:spacing w:val="-72"/>
        </w:rPr>
        <w:t> </w:t>
      </w:r>
      <w:r>
        <w:rPr>
          <w:spacing w:val="-72"/>
        </w:rPr>
      </w:r>
      <w:r>
        <w:rPr/>
        <w:t>值时，除考虑持有目的和资产负债表日该存货的价格与成本波动外，还需要考虑未来事项的影响。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58"/>
        <w:ind w:right="203"/>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7"/>
        <w:rPr>
          <w:rFonts w:ascii="宋体" w:hAnsi="宋体" w:cs="宋体" w:eastAsia="宋体" w:hint="default"/>
          <w:b/>
          <w:bCs/>
          <w:sz w:val="26"/>
          <w:szCs w:val="26"/>
        </w:rPr>
      </w:pPr>
    </w:p>
    <w:p>
      <w:pPr>
        <w:spacing w:before="0"/>
        <w:ind w:left="112" w:right="203" w:firstLine="0"/>
        <w:jc w:val="left"/>
        <w:rPr>
          <w:rFonts w:ascii="宋体" w:hAnsi="宋体" w:cs="宋体" w:eastAsia="宋体" w:hint="default"/>
          <w:sz w:val="18"/>
          <w:szCs w:val="18"/>
        </w:rPr>
      </w:pPr>
      <w:r>
        <w:rPr>
          <w:rFonts w:ascii="宋体" w:hAnsi="宋体" w:cs="宋体" w:eastAsia="宋体" w:hint="default"/>
          <w:sz w:val="18"/>
          <w:szCs w:val="18"/>
        </w:rPr>
        <w:t>盘存制度：永续盘存制</w:t>
      </w:r>
    </w:p>
    <w:p>
      <w:pPr>
        <w:spacing w:line="240" w:lineRule="auto" w:before="11"/>
        <w:rPr>
          <w:rFonts w:ascii="宋体" w:hAnsi="宋体" w:cs="宋体" w:eastAsia="宋体" w:hint="default"/>
          <w:sz w:val="26"/>
          <w:szCs w:val="26"/>
        </w:rPr>
      </w:pPr>
    </w:p>
    <w:p>
      <w:pPr>
        <w:pStyle w:val="Heading4"/>
        <w:spacing w:line="240" w:lineRule="auto"/>
        <w:ind w:right="203"/>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7"/>
        <w:rPr>
          <w:rFonts w:ascii="宋体" w:hAnsi="宋体" w:cs="宋体" w:eastAsia="宋体" w:hint="default"/>
          <w:b/>
          <w:bCs/>
          <w:sz w:val="26"/>
          <w:szCs w:val="26"/>
        </w:rPr>
      </w:pPr>
    </w:p>
    <w:p>
      <w:pPr>
        <w:spacing w:line="357" w:lineRule="auto" w:before="0"/>
        <w:ind w:left="112" w:right="8134" w:firstLine="0"/>
        <w:jc w:val="left"/>
        <w:rPr>
          <w:rFonts w:ascii="宋体" w:hAnsi="宋体" w:cs="宋体" w:eastAsia="宋体" w:hint="default"/>
          <w:sz w:val="18"/>
          <w:szCs w:val="18"/>
        </w:rPr>
      </w:pPr>
      <w:r>
        <w:rPr>
          <w:rFonts w:ascii="宋体" w:hAnsi="宋体" w:cs="宋体" w:eastAsia="宋体" w:hint="default"/>
          <w:sz w:val="18"/>
          <w:szCs w:val="18"/>
        </w:rPr>
        <w:t>低值易耗品 摊销方法：一次摊销法 包装物 摊销方法：一次摊销法</w:t>
      </w:r>
    </w:p>
    <w:p>
      <w:pPr>
        <w:spacing w:line="240" w:lineRule="auto" w:before="3"/>
        <w:rPr>
          <w:rFonts w:ascii="宋体" w:hAnsi="宋体" w:cs="宋体" w:eastAsia="宋体" w:hint="default"/>
          <w:sz w:val="20"/>
          <w:szCs w:val="20"/>
        </w:rPr>
      </w:pPr>
    </w:p>
    <w:p>
      <w:pPr>
        <w:pStyle w:val="Heading4"/>
        <w:spacing w:line="240" w:lineRule="auto"/>
        <w:ind w:right="203"/>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10"/>
        <w:rPr>
          <w:rFonts w:ascii="宋体" w:hAnsi="宋体" w:cs="宋体" w:eastAsia="宋体" w:hint="default"/>
          <w:b/>
          <w:bCs/>
          <w:sz w:val="24"/>
          <w:szCs w:val="24"/>
        </w:rPr>
      </w:pPr>
    </w:p>
    <w:p>
      <w:pPr>
        <w:spacing w:before="0"/>
        <w:ind w:left="112" w:right="20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）投资成本的确定</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09" w:lineRule="auto" w:before="0"/>
        <w:ind w:left="112" w:right="20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、企业合并形成的长期股权投资，按照下列规定确定其投资成本：</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a</w:t>
      </w:r>
      <w:r>
        <w:rPr>
          <w:rFonts w:ascii="宋体" w:hAnsi="宋体" w:cs="宋体" w:eastAsia="宋体" w:hint="default"/>
          <w:sz w:val="18"/>
          <w:szCs w:val="18"/>
        </w:rPr>
        <w:t>、同一控制下的企业合并，合并方以支付现金、转让 </w:t>
      </w:r>
      <w:r>
        <w:rPr>
          <w:rFonts w:ascii="宋体" w:hAnsi="宋体" w:cs="宋体" w:eastAsia="宋体" w:hint="default"/>
          <w:spacing w:val="-2"/>
          <w:sz w:val="18"/>
          <w:szCs w:val="18"/>
        </w:rPr>
        <w:t>非现金资产或承担债务方式作为合并对价的，在合并日按照取得被合并方所有者权益账面价值的份额作为长期股权投资的投</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资成本。长期股权投资投资成本与支付的现金、转让的非现金资产以及所承担债务账面价值之间的差额，调整资本公积；资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本公积不足冲减的，调整留存收益。合并方以发行权益性证券作为合并对价的，在合并日按照取得被合并方所有者权益账面</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价值的份额作为长期股权投资的投资成本。按④照发行股份的面值总额作为股本，长期股权投资投资成本与所发行股份面值</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总额之间的差额，调整资本公积；资本公积不足冲减的，调整留存收益。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r>
        <w:rPr>
          <w:rFonts w:ascii="宋体" w:hAnsi="宋体" w:cs="宋体" w:eastAsia="宋体" w:hint="default"/>
          <w:sz w:val="18"/>
          <w:szCs w:val="18"/>
        </w:rPr>
        <w:t>、非同一控制下的企业合并，按照下列规定确定 的合并成本作为长期股权投资的投资成本：</w:t>
      </w:r>
      <w:r>
        <w:rPr>
          <w:rFonts w:ascii="宋体" w:hAnsi="宋体" w:cs="宋体" w:eastAsia="宋体" w:hint="default"/>
          <w:spacing w:val="1"/>
          <w:sz w:val="18"/>
          <w:szCs w:val="18"/>
        </w:rPr>
        <w:t> </w:t>
      </w:r>
      <w:r>
        <w:rPr>
          <w:rFonts w:ascii="宋体" w:hAnsi="宋体" w:cs="宋体" w:eastAsia="宋体" w:hint="default"/>
          <w:sz w:val="18"/>
          <w:szCs w:val="18"/>
        </w:rPr>
        <w:t>①一次交换交易实现的企业合并，合并成本为购买方在购买日为取得对被购买</w:t>
      </w:r>
      <w:r>
        <w:rPr>
          <w:rFonts w:ascii="宋体" w:hAnsi="宋体" w:cs="宋体" w:eastAsia="宋体" w:hint="default"/>
          <w:sz w:val="18"/>
          <w:szCs w:val="18"/>
        </w:rPr>
        <w:t> 方的控制权而付出的资产、发生或承担的负债以及发行的权益性证券的公允价值。</w:t>
      </w:r>
      <w:r>
        <w:rPr>
          <w:rFonts w:ascii="宋体" w:hAnsi="宋体" w:cs="宋体" w:eastAsia="宋体" w:hint="default"/>
          <w:spacing w:val="1"/>
          <w:sz w:val="18"/>
          <w:szCs w:val="18"/>
        </w:rPr>
        <w:t> </w:t>
      </w:r>
      <w:r>
        <w:rPr>
          <w:rFonts w:ascii="宋体" w:hAnsi="宋体" w:cs="宋体" w:eastAsia="宋体" w:hint="default"/>
          <w:sz w:val="18"/>
          <w:szCs w:val="18"/>
        </w:rPr>
        <w:t>②通过多次交换交易分步实现的企业合</w:t>
      </w:r>
      <w:r>
        <w:rPr>
          <w:rFonts w:ascii="宋体" w:hAnsi="宋体" w:cs="宋体" w:eastAsia="宋体" w:hint="default"/>
          <w:sz w:val="18"/>
          <w:szCs w:val="18"/>
        </w:rPr>
        <w:t> 并，合并成本为每一单项交易成本之和。 ③购买方为进行企业合并发生的各项直接相关费用也计入企业合并成本。</w:t>
      </w:r>
      <w:r>
        <w:rPr>
          <w:rFonts w:ascii="宋体" w:hAnsi="宋体" w:cs="宋体" w:eastAsia="宋体" w:hint="default"/>
          <w:spacing w:val="-71"/>
          <w:sz w:val="18"/>
          <w:szCs w:val="18"/>
        </w:rPr>
        <w:t> </w:t>
      </w:r>
      <w:r>
        <w:rPr>
          <w:rFonts w:ascii="宋体" w:hAnsi="宋体" w:cs="宋体" w:eastAsia="宋体" w:hint="default"/>
          <w:sz w:val="18"/>
          <w:szCs w:val="18"/>
        </w:rPr>
        <w:t>④在合</w:t>
      </w:r>
      <w:r>
        <w:rPr>
          <w:rFonts w:ascii="宋体" w:hAnsi="宋体" w:cs="宋体" w:eastAsia="宋体" w:hint="default"/>
          <w:sz w:val="18"/>
          <w:szCs w:val="18"/>
        </w:rPr>
        <w:t> </w:t>
      </w:r>
      <w:r>
        <w:rPr>
          <w:rFonts w:ascii="宋体" w:hAnsi="宋体" w:cs="宋体" w:eastAsia="宋体" w:hint="default"/>
          <w:spacing w:val="-2"/>
          <w:sz w:val="18"/>
          <w:szCs w:val="18"/>
        </w:rPr>
        <w:t>并合同或协议中对可能影响合并成本的未来事项作出约定的，购买日如果估计未来事项很可能发生并且对合并成本的影响金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额能够可靠计量的，购买方将其计入合并成本。</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B</w:t>
      </w:r>
      <w:r>
        <w:rPr>
          <w:rFonts w:ascii="宋体" w:hAnsi="宋体" w:cs="宋体" w:eastAsia="宋体" w:hint="default"/>
          <w:sz w:val="18"/>
          <w:szCs w:val="18"/>
        </w:rPr>
        <w:t>、除企业合并形成的长期股权投资以外，其它方式取得的长期股权投资， 按照下列规定确定其投资成本：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a</w:t>
      </w:r>
      <w:r>
        <w:rPr>
          <w:rFonts w:ascii="宋体" w:hAnsi="宋体" w:cs="宋体" w:eastAsia="宋体" w:hint="default"/>
          <w:sz w:val="18"/>
          <w:szCs w:val="18"/>
        </w:rPr>
        <w:t>、以支付现金取得的长期股权投资，按照实际支付的购买价款作为投资成本。投资成本包 括与取得长期股权投资直接相关的费用、税金及其它必要支出。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w:t>
      </w:r>
      <w:r>
        <w:rPr>
          <w:rFonts w:ascii="宋体" w:hAnsi="宋体" w:cs="宋体" w:eastAsia="宋体" w:hint="default"/>
          <w:sz w:val="18"/>
          <w:szCs w:val="18"/>
        </w:rPr>
        <w:t>、以发行权益性证券取得的长期股权投资，按照发行权益 性证券的公允价值作为投资成本。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c</w:t>
      </w:r>
      <w:r>
        <w:rPr>
          <w:rFonts w:ascii="宋体" w:hAnsi="宋体" w:cs="宋体" w:eastAsia="宋体" w:hint="default"/>
          <w:sz w:val="18"/>
          <w:szCs w:val="18"/>
        </w:rPr>
        <w:t>、投资者投入的长期股权投资，按照投资合同或协议约定的价值作为投资成本，但合同 或协议约定价值不公允的除外。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w:t>
      </w:r>
      <w:r>
        <w:rPr>
          <w:rFonts w:ascii="宋体" w:hAnsi="宋体" w:cs="宋体" w:eastAsia="宋体" w:hint="default"/>
          <w:sz w:val="18"/>
          <w:szCs w:val="18"/>
        </w:rPr>
        <w:t>、通过非货币性资产交换取得的长期股权投资，如非货币性资产交换具有商业实质，换入 </w:t>
      </w:r>
      <w:r>
        <w:rPr>
          <w:rFonts w:ascii="宋体" w:hAnsi="宋体" w:cs="宋体" w:eastAsia="宋体" w:hint="default"/>
          <w:spacing w:val="-2"/>
          <w:sz w:val="18"/>
          <w:szCs w:val="18"/>
        </w:rPr>
        <w:t>的长期股权投资按照公允价值和应支付的相关税费作为投资成本；如非货币资产交易不具有商业实质，换入的长期股权投资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以换出资产的账面价值和应支付的相关税费作为投资成本。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e</w:t>
      </w:r>
      <w:r>
        <w:rPr>
          <w:rFonts w:ascii="宋体" w:hAnsi="宋体" w:cs="宋体" w:eastAsia="宋体" w:hint="default"/>
          <w:sz w:val="18"/>
          <w:szCs w:val="18"/>
        </w:rPr>
        <w:t>、通过债务重组取得的长期股权投资，其投资成本按照公允价 值和应付的相关税费确定。</w:t>
      </w:r>
    </w:p>
    <w:p>
      <w:pPr>
        <w:spacing w:after="0" w:line="309" w:lineRule="auto"/>
        <w:jc w:val="left"/>
        <w:rPr>
          <w:rFonts w:ascii="宋体" w:hAnsi="宋体" w:cs="宋体" w:eastAsia="宋体" w:hint="default"/>
          <w:sz w:val="18"/>
          <w:szCs w:val="18"/>
        </w:rPr>
        <w:sectPr>
          <w:pgSz w:w="11910" w:h="16840"/>
          <w:pgMar w:header="746" w:footer="978" w:top="1060" w:bottom="1160" w:left="1020" w:right="82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7"/>
        <w:rPr>
          <w:rFonts w:ascii="宋体" w:hAnsi="宋体" w:cs="宋体" w:eastAsia="宋体" w:hint="default"/>
          <w:b/>
          <w:bCs/>
          <w:sz w:val="26"/>
          <w:szCs w:val="26"/>
        </w:rPr>
      </w:pPr>
    </w:p>
    <w:p>
      <w:pPr>
        <w:spacing w:line="314" w:lineRule="auto" w:before="0"/>
        <w:ind w:left="112"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、本公司能够对被投资单位实施控制的长期股权投资或本公司对被投资单位不具有共同控制或重大影响，并且在活跃市场 中没有报价、公允价值不能可靠计量的长期股权投资采用成本法核算。采用成本法核算的长期股权投资按照投资成本计价。 </w:t>
      </w:r>
      <w:r>
        <w:rPr>
          <w:rFonts w:ascii="宋体" w:hAnsi="宋体" w:cs="宋体" w:eastAsia="宋体" w:hint="default"/>
          <w:spacing w:val="-2"/>
          <w:sz w:val="18"/>
          <w:szCs w:val="18"/>
        </w:rPr>
        <w:t>追加或收回投资时调整长期股权投资的成本。被投资单位宣告分派的现金股利或利润，除取得投资时实际支付的价款或对价</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中包含的已宣告但尚未发放的现金股利或利润外，本公司按照享有被投资单位宣告发放的现金股利或利润确认当期投资收 益。</w:t>
      </w:r>
      <w:r>
        <w:rPr>
          <w:rFonts w:ascii="Times New Roman" w:hAnsi="Times New Roman" w:cs="Times New Roman" w:eastAsia="Times New Roman" w:hint="default"/>
          <w:sz w:val="18"/>
          <w:szCs w:val="18"/>
        </w:rPr>
        <w:t>B</w:t>
      </w:r>
      <w:r>
        <w:rPr>
          <w:rFonts w:ascii="宋体" w:hAnsi="宋体" w:cs="宋体" w:eastAsia="宋体" w:hint="default"/>
          <w:sz w:val="18"/>
          <w:szCs w:val="18"/>
        </w:rPr>
        <w:t>、本公司对被投资单位具有共同控制或重大影响的长期股权投资，采用权益法核算。长期股权投资的投资成本大于投 </w:t>
      </w:r>
      <w:r>
        <w:rPr>
          <w:rFonts w:ascii="宋体" w:hAnsi="宋体" w:cs="宋体" w:eastAsia="宋体" w:hint="default"/>
          <w:spacing w:val="-2"/>
          <w:sz w:val="18"/>
          <w:szCs w:val="18"/>
        </w:rPr>
        <w:t>资时应享有被投资单位可辨认净资产公允价值份额的，不调整长期股权投资的投资成本；长期股权投资的投资成本本小于投</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资时应享有被投资单位可辨认净资产公允价值份额的，其差额应当计入当期损益，同时调整长期股权投资的成本。公司取得</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长期股权投资后，按照应享有或应分担的被投资单位实现的净损益的份额，确认投资损益并调整长期股权投资的账面价值； </w:t>
      </w:r>
      <w:r>
        <w:rPr>
          <w:rFonts w:ascii="宋体" w:hAnsi="宋体" w:cs="宋体" w:eastAsia="宋体" w:hint="default"/>
          <w:spacing w:val="-2"/>
          <w:sz w:val="18"/>
          <w:szCs w:val="18"/>
        </w:rPr>
        <w:t>按照被投资单位宣告分派的利润或现金股利计算应分得的部分，相应减少长期股权投资的账面价值。公司确认被投资单位发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生的净亏损，以长期股权投资的账面价值以及其他实质上构成对被投资单位净投资的长期权益减记至零为限，公司负有承担</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额外损失义务的除外。被投资单位以后实现净利润的，投资企业在其收益分享额弥补未确认的亏损分担额后，恢复确认收益</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分享额。在确认应享有被投资单位净损益的份额时，以取得投资时被投资单位各项可辨认资产等的公允价值为基础，对被投</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资单位的净利润进行调整后确认。被投资单位采用的会计政策及会计期间与投资企业不一致的，应当按照投资企业的会计政</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策及会计期间对被投资单位的财务报表进行调整，并据以确认投资损益。</w:t>
      </w:r>
      <w:r>
        <w:rPr>
          <w:rFonts w:ascii="Times New Roman" w:hAnsi="Times New Roman" w:cs="Times New Roman" w:eastAsia="Times New Roman" w:hint="default"/>
          <w:sz w:val="18"/>
          <w:szCs w:val="18"/>
        </w:rPr>
        <w:t>C</w:t>
      </w:r>
      <w:r>
        <w:rPr>
          <w:rFonts w:ascii="宋体" w:hAnsi="宋体" w:cs="宋体" w:eastAsia="宋体" w:hint="default"/>
          <w:sz w:val="18"/>
          <w:szCs w:val="18"/>
        </w:rPr>
        <w:t>、处置长期股权投资，其账面价值与实际取得价 款的差额，应当计入当期损益。</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4"/>
        <w:rPr>
          <w:rFonts w:ascii="宋体" w:hAnsi="宋体" w:cs="宋体" w:eastAsia="宋体" w:hint="default"/>
          <w:b/>
          <w:bCs/>
          <w:sz w:val="26"/>
          <w:szCs w:val="26"/>
        </w:rPr>
      </w:pPr>
    </w:p>
    <w:p>
      <w:pPr>
        <w:spacing w:line="316" w:lineRule="auto" w:before="0"/>
        <w:ind w:left="112" w:right="201" w:firstLine="631"/>
        <w:jc w:val="both"/>
        <w:rPr>
          <w:rFonts w:ascii="宋体" w:hAnsi="宋体" w:cs="宋体" w:eastAsia="宋体" w:hint="default"/>
          <w:sz w:val="18"/>
          <w:szCs w:val="18"/>
        </w:rPr>
      </w:pPr>
      <w:r>
        <w:rPr>
          <w:rFonts w:ascii="宋体" w:hAnsi="宋体" w:cs="宋体" w:eastAsia="宋体" w:hint="default"/>
          <w:sz w:val="18"/>
          <w:szCs w:val="18"/>
        </w:rPr>
        <w:t>共同控制，是指按照合同约定对某项经济活动所共有的控制，仅在与该项经济活动相关的重要财务和经营决策需要 分享控制权的投资方一致同意时存在。</w:t>
      </w:r>
      <w:r>
        <w:rPr>
          <w:rFonts w:ascii="宋体" w:hAnsi="宋体" w:cs="宋体" w:eastAsia="宋体" w:hint="default"/>
          <w:spacing w:val="1"/>
          <w:sz w:val="18"/>
          <w:szCs w:val="18"/>
        </w:rPr>
        <w:t> </w:t>
      </w:r>
      <w:r>
        <w:rPr>
          <w:rFonts w:ascii="宋体" w:hAnsi="宋体" w:cs="宋体" w:eastAsia="宋体" w:hint="default"/>
          <w:sz w:val="18"/>
          <w:szCs w:val="18"/>
        </w:rPr>
        <w:t>重大影响，是指对一个企业的财务和经营政策有参与决策的权力，但并不能</w:t>
      </w:r>
      <w:r>
        <w:rPr>
          <w:rFonts w:ascii="宋体" w:hAnsi="宋体" w:cs="宋体" w:eastAsia="宋体" w:hint="default"/>
          <w:sz w:val="18"/>
          <w:szCs w:val="18"/>
        </w:rPr>
        <w:t> 够控制或者与其他方一起共同控制这些政策的制定。</w:t>
      </w: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jc w:val="left"/>
      </w:pPr>
      <w:r>
        <w:rPr>
          <w:spacing w:val="-1"/>
        </w:rPr>
        <w:t>资产负债表日对长期股权投资逐项进行检查，判断长期股权投资是否存在可能发生减值的迹象。如果存在</w:t>
      </w:r>
      <w:r>
        <w:rPr/>
        <w:t> </w:t>
      </w:r>
      <w:r>
        <w:rPr>
          <w:spacing w:val="-1"/>
        </w:rPr>
        <w:t>被投资单位经营状况恶化等减值迹象的，则估计其可收回金额。可收回金额的计量结果表明，长期股权投</w:t>
      </w:r>
      <w:r>
        <w:rPr>
          <w:spacing w:val="-101"/>
        </w:rPr>
        <w:t> </w:t>
      </w:r>
      <w:r>
        <w:rPr>
          <w:spacing w:val="-101"/>
        </w:rPr>
      </w:r>
      <w:r>
        <w:rPr/>
        <w:t>资的可收回金额低于其</w:t>
      </w:r>
      <w:r>
        <w:rPr>
          <w:spacing w:val="-11"/>
        </w:rPr>
        <w:t> </w:t>
      </w:r>
      <w:r>
        <w:rPr/>
        <w:t>账面价值的，将长期股权投资的账面价值减记至可收回金额，减记的金额确认为</w:t>
      </w:r>
      <w:r>
        <w:rPr/>
        <w:t> </w:t>
      </w:r>
      <w:r>
        <w:rPr>
          <w:spacing w:val="-1"/>
        </w:rPr>
        <w:t>资产减值损失，计入当期损益，同时计提相应的长期投资减值准备。长期投资减值损失一经确认，在以后</w:t>
      </w:r>
      <w:r>
        <w:rPr>
          <w:spacing w:val="-101"/>
        </w:rPr>
        <w:t> </w:t>
      </w:r>
      <w:r>
        <w:rPr>
          <w:spacing w:val="-101"/>
        </w:rPr>
      </w:r>
      <w:r>
        <w:rPr/>
        <w:t>会计期间不再转回。</w:t>
      </w:r>
    </w:p>
    <w:p>
      <w:pPr>
        <w:spacing w:line="624" w:lineRule="exact" w:before="54"/>
        <w:ind w:left="544" w:right="1271" w:hanging="43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pacing w:val="-1"/>
          <w:sz w:val="21"/>
          <w:szCs w:val="21"/>
        </w:rPr>
        <w:t>投资性房地产，是指为赚取租金或资本增值，或两者兼有而持有的房地产。</w:t>
      </w:r>
    </w:p>
    <w:p>
      <w:pPr>
        <w:pStyle w:val="BodyText"/>
        <w:spacing w:line="233" w:lineRule="exact"/>
        <w:ind w:left="544" w:right="0"/>
        <w:jc w:val="left"/>
      </w:pPr>
      <w:r>
        <w:rPr/>
        <w:t>（</w:t>
      </w:r>
      <w:r>
        <w:rPr>
          <w:rFonts w:ascii="Times New Roman" w:hAnsi="Times New Roman" w:cs="Times New Roman" w:eastAsia="Times New Roman" w:hint="default"/>
        </w:rPr>
        <w:t>1</w:t>
      </w:r>
      <w:r>
        <w:rPr/>
        <w:t>）投资性房地产按照成本进行初始计量：</w:t>
      </w:r>
    </w:p>
    <w:p>
      <w:pPr>
        <w:pStyle w:val="BodyText"/>
        <w:spacing w:line="256" w:lineRule="auto" w:before="21"/>
        <w:ind w:left="648" w:right="0"/>
        <w:jc w:val="left"/>
      </w:pPr>
      <w:r>
        <w:rPr>
          <w:rFonts w:ascii="Times New Roman" w:hAnsi="Times New Roman" w:cs="Times New Roman" w:eastAsia="Times New Roman" w:hint="default"/>
        </w:rPr>
        <w:t>A</w:t>
      </w:r>
      <w:r>
        <w:rPr/>
        <w:t>、外购投资性房地产的成本，包括购买价款、相关税费和可直接归属于该资产的其他支出。 </w:t>
      </w:r>
      <w:r>
        <w:rPr>
          <w:rFonts w:ascii="Times New Roman" w:hAnsi="Times New Roman" w:cs="Times New Roman" w:eastAsia="Times New Roman" w:hint="default"/>
          <w:spacing w:val="-1"/>
        </w:rPr>
        <w:t>B</w:t>
      </w:r>
      <w:r>
        <w:rPr>
          <w:spacing w:val="-1"/>
        </w:rPr>
        <w:t>、自行建造投资性房地产的成本，由建造该项资产达到预定可使用状态前所发生的必要支出构成。</w:t>
      </w:r>
      <w:r>
        <w:rPr>
          <w:spacing w:val="-82"/>
        </w:rPr>
        <w:t> </w:t>
      </w:r>
      <w:r>
        <w:rPr>
          <w:spacing w:val="-82"/>
        </w:rPr>
      </w:r>
      <w:r>
        <w:rPr>
          <w:rFonts w:ascii="Times New Roman" w:hAnsi="Times New Roman" w:cs="Times New Roman" w:eastAsia="Times New Roman" w:hint="default"/>
        </w:rPr>
        <w:t>C</w:t>
      </w:r>
      <w:r>
        <w:rPr/>
        <w:t>、以其他方式取得的投资性房地产的成本，按照相关会计准则的规定确定。</w:t>
      </w:r>
    </w:p>
    <w:p>
      <w:pPr>
        <w:pStyle w:val="BodyText"/>
        <w:spacing w:line="256" w:lineRule="auto" w:before="5"/>
        <w:ind w:left="544" w:right="0"/>
        <w:jc w:val="left"/>
      </w:pPr>
      <w:r>
        <w:rPr/>
        <w:t>（</w:t>
      </w:r>
      <w:r>
        <w:rPr>
          <w:rFonts w:ascii="Times New Roman" w:hAnsi="Times New Roman" w:cs="Times New Roman" w:eastAsia="Times New Roman" w:hint="default"/>
        </w:rPr>
        <w:t>2</w:t>
      </w:r>
      <w:r>
        <w:rPr/>
        <w:t>）后续计量 </w:t>
      </w:r>
      <w:r>
        <w:rPr>
          <w:spacing w:val="-1"/>
        </w:rPr>
        <w:t>与投资性房地产有关的后续支出，如与该投资性房地产有关的经济利益很可能流入企业且该投资性房</w:t>
      </w:r>
    </w:p>
    <w:p>
      <w:pPr>
        <w:pStyle w:val="BodyText"/>
        <w:spacing w:line="273" w:lineRule="auto" w:before="22"/>
        <w:ind w:left="547" w:right="0" w:hanging="423"/>
        <w:jc w:val="left"/>
      </w:pPr>
      <w:r>
        <w:rPr>
          <w:spacing w:val="-1"/>
        </w:rPr>
        <w:t>地产的成本能够可靠地计量，则计入投资性房地产成本；否则在发生时计入当期损益。</w:t>
      </w:r>
      <w:r>
        <w:rPr>
          <w:spacing w:val="-87"/>
        </w:rPr>
        <w:t> </w:t>
      </w:r>
      <w:r>
        <w:rPr>
          <w:spacing w:val="-87"/>
        </w:rPr>
      </w:r>
      <w:r>
        <w:rPr/>
        <w:t>公司在资产负债表日采用成本模式对投资性房地产进行后续计量</w:t>
      </w:r>
    </w:p>
    <w:p>
      <w:pPr>
        <w:spacing w:after="0" w:line="273" w:lineRule="auto"/>
        <w:jc w:val="left"/>
        <w:sectPr>
          <w:pgSz w:w="11910" w:h="16840"/>
          <w:pgMar w:header="746" w:footer="978" w:top="1060" w:bottom="1160" w:left="1020" w:right="940"/>
        </w:sectPr>
      </w:pPr>
    </w:p>
    <w:p>
      <w:pPr>
        <w:spacing w:line="240" w:lineRule="auto" w:before="9"/>
        <w:rPr>
          <w:rFonts w:ascii="宋体" w:hAnsi="宋体" w:cs="宋体" w:eastAsia="宋体" w:hint="default"/>
          <w:sz w:val="24"/>
          <w:szCs w:val="24"/>
        </w:rPr>
      </w:pPr>
    </w:p>
    <w:p>
      <w:pPr>
        <w:pStyle w:val="Heading4"/>
        <w:spacing w:line="240" w:lineRule="auto" w:before="35"/>
        <w:ind w:right="0"/>
        <w:jc w:val="both"/>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10"/>
        <w:rPr>
          <w:rFonts w:ascii="宋体" w:hAnsi="宋体" w:cs="宋体" w:eastAsia="宋体" w:hint="default"/>
          <w:b/>
          <w:bCs/>
          <w:sz w:val="24"/>
          <w:szCs w:val="24"/>
        </w:rPr>
      </w:pPr>
    </w:p>
    <w:p>
      <w:pPr>
        <w:spacing w:before="0"/>
        <w:ind w:left="11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为生产商品、提供劳务、出租或经营管理而持有的、使用寿命超过一个会计年度的有形资产。</w:t>
      </w:r>
    </w:p>
    <w:p>
      <w:pPr>
        <w:spacing w:line="240" w:lineRule="auto" w:before="0"/>
        <w:rPr>
          <w:rFonts w:ascii="宋体" w:hAnsi="宋体" w:cs="宋体" w:eastAsia="宋体" w:hint="default"/>
          <w:sz w:val="18"/>
          <w:szCs w:val="18"/>
        </w:rPr>
      </w:pPr>
    </w:p>
    <w:p>
      <w:pPr>
        <w:pStyle w:val="Heading4"/>
        <w:spacing w:line="240" w:lineRule="auto" w:before="118"/>
        <w:ind w:right="0"/>
        <w:jc w:val="both"/>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7"/>
        <w:rPr>
          <w:rFonts w:ascii="宋体" w:hAnsi="宋体" w:cs="宋体" w:eastAsia="宋体" w:hint="default"/>
          <w:b/>
          <w:bCs/>
          <w:sz w:val="26"/>
          <w:szCs w:val="26"/>
        </w:rPr>
      </w:pPr>
    </w:p>
    <w:p>
      <w:pPr>
        <w:spacing w:line="316" w:lineRule="auto" w:before="0"/>
        <w:ind w:left="112" w:right="352" w:firstLine="0"/>
        <w:jc w:val="both"/>
        <w:rPr>
          <w:rFonts w:ascii="宋体" w:hAnsi="宋体" w:cs="宋体" w:eastAsia="宋体" w:hint="default"/>
          <w:sz w:val="18"/>
          <w:szCs w:val="18"/>
        </w:rPr>
      </w:pPr>
      <w:r>
        <w:rPr>
          <w:rFonts w:ascii="宋体" w:hAnsi="宋体" w:cs="宋体" w:eastAsia="宋体" w:hint="default"/>
          <w:spacing w:val="-2"/>
          <w:sz w:val="18"/>
          <w:szCs w:val="18"/>
        </w:rPr>
        <w:t>如果与某项租入固定资产有关的全部风险和报酬实质上已经转移，本公司认定为融资租赁。融资租入固定资产需按租赁开始</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日租赁资产的公允价值与最低租赁付款额现值两者中的较低者，加上可直接归属于租赁项目的初始直接费用，作为租入资产</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的入账价值，将最低租赁付款额作为长期应付款的入账价值，其差额作为未确认融资费用。未确认融资费用采用实际利率法</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在租赁期内分摊。租入固定资产按租赁期和估计净残值确定折旧率，计提折旧。</w:t>
      </w:r>
    </w:p>
    <w:p>
      <w:pPr>
        <w:spacing w:line="240" w:lineRule="auto" w:before="6"/>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9"/>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平均年限法</w:t>
      </w:r>
    </w:p>
    <w:p>
      <w:pPr>
        <w:spacing w:line="240" w:lineRule="auto" w:before="13"/>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2517"/>
        <w:gridCol w:w="2105"/>
        <w:gridCol w:w="2220"/>
        <w:gridCol w:w="2726"/>
      </w:tblGrid>
      <w:tr>
        <w:trPr>
          <w:trHeight w:val="402" w:hRule="exact"/>
        </w:trPr>
        <w:tc>
          <w:tcPr>
            <w:tcW w:w="25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16"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80"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5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3.17%</w:t>
            </w:r>
          </w:p>
        </w:tc>
      </w:tr>
      <w:tr>
        <w:trPr>
          <w:trHeight w:val="402" w:hRule="exact"/>
        </w:trPr>
        <w:tc>
          <w:tcPr>
            <w:tcW w:w="25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25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w:t>
            </w:r>
          </w:p>
        </w:tc>
      </w:tr>
      <w:tr>
        <w:trPr>
          <w:trHeight w:val="402" w:hRule="exact"/>
        </w:trPr>
        <w:tc>
          <w:tcPr>
            <w:tcW w:w="25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w:t>
            </w:r>
          </w:p>
        </w:tc>
      </w:tr>
    </w:tbl>
    <w:p>
      <w:pPr>
        <w:spacing w:line="240" w:lineRule="auto" w:before="3"/>
        <w:rPr>
          <w:rFonts w:ascii="宋体" w:hAnsi="宋体" w:cs="宋体" w:eastAsia="宋体" w:hint="default"/>
          <w:sz w:val="19"/>
          <w:szCs w:val="19"/>
        </w:rPr>
      </w:pPr>
    </w:p>
    <w:p>
      <w:pPr>
        <w:pStyle w:val="Heading4"/>
        <w:spacing w:line="240" w:lineRule="auto" w:before="35"/>
        <w:ind w:right="337"/>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4"/>
        <w:rPr>
          <w:rFonts w:ascii="宋体" w:hAnsi="宋体" w:cs="宋体" w:eastAsia="宋体" w:hint="default"/>
          <w:b/>
          <w:bCs/>
          <w:sz w:val="25"/>
          <w:szCs w:val="25"/>
        </w:rPr>
      </w:pPr>
    </w:p>
    <w:p>
      <w:pPr>
        <w:pStyle w:val="BodyText"/>
        <w:spacing w:line="273" w:lineRule="auto"/>
        <w:ind w:left="124" w:right="109" w:firstLine="420"/>
        <w:jc w:val="both"/>
      </w:pPr>
      <w:r>
        <w:rPr>
          <w:spacing w:val="-1"/>
        </w:rPr>
        <w:t>资产负债表日判断固定资产是否存在可能发生减值的迹象。如果存在资产市价持续下跌，或技术陈旧、</w:t>
      </w:r>
      <w:r>
        <w:rPr/>
        <w:t> </w:t>
      </w:r>
      <w:r>
        <w:rPr>
          <w:spacing w:val="-2"/>
        </w:rPr>
        <w:t>损坏、长期闲置等减值迹象的，则估计其可收回金额。可收回金额的计量结果表明，固定资产的可收回金额</w:t>
      </w:r>
      <w:r>
        <w:rPr>
          <w:spacing w:val="-72"/>
        </w:rPr>
        <w:t> </w:t>
      </w:r>
      <w:r>
        <w:rPr>
          <w:spacing w:val="-72"/>
        </w:rPr>
      </w:r>
      <w:r>
        <w:rPr>
          <w:spacing w:val="-2"/>
        </w:rPr>
        <w:t>低于其账面价值的，将固定资产的账面价值减记至可收回金额，减记的金额确认为资产减值损失，计入当期</w:t>
      </w:r>
      <w:r>
        <w:rPr>
          <w:spacing w:val="-73"/>
        </w:rPr>
        <w:t> </w:t>
      </w:r>
      <w:r>
        <w:rPr>
          <w:spacing w:val="-73"/>
        </w:rPr>
      </w:r>
      <w:r>
        <w:rPr/>
        <w:t>损益，同时计提相应的固定资产减值准备。固定资产减值损失一经确认，在以后会计期间不再转回。</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58"/>
        <w:ind w:right="337"/>
        <w:jc w:val="left"/>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7"/>
        <w:rPr>
          <w:rFonts w:ascii="宋体" w:hAnsi="宋体" w:cs="宋体" w:eastAsia="宋体" w:hint="default"/>
          <w:b/>
          <w:bCs/>
          <w:sz w:val="24"/>
          <w:szCs w:val="24"/>
        </w:rPr>
      </w:pPr>
    </w:p>
    <w:p>
      <w:pPr>
        <w:spacing w:before="0"/>
        <w:ind w:left="112" w:right="33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33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）在建工程的类别</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2" w:right="337" w:firstLine="0"/>
        <w:jc w:val="left"/>
        <w:rPr>
          <w:rFonts w:ascii="宋体" w:hAnsi="宋体" w:cs="宋体" w:eastAsia="宋体" w:hint="default"/>
          <w:sz w:val="18"/>
          <w:szCs w:val="18"/>
        </w:rPr>
      </w:pPr>
      <w:r>
        <w:rPr>
          <w:rFonts w:ascii="宋体" w:hAnsi="宋体" w:cs="宋体" w:eastAsia="宋体" w:hint="default"/>
          <w:sz w:val="18"/>
          <w:szCs w:val="18"/>
        </w:rPr>
        <w:t>在建工程包括施工前期准备、正在施工中的建筑工程、安装工程、技术改造工程和大修理工程等。</w:t>
      </w:r>
    </w:p>
    <w:p>
      <w:pPr>
        <w:spacing w:line="240" w:lineRule="auto" w:before="11"/>
        <w:rPr>
          <w:rFonts w:ascii="宋体" w:hAnsi="宋体" w:cs="宋体" w:eastAsia="宋体" w:hint="default"/>
          <w:sz w:val="26"/>
          <w:szCs w:val="26"/>
        </w:rPr>
      </w:pPr>
    </w:p>
    <w:p>
      <w:pPr>
        <w:pStyle w:val="Heading4"/>
        <w:spacing w:line="240" w:lineRule="auto"/>
        <w:ind w:right="337"/>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7"/>
        <w:rPr>
          <w:rFonts w:ascii="宋体" w:hAnsi="宋体" w:cs="宋体" w:eastAsia="宋体" w:hint="default"/>
          <w:b/>
          <w:bCs/>
          <w:sz w:val="26"/>
          <w:szCs w:val="26"/>
        </w:rPr>
      </w:pPr>
    </w:p>
    <w:p>
      <w:pPr>
        <w:spacing w:line="316" w:lineRule="auto" w:before="0"/>
        <w:ind w:left="112" w:right="337" w:firstLine="0"/>
        <w:jc w:val="left"/>
        <w:rPr>
          <w:rFonts w:ascii="宋体" w:hAnsi="宋体" w:cs="宋体" w:eastAsia="宋体" w:hint="default"/>
          <w:sz w:val="18"/>
          <w:szCs w:val="18"/>
        </w:rPr>
      </w:pPr>
      <w:r>
        <w:rPr>
          <w:rFonts w:ascii="宋体" w:hAnsi="宋体" w:cs="宋体" w:eastAsia="宋体" w:hint="default"/>
          <w:sz w:val="18"/>
          <w:szCs w:val="18"/>
        </w:rPr>
        <w:t>在建工程按照实际发生的支出分项目核算</w:t>
      </w:r>
      <w:r>
        <w:rPr>
          <w:rFonts w:ascii="宋体" w:hAnsi="宋体" w:cs="宋体" w:eastAsia="宋体" w:hint="default"/>
          <w:spacing w:val="-87"/>
          <w:sz w:val="18"/>
          <w:szCs w:val="18"/>
        </w:rPr>
        <w:t>，</w:t>
      </w:r>
      <w:r>
        <w:rPr>
          <w:rFonts w:ascii="宋体" w:hAnsi="宋体" w:cs="宋体" w:eastAsia="宋体" w:hint="default"/>
          <w:sz w:val="18"/>
          <w:szCs w:val="18"/>
        </w:rPr>
        <w:t>并在工程达到预定可使用状态时结转为固定资产</w:t>
      </w:r>
      <w:r>
        <w:rPr>
          <w:rFonts w:ascii="宋体" w:hAnsi="宋体" w:cs="宋体" w:eastAsia="宋体" w:hint="default"/>
          <w:spacing w:val="-89"/>
          <w:sz w:val="18"/>
          <w:szCs w:val="18"/>
        </w:rPr>
        <w:t>。</w:t>
      </w:r>
      <w:r>
        <w:rPr>
          <w:rFonts w:ascii="宋体" w:hAnsi="宋体" w:cs="宋体" w:eastAsia="宋体" w:hint="default"/>
          <w:sz w:val="18"/>
          <w:szCs w:val="18"/>
        </w:rPr>
        <w:t>与在建工程有关的借款费</w:t>
      </w:r>
      <w:r>
        <w:rPr>
          <w:rFonts w:ascii="宋体" w:hAnsi="宋体" w:cs="宋体" w:eastAsia="宋体" w:hint="default"/>
          <w:spacing w:val="-87"/>
          <w:sz w:val="18"/>
          <w:szCs w:val="18"/>
        </w:rPr>
        <w:t>用</w:t>
      </w:r>
      <w:r>
        <w:rPr>
          <w:rFonts w:ascii="宋体" w:hAnsi="宋体" w:cs="宋体" w:eastAsia="宋体" w:hint="default"/>
          <w:sz w:val="18"/>
          <w:szCs w:val="18"/>
        </w:rPr>
        <w:t>（包</w:t>
      </w:r>
      <w:r>
        <w:rPr>
          <w:rFonts w:ascii="宋体" w:hAnsi="宋体" w:cs="宋体" w:eastAsia="宋体" w:hint="default"/>
          <w:sz w:val="18"/>
          <w:szCs w:val="18"/>
        </w:rPr>
        <w:t> 括借款利息、溢折价摊销、汇兑损益等</w:t>
      </w:r>
      <w:r>
        <w:rPr>
          <w:rFonts w:ascii="宋体" w:hAnsi="宋体" w:cs="宋体" w:eastAsia="宋体" w:hint="default"/>
          <w:spacing w:val="-89"/>
          <w:sz w:val="18"/>
          <w:szCs w:val="18"/>
        </w:rPr>
        <w:t>）</w:t>
      </w:r>
      <w:r>
        <w:rPr>
          <w:rFonts w:ascii="宋体" w:hAnsi="宋体" w:cs="宋体" w:eastAsia="宋体" w:hint="default"/>
          <w:sz w:val="18"/>
          <w:szCs w:val="18"/>
        </w:rPr>
        <w:t>，在相关工程达到预定可使用状态前的计入工程成本，在相关工程达到预定可使用</w:t>
      </w:r>
    </w:p>
    <w:p>
      <w:pPr>
        <w:spacing w:after="0" w:line="316" w:lineRule="auto"/>
        <w:jc w:val="left"/>
        <w:rPr>
          <w:rFonts w:ascii="宋体" w:hAnsi="宋体" w:cs="宋体" w:eastAsia="宋体" w:hint="default"/>
          <w:sz w:val="18"/>
          <w:szCs w:val="18"/>
        </w:rPr>
        <w:sectPr>
          <w:pgSz w:w="11910" w:h="16840"/>
          <w:pgMar w:header="746" w:footer="978" w:top="1060" w:bottom="1160" w:left="1020" w:right="780"/>
        </w:sectPr>
      </w:pPr>
    </w:p>
    <w:p>
      <w:pPr>
        <w:spacing w:line="240" w:lineRule="auto" w:before="12"/>
        <w:rPr>
          <w:rFonts w:ascii="宋体" w:hAnsi="宋体" w:cs="宋体" w:eastAsia="宋体" w:hint="default"/>
          <w:sz w:val="25"/>
          <w:szCs w:val="25"/>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状态后的计入当期财务费用。</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7"/>
        <w:rPr>
          <w:rFonts w:ascii="宋体" w:hAnsi="宋体" w:cs="宋体" w:eastAsia="宋体" w:hint="default"/>
          <w:b/>
          <w:bCs/>
          <w:sz w:val="24"/>
          <w:szCs w:val="24"/>
        </w:rPr>
      </w:pPr>
    </w:p>
    <w:p>
      <w:pPr>
        <w:pStyle w:val="BodyText"/>
        <w:spacing w:line="266" w:lineRule="auto"/>
        <w:ind w:right="0"/>
        <w:jc w:val="left"/>
      </w:pPr>
      <w:r>
        <w:rPr/>
        <w:t>资产负债表日对在建工程进行全面检查，判断固定资产是否存在可能发生减值的迹象。如果存在：（</w:t>
      </w:r>
      <w:r>
        <w:rPr>
          <w:rFonts w:ascii="Times New Roman" w:hAnsi="Times New Roman" w:cs="Times New Roman" w:eastAsia="Times New Roman" w:hint="default"/>
        </w:rPr>
        <w:t>1</w:t>
      </w:r>
      <w:r>
        <w:rPr/>
        <w:t>） </w:t>
      </w:r>
      <w:r>
        <w:rPr>
          <w:spacing w:val="-1"/>
        </w:rPr>
        <w:t>在建工程长期停建并且预计在未来</w:t>
      </w:r>
      <w:r>
        <w:rPr>
          <w:rFonts w:ascii="Times New Roman" w:hAnsi="Times New Roman" w:cs="Times New Roman" w:eastAsia="Times New Roman" w:hint="default"/>
          <w:spacing w:val="-1"/>
        </w:rPr>
        <w:t>3</w:t>
      </w:r>
      <w:r>
        <w:rPr>
          <w:spacing w:val="-1"/>
        </w:rPr>
        <w:t>年内不会重新开工，（</w:t>
      </w:r>
      <w:r>
        <w:rPr>
          <w:rFonts w:ascii="Times New Roman" w:hAnsi="Times New Roman" w:cs="Times New Roman" w:eastAsia="Times New Roman" w:hint="default"/>
          <w:spacing w:val="-1"/>
        </w:rPr>
        <w:t>2</w:t>
      </w:r>
      <w:r>
        <w:rPr>
          <w:spacing w:val="-1"/>
        </w:rPr>
        <w:t>）所建项目在性能上、技术上已经落后并且所</w:t>
      </w:r>
      <w:r>
        <w:rPr>
          <w:spacing w:val="-103"/>
        </w:rPr>
        <w:t> </w:t>
      </w:r>
      <w:r>
        <w:rPr>
          <w:spacing w:val="-103"/>
        </w:rPr>
      </w:r>
      <w:r>
        <w:rPr>
          <w:spacing w:val="-1"/>
        </w:rPr>
        <w:t>带来的经济效益具有很大的不确定性等减值迹象的，则估计其可收回金额。可收回金额的计量结果表明，</w:t>
      </w:r>
      <w:r>
        <w:rPr>
          <w:spacing w:val="-80"/>
        </w:rPr>
        <w:t> </w:t>
      </w:r>
      <w:r>
        <w:rPr>
          <w:spacing w:val="-80"/>
        </w:rPr>
      </w:r>
      <w:r>
        <w:rPr>
          <w:spacing w:val="-1"/>
        </w:rPr>
        <w:t>在建工程的可收回金额低于其账面价值的，将在建工程的账面价值减记至可收回金额，减记的金额确认为</w:t>
      </w:r>
      <w:r>
        <w:rPr/>
        <w:t> </w:t>
      </w:r>
      <w:r>
        <w:rPr>
          <w:spacing w:val="-1"/>
        </w:rPr>
        <w:t>资产减值损失，计入当期损益，同时计提相应的在建工程减值准备。在建工程减值损失一经确认，在以后</w:t>
      </w:r>
      <w:r>
        <w:rPr>
          <w:spacing w:val="-101"/>
        </w:rPr>
        <w:t> </w:t>
      </w:r>
      <w:r>
        <w:rPr>
          <w:spacing w:val="-101"/>
        </w:rPr>
      </w:r>
      <w:r>
        <w:rPr/>
        <w:t>会计期间不再转回。</w:t>
      </w:r>
    </w:p>
    <w:p>
      <w:pPr>
        <w:spacing w:line="240" w:lineRule="auto" w:before="2"/>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sz w:val="21"/>
          <w:szCs w:val="21"/>
        </w:rPr>
      </w:r>
    </w:p>
    <w:p>
      <w:pPr>
        <w:spacing w:line="600" w:lineRule="atLeast" w:before="12"/>
        <w:ind w:left="112" w:right="561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w w:val="99"/>
          <w:sz w:val="21"/>
          <w:szCs w:val="21"/>
        </w:rPr>
        <w:t> </w:t>
      </w:r>
      <w:r>
        <w:rPr>
          <w:rFonts w:ascii="宋体" w:hAnsi="宋体" w:cs="宋体" w:eastAsia="宋体" w:hint="default"/>
          <w:sz w:val="21"/>
          <w:szCs w:val="21"/>
        </w:rPr>
        <w:t>借款费用同时满足下列条件的，开始资本化：</w:t>
      </w:r>
    </w:p>
    <w:p>
      <w:pPr>
        <w:pStyle w:val="BodyText"/>
        <w:spacing w:line="256" w:lineRule="auto" w:before="37"/>
        <w:ind w:right="0" w:firstLine="525"/>
        <w:jc w:val="left"/>
      </w:pPr>
      <w:r>
        <w:rPr>
          <w:rFonts w:ascii="Times New Roman" w:hAnsi="Times New Roman" w:cs="Times New Roman" w:eastAsia="Times New Roman" w:hint="default"/>
          <w:spacing w:val="-1"/>
        </w:rPr>
        <w:t>a</w:t>
      </w:r>
      <w:r>
        <w:rPr>
          <w:spacing w:val="-1"/>
        </w:rPr>
        <w:t>、资产支出已经发生，资产支出包括为购建或者生产符合资本化条件的资产而以支付现金、转移非</w:t>
      </w:r>
      <w:r>
        <w:rPr/>
        <w:t> 现金资产或者承担带息债务形式发生的支出；</w:t>
      </w:r>
    </w:p>
    <w:p>
      <w:pPr>
        <w:pStyle w:val="BodyText"/>
        <w:spacing w:line="256" w:lineRule="auto" w:before="22"/>
        <w:ind w:left="532" w:right="0"/>
        <w:jc w:val="left"/>
      </w:pPr>
      <w:r>
        <w:rPr>
          <w:rFonts w:ascii="Times New Roman" w:hAnsi="Times New Roman" w:cs="Times New Roman" w:eastAsia="Times New Roman" w:hint="default"/>
        </w:rPr>
        <w:t>b</w:t>
      </w:r>
      <w:r>
        <w:rPr/>
        <w:t>、借款费用已经发生； </w:t>
      </w:r>
      <w:r>
        <w:rPr>
          <w:rFonts w:ascii="Times New Roman" w:hAnsi="Times New Roman" w:cs="Times New Roman" w:eastAsia="Times New Roman" w:hint="default"/>
          <w:spacing w:val="-1"/>
        </w:rPr>
        <w:t>c</w:t>
      </w:r>
      <w:r>
        <w:rPr>
          <w:spacing w:val="-1"/>
        </w:rPr>
        <w:t>、为使资产达到预定可使用或者可销售状态所必要的购建或者生产活动已经开始。</w:t>
      </w:r>
    </w:p>
    <w:p>
      <w:pPr>
        <w:pStyle w:val="BodyText"/>
        <w:spacing w:line="273" w:lineRule="auto" w:before="5"/>
        <w:ind w:right="194"/>
        <w:jc w:val="both"/>
      </w:pPr>
      <w:r>
        <w:rPr>
          <w:spacing w:val="-1"/>
        </w:rPr>
        <w:t>购建或者生产符合资本化条件的资产达到预定可使用或者可销售状态时，借款费用停止资本化。在符合资</w:t>
      </w:r>
      <w:r>
        <w:rPr/>
        <w:t> </w:t>
      </w:r>
      <w:r>
        <w:rPr>
          <w:spacing w:val="-1"/>
        </w:rPr>
        <w:t>本化条件的资产达到预定可使用或者可销售状态之后所发生的借款费用，在发生时根据其发生额确认为费</w:t>
      </w:r>
      <w:r>
        <w:rPr/>
        <w:t> 用，计入当期损益。</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7"/>
        <w:rPr>
          <w:rFonts w:ascii="宋体" w:hAnsi="宋体" w:cs="宋体" w:eastAsia="宋体" w:hint="default"/>
          <w:b/>
          <w:bCs/>
          <w:sz w:val="26"/>
          <w:szCs w:val="26"/>
        </w:rPr>
      </w:pPr>
    </w:p>
    <w:p>
      <w:pPr>
        <w:spacing w:line="300" w:lineRule="auto" w:before="0"/>
        <w:ind w:left="112" w:right="93" w:firstLine="91"/>
        <w:jc w:val="left"/>
        <w:rPr>
          <w:rFonts w:ascii="宋体" w:hAnsi="宋体" w:cs="宋体" w:eastAsia="宋体" w:hint="default"/>
          <w:sz w:val="18"/>
          <w:szCs w:val="18"/>
        </w:rPr>
      </w:pPr>
      <w:r>
        <w:rPr>
          <w:rFonts w:ascii="宋体" w:hAnsi="宋体" w:cs="宋体" w:eastAsia="宋体" w:hint="default"/>
          <w:sz w:val="18"/>
          <w:szCs w:val="18"/>
        </w:rPr>
        <w:t>若符合资本化条件的资产在购建或者生产过程中发生非正常中断，并且中断时间连续超过</w:t>
      </w:r>
      <w:r>
        <w:rPr>
          <w:rFonts w:ascii="Times New Roman" w:hAnsi="Times New Roman" w:cs="Times New Roman" w:eastAsia="Times New Roman" w:hint="default"/>
          <w:sz w:val="18"/>
          <w:szCs w:val="18"/>
        </w:rPr>
        <w:t>3</w:t>
      </w:r>
      <w:r>
        <w:rPr>
          <w:rFonts w:ascii="宋体" w:hAnsi="宋体" w:cs="宋体" w:eastAsia="宋体" w:hint="default"/>
          <w:sz w:val="18"/>
          <w:szCs w:val="18"/>
        </w:rPr>
        <w:t>个月，暂停借款费用的资本化； 中断期间发生的借款费用确认为当期费用，直至资产的购建或者生产活动重新开始。</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7"/>
        <w:rPr>
          <w:rFonts w:ascii="宋体" w:hAnsi="宋体" w:cs="宋体" w:eastAsia="宋体" w:hint="default"/>
          <w:b/>
          <w:bCs/>
          <w:sz w:val="26"/>
          <w:szCs w:val="26"/>
        </w:rPr>
      </w:pPr>
    </w:p>
    <w:p>
      <w:pPr>
        <w:spacing w:line="316" w:lineRule="auto" w:before="0"/>
        <w:ind w:left="112" w:right="94" w:firstLine="0"/>
        <w:jc w:val="left"/>
        <w:rPr>
          <w:rFonts w:ascii="宋体" w:hAnsi="宋体" w:cs="宋体" w:eastAsia="宋体" w:hint="default"/>
          <w:sz w:val="18"/>
          <w:szCs w:val="18"/>
        </w:rPr>
      </w:pPr>
      <w:r>
        <w:rPr>
          <w:rFonts w:ascii="宋体" w:hAnsi="宋体" w:cs="宋体" w:eastAsia="宋体" w:hint="default"/>
          <w:spacing w:val="-2"/>
          <w:sz w:val="18"/>
          <w:szCs w:val="18"/>
        </w:rPr>
        <w:t>为购建或者生产符合资本化条件的资产而借入专门借款的，以专门借款当期实际发生的利息费用（包括按照实际利率法确定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的折价或溢价的摊销），减去将尚未动用的借款资金存入银行取得的利息收入或进行暂时性投资取得的投资收益后的金额， </w:t>
      </w:r>
      <w:r>
        <w:rPr>
          <w:rFonts w:ascii="宋体" w:hAnsi="宋体" w:cs="宋体" w:eastAsia="宋体" w:hint="default"/>
          <w:spacing w:val="-2"/>
          <w:sz w:val="18"/>
          <w:szCs w:val="18"/>
        </w:rPr>
        <w:t>确定应予资本化的利息金额；为购建或者生产符合资本化条件的资产占用了一般借款的，根据累计资产支出超过专门借款的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资产支出加权平均数乘以占用一般借款的资本化率，计算确定一般借款应予资本化的利息金额。</w:t>
      </w:r>
    </w:p>
    <w:p>
      <w:pPr>
        <w:spacing w:line="240" w:lineRule="auto" w:before="6"/>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17</w:t>
      </w:r>
      <w:r>
        <w:rPr/>
        <w:t>、无形资产</w:t>
      </w:r>
      <w:r>
        <w:rPr>
          <w:b w:val="0"/>
          <w:bCs w:val="0"/>
        </w:rPr>
      </w:r>
    </w:p>
    <w:p>
      <w:pPr>
        <w:spacing w:line="240" w:lineRule="auto" w:before="10"/>
        <w:rPr>
          <w:rFonts w:ascii="宋体" w:hAnsi="宋体" w:cs="宋体" w:eastAsia="宋体" w:hint="default"/>
          <w:b/>
          <w:bCs/>
          <w:sz w:val="24"/>
          <w:szCs w:val="24"/>
        </w:rPr>
      </w:pPr>
    </w:p>
    <w:p>
      <w:pPr>
        <w:spacing w:line="506" w:lineRule="auto" w:before="0"/>
        <w:ind w:left="112" w:right="62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）无形资产的计价方法</w:t>
      </w:r>
      <w:r>
        <w:rPr>
          <w:rFonts w:ascii="宋体" w:hAnsi="宋体" w:cs="宋体" w:eastAsia="宋体" w:hint="default"/>
          <w:b/>
          <w:bCs/>
          <w:w w:val="99"/>
          <w:sz w:val="21"/>
          <w:szCs w:val="21"/>
        </w:rPr>
        <w:t> </w:t>
      </w:r>
      <w:r>
        <w:rPr>
          <w:rFonts w:ascii="宋体" w:hAnsi="宋体" w:cs="宋体" w:eastAsia="宋体" w:hint="default"/>
          <w:sz w:val="21"/>
          <w:szCs w:val="21"/>
        </w:rPr>
        <w:t>无形资产在取得时按照实际成本计价。</w:t>
      </w:r>
    </w:p>
    <w:p>
      <w:pPr>
        <w:spacing w:after="0" w:line="506" w:lineRule="auto"/>
        <w:jc w:val="left"/>
        <w:rPr>
          <w:rFonts w:ascii="宋体" w:hAnsi="宋体" w:cs="宋体" w:eastAsia="宋体" w:hint="default"/>
          <w:sz w:val="21"/>
          <w:szCs w:val="21"/>
        </w:rPr>
        <w:sectPr>
          <w:pgSz w:w="11910" w:h="16840"/>
          <w:pgMar w:header="746" w:footer="978" w:top="1060" w:bottom="1160" w:left="1020" w:right="94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7"/>
        <w:rPr>
          <w:rFonts w:ascii="宋体" w:hAnsi="宋体" w:cs="宋体" w:eastAsia="宋体" w:hint="default"/>
          <w:b/>
          <w:bCs/>
          <w:sz w:val="26"/>
          <w:szCs w:val="26"/>
        </w:rPr>
      </w:pPr>
    </w:p>
    <w:p>
      <w:pPr>
        <w:spacing w:line="316" w:lineRule="auto" w:before="0"/>
        <w:ind w:left="112" w:right="0" w:firstLine="0"/>
        <w:jc w:val="left"/>
        <w:rPr>
          <w:rFonts w:ascii="宋体" w:hAnsi="宋体" w:cs="宋体" w:eastAsia="宋体" w:hint="default"/>
          <w:sz w:val="18"/>
          <w:szCs w:val="18"/>
        </w:rPr>
      </w:pPr>
      <w:r>
        <w:rPr>
          <w:rFonts w:ascii="宋体" w:hAnsi="宋体" w:cs="宋体" w:eastAsia="宋体" w:hint="default"/>
          <w:spacing w:val="-2"/>
          <w:sz w:val="18"/>
          <w:szCs w:val="18"/>
        </w:rPr>
        <w:t>使用寿命有限的无形资产，在使用寿命内按照与该项无形资产有关的经济利益的预期实现方式系统合理地摊销，无法可靠确</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定预期实现方式的，采用直线法摊销。具体年限如下：</w:t>
      </w:r>
    </w:p>
    <w:tbl>
      <w:tblPr>
        <w:tblW w:w="0" w:type="auto"/>
        <w:jc w:val="left"/>
        <w:tblInd w:w="109" w:type="dxa"/>
        <w:tblLayout w:type="fixed"/>
        <w:tblCellMar>
          <w:top w:w="0" w:type="dxa"/>
          <w:left w:w="0" w:type="dxa"/>
          <w:bottom w:w="0" w:type="dxa"/>
          <w:right w:w="0" w:type="dxa"/>
        </w:tblCellMar>
        <w:tblLook w:val="01E0"/>
      </w:tblPr>
      <w:tblGrid>
        <w:gridCol w:w="2280"/>
        <w:gridCol w:w="2215"/>
        <w:gridCol w:w="5073"/>
      </w:tblGrid>
      <w:tr>
        <w:trPr>
          <w:trHeight w:val="402" w:hRule="exact"/>
        </w:trPr>
        <w:tc>
          <w:tcPr>
            <w:tcW w:w="22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4" w:right="0"/>
              <w:jc w:val="left"/>
              <w:rPr>
                <w:rFonts w:ascii="Times New Roman" w:hAnsi="Times New Roman" w:cs="Times New Roman" w:eastAsia="Times New Roman" w:hint="default"/>
                <w:sz w:val="18"/>
                <w:szCs w:val="18"/>
              </w:rPr>
            </w:pPr>
            <w:r>
              <w:rPr>
                <w:rFonts w:ascii="Times New Roman"/>
                <w:sz w:val="18"/>
              </w:rPr>
              <w:t>50</w:t>
            </w:r>
          </w:p>
        </w:tc>
        <w:tc>
          <w:tcPr>
            <w:tcW w:w="5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4" w:right="0"/>
              <w:jc w:val="left"/>
              <w:rPr>
                <w:rFonts w:ascii="宋体" w:hAnsi="宋体" w:cs="宋体" w:eastAsia="宋体" w:hint="default"/>
                <w:sz w:val="18"/>
                <w:szCs w:val="18"/>
              </w:rPr>
            </w:pPr>
            <w:r>
              <w:rPr>
                <w:rFonts w:ascii="宋体" w:hAnsi="宋体" w:cs="宋体" w:eastAsia="宋体" w:hint="default"/>
                <w:sz w:val="18"/>
                <w:szCs w:val="18"/>
              </w:rPr>
              <w:t>法定使用权</w:t>
            </w:r>
          </w:p>
        </w:tc>
      </w:tr>
      <w:tr>
        <w:trPr>
          <w:trHeight w:val="40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2" w:right="0"/>
              <w:jc w:val="left"/>
              <w:rPr>
                <w:rFonts w:ascii="Times New Roman" w:hAnsi="Times New Roman" w:cs="Times New Roman" w:eastAsia="Times New Roman" w:hint="default"/>
                <w:sz w:val="18"/>
                <w:szCs w:val="18"/>
              </w:rPr>
            </w:pPr>
            <w:r>
              <w:rPr>
                <w:rFonts w:ascii="Times New Roman"/>
                <w:sz w:val="18"/>
              </w:rPr>
              <w:t>10</w:t>
            </w:r>
          </w:p>
        </w:tc>
        <w:tc>
          <w:tcPr>
            <w:tcW w:w="5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4" w:right="0"/>
              <w:jc w:val="left"/>
              <w:rPr>
                <w:rFonts w:ascii="宋体" w:hAnsi="宋体" w:cs="宋体" w:eastAsia="宋体" w:hint="default"/>
                <w:sz w:val="18"/>
                <w:szCs w:val="18"/>
              </w:rPr>
            </w:pPr>
            <w:r>
              <w:rPr>
                <w:rFonts w:ascii="宋体" w:hAnsi="宋体" w:cs="宋体" w:eastAsia="宋体" w:hint="default"/>
                <w:sz w:val="18"/>
                <w:szCs w:val="18"/>
              </w:rPr>
              <w:t>参考能为公司带来经济利益的期限确定使用寿命</w:t>
            </w:r>
          </w:p>
        </w:tc>
      </w:tr>
      <w:tr>
        <w:trPr>
          <w:trHeight w:val="40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4" w:right="0"/>
              <w:jc w:val="left"/>
              <w:rPr>
                <w:rFonts w:ascii="Times New Roman" w:hAnsi="Times New Roman" w:cs="Times New Roman" w:eastAsia="Times New Roman" w:hint="default"/>
                <w:sz w:val="18"/>
                <w:szCs w:val="18"/>
              </w:rPr>
            </w:pPr>
            <w:r>
              <w:rPr>
                <w:rFonts w:ascii="Times New Roman"/>
                <w:sz w:val="18"/>
              </w:rPr>
              <w:t>10</w:t>
            </w:r>
          </w:p>
        </w:tc>
        <w:tc>
          <w:tcPr>
            <w:tcW w:w="5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3" w:right="0"/>
              <w:jc w:val="left"/>
              <w:rPr>
                <w:rFonts w:ascii="宋体" w:hAnsi="宋体" w:cs="宋体" w:eastAsia="宋体" w:hint="default"/>
                <w:sz w:val="18"/>
                <w:szCs w:val="18"/>
              </w:rPr>
            </w:pPr>
            <w:r>
              <w:rPr>
                <w:rFonts w:ascii="宋体" w:hAnsi="宋体" w:cs="宋体" w:eastAsia="宋体" w:hint="default"/>
                <w:sz w:val="18"/>
                <w:szCs w:val="18"/>
              </w:rPr>
              <w:t>参考能为公司带来经济利益的期限确定使用寿命</w:t>
            </w:r>
          </w:p>
        </w:tc>
      </w:tr>
    </w:tbl>
    <w:p>
      <w:pPr>
        <w:spacing w:line="240" w:lineRule="auto" w:before="1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无法预见无形资产为企业带来经济利益期限的，视为使用寿命不确定的无形资产。</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7"/>
        <w:rPr>
          <w:rFonts w:ascii="宋体" w:hAnsi="宋体" w:cs="宋体" w:eastAsia="宋体" w:hint="default"/>
          <w:b/>
          <w:bCs/>
          <w:sz w:val="24"/>
          <w:szCs w:val="24"/>
        </w:rPr>
      </w:pPr>
    </w:p>
    <w:p>
      <w:pPr>
        <w:pStyle w:val="BodyText"/>
        <w:spacing w:line="264" w:lineRule="auto"/>
        <w:ind w:right="0"/>
        <w:jc w:val="left"/>
      </w:pPr>
      <w:r>
        <w:rPr/>
        <w:t>期末检查各项无形资产预计给本公司带来未来经济利益的能力，当存在以下情形之一时：（</w:t>
      </w:r>
      <w:r>
        <w:rPr>
          <w:rFonts w:ascii="Times New Roman" w:hAnsi="Times New Roman" w:cs="Times New Roman" w:eastAsia="Times New Roman" w:hint="default"/>
        </w:rPr>
        <w:t>1</w:t>
      </w:r>
      <w:r>
        <w:rPr/>
        <w:t>）某项无形 资产已被其他新技术等所替代，使其为企业创造经济利益的能力受到重大不利影响；（</w:t>
      </w:r>
      <w:r>
        <w:rPr>
          <w:rFonts w:ascii="Times New Roman" w:hAnsi="Times New Roman" w:cs="Times New Roman" w:eastAsia="Times New Roman" w:hint="default"/>
        </w:rPr>
        <w:t>2</w:t>
      </w:r>
      <w:r>
        <w:rPr/>
        <w:t>）某项无形资产 的市价在当期大幅下跌，在剩余摊销年限内预期不会恢复；（</w:t>
      </w:r>
      <w:r>
        <w:rPr>
          <w:rFonts w:ascii="Times New Roman" w:hAnsi="Times New Roman" w:cs="Times New Roman" w:eastAsia="Times New Roman" w:hint="default"/>
        </w:rPr>
        <w:t>3</w:t>
      </w:r>
      <w:r>
        <w:rPr/>
        <w:t>）某项无形资产已超过法律保护期限，但 仍然具有部分使用价值等减值迹象的，则估计其可收回金额。可收回金额的计量结果表明，无形资产的可 </w:t>
      </w:r>
      <w:r>
        <w:rPr>
          <w:spacing w:val="-4"/>
        </w:rPr>
        <w:t>收回金额低于其账面价值的，将无形资产的账面价值减记至可收回金额，减记的金额确认为资产减值损失，</w:t>
      </w:r>
      <w:r>
        <w:rPr>
          <w:spacing w:val="-65"/>
        </w:rPr>
        <w:t> </w:t>
      </w:r>
      <w:r>
        <w:rPr>
          <w:spacing w:val="-65"/>
        </w:rPr>
      </w:r>
      <w:r>
        <w:rPr/>
        <w:t>计入当期损益，同时计提相应的无形资产减值准备；（</w:t>
      </w:r>
      <w:r>
        <w:rPr>
          <w:rFonts w:ascii="Times New Roman" w:hAnsi="Times New Roman" w:cs="Times New Roman" w:eastAsia="Times New Roman" w:hint="default"/>
        </w:rPr>
        <w:t>4</w:t>
      </w:r>
      <w:r>
        <w:rPr/>
        <w:t>）其他足以证明某项无形资产实质上已发生了减 值准备情形的情况，按预计可收回金额低于账面价值的差额计提无形资产减值准备。无形资产减值损失一 经确认，在以后会计期间不再转回。</w:t>
      </w:r>
    </w:p>
    <w:p>
      <w:pPr>
        <w:spacing w:line="240" w:lineRule="auto" w:before="5"/>
        <w:rPr>
          <w:rFonts w:ascii="宋体" w:hAnsi="宋体" w:cs="宋体" w:eastAsia="宋体" w:hint="default"/>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7"/>
        <w:rPr>
          <w:rFonts w:ascii="宋体" w:hAnsi="宋体" w:cs="宋体" w:eastAsia="宋体" w:hint="default"/>
          <w:b/>
          <w:bCs/>
          <w:sz w:val="26"/>
          <w:szCs w:val="26"/>
        </w:rPr>
      </w:pPr>
    </w:p>
    <w:p>
      <w:pPr>
        <w:spacing w:line="316" w:lineRule="auto" w:before="0"/>
        <w:ind w:left="112" w:right="0" w:firstLine="0"/>
        <w:jc w:val="left"/>
        <w:rPr>
          <w:rFonts w:ascii="宋体" w:hAnsi="宋体" w:cs="宋体" w:eastAsia="宋体" w:hint="default"/>
          <w:sz w:val="18"/>
          <w:szCs w:val="18"/>
        </w:rPr>
      </w:pPr>
      <w:r>
        <w:rPr>
          <w:rFonts w:ascii="宋体" w:hAnsi="宋体" w:cs="宋体" w:eastAsia="宋体" w:hint="default"/>
          <w:spacing w:val="-2"/>
          <w:sz w:val="18"/>
          <w:szCs w:val="18"/>
        </w:rPr>
        <w:t>本公司将为进一步开发活动进行的资料及相关方面的准备活动作为研究阶段，无形资产研究阶段的支出在发生时计入当期损</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益；在本公司已完成研究阶段的工作后再进行的开发活动作为开发阶段。</w:t>
      </w:r>
    </w:p>
    <w:p>
      <w:pPr>
        <w:spacing w:line="240" w:lineRule="auto" w:before="6"/>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7"/>
        <w:rPr>
          <w:rFonts w:ascii="宋体" w:hAnsi="宋体" w:cs="宋体" w:eastAsia="宋体" w:hint="default"/>
          <w:b/>
          <w:bCs/>
          <w:sz w:val="26"/>
          <w:szCs w:val="26"/>
        </w:rPr>
      </w:pPr>
    </w:p>
    <w:p>
      <w:pPr>
        <w:spacing w:line="316" w:lineRule="auto" w:before="0"/>
        <w:ind w:left="112" w:right="0" w:firstLine="0"/>
        <w:jc w:val="left"/>
        <w:rPr>
          <w:rFonts w:ascii="宋体" w:hAnsi="宋体" w:cs="宋体" w:eastAsia="宋体" w:hint="default"/>
          <w:sz w:val="18"/>
          <w:szCs w:val="18"/>
        </w:rPr>
      </w:pPr>
      <w:r>
        <w:rPr>
          <w:rFonts w:ascii="宋体" w:hAnsi="宋体" w:cs="宋体" w:eastAsia="宋体" w:hint="default"/>
          <w:spacing w:val="-2"/>
          <w:sz w:val="18"/>
          <w:szCs w:val="18"/>
        </w:rPr>
        <w:t>内部研究开发项目研究阶段的支出，于发生时计入当期损益。内部研究开发项目开发阶段的支出，同时满足下列条件的，确</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认为无形资产：</w:t>
      </w:r>
    </w:p>
    <w:p>
      <w:pPr>
        <w:spacing w:before="19"/>
        <w:ind w:left="20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完成该无形资产以使其能够使用或出售在技术上具有可行性；</w:t>
      </w:r>
    </w:p>
    <w:p>
      <w:pPr>
        <w:spacing w:before="6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具有完成该无形资产并使用或出售的意图；</w:t>
      </w:r>
    </w:p>
    <w:p>
      <w:pPr>
        <w:spacing w:line="309" w:lineRule="auto" w:before="63"/>
        <w:ind w:left="112" w:right="1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无形资产产生经济利益的方式，包括能够证明运用该无形资产生产的产品存在市场或无形资产自身存在市场，无形资产</w:t>
      </w:r>
      <w:r>
        <w:rPr>
          <w:rFonts w:ascii="宋体" w:hAnsi="宋体" w:cs="宋体" w:eastAsia="宋体" w:hint="default"/>
          <w:w w:val="99"/>
          <w:sz w:val="18"/>
          <w:szCs w:val="18"/>
        </w:rPr>
        <w:t> </w:t>
      </w:r>
      <w:r>
        <w:rPr>
          <w:rFonts w:ascii="宋体" w:hAnsi="宋体" w:cs="宋体" w:eastAsia="宋体" w:hint="default"/>
          <w:sz w:val="18"/>
          <w:szCs w:val="18"/>
        </w:rPr>
        <w:t>将在内部使用的，能证明其有用性；</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有足够的技术、财务资源和其他资源支持，以完成该无形资产的开发，并有能力使用或出售该无形资产；</w:t>
      </w:r>
    </w:p>
    <w:p>
      <w:pPr>
        <w:spacing w:before="5"/>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归属于该无形资产开发阶段的支出能够可靠地计量。</w:t>
      </w:r>
    </w:p>
    <w:p>
      <w:pPr>
        <w:spacing w:after="0"/>
        <w:jc w:val="left"/>
        <w:rPr>
          <w:rFonts w:ascii="宋体" w:hAnsi="宋体" w:cs="宋体" w:eastAsia="宋体" w:hint="default"/>
          <w:sz w:val="18"/>
          <w:szCs w:val="18"/>
        </w:rPr>
        <w:sectPr>
          <w:pgSz w:w="11910" w:h="16840"/>
          <w:pgMar w:header="746" w:footer="978" w:top="1060" w:bottom="1160" w:left="1020" w:right="920"/>
        </w:sectPr>
      </w:pPr>
    </w:p>
    <w:p>
      <w:pPr>
        <w:spacing w:line="240" w:lineRule="auto" w:before="9"/>
        <w:rPr>
          <w:rFonts w:ascii="宋体" w:hAnsi="宋体" w:cs="宋体" w:eastAsia="宋体" w:hint="default"/>
          <w:sz w:val="24"/>
          <w:szCs w:val="24"/>
        </w:rPr>
      </w:pPr>
    </w:p>
    <w:p>
      <w:pPr>
        <w:pStyle w:val="Heading4"/>
        <w:spacing w:line="240" w:lineRule="auto" w:before="35"/>
        <w:ind w:right="203"/>
        <w:jc w:val="left"/>
        <w:rPr>
          <w:b w:val="0"/>
          <w:bCs w:val="0"/>
        </w:rPr>
      </w:pPr>
      <w:r>
        <w:rPr>
          <w:rFonts w:ascii="Times New Roman" w:hAnsi="Times New Roman" w:cs="Times New Roman" w:eastAsia="Times New Roman" w:hint="default"/>
        </w:rPr>
        <w:t>18</w:t>
      </w:r>
      <w:r>
        <w:rPr/>
        <w:t>、长期待摊费用</w:t>
      </w:r>
      <w:r>
        <w:rPr>
          <w:b w:val="0"/>
          <w:bCs w:val="0"/>
        </w:rPr>
      </w:r>
    </w:p>
    <w:p>
      <w:pPr>
        <w:spacing w:line="240" w:lineRule="auto" w:before="4"/>
        <w:rPr>
          <w:rFonts w:ascii="宋体" w:hAnsi="宋体" w:cs="宋体" w:eastAsia="宋体" w:hint="default"/>
          <w:b/>
          <w:bCs/>
          <w:sz w:val="25"/>
          <w:szCs w:val="25"/>
        </w:rPr>
      </w:pPr>
    </w:p>
    <w:p>
      <w:pPr>
        <w:pStyle w:val="BodyText"/>
        <w:spacing w:line="256" w:lineRule="auto"/>
        <w:ind w:left="544" w:right="0"/>
        <w:jc w:val="left"/>
      </w:pPr>
      <w:r>
        <w:rPr>
          <w:rFonts w:ascii="Times New Roman" w:hAnsi="Times New Roman" w:cs="Times New Roman" w:eastAsia="Times New Roman" w:hint="default"/>
        </w:rPr>
        <w:t>A</w:t>
      </w:r>
      <w:r>
        <w:rPr/>
        <w:t>、长期待摊费用指应由本期和以后各期负担的分摊期限在一年以上的各项费用。 </w:t>
      </w:r>
      <w:r>
        <w:rPr>
          <w:rFonts w:ascii="Times New Roman" w:hAnsi="Times New Roman" w:cs="Times New Roman" w:eastAsia="Times New Roman" w:hint="default"/>
        </w:rPr>
        <w:t>B</w:t>
      </w:r>
      <w:r>
        <w:rPr/>
        <w:t>、长期待摊费用在取得时按照实际成本计价，开办费在发生时计入当期损益；经营性租赁固定资产的</w:t>
      </w:r>
    </w:p>
    <w:p>
      <w:pPr>
        <w:pStyle w:val="BodyText"/>
        <w:spacing w:line="273" w:lineRule="auto" w:before="5"/>
        <w:ind w:right="0" w:firstLine="12"/>
        <w:jc w:val="left"/>
      </w:pPr>
      <w:r>
        <w:rPr>
          <w:spacing w:val="-2"/>
        </w:rPr>
        <w:t>装修费用在总经营租赁摊销期限平均摊销，其他长期待摊费用按项目的受益期平均摊销。对于在以后会计期</w:t>
      </w:r>
      <w:r>
        <w:rPr>
          <w:spacing w:val="-84"/>
        </w:rPr>
        <w:t> </w:t>
      </w:r>
      <w:r>
        <w:rPr>
          <w:spacing w:val="-84"/>
        </w:rPr>
      </w:r>
      <w:r>
        <w:rPr/>
        <w:t>间已无法带来预期经济利益的长期待摊费用，本公司对其尚未摊销的摊余价值全部转入当期损益。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58"/>
        <w:ind w:right="203"/>
        <w:jc w:val="left"/>
        <w:rPr>
          <w:b w:val="0"/>
          <w:bCs w:val="0"/>
        </w:rPr>
      </w:pPr>
      <w:r>
        <w:rPr>
          <w:rFonts w:ascii="Times New Roman" w:hAnsi="Times New Roman" w:cs="Times New Roman" w:eastAsia="Times New Roman" w:hint="default"/>
        </w:rPr>
        <w:t>19</w:t>
      </w:r>
      <w:r>
        <w:rPr/>
        <w:t>、预计负债</w:t>
      </w:r>
      <w:r>
        <w:rPr>
          <w:b w:val="0"/>
          <w:bCs w:val="0"/>
        </w:rPr>
      </w:r>
    </w:p>
    <w:p>
      <w:pPr>
        <w:spacing w:line="240" w:lineRule="auto" w:before="7"/>
        <w:rPr>
          <w:rFonts w:ascii="宋体" w:hAnsi="宋体" w:cs="宋体" w:eastAsia="宋体" w:hint="default"/>
          <w:b/>
          <w:bCs/>
          <w:sz w:val="24"/>
          <w:szCs w:val="24"/>
        </w:rPr>
      </w:pPr>
    </w:p>
    <w:p>
      <w:pPr>
        <w:spacing w:before="0"/>
        <w:ind w:left="112" w:right="20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pStyle w:val="BodyText"/>
        <w:spacing w:line="273" w:lineRule="auto"/>
        <w:ind w:right="203"/>
        <w:jc w:val="left"/>
      </w:pPr>
      <w:r>
        <w:rPr>
          <w:spacing w:val="-4"/>
        </w:rPr>
        <w:t>与或有事项相关的义务同时符合以下条件，本公司将其确认为预计负债：该义务是本公司承担的现时义务；</w:t>
      </w:r>
      <w:r>
        <w:rPr>
          <w:spacing w:val="-65"/>
        </w:rPr>
        <w:t> </w:t>
      </w:r>
      <w:r>
        <w:rPr>
          <w:spacing w:val="-65"/>
        </w:rPr>
      </w:r>
      <w:r>
        <w:rPr/>
        <w:t>该义务的履行很可能导致经济利益流出企业；该义务的金额能够可靠的计量；</w:t>
      </w:r>
      <w:r>
        <w:rPr/>
        <w:t> 本公司清偿预计负债所需支出全部或部分预期由第三方补偿的，补偿金额只有在基本确定能够收到时，才 能作为资产单独确认，同时对该项单独核算的资产确认的补偿金额不超过对应的预计负债的账面金额。</w:t>
      </w:r>
    </w:p>
    <w:p>
      <w:pPr>
        <w:spacing w:line="240" w:lineRule="auto" w:before="9"/>
        <w:rPr>
          <w:rFonts w:ascii="宋体" w:hAnsi="宋体" w:cs="宋体" w:eastAsia="宋体" w:hint="default"/>
          <w:sz w:val="23"/>
          <w:szCs w:val="23"/>
        </w:rPr>
      </w:pPr>
    </w:p>
    <w:p>
      <w:pPr>
        <w:pStyle w:val="Heading4"/>
        <w:spacing w:line="240" w:lineRule="auto"/>
        <w:ind w:right="203"/>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7"/>
        <w:rPr>
          <w:rFonts w:ascii="宋体" w:hAnsi="宋体" w:cs="宋体" w:eastAsia="宋体" w:hint="default"/>
          <w:b/>
          <w:bCs/>
          <w:sz w:val="26"/>
          <w:szCs w:val="26"/>
        </w:rPr>
      </w:pPr>
    </w:p>
    <w:p>
      <w:pPr>
        <w:spacing w:line="316" w:lineRule="auto" w:before="0"/>
        <w:ind w:left="112" w:right="303" w:firstLine="91"/>
        <w:jc w:val="left"/>
        <w:rPr>
          <w:rFonts w:ascii="宋体" w:hAnsi="宋体" w:cs="宋体" w:eastAsia="宋体" w:hint="default"/>
          <w:sz w:val="18"/>
          <w:szCs w:val="18"/>
        </w:rPr>
      </w:pPr>
      <w:r>
        <w:rPr>
          <w:rFonts w:ascii="宋体" w:hAnsi="宋体" w:cs="宋体" w:eastAsia="宋体" w:hint="default"/>
          <w:sz w:val="18"/>
          <w:szCs w:val="18"/>
        </w:rPr>
        <w:t>公司按照履行相关现时义务所需支出的最佳估计数对预计负债进行初始计量，并在资产负债表日对预计负债的账面价值进 行复核。</w:t>
      </w:r>
    </w:p>
    <w:p>
      <w:pPr>
        <w:spacing w:line="240" w:lineRule="auto" w:before="8"/>
        <w:rPr>
          <w:rFonts w:ascii="宋体" w:hAnsi="宋体" w:cs="宋体" w:eastAsia="宋体" w:hint="default"/>
          <w:sz w:val="22"/>
          <w:szCs w:val="22"/>
        </w:rPr>
      </w:pPr>
    </w:p>
    <w:p>
      <w:pPr>
        <w:pStyle w:val="Heading4"/>
        <w:spacing w:line="240" w:lineRule="auto"/>
        <w:ind w:right="203"/>
        <w:jc w:val="left"/>
        <w:rPr>
          <w:b w:val="0"/>
          <w:bCs w:val="0"/>
        </w:rPr>
      </w:pPr>
      <w:r>
        <w:rPr>
          <w:rFonts w:ascii="Times New Roman" w:hAnsi="Times New Roman" w:cs="Times New Roman" w:eastAsia="Times New Roman" w:hint="default"/>
        </w:rPr>
        <w:t>20</w:t>
      </w:r>
      <w:r>
        <w:rPr/>
        <w:t>、收入</w:t>
      </w:r>
      <w:r>
        <w:rPr>
          <w:b w:val="0"/>
          <w:bCs w:val="0"/>
        </w:rPr>
      </w:r>
    </w:p>
    <w:p>
      <w:pPr>
        <w:spacing w:line="240" w:lineRule="auto" w:before="7"/>
        <w:rPr>
          <w:rFonts w:ascii="宋体" w:hAnsi="宋体" w:cs="宋体" w:eastAsia="宋体" w:hint="default"/>
          <w:b/>
          <w:bCs/>
          <w:sz w:val="24"/>
          <w:szCs w:val="24"/>
        </w:rPr>
      </w:pPr>
    </w:p>
    <w:p>
      <w:pPr>
        <w:spacing w:before="0"/>
        <w:ind w:left="112" w:right="20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16" w:lineRule="auto" w:before="0"/>
        <w:ind w:left="112" w:right="312" w:firstLine="0"/>
        <w:jc w:val="both"/>
        <w:rPr>
          <w:rFonts w:ascii="宋体" w:hAnsi="宋体" w:cs="宋体" w:eastAsia="宋体" w:hint="default"/>
          <w:sz w:val="18"/>
          <w:szCs w:val="18"/>
        </w:rPr>
      </w:pPr>
      <w:r>
        <w:rPr>
          <w:rFonts w:ascii="宋体" w:hAnsi="宋体" w:cs="宋体" w:eastAsia="宋体" w:hint="default"/>
          <w:spacing w:val="-2"/>
          <w:sz w:val="18"/>
          <w:szCs w:val="18"/>
        </w:rPr>
        <w:t>企业已将商品所有权上的主要风险和报酬转移给购货方；企业既没有保留通常与所有权相联系的继续管理权，也没有对已售</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出的商品实施有效控制；收入的金额能够可靠地计量；相关的经济利益很可能流入企业；相关的已发生或将发生的成本能够</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可靠地计量。</w:t>
      </w:r>
    </w:p>
    <w:p>
      <w:pPr>
        <w:spacing w:line="240" w:lineRule="auto" w:before="6"/>
        <w:rPr>
          <w:rFonts w:ascii="宋体" w:hAnsi="宋体" w:cs="宋体" w:eastAsia="宋体" w:hint="default"/>
          <w:sz w:val="22"/>
          <w:szCs w:val="22"/>
        </w:rPr>
      </w:pPr>
    </w:p>
    <w:p>
      <w:pPr>
        <w:pStyle w:val="Heading4"/>
        <w:spacing w:line="240" w:lineRule="auto"/>
        <w:ind w:right="203"/>
        <w:jc w:val="left"/>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9"/>
        <w:rPr>
          <w:rFonts w:ascii="宋体" w:hAnsi="宋体" w:cs="宋体" w:eastAsia="宋体" w:hint="default"/>
          <w:b/>
          <w:bCs/>
          <w:sz w:val="26"/>
          <w:szCs w:val="26"/>
        </w:rPr>
      </w:pPr>
    </w:p>
    <w:p>
      <w:pPr>
        <w:spacing w:line="316" w:lineRule="auto" w:before="0"/>
        <w:ind w:left="112" w:right="203" w:firstLine="0"/>
        <w:jc w:val="left"/>
        <w:rPr>
          <w:rFonts w:ascii="宋体" w:hAnsi="宋体" w:cs="宋体" w:eastAsia="宋体" w:hint="default"/>
          <w:sz w:val="18"/>
          <w:szCs w:val="18"/>
        </w:rPr>
      </w:pPr>
      <w:r>
        <w:rPr>
          <w:rFonts w:ascii="宋体" w:hAnsi="宋体" w:cs="宋体" w:eastAsia="宋体" w:hint="default"/>
          <w:spacing w:val="-2"/>
          <w:sz w:val="18"/>
          <w:szCs w:val="18"/>
        </w:rPr>
        <w:t>让渡资产使用权收入包括利息收入和使用费收入等；利息收入金额，按照他人使用本公司货币资金的时间和实际利率计算确</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定；使用费收入金额，按照有关合同或协议约定的收费时间和方法计算确定。</w:t>
      </w:r>
    </w:p>
    <w:p>
      <w:pPr>
        <w:spacing w:line="240" w:lineRule="auto" w:before="6"/>
        <w:rPr>
          <w:rFonts w:ascii="宋体" w:hAnsi="宋体" w:cs="宋体" w:eastAsia="宋体" w:hint="default"/>
          <w:sz w:val="22"/>
          <w:szCs w:val="22"/>
        </w:rPr>
      </w:pPr>
    </w:p>
    <w:p>
      <w:pPr>
        <w:pStyle w:val="Heading4"/>
        <w:spacing w:line="240" w:lineRule="auto"/>
        <w:ind w:right="203"/>
        <w:jc w:val="left"/>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7"/>
        <w:rPr>
          <w:rFonts w:ascii="宋体" w:hAnsi="宋体" w:cs="宋体" w:eastAsia="宋体" w:hint="default"/>
          <w:b/>
          <w:bCs/>
          <w:sz w:val="26"/>
          <w:szCs w:val="26"/>
        </w:rPr>
      </w:pPr>
    </w:p>
    <w:p>
      <w:pPr>
        <w:spacing w:line="316" w:lineRule="auto" w:before="0"/>
        <w:ind w:left="112" w:right="203" w:firstLine="0"/>
        <w:jc w:val="left"/>
        <w:rPr>
          <w:rFonts w:ascii="宋体" w:hAnsi="宋体" w:cs="宋体" w:eastAsia="宋体" w:hint="default"/>
          <w:sz w:val="18"/>
          <w:szCs w:val="18"/>
        </w:rPr>
      </w:pPr>
      <w:r>
        <w:rPr>
          <w:rFonts w:ascii="宋体" w:hAnsi="宋体" w:cs="宋体" w:eastAsia="宋体" w:hint="default"/>
          <w:spacing w:val="-2"/>
          <w:sz w:val="18"/>
          <w:szCs w:val="18"/>
        </w:rPr>
        <w:t>对在同一会计年度内开始并完成的劳务，于完成劳务时确认收入；如果劳务的开始和完成分属不同的会计年度，则在提供劳</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务交易的结果能够可靠估计的情况下，于期末按完工百分比法确认相关的劳务收入。</w:t>
      </w:r>
    </w:p>
    <w:p>
      <w:pPr>
        <w:spacing w:line="240" w:lineRule="auto" w:before="8"/>
        <w:rPr>
          <w:rFonts w:ascii="宋体" w:hAnsi="宋体" w:cs="宋体" w:eastAsia="宋体" w:hint="default"/>
          <w:sz w:val="22"/>
          <w:szCs w:val="22"/>
        </w:rPr>
      </w:pPr>
    </w:p>
    <w:p>
      <w:pPr>
        <w:pStyle w:val="Heading4"/>
        <w:spacing w:line="240" w:lineRule="auto"/>
        <w:ind w:right="203"/>
        <w:jc w:val="left"/>
        <w:rPr>
          <w:b w:val="0"/>
          <w:bCs w:val="0"/>
        </w:rPr>
      </w:pPr>
      <w:r>
        <w:rPr/>
        <w:t>（</w:t>
      </w:r>
      <w:r>
        <w:rPr>
          <w:rFonts w:ascii="Times New Roman" w:hAnsi="Times New Roman" w:cs="Times New Roman" w:eastAsia="Times New Roman" w:hint="default"/>
        </w:rPr>
        <w:t>4</w:t>
      </w:r>
      <w:r>
        <w:rPr/>
        <w:t>）按完工百分比法确认提供劳务的收入和建造合同收入时，确定合同完工进度的依据和方法</w:t>
      </w:r>
      <w:r>
        <w:rPr>
          <w:b w:val="0"/>
          <w:bCs w:val="0"/>
        </w:rPr>
      </w:r>
    </w:p>
    <w:p>
      <w:pPr>
        <w:spacing w:line="240" w:lineRule="auto" w:before="7"/>
        <w:rPr>
          <w:rFonts w:ascii="宋体" w:hAnsi="宋体" w:cs="宋体" w:eastAsia="宋体" w:hint="default"/>
          <w:b/>
          <w:bCs/>
          <w:sz w:val="26"/>
          <w:szCs w:val="26"/>
        </w:rPr>
      </w:pPr>
    </w:p>
    <w:p>
      <w:pPr>
        <w:spacing w:line="316" w:lineRule="auto" w:before="0"/>
        <w:ind w:left="112" w:right="214" w:firstLine="0"/>
        <w:jc w:val="left"/>
        <w:rPr>
          <w:rFonts w:ascii="宋体" w:hAnsi="宋体" w:cs="宋体" w:eastAsia="宋体" w:hint="default"/>
          <w:sz w:val="18"/>
          <w:szCs w:val="18"/>
        </w:rPr>
      </w:pPr>
      <w:r>
        <w:rPr>
          <w:rFonts w:ascii="宋体" w:hAnsi="宋体" w:cs="宋体" w:eastAsia="宋体" w:hint="default"/>
          <w:spacing w:val="-2"/>
          <w:sz w:val="18"/>
          <w:szCs w:val="18"/>
        </w:rPr>
        <w:t>提供劳务交易的结果在资产负债表日能够可靠估计的（同时满足收入的金额能够可靠地计量、相关经济利益很可能流入、交</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易的完工进度能够可靠地确定、交易中已发生和将发生的成本能够可靠地计量），采用完工百分比法确认提供劳务的收入，</w:t>
      </w:r>
    </w:p>
    <w:p>
      <w:pPr>
        <w:spacing w:after="0" w:line="316" w:lineRule="auto"/>
        <w:jc w:val="left"/>
        <w:rPr>
          <w:rFonts w:ascii="宋体" w:hAnsi="宋体" w:cs="宋体" w:eastAsia="宋体" w:hint="default"/>
          <w:sz w:val="18"/>
          <w:szCs w:val="18"/>
        </w:rPr>
        <w:sectPr>
          <w:pgSz w:w="11910" w:h="16840"/>
          <w:pgMar w:header="746" w:footer="978" w:top="1060" w:bottom="1160" w:left="1020" w:right="820"/>
        </w:sectPr>
      </w:pPr>
    </w:p>
    <w:p>
      <w:pPr>
        <w:spacing w:line="240" w:lineRule="auto" w:before="12"/>
        <w:rPr>
          <w:rFonts w:ascii="宋体" w:hAnsi="宋体" w:cs="宋体" w:eastAsia="宋体" w:hint="default"/>
          <w:sz w:val="25"/>
          <w:szCs w:val="25"/>
        </w:rPr>
      </w:pPr>
    </w:p>
    <w:p>
      <w:pPr>
        <w:spacing w:line="316" w:lineRule="auto" w:before="44"/>
        <w:ind w:left="112" w:right="272" w:firstLine="0"/>
        <w:jc w:val="both"/>
        <w:rPr>
          <w:rFonts w:ascii="宋体" w:hAnsi="宋体" w:cs="宋体" w:eastAsia="宋体" w:hint="default"/>
          <w:sz w:val="18"/>
          <w:szCs w:val="18"/>
        </w:rPr>
      </w:pPr>
      <w:r>
        <w:rPr>
          <w:rFonts w:ascii="宋体" w:hAnsi="宋体" w:cs="宋体" w:eastAsia="宋体" w:hint="default"/>
          <w:spacing w:val="-2"/>
          <w:sz w:val="18"/>
          <w:szCs w:val="18"/>
        </w:rPr>
        <w:t>并按已经提供劳务占应提供劳务总量的比例确定提供劳务交易的完工进度。提供劳务交易的结果在资产负债表日不能够可靠</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估计的，若已经发生的劳务成本预计能够得到补偿，按已经发生的劳务成本金额确认提供劳务收入，并按相同金额结转劳务</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成本；若已经发生的劳务成本预计不能够得到补偿，将已经发生的劳务成本计入当期损益，不确认劳务收入。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pStyle w:val="Heading4"/>
        <w:spacing w:line="240" w:lineRule="auto"/>
        <w:ind w:right="0"/>
        <w:jc w:val="left"/>
        <w:rPr>
          <w:b w:val="0"/>
          <w:bCs w:val="0"/>
        </w:rPr>
      </w:pPr>
      <w:r>
        <w:rPr>
          <w:rFonts w:ascii="Times New Roman" w:hAnsi="Times New Roman" w:cs="Times New Roman" w:eastAsia="Times New Roman" w:hint="default"/>
        </w:rPr>
        <w:t>21</w:t>
      </w:r>
      <w:r>
        <w:rPr/>
        <w:t>、政府补助</w:t>
      </w:r>
      <w:r>
        <w:rPr>
          <w:b w:val="0"/>
          <w:bCs w:val="0"/>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）类型</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包括财政拨款、财政贴息、税收返还和无偿划拨非货币性资产。</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jc w:val="left"/>
      </w:pPr>
      <w:r>
        <w:rPr/>
        <w:t>本公司收到的与资产相关的政府补助，确认为递延收益，自相关资产达到预定可使用状态时起，在该资产 使用寿命内平均计入各期损益。相关资产在使用寿命结束前被出售、转让、报废或发生毁损的，将递延收 益余额一次性转入资产处置当期的损益。收到的与收益相关的政府补助，用于补偿以后期间的相关费用或 </w:t>
      </w:r>
      <w:r>
        <w:rPr>
          <w:spacing w:val="-4"/>
        </w:rPr>
        <w:t>损失的，确认为递延收益，在确认相关费用的期间计入当期损益；用于补偿已经发生的相关费用或损失的，</w:t>
      </w:r>
      <w:r>
        <w:rPr>
          <w:spacing w:val="-63"/>
        </w:rPr>
        <w:t> </w:t>
      </w:r>
      <w:r>
        <w:rPr>
          <w:spacing w:val="-63"/>
        </w:rPr>
      </w:r>
      <w:r>
        <w:rPr/>
        <w:t>取得时直接计入当期损益。</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22</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00" w:lineRule="auto" w:before="0"/>
        <w:ind w:left="112" w:right="184" w:firstLine="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a</w:t>
      </w:r>
      <w:r>
        <w:rPr>
          <w:rFonts w:ascii="宋体" w:hAnsi="宋体" w:cs="宋体" w:eastAsia="宋体" w:hint="default"/>
          <w:spacing w:val="-2"/>
          <w:sz w:val="18"/>
          <w:szCs w:val="18"/>
        </w:rPr>
        <w:t>、本公司以很可能取得用来抵扣可抵扣暂时性差异的应纳税所得额为限，确认由可抵扣暂时性差异产生的递延所得税资产。</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但是同时具有下列特征的交易中因资产或负债的初始确认所产生的递延所得税资产不予确认：</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该项交易不是企业合并； </w:t>
      </w:r>
      <w:r>
        <w:rPr>
          <w:rFonts w:ascii="Times New Roman" w:hAnsi="Times New Roman" w:cs="Times New Roman" w:eastAsia="Times New Roman" w:hint="default"/>
          <w:w w:val="99"/>
          <w:sz w:val="18"/>
          <w:szCs w:val="18"/>
        </w:rPr>
        <w:t>2/ </w:t>
      </w:r>
      <w:r>
        <w:rPr>
          <w:rFonts w:ascii="宋体" w:hAnsi="宋体" w:cs="宋体" w:eastAsia="宋体" w:hint="default"/>
          <w:spacing w:val="-2"/>
          <w:sz w:val="18"/>
          <w:szCs w:val="18"/>
        </w:rPr>
        <w:t>交易发生时既不影响会计利润也不影响应纳税所得额（或可抵扣亏损）。</w:t>
      </w:r>
      <w:r>
        <w:rPr>
          <w:rFonts w:ascii="Times New Roman" w:hAnsi="Times New Roman" w:cs="Times New Roman" w:eastAsia="Times New Roman" w:hint="default"/>
          <w:spacing w:val="-2"/>
          <w:sz w:val="18"/>
          <w:szCs w:val="18"/>
        </w:rPr>
        <w:t>b</w:t>
      </w:r>
      <w:r>
        <w:rPr>
          <w:rFonts w:ascii="宋体" w:hAnsi="宋体" w:cs="宋体" w:eastAsia="宋体" w:hint="default"/>
          <w:spacing w:val="-2"/>
          <w:sz w:val="18"/>
          <w:szCs w:val="18"/>
        </w:rPr>
        <w:t>、本公司对与子公司、联营公司及合营企业投</w:t>
      </w:r>
      <w:r>
        <w:rPr>
          <w:rFonts w:ascii="宋体" w:hAnsi="宋体" w:cs="宋体" w:eastAsia="宋体" w:hint="default"/>
          <w:spacing w:val="-75"/>
          <w:sz w:val="18"/>
          <w:szCs w:val="18"/>
        </w:rPr>
        <w:t> </w:t>
      </w:r>
      <w:r>
        <w:rPr>
          <w:rFonts w:ascii="宋体" w:hAnsi="宋体" w:cs="宋体" w:eastAsia="宋体" w:hint="default"/>
          <w:sz w:val="18"/>
          <w:szCs w:val="18"/>
        </w:rPr>
        <w:t>资相关的可抵扣暂时性差异，同时满足下列条件的，确认相应的递延所得税资产：</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暂时性差异在可预见的未来很可能转 回；</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未来很可能获得用来抵扣暂时性差异的应纳税所得额。</w:t>
      </w:r>
      <w:r>
        <w:rPr>
          <w:rFonts w:ascii="Times New Roman" w:hAnsi="Times New Roman" w:cs="Times New Roman" w:eastAsia="Times New Roman" w:hint="default"/>
          <w:sz w:val="18"/>
          <w:szCs w:val="18"/>
        </w:rPr>
        <w:t>c</w:t>
      </w:r>
      <w:r>
        <w:rPr>
          <w:rFonts w:ascii="宋体" w:hAnsi="宋体" w:cs="宋体" w:eastAsia="宋体" w:hint="default"/>
          <w:sz w:val="18"/>
          <w:szCs w:val="18"/>
        </w:rPr>
        <w:t>、本公司对于能够结转以后年度的可抵扣亏损和税款抵减， 以很可能获得用来抵扣可抵扣亏损和税款抵减的未来应纳税所得额为限，确认相应的递延所得税资产。</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7"/>
        <w:rPr>
          <w:rFonts w:ascii="宋体" w:hAnsi="宋体" w:cs="宋体" w:eastAsia="宋体" w:hint="default"/>
          <w:b/>
          <w:bCs/>
          <w:sz w:val="26"/>
          <w:szCs w:val="26"/>
        </w:rPr>
      </w:pPr>
    </w:p>
    <w:p>
      <w:pPr>
        <w:spacing w:line="300" w:lineRule="auto" w:before="0"/>
        <w:ind w:left="112" w:right="0" w:firstLine="0"/>
        <w:jc w:val="left"/>
        <w:rPr>
          <w:rFonts w:ascii="宋体" w:hAnsi="宋体" w:cs="宋体" w:eastAsia="宋体" w:hint="default"/>
          <w:sz w:val="18"/>
          <w:szCs w:val="18"/>
        </w:rPr>
      </w:pPr>
      <w:r>
        <w:rPr>
          <w:rFonts w:ascii="宋体" w:hAnsi="宋体" w:cs="宋体" w:eastAsia="宋体" w:hint="default"/>
          <w:spacing w:val="-2"/>
          <w:sz w:val="18"/>
          <w:szCs w:val="18"/>
        </w:rPr>
        <w:t>除下列情况产生的递延所得税负债以外，本公司确认所有应纳税暂时性差异产生的递延所得税负债：</w:t>
      </w:r>
      <w:r>
        <w:rPr>
          <w:rFonts w:ascii="Times New Roman" w:hAnsi="Times New Roman" w:cs="Times New Roman" w:eastAsia="Times New Roman" w:hint="default"/>
          <w:spacing w:val="-2"/>
          <w:sz w:val="18"/>
          <w:szCs w:val="18"/>
        </w:rPr>
        <w:t>a</w:t>
      </w:r>
      <w:r>
        <w:rPr>
          <w:rFonts w:ascii="宋体" w:hAnsi="宋体" w:cs="宋体" w:eastAsia="宋体" w:hint="default"/>
          <w:spacing w:val="-2"/>
          <w:sz w:val="18"/>
          <w:szCs w:val="18"/>
        </w:rPr>
        <w:t>、商誉的初始确认；</w:t>
      </w:r>
      <w:r>
        <w:rPr>
          <w:rFonts w:ascii="Times New Roman" w:hAnsi="Times New Roman" w:cs="Times New Roman" w:eastAsia="Times New Roman" w:hint="default"/>
          <w:spacing w:val="-2"/>
          <w:sz w:val="18"/>
          <w:szCs w:val="18"/>
        </w:rPr>
        <w:t>b</w:t>
      </w:r>
      <w:r>
        <w:rPr>
          <w:rFonts w:ascii="宋体" w:hAnsi="宋体" w:cs="宋体" w:eastAsia="宋体" w:hint="default"/>
          <w:spacing w:val="-2"/>
          <w:sz w:val="18"/>
          <w:szCs w:val="18"/>
        </w:rPr>
        <w:t>、</w:t>
      </w:r>
      <w:r>
        <w:rPr>
          <w:rFonts w:ascii="宋体" w:hAnsi="宋体" w:cs="宋体" w:eastAsia="宋体" w:hint="default"/>
          <w:spacing w:val="-72"/>
          <w:sz w:val="18"/>
          <w:szCs w:val="18"/>
        </w:rPr>
        <w:t> </w:t>
      </w:r>
      <w:r>
        <w:rPr>
          <w:rFonts w:ascii="宋体" w:hAnsi="宋体" w:cs="宋体" w:eastAsia="宋体" w:hint="default"/>
          <w:sz w:val="18"/>
          <w:szCs w:val="18"/>
        </w:rPr>
        <w:t>同时满足具有下列特征的交易中产生的资产或负债的初始确认：</w:t>
      </w:r>
      <w:r>
        <w:rPr>
          <w:rFonts w:ascii="Times New Roman" w:hAnsi="Times New Roman" w:cs="Times New Roman" w:eastAsia="Times New Roman" w:hint="default"/>
          <w:sz w:val="18"/>
          <w:szCs w:val="18"/>
        </w:rPr>
        <w:t>1/ </w:t>
      </w:r>
      <w:r>
        <w:rPr>
          <w:rFonts w:ascii="宋体" w:hAnsi="宋体" w:cs="宋体" w:eastAsia="宋体" w:hint="default"/>
          <w:sz w:val="18"/>
          <w:szCs w:val="18"/>
        </w:rPr>
        <w:t>该项交易不是企业合并；</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交易发生时既不影响会计利 </w:t>
      </w:r>
      <w:r>
        <w:rPr>
          <w:rFonts w:ascii="宋体" w:hAnsi="宋体" w:cs="宋体" w:eastAsia="宋体" w:hint="default"/>
          <w:spacing w:val="-5"/>
          <w:w w:val="99"/>
          <w:sz w:val="18"/>
          <w:szCs w:val="18"/>
        </w:rPr>
        <w:t>润也不影响应纳税所得额（或可抵扣亏损）。</w:t>
      </w:r>
      <w:r>
        <w:rPr>
          <w:rFonts w:ascii="Times New Roman" w:hAnsi="Times New Roman" w:cs="Times New Roman" w:eastAsia="Times New Roman" w:hint="default"/>
          <w:spacing w:val="-5"/>
          <w:w w:val="99"/>
          <w:sz w:val="18"/>
          <w:szCs w:val="18"/>
        </w:rPr>
        <w:t>c</w:t>
      </w:r>
      <w:r>
        <w:rPr>
          <w:rFonts w:ascii="宋体" w:hAnsi="宋体" w:cs="宋体" w:eastAsia="宋体" w:hint="default"/>
          <w:spacing w:val="-5"/>
          <w:w w:val="99"/>
          <w:sz w:val="18"/>
          <w:szCs w:val="18"/>
        </w:rPr>
        <w:t>、本公司对与子公司、联营公司及合营企业投资产生相关的应纳税暂时性差异，</w:t>
      </w:r>
      <w:r>
        <w:rPr>
          <w:rFonts w:ascii="宋体" w:hAnsi="宋体" w:cs="宋体" w:eastAsia="宋体" w:hint="default"/>
          <w:spacing w:val="-63"/>
          <w:w w:val="99"/>
          <w:sz w:val="18"/>
          <w:szCs w:val="18"/>
        </w:rPr>
        <w:t> </w:t>
      </w:r>
      <w:r>
        <w:rPr>
          <w:rFonts w:ascii="宋体" w:hAnsi="宋体" w:cs="宋体" w:eastAsia="宋体" w:hint="default"/>
          <w:spacing w:val="-63"/>
          <w:w w:val="99"/>
          <w:sz w:val="18"/>
          <w:szCs w:val="18"/>
        </w:rPr>
      </w:r>
      <w:r>
        <w:rPr>
          <w:rFonts w:ascii="宋体" w:hAnsi="宋体" w:cs="宋体" w:eastAsia="宋体" w:hint="default"/>
          <w:sz w:val="18"/>
          <w:szCs w:val="18"/>
        </w:rPr>
        <w:t>同时满足下列条件的：</w:t>
      </w:r>
      <w:r>
        <w:rPr>
          <w:rFonts w:ascii="Times New Roman" w:hAnsi="Times New Roman" w:cs="Times New Roman" w:eastAsia="Times New Roman" w:hint="default"/>
          <w:sz w:val="18"/>
          <w:szCs w:val="18"/>
        </w:rPr>
        <w:t>1/  </w:t>
      </w:r>
      <w:r>
        <w:rPr>
          <w:rFonts w:ascii="宋体" w:hAnsi="宋体" w:cs="宋体" w:eastAsia="宋体" w:hint="default"/>
          <w:sz w:val="18"/>
          <w:szCs w:val="18"/>
        </w:rPr>
        <w:t>投资企业能够控制暂时性差异的转回的时间；</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暂时性差异在可预见的未来很可能不会转回。</w:t>
      </w:r>
    </w:p>
    <w:p>
      <w:pPr>
        <w:spacing w:line="240" w:lineRule="auto" w:before="13"/>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23</w:t>
      </w:r>
      <w:r>
        <w:rPr/>
        <w:t>、经营租赁、融资租赁</w:t>
      </w:r>
      <w:r>
        <w:rPr>
          <w:b w:val="0"/>
          <w:bCs w:val="0"/>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）经营租赁会计处理</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16" w:lineRule="auto" w:before="0"/>
        <w:ind w:left="112" w:right="272" w:firstLine="0"/>
        <w:jc w:val="both"/>
        <w:rPr>
          <w:rFonts w:ascii="宋体" w:hAnsi="宋体" w:cs="宋体" w:eastAsia="宋体" w:hint="default"/>
          <w:sz w:val="18"/>
          <w:szCs w:val="18"/>
        </w:rPr>
      </w:pPr>
      <w:r>
        <w:rPr>
          <w:rFonts w:ascii="宋体" w:hAnsi="宋体" w:cs="宋体" w:eastAsia="宋体" w:hint="default"/>
          <w:spacing w:val="-2"/>
          <w:sz w:val="18"/>
          <w:szCs w:val="18"/>
        </w:rPr>
        <w:t>公司为承租人时，在租赁期内各个期间按照直线法将租金计入相关资产成本或确认为当期损益，发生的初始直接费用，直接</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计入当期损益。或有租金在实际发生时计入当期损益。</w:t>
      </w:r>
      <w:r>
        <w:rPr>
          <w:rFonts w:ascii="宋体" w:hAnsi="宋体" w:cs="宋体" w:eastAsia="宋体" w:hint="default"/>
          <w:spacing w:val="1"/>
          <w:sz w:val="18"/>
          <w:szCs w:val="18"/>
        </w:rPr>
        <w:t> </w:t>
      </w:r>
      <w:r>
        <w:rPr>
          <w:rFonts w:ascii="宋体" w:hAnsi="宋体" w:cs="宋体" w:eastAsia="宋体" w:hint="default"/>
          <w:sz w:val="18"/>
          <w:szCs w:val="18"/>
        </w:rPr>
        <w:t>公司为出租人时，在租赁期内各个期间按照直线法将租金确认为当</w:t>
      </w:r>
      <w:r>
        <w:rPr>
          <w:rFonts w:ascii="宋体" w:hAnsi="宋体" w:cs="宋体" w:eastAsia="宋体" w:hint="default"/>
          <w:sz w:val="18"/>
          <w:szCs w:val="18"/>
        </w:rPr>
        <w:t> </w:t>
      </w:r>
      <w:r>
        <w:rPr>
          <w:rFonts w:ascii="宋体" w:hAnsi="宋体" w:cs="宋体" w:eastAsia="宋体" w:hint="default"/>
          <w:spacing w:val="-2"/>
          <w:sz w:val="18"/>
          <w:szCs w:val="18"/>
        </w:rPr>
        <w:t>期损益，发生的初始直接费用，除金额较大的予以资本化并分期计入损益外，均直接计入当期损益。或有租金在实际发生时</w:t>
      </w:r>
    </w:p>
    <w:p>
      <w:pPr>
        <w:spacing w:after="0" w:line="316" w:lineRule="auto"/>
        <w:jc w:val="both"/>
        <w:rPr>
          <w:rFonts w:ascii="宋体" w:hAnsi="宋体" w:cs="宋体" w:eastAsia="宋体" w:hint="default"/>
          <w:sz w:val="18"/>
          <w:szCs w:val="18"/>
        </w:rPr>
        <w:sectPr>
          <w:pgSz w:w="11910" w:h="16840"/>
          <w:pgMar w:header="746" w:footer="978" w:top="1060" w:bottom="1160" w:left="1020" w:right="860"/>
        </w:sectPr>
      </w:pPr>
    </w:p>
    <w:p>
      <w:pPr>
        <w:spacing w:line="240" w:lineRule="auto" w:before="12"/>
        <w:rPr>
          <w:rFonts w:ascii="宋体" w:hAnsi="宋体" w:cs="宋体" w:eastAsia="宋体" w:hint="default"/>
          <w:sz w:val="25"/>
          <w:szCs w:val="25"/>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4"/>
        <w:spacing w:line="240" w:lineRule="auto"/>
        <w:ind w:right="0"/>
        <w:jc w:val="left"/>
        <w:rPr>
          <w:b w:val="0"/>
          <w:bCs w:val="0"/>
        </w:rPr>
      </w:pPr>
      <w:r>
        <w:rPr>
          <w:rFonts w:ascii="Times New Roman" w:hAnsi="Times New Roman" w:cs="Times New Roman" w:eastAsia="Times New Roman" w:hint="default"/>
        </w:rPr>
        <w:t>24</w:t>
      </w:r>
      <w:r>
        <w:rPr/>
        <w:t>、主要会计政策、会计估计的变更</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本报告期主要会计政策、会计估计是否变更</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本报告期主要会计政策是否变更</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本报告期主要会计估计是否变更</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25</w:t>
      </w:r>
      <w:r>
        <w:rPr/>
        <w:t>、前期会计差错更正</w:t>
      </w:r>
      <w:r>
        <w:rPr>
          <w:b w:val="0"/>
          <w:bCs w:val="0"/>
        </w:rPr>
      </w:r>
    </w:p>
    <w:p>
      <w:pPr>
        <w:spacing w:line="240" w:lineRule="auto" w:before="9"/>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本报告期是否发现前期会计差错</w:t>
      </w:r>
    </w:p>
    <w:p>
      <w:pPr>
        <w:spacing w:line="340" w:lineRule="auto" w:before="115"/>
        <w:ind w:left="112" w:right="880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 无</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本报告期是否发现采用追溯重述法的前期会计差错</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本报告期是否发现采用未来适用法的前期会计差错</w:t>
      </w:r>
    </w:p>
    <w:p>
      <w:pPr>
        <w:spacing w:before="115"/>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五、税项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515"/>
        <w:gridCol w:w="3026"/>
        <w:gridCol w:w="3026"/>
      </w:tblGrid>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714"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6"/>
                <w:sz w:val="18"/>
                <w:szCs w:val="18"/>
              </w:rPr>
              <w:t>销售收入、加工及修理修配劳务收入以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及进口货物应税金额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17%</w:t>
            </w:r>
          </w:p>
        </w:tc>
      </w:tr>
      <w:tr>
        <w:trPr>
          <w:trHeight w:val="714"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21"/>
              <w:jc w:val="left"/>
              <w:rPr>
                <w:rFonts w:ascii="宋体" w:hAnsi="宋体" w:cs="宋体" w:eastAsia="宋体" w:hint="default"/>
                <w:sz w:val="18"/>
                <w:szCs w:val="18"/>
              </w:rPr>
            </w:pPr>
            <w:r>
              <w:rPr>
                <w:rFonts w:ascii="宋体" w:hAnsi="宋体" w:cs="宋体" w:eastAsia="宋体" w:hint="default"/>
                <w:spacing w:val="-6"/>
                <w:sz w:val="18"/>
                <w:szCs w:val="18"/>
              </w:rPr>
              <w:t>应税劳务收入、转让无形资产及销售不</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动产收入</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3515"/>
        <w:gridCol w:w="3026"/>
        <w:gridCol w:w="3026"/>
      </w:tblGrid>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应纳增值税及营业税额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应纳税所得</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应纳增值税及营业税额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应纳增值税及营业税额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各分公司、分厂执行的所得税税率</w:t>
      </w:r>
    </w:p>
    <w:p>
      <w:pPr>
        <w:spacing w:line="261" w:lineRule="auto" w:before="94"/>
        <w:ind w:left="112" w:right="0" w:firstLine="0"/>
        <w:jc w:val="left"/>
        <w:rPr>
          <w:rFonts w:ascii="宋体" w:hAnsi="宋体" w:cs="宋体" w:eastAsia="宋体" w:hint="default"/>
          <w:sz w:val="21"/>
          <w:szCs w:val="21"/>
        </w:rPr>
      </w:pPr>
      <w:r>
        <w:rPr>
          <w:rFonts w:ascii="宋体" w:hAnsi="宋体" w:cs="宋体" w:eastAsia="宋体" w:hint="default"/>
          <w:spacing w:val="-2"/>
          <w:sz w:val="18"/>
          <w:szCs w:val="18"/>
        </w:rPr>
        <w:t>公司的分公司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广海分公司执行</w:t>
      </w:r>
      <w:r>
        <w:rPr>
          <w:rFonts w:ascii="Times New Roman" w:hAnsi="Times New Roman" w:cs="Times New Roman" w:eastAsia="Times New Roman" w:hint="default"/>
          <w:spacing w:val="-2"/>
          <w:sz w:val="18"/>
          <w:szCs w:val="18"/>
        </w:rPr>
        <w:t>25%</w:t>
      </w:r>
      <w:r>
        <w:rPr>
          <w:rFonts w:ascii="宋体" w:hAnsi="宋体" w:cs="宋体" w:eastAsia="宋体" w:hint="default"/>
          <w:spacing w:val="-2"/>
          <w:sz w:val="18"/>
          <w:szCs w:val="18"/>
        </w:rPr>
        <w:t>的所得税税率，公司全资子公司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21"/>
          <w:szCs w:val="21"/>
        </w:rPr>
        <w:t>重庆市隆泰稀土新材料有限责任公司为从</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事国家鼓励类产业的内资企业，按</w:t>
      </w:r>
      <w:r>
        <w:rPr>
          <w:rFonts w:ascii="Times New Roman" w:hAnsi="Times New Roman" w:cs="Times New Roman" w:eastAsia="Times New Roman" w:hint="default"/>
          <w:sz w:val="21"/>
          <w:szCs w:val="21"/>
        </w:rPr>
        <w:t>15%</w:t>
      </w:r>
      <w:r>
        <w:rPr>
          <w:rFonts w:ascii="宋体" w:hAnsi="宋体" w:cs="宋体" w:eastAsia="宋体" w:hint="default"/>
          <w:sz w:val="21"/>
          <w:szCs w:val="21"/>
        </w:rPr>
        <w:t>的税率缴纳企业所得税。</w:t>
      </w:r>
    </w:p>
    <w:p>
      <w:pPr>
        <w:spacing w:line="240" w:lineRule="auto" w:before="2"/>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111" w:firstLine="42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21</w:t>
      </w:r>
      <w:r>
        <w:rPr/>
        <w:t>日，经安徽省科学技术厅、安徽省财政厅、安徽省国家税务局、安徽省地方税务局联合 下发的《关于公布安徽省</w:t>
      </w:r>
      <w:r>
        <w:rPr>
          <w:rFonts w:ascii="Times New Roman" w:hAnsi="Times New Roman" w:cs="Times New Roman" w:eastAsia="Times New Roman" w:hint="default"/>
        </w:rPr>
        <w:t>2011</w:t>
      </w:r>
      <w:r>
        <w:rPr/>
        <w:t>年复审高新技术企业名单的通知》（科高</w:t>
      </w:r>
      <w:r>
        <w:rPr>
          <w:rFonts w:ascii="Times New Roman" w:hAnsi="Times New Roman" w:cs="Times New Roman" w:eastAsia="Times New Roman" w:hint="default"/>
        </w:rPr>
        <w:t>[2012]12</w:t>
      </w:r>
      <w:r>
        <w:rPr/>
        <w:t>号）认定，本公司通过高 </w:t>
      </w:r>
      <w:r>
        <w:rPr>
          <w:spacing w:val="-2"/>
        </w:rPr>
        <w:t>新技术企业复审，证书编号：</w:t>
      </w:r>
      <w:r>
        <w:rPr>
          <w:rFonts w:ascii="Times New Roman" w:hAnsi="Times New Roman" w:cs="Times New Roman" w:eastAsia="Times New Roman" w:hint="default"/>
          <w:spacing w:val="-2"/>
        </w:rPr>
        <w:t>GF201134000145</w:t>
      </w:r>
      <w:r>
        <w:rPr>
          <w:spacing w:val="-2"/>
        </w:rPr>
        <w:t>，有效期三年。自</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日起三年内，公司享受国家关</w:t>
      </w:r>
      <w:r>
        <w:rPr>
          <w:spacing w:val="-97"/>
        </w:rPr>
        <w:t> </w:t>
      </w:r>
      <w:r>
        <w:rPr>
          <w:spacing w:val="-97"/>
        </w:rPr>
      </w:r>
      <w:r>
        <w:rPr/>
        <w:t>于高新技术企业的相关优惠政策，按</w:t>
      </w:r>
      <w:r>
        <w:rPr>
          <w:rFonts w:ascii="Times New Roman" w:hAnsi="Times New Roman" w:cs="Times New Roman" w:eastAsia="Times New Roman" w:hint="default"/>
        </w:rPr>
        <w:t>15%</w:t>
      </w:r>
      <w:r>
        <w:rPr/>
        <w:t>的税率缴纳企业所得税。</w:t>
      </w:r>
    </w:p>
    <w:p>
      <w:pPr>
        <w:pStyle w:val="BodyText"/>
        <w:spacing w:line="256" w:lineRule="auto" w:before="5"/>
        <w:ind w:right="109" w:firstLine="840"/>
        <w:jc w:val="both"/>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30</w:t>
      </w:r>
      <w:r>
        <w:rPr>
          <w:spacing w:val="-1"/>
        </w:rPr>
        <w:t>日，重庆市经济和信息化委员会下发的编号为（内）鼓励类确认（</w:t>
      </w:r>
      <w:r>
        <w:rPr>
          <w:rFonts w:ascii="Times New Roman" w:hAnsi="Times New Roman" w:cs="Times New Roman" w:eastAsia="Times New Roman" w:hint="default"/>
          <w:spacing w:val="-1"/>
        </w:rPr>
        <w:t>2012</w:t>
      </w:r>
      <w:r>
        <w:rPr>
          <w:spacing w:val="-1"/>
        </w:rPr>
        <w:t>）</w:t>
      </w:r>
      <w:r>
        <w:rPr>
          <w:rFonts w:ascii="Times New Roman" w:hAnsi="Times New Roman" w:cs="Times New Roman" w:eastAsia="Times New Roman" w:hint="default"/>
          <w:spacing w:val="-1"/>
        </w:rPr>
        <w:t>173</w:t>
      </w:r>
      <w:r>
        <w:rPr>
          <w:spacing w:val="-1"/>
        </w:rPr>
        <w:t>号国家</w:t>
      </w:r>
      <w:r>
        <w:rPr/>
        <w:t> 鼓励类产业确认书认定重庆市隆泰稀土新材料有限责任公司为从事国家鼓励类产业的内资企业，按</w:t>
      </w:r>
      <w:r>
        <w:rPr>
          <w:rFonts w:ascii="Times New Roman" w:hAnsi="Times New Roman" w:cs="Times New Roman" w:eastAsia="Times New Roman" w:hint="default"/>
        </w:rPr>
        <w:t>15%</w:t>
      </w:r>
      <w:r>
        <w:rPr/>
        <w:t>的 税率缴纳企业所得税。</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line="487" w:lineRule="auto" w:before="0"/>
        <w:ind w:left="112" w:right="660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b/>
          <w:bCs/>
          <w:w w:val="99"/>
          <w:sz w:val="21"/>
          <w:szCs w:val="21"/>
        </w:rPr>
        <w:t> </w:t>
      </w:r>
      <w:r>
        <w:rPr>
          <w:rFonts w:ascii="宋体" w:hAnsi="宋体" w:cs="宋体" w:eastAsia="宋体" w:hint="default"/>
          <w:b/>
          <w:bCs/>
          <w:sz w:val="24"/>
          <w:szCs w:val="24"/>
        </w:rPr>
        <w:t>六、企业合并及合并财务报表</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、子公司情况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pStyle w:val="Heading4"/>
        <w:spacing w:line="240" w:lineRule="auto" w:before="144"/>
        <w:ind w:right="0"/>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7"/>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685"/>
        <w:gridCol w:w="683"/>
        <w:gridCol w:w="683"/>
        <w:gridCol w:w="683"/>
        <w:gridCol w:w="683"/>
        <w:gridCol w:w="683"/>
        <w:gridCol w:w="683"/>
        <w:gridCol w:w="683"/>
        <w:gridCol w:w="683"/>
        <w:gridCol w:w="683"/>
        <w:gridCol w:w="683"/>
        <w:gridCol w:w="683"/>
        <w:gridCol w:w="683"/>
        <w:gridCol w:w="683"/>
      </w:tblGrid>
      <w:tr>
        <w:trPr>
          <w:trHeight w:val="357" w:hRule="exact"/>
        </w:trPr>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从母公</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司所有</w:t>
            </w:r>
          </w:p>
        </w:tc>
      </w:tr>
      <w:tr>
        <w:trPr>
          <w:trHeight w:val="2496"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316" w:lineRule="auto"/>
              <w:ind w:left="157" w:right="67"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316" w:lineRule="auto"/>
              <w:ind w:left="156" w:right="66" w:hanging="92"/>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6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316" w:lineRule="auto"/>
              <w:ind w:left="247" w:right="64"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316" w:lineRule="auto"/>
              <w:ind w:left="246" w:right="64"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316" w:lineRule="auto"/>
              <w:ind w:left="65" w:right="66"/>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47"/>
              <w:ind w:left="66"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316" w:lineRule="auto"/>
              <w:ind w:left="112" w:right="64"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338" w:lineRule="auto"/>
              <w:ind w:left="65"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316" w:lineRule="auto"/>
              <w:ind w:left="66" w:right="64"/>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316" w:lineRule="auto"/>
              <w:ind w:left="65" w:right="67"/>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47"/>
              <w:ind w:left="66" w:right="66"/>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5" w:right="66"/>
              <w:jc w:val="both"/>
              <w:rPr>
                <w:rFonts w:ascii="宋体" w:hAnsi="宋体" w:cs="宋体" w:eastAsia="宋体" w:hint="default"/>
                <w:sz w:val="18"/>
                <w:szCs w:val="18"/>
              </w:rPr>
            </w:pPr>
            <w:r>
              <w:rPr>
                <w:rFonts w:ascii="宋体" w:hAnsi="宋体" w:cs="宋体" w:eastAsia="宋体" w:hint="default"/>
                <w:sz w:val="18"/>
                <w:szCs w:val="18"/>
              </w:rPr>
              <w:t>者权益 冲减子 公司少 数股东 分担的 本期亏 损超过 少数股</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东在该</w:t>
            </w:r>
          </w:p>
        </w:tc>
      </w:tr>
      <w:tr>
        <w:trPr>
          <w:trHeight w:val="317" w:hRule="exact"/>
        </w:trPr>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子公司</w:t>
            </w:r>
          </w:p>
        </w:tc>
      </w:tr>
    </w:tbl>
    <w:p>
      <w:pPr>
        <w:spacing w:after="0" w:line="240" w:lineRule="auto"/>
        <w:jc w:val="center"/>
        <w:rPr>
          <w:rFonts w:ascii="宋体" w:hAnsi="宋体" w:cs="宋体" w:eastAsia="宋体" w:hint="default"/>
          <w:sz w:val="18"/>
          <w:szCs w:val="18"/>
        </w:rPr>
        <w:sectPr>
          <w:footerReference w:type="default" r:id="rId27"/>
          <w:pgSz w:w="11910" w:h="16840"/>
          <w:pgMar w:footer="978" w:header="746" w:top="1060" w:bottom="1160" w:left="1020" w:right="1020"/>
          <w:pgNumType w:start="8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685"/>
        <w:gridCol w:w="683"/>
        <w:gridCol w:w="683"/>
        <w:gridCol w:w="683"/>
        <w:gridCol w:w="683"/>
        <w:gridCol w:w="683"/>
        <w:gridCol w:w="683"/>
        <w:gridCol w:w="683"/>
        <w:gridCol w:w="683"/>
        <w:gridCol w:w="683"/>
        <w:gridCol w:w="683"/>
        <w:gridCol w:w="683"/>
        <w:gridCol w:w="683"/>
        <w:gridCol w:w="683"/>
      </w:tblGrid>
      <w:tr>
        <w:trPr>
          <w:trHeight w:val="318" w:hRule="exact"/>
        </w:trPr>
        <w:tc>
          <w:tcPr>
            <w:tcW w:w="685"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年初所</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享有份</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额后的</w:t>
            </w:r>
          </w:p>
        </w:tc>
      </w:tr>
      <w:tr>
        <w:trPr>
          <w:trHeight w:val="356" w:hRule="exact"/>
        </w:trPr>
        <w:tc>
          <w:tcPr>
            <w:tcW w:w="685"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生产销</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2184"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重庆市 隆泰稀 土新材 料有限 责任公 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24" w:right="107"/>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09"/>
              <w:jc w:val="both"/>
              <w:rPr>
                <w:rFonts w:ascii="宋体" w:hAnsi="宋体" w:cs="宋体" w:eastAsia="宋体" w:hint="default"/>
                <w:sz w:val="18"/>
                <w:szCs w:val="18"/>
              </w:rPr>
            </w:pPr>
            <w:r>
              <w:rPr>
                <w:rFonts w:ascii="宋体" w:hAnsi="宋体" w:cs="宋体" w:eastAsia="宋体" w:hint="default"/>
                <w:sz w:val="18"/>
                <w:szCs w:val="18"/>
              </w:rPr>
              <w:t>售稀土 锌铝合 金，稀 土多元 合金镀 层丝绳 及镀件</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0"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1" w:right="0"/>
              <w:jc w:val="lef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通过设立或投资等方式取得的子公司的其他说明</w:t>
      </w:r>
    </w:p>
    <w:p>
      <w:pPr>
        <w:pStyle w:val="BodyText"/>
        <w:spacing w:line="256" w:lineRule="auto" w:before="92"/>
        <w:ind w:right="111" w:firstLine="436"/>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26</w:t>
      </w:r>
      <w:r>
        <w:rPr/>
        <w:t>日，本公司第一届董事会十五次会议审议通过了《关于设立全资子公司的议案》。根据 </w:t>
      </w:r>
      <w:r>
        <w:rPr>
          <w:spacing w:val="-2"/>
        </w:rPr>
        <w:t>协议、章程的规定，拟设全资子公司隆泰稀土注册资本为人民币</w:t>
      </w:r>
      <w:r>
        <w:rPr>
          <w:rFonts w:ascii="Times New Roman" w:hAnsi="Times New Roman" w:cs="Times New Roman" w:eastAsia="Times New Roman" w:hint="default"/>
          <w:spacing w:val="-2"/>
        </w:rPr>
        <w:t>1,000</w:t>
      </w:r>
      <w:r>
        <w:rPr>
          <w:spacing w:val="-2"/>
        </w:rPr>
        <w:t>万元，于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8</w:t>
      </w:r>
      <w:r>
        <w:rPr>
          <w:spacing w:val="-2"/>
        </w:rPr>
        <w:t>日前由本公司一</w:t>
      </w:r>
      <w:r>
        <w:rPr>
          <w:spacing w:val="-100"/>
        </w:rPr>
        <w:t> </w:t>
      </w:r>
      <w:r>
        <w:rPr>
          <w:spacing w:val="-100"/>
        </w:rPr>
      </w:r>
      <w:r>
        <w:rPr/>
        <w:t>次缴足。截至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8</w:t>
      </w:r>
      <w:r>
        <w:rPr/>
        <w:t>日止，公司已向隆泰稀土货币出资</w:t>
      </w:r>
      <w:r>
        <w:rPr>
          <w:rFonts w:ascii="Times New Roman" w:hAnsi="Times New Roman" w:cs="Times New Roman" w:eastAsia="Times New Roman" w:hint="default"/>
        </w:rPr>
        <w:t>1,000</w:t>
      </w:r>
      <w:r>
        <w:rPr/>
        <w:t>万元。</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日，隆泰稀土取得了</w:t>
      </w:r>
      <w:r>
        <w:rPr>
          <w:spacing w:val="-97"/>
        </w:rPr>
        <w:t> </w:t>
      </w:r>
      <w:r>
        <w:rPr>
          <w:spacing w:val="-97"/>
        </w:rPr>
      </w:r>
      <w:r>
        <w:rPr/>
        <w:t>重庆市武隆县工商行政管理局颁发的企业法人营业执照。</w:t>
      </w:r>
    </w:p>
    <w:p>
      <w:pPr>
        <w:pStyle w:val="BodyText"/>
        <w:spacing w:line="256" w:lineRule="auto" w:before="22"/>
        <w:ind w:right="108" w:firstLine="436"/>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日，本公司</w:t>
      </w:r>
      <w:r>
        <w:rPr>
          <w:rFonts w:ascii="Times New Roman" w:hAnsi="Times New Roman" w:cs="Times New Roman" w:eastAsia="Times New Roman" w:hint="default"/>
        </w:rPr>
        <w:t>2011</w:t>
      </w:r>
      <w:r>
        <w:rPr/>
        <w:t>年第一次临时股东大会审议通过了《关于使用部分超募资金对全资子公 </w:t>
      </w:r>
      <w:r>
        <w:rPr>
          <w:spacing w:val="-5"/>
        </w:rPr>
        <w:t>司增资以实施年产</w:t>
      </w:r>
      <w:r>
        <w:rPr>
          <w:rFonts w:ascii="Times New Roman" w:hAnsi="Times New Roman" w:cs="Times New Roman" w:eastAsia="Times New Roman" w:hint="default"/>
          <w:spacing w:val="-5"/>
        </w:rPr>
        <w:t>6</w:t>
      </w:r>
      <w:r>
        <w:rPr>
          <w:spacing w:val="-5"/>
        </w:rPr>
        <w:t>万吨高铁</w:t>
      </w:r>
      <w:r>
        <w:rPr>
          <w:rFonts w:ascii="Times New Roman" w:hAnsi="Times New Roman" w:cs="Times New Roman" w:eastAsia="Times New Roman" w:hint="default"/>
          <w:spacing w:val="-5"/>
        </w:rPr>
        <w:t>PC</w:t>
      </w:r>
      <w:r>
        <w:rPr>
          <w:spacing w:val="-5"/>
        </w:rPr>
        <w:t>制品项目的议案》，决定对隆泰稀土以货币增资人民币</w:t>
      </w:r>
      <w:r>
        <w:rPr>
          <w:rFonts w:ascii="Times New Roman" w:hAnsi="Times New Roman" w:cs="Times New Roman" w:eastAsia="Times New Roman" w:hint="default"/>
          <w:spacing w:val="-5"/>
        </w:rPr>
        <w:t>4,000</w:t>
      </w:r>
      <w:r>
        <w:rPr>
          <w:spacing w:val="-5"/>
        </w:rPr>
        <w:t>万元。截至</w:t>
      </w:r>
      <w:r>
        <w:rPr>
          <w:rFonts w:ascii="Times New Roman" w:hAnsi="Times New Roman" w:cs="Times New Roman" w:eastAsia="Times New Roman" w:hint="default"/>
          <w:spacing w:val="-5"/>
        </w:rPr>
        <w:t>2011</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22</w:t>
      </w:r>
      <w:r>
        <w:rPr/>
        <w:t>日止，公司向隆泰稀土货币增资</w:t>
      </w:r>
      <w:r>
        <w:rPr>
          <w:rFonts w:ascii="Times New Roman" w:hAnsi="Times New Roman" w:cs="Times New Roman" w:eastAsia="Times New Roman" w:hint="default"/>
        </w:rPr>
        <w:t>4,000</w:t>
      </w:r>
      <w:r>
        <w:rPr/>
        <w:t>万元。</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日取得增资后的营业执照。</w:t>
      </w:r>
    </w:p>
    <w:p>
      <w:pPr>
        <w:spacing w:line="240" w:lineRule="auto" w:before="7"/>
        <w:rPr>
          <w:rFonts w:ascii="宋体" w:hAnsi="宋体" w:cs="宋体" w:eastAsia="宋体" w:hint="default"/>
          <w:sz w:val="21"/>
          <w:szCs w:val="21"/>
        </w:rPr>
      </w:pPr>
    </w:p>
    <w:p>
      <w:pPr>
        <w:pStyle w:val="Heading2"/>
        <w:spacing w:line="240" w:lineRule="auto"/>
        <w:ind w:right="0"/>
        <w:jc w:val="left"/>
        <w:rPr>
          <w:b w:val="0"/>
          <w:bCs w:val="0"/>
        </w:rPr>
      </w:pPr>
      <w:r>
        <w:rPr/>
        <w:t>七、合并财务报表主要项目注释</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7"/>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8"/>
        <w:gridCol w:w="1327"/>
        <w:gridCol w:w="930"/>
        <w:gridCol w:w="1462"/>
        <w:gridCol w:w="1328"/>
        <w:gridCol w:w="929"/>
        <w:gridCol w:w="1594"/>
      </w:tblGrid>
      <w:tr>
        <w:trPr>
          <w:trHeight w:val="402" w:hRule="exact"/>
        </w:trPr>
        <w:tc>
          <w:tcPr>
            <w:tcW w:w="19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1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98" w:type="dxa"/>
            <w:vMerge/>
            <w:tcBorders>
              <w:left w:val="single" w:sz="4" w:space="0" w:color="000000"/>
              <w:bottom w:val="single" w:sz="4" w:space="0" w:color="000000"/>
              <w:right w:val="single" w:sz="4" w:space="0" w:color="000000"/>
            </w:tcBorders>
            <w:shd w:val="clear" w:color="auto" w:fill="D3D3D3"/>
          </w:tcPr>
          <w:p>
            <w:pP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9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75"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9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20,851.97</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106,419.58</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20,851.97</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20,851.97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106,419.58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106,419.58</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113,655,995.37</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220,020,875.71</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112,574,294.51</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112,574,294.51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216,089,252.15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216,089,252.15</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  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172,094.48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1,081,699.86</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623,978.04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3,931,623.23</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欧  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0.12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8.16%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0.33</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10,567,467.00</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36,034,154.40</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10,567,467.00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10,567,467.00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36,034,154.40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36,034,154.40</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124,244,314.34</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256,161,449.69</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12"/>
        <w:rPr>
          <w:rFonts w:ascii="宋体" w:hAnsi="宋体" w:cs="宋体" w:eastAsia="宋体" w:hint="default"/>
          <w:sz w:val="25"/>
          <w:szCs w:val="25"/>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如有因抵押、质押或冻结等对使用有限制、存放在境外、有潜在回收风险的款项应单独说明</w:t>
      </w:r>
    </w:p>
    <w:p>
      <w:pPr>
        <w:pStyle w:val="BodyText"/>
        <w:spacing w:line="240" w:lineRule="auto" w:before="89"/>
        <w:ind w:left="532" w:right="0"/>
        <w:jc w:val="left"/>
      </w:pPr>
      <w:r>
        <w:rPr/>
        <w:t>其年末他货币资金中保函保证金</w:t>
      </w:r>
      <w:r>
        <w:rPr>
          <w:rFonts w:ascii="Times New Roman" w:hAnsi="Times New Roman" w:cs="Times New Roman" w:eastAsia="Times New Roman" w:hint="default"/>
        </w:rPr>
        <w:t>17,467.00</w:t>
      </w:r>
      <w:r>
        <w:rPr/>
        <w:t>元，银行承兑汇票保证金</w:t>
      </w:r>
      <w:r>
        <w:rPr>
          <w:rFonts w:ascii="Times New Roman" w:hAnsi="Times New Roman" w:cs="Times New Roman" w:eastAsia="Times New Roman" w:hint="default"/>
        </w:rPr>
        <w:t>10,550,000.00</w:t>
      </w:r>
      <w:r>
        <w:rPr/>
        <w:t>元。</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）应收票据的分类</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988"/>
        <w:gridCol w:w="2657"/>
        <w:gridCol w:w="2922"/>
      </w:tblGrid>
      <w:tr>
        <w:trPr>
          <w:trHeight w:val="402"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111,144,984.69</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63,419,237.26</w:t>
            </w: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已贴现未到期的银行承兑汇票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102,362,536.02</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213,507,520.71</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63,419,237.26</w:t>
            </w:r>
          </w:p>
        </w:tc>
      </w:tr>
    </w:tbl>
    <w:p>
      <w:pPr>
        <w:spacing w:line="240" w:lineRule="auto" w:before="4"/>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）期末已质押的应收票据情况</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4"/>
        <w:gridCol w:w="1914"/>
        <w:gridCol w:w="1914"/>
        <w:gridCol w:w="1915"/>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31300051/26789187</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31300051/26789051</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2,750,000.00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31000051/21339516</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30200053/22508384</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31300051/27659162</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30800053/92553639</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31300052/20599481</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24,330,000.00</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、应收利息</w:t>
      </w:r>
      <w:r>
        <w:rPr>
          <w:b w:val="0"/>
          <w:bCs w:val="0"/>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63"/>
        <w:gridCol w:w="1860"/>
        <w:gridCol w:w="1861"/>
        <w:gridCol w:w="1860"/>
        <w:gridCol w:w="2126"/>
      </w:tblGrid>
      <w:tr>
        <w:trPr>
          <w:trHeight w:val="402" w:hRule="exact"/>
        </w:trPr>
        <w:tc>
          <w:tcPr>
            <w:tcW w:w="1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建行保证金户</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33,341.10</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33,341.10</w:t>
            </w:r>
          </w:p>
        </w:tc>
      </w:tr>
      <w:tr>
        <w:trPr>
          <w:trHeight w:val="402"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建行湖东路支行</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6,090.40</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6,090.40</w:t>
            </w:r>
          </w:p>
        </w:tc>
      </w:tr>
      <w:tr>
        <w:trPr>
          <w:trHeight w:val="402"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工行团结广场支行</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3,513.70</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3,513.70</w:t>
            </w:r>
          </w:p>
        </w:tc>
      </w:tr>
      <w:tr>
        <w:trPr>
          <w:trHeight w:val="714"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8"/>
              <w:jc w:val="left"/>
              <w:rPr>
                <w:rFonts w:ascii="宋体" w:hAnsi="宋体" w:cs="宋体" w:eastAsia="宋体" w:hint="default"/>
                <w:sz w:val="18"/>
                <w:szCs w:val="18"/>
              </w:rPr>
            </w:pPr>
            <w:r>
              <w:rPr>
                <w:rFonts w:ascii="宋体" w:hAnsi="宋体" w:cs="宋体" w:eastAsia="宋体" w:hint="default"/>
                <w:sz w:val="18"/>
                <w:szCs w:val="18"/>
              </w:rPr>
              <w:t>农行开发区支行保证金 户</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17,046.58</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17,046.58</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863"/>
        <w:gridCol w:w="1860"/>
        <w:gridCol w:w="1861"/>
        <w:gridCol w:w="1860"/>
        <w:gridCol w:w="2126"/>
      </w:tblGrid>
      <w:tr>
        <w:trPr>
          <w:trHeight w:val="402" w:hRule="exact"/>
        </w:trPr>
        <w:tc>
          <w:tcPr>
            <w:tcW w:w="1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06" w:right="0"/>
              <w:jc w:val="left"/>
              <w:rPr>
                <w:rFonts w:ascii="Times New Roman" w:hAnsi="Times New Roman" w:cs="Times New Roman" w:eastAsia="Times New Roman" w:hint="default"/>
                <w:sz w:val="18"/>
                <w:szCs w:val="18"/>
              </w:rPr>
            </w:pPr>
            <w:r>
              <w:rPr>
                <w:rFonts w:ascii="Times New Roman"/>
                <w:sz w:val="18"/>
              </w:rPr>
              <w:t>59,991.78</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72" w:right="0"/>
              <w:jc w:val="left"/>
              <w:rPr>
                <w:rFonts w:ascii="Times New Roman" w:hAnsi="Times New Roman" w:cs="Times New Roman" w:eastAsia="Times New Roman" w:hint="default"/>
                <w:sz w:val="18"/>
                <w:szCs w:val="18"/>
              </w:rPr>
            </w:pPr>
            <w:r>
              <w:rPr>
                <w:rFonts w:ascii="Times New Roman"/>
                <w:sz w:val="18"/>
              </w:rPr>
              <w:t>59,991.78</w:t>
            </w:r>
          </w:p>
        </w:tc>
      </w:tr>
    </w:tbl>
    <w:p>
      <w:pPr>
        <w:spacing w:line="240" w:lineRule="auto" w:before="3"/>
        <w:rPr>
          <w:rFonts w:ascii="宋体" w:hAnsi="宋体" w:cs="宋体" w:eastAsia="宋体" w:hint="default"/>
          <w:sz w:val="19"/>
          <w:szCs w:val="19"/>
        </w:rPr>
      </w:pPr>
    </w:p>
    <w:p>
      <w:pPr>
        <w:spacing w:line="544" w:lineRule="auto" w:before="35"/>
        <w:ind w:left="112" w:right="559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）应收利息的说明</w:t>
      </w:r>
      <w:r>
        <w:rPr>
          <w:rFonts w:ascii="宋体" w:hAnsi="宋体" w:cs="宋体" w:eastAsia="宋体" w:hint="default"/>
          <w:b/>
          <w:bCs/>
          <w:w w:val="99"/>
          <w:sz w:val="21"/>
          <w:szCs w:val="21"/>
        </w:rPr>
        <w:t> </w:t>
      </w:r>
      <w:r>
        <w:rPr>
          <w:rFonts w:ascii="宋体" w:hAnsi="宋体" w:cs="宋体" w:eastAsia="宋体" w:hint="default"/>
          <w:sz w:val="18"/>
          <w:szCs w:val="18"/>
        </w:rPr>
        <w:t>银行定期存款至</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日止应计的利息收入。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4"/>
        <w:spacing w:line="240" w:lineRule="auto" w:before="28"/>
        <w:ind w:right="0"/>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00"/>
        <w:gridCol w:w="929"/>
        <w:gridCol w:w="929"/>
        <w:gridCol w:w="929"/>
        <w:gridCol w:w="930"/>
        <w:gridCol w:w="797"/>
        <w:gridCol w:w="929"/>
        <w:gridCol w:w="1063"/>
        <w:gridCol w:w="1064"/>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000" w:type="dxa"/>
            <w:vMerge/>
            <w:tcBorders>
              <w:left w:val="single" w:sz="4" w:space="0" w:color="000000"/>
              <w:right w:val="single" w:sz="4" w:space="0" w:color="000000"/>
            </w:tcBorders>
            <w:shd w:val="clear" w:color="auto" w:fill="D3D3D3"/>
          </w:tcPr>
          <w:p>
            <w:pP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3D3D3"/>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192,248,40</w:t>
            </w:r>
          </w:p>
          <w:p>
            <w:pPr>
              <w:pStyle w:val="TableParagraph"/>
              <w:spacing w:line="240" w:lineRule="auto" w:before="105"/>
              <w:ind w:left="581" w:right="0"/>
              <w:jc w:val="left"/>
              <w:rPr>
                <w:rFonts w:ascii="Times New Roman" w:hAnsi="Times New Roman" w:cs="Times New Roman" w:eastAsia="Times New Roman" w:hint="default"/>
                <w:sz w:val="18"/>
                <w:szCs w:val="18"/>
              </w:rPr>
            </w:pPr>
            <w:r>
              <w:rPr>
                <w:rFonts w:ascii="Times New Roman"/>
                <w:sz w:val="18"/>
              </w:rPr>
              <w:t>4.27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9,046,273.0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 w:right="0"/>
              <w:jc w:val="left"/>
              <w:rPr>
                <w:rFonts w:ascii="Times New Roman" w:hAnsi="Times New Roman" w:cs="Times New Roman" w:eastAsia="Times New Roman" w:hint="default"/>
                <w:sz w:val="18"/>
                <w:szCs w:val="18"/>
              </w:rPr>
            </w:pPr>
            <w:r>
              <w:rPr>
                <w:rFonts w:ascii="Times New Roman"/>
                <w:sz w:val="18"/>
              </w:rPr>
              <w:t>200,672,5</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49.26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9,493,986.70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4.73%</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6" w:right="0"/>
              <w:jc w:val="left"/>
              <w:rPr>
                <w:rFonts w:ascii="Times New Roman" w:hAnsi="Times New Roman" w:cs="Times New Roman" w:eastAsia="Times New Roman" w:hint="default"/>
                <w:sz w:val="18"/>
                <w:szCs w:val="18"/>
              </w:rPr>
            </w:pPr>
            <w:r>
              <w:rPr>
                <w:rFonts w:ascii="Times New Roman"/>
                <w:sz w:val="18"/>
              </w:rPr>
              <w:t>192,248,40</w:t>
            </w:r>
          </w:p>
          <w:p>
            <w:pPr>
              <w:pStyle w:val="TableParagraph"/>
              <w:spacing w:line="240" w:lineRule="auto" w:before="105"/>
              <w:ind w:left="581" w:right="0"/>
              <w:jc w:val="left"/>
              <w:rPr>
                <w:rFonts w:ascii="Times New Roman" w:hAnsi="Times New Roman" w:cs="Times New Roman" w:eastAsia="Times New Roman" w:hint="default"/>
                <w:sz w:val="18"/>
                <w:szCs w:val="18"/>
              </w:rPr>
            </w:pPr>
            <w:r>
              <w:rPr>
                <w:rFonts w:ascii="Times New Roman"/>
                <w:sz w:val="18"/>
              </w:rPr>
              <w:t>4.27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9,046,273.0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200,672,5</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49.26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9,493,986.70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4.73%</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192,248,40</w:t>
            </w:r>
          </w:p>
          <w:p>
            <w:pPr>
              <w:pStyle w:val="TableParagraph"/>
              <w:spacing w:line="240" w:lineRule="auto" w:before="105"/>
              <w:ind w:left="581" w:right="0"/>
              <w:jc w:val="left"/>
              <w:rPr>
                <w:rFonts w:ascii="Times New Roman" w:hAnsi="Times New Roman" w:cs="Times New Roman" w:eastAsia="Times New Roman" w:hint="default"/>
                <w:sz w:val="18"/>
                <w:szCs w:val="18"/>
              </w:rPr>
            </w:pPr>
            <w:r>
              <w:rPr>
                <w:rFonts w:ascii="Times New Roman"/>
                <w:sz w:val="18"/>
              </w:rPr>
              <w:t>4.27</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9,046,273.0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 w:right="0"/>
              <w:jc w:val="left"/>
              <w:rPr>
                <w:rFonts w:ascii="Times New Roman" w:hAnsi="Times New Roman" w:cs="Times New Roman" w:eastAsia="Times New Roman" w:hint="default"/>
                <w:sz w:val="18"/>
                <w:szCs w:val="18"/>
              </w:rPr>
            </w:pPr>
            <w:r>
              <w:rPr>
                <w:rFonts w:ascii="Times New Roman"/>
                <w:sz w:val="18"/>
              </w:rPr>
              <w:t>200,672,5</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49.26</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9,493,986.70</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357" w:lineRule="auto" w:before="52"/>
        <w:ind w:left="112" w:right="-20" w:firstLine="0"/>
        <w:jc w:val="left"/>
        <w:rPr>
          <w:rFonts w:ascii="宋体" w:hAnsi="宋体" w:cs="宋体" w:eastAsia="宋体" w:hint="default"/>
          <w:sz w:val="18"/>
          <w:szCs w:val="18"/>
        </w:rPr>
      </w:pPr>
      <w:r>
        <w:rPr>
          <w:rFonts w:ascii="宋体" w:hAnsi="宋体" w:cs="宋体" w:eastAsia="宋体" w:hint="default"/>
          <w:sz w:val="18"/>
          <w:szCs w:val="18"/>
        </w:rPr>
        <w:t>应收账款种类的说明 期末单项金额重大并单项计提坏账准备的应收账款</w:t>
      </w:r>
    </w:p>
    <w:p>
      <w:pPr>
        <w:spacing w:line="340" w:lineRule="auto" w:before="29"/>
        <w:ind w:left="11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组合中，按账龄分析法计提坏账准备的应收账款</w:t>
      </w:r>
    </w:p>
    <w:p>
      <w:pPr>
        <w:spacing w:before="39"/>
        <w:ind w:left="11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4073" w:space="4756"/>
            <w:col w:w="104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66"/>
        <w:gridCol w:w="1594"/>
        <w:gridCol w:w="929"/>
        <w:gridCol w:w="1727"/>
        <w:gridCol w:w="1461"/>
        <w:gridCol w:w="929"/>
        <w:gridCol w:w="1461"/>
      </w:tblGrid>
      <w:tr>
        <w:trPr>
          <w:trHeight w:val="402" w:hRule="exact"/>
        </w:trPr>
        <w:tc>
          <w:tcPr>
            <w:tcW w:w="14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466" w:type="dxa"/>
            <w:vMerge/>
            <w:tcBorders>
              <w:left w:val="single" w:sz="4" w:space="0" w:color="000000"/>
              <w:right w:val="single" w:sz="4" w:space="0" w:color="000000"/>
            </w:tcBorders>
            <w:shd w:val="clear" w:color="auto" w:fill="D3D3D3"/>
          </w:tcPr>
          <w:p>
            <w:pPr/>
          </w:p>
        </w:tc>
        <w:tc>
          <w:tcPr>
            <w:tcW w:w="252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46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7" w:type="dxa"/>
            <w:vMerge/>
            <w:tcBorders>
              <w:left w:val="single" w:sz="4" w:space="0" w:color="000000"/>
              <w:bottom w:val="single" w:sz="4" w:space="0" w:color="000000"/>
              <w:right w:val="single" w:sz="4" w:space="0" w:color="000000"/>
            </w:tcBorders>
            <w:shd w:val="clear" w:color="auto" w:fill="D3D3D3"/>
          </w:tcPr>
          <w:p>
            <w:pPr/>
          </w:p>
        </w:tc>
        <w:tc>
          <w:tcPr>
            <w:tcW w:w="1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61"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7"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176,149,899.49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5,284,496.99</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185,553,693.93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92.47%</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5,566,610.82</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10,799,299.56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1,079,929.95</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10,466,787.53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5.22%</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1,046,678.75</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3,271,698.95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654,339.79</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2,214,213.34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442,842.67</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2,027,506.27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2,027,506.27</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2,437,854.46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1.21%</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2,437,854.46</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192,248,404.27</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9,046,273.00</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200,672,549.26</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9,493,986.70</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after="0"/>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12"/>
        <w:rPr>
          <w:rFonts w:ascii="宋体" w:hAnsi="宋体" w:cs="宋体" w:eastAsia="宋体" w:hint="default"/>
          <w:sz w:val="25"/>
          <w:szCs w:val="25"/>
        </w:rPr>
      </w:pPr>
    </w:p>
    <w:p>
      <w:pPr>
        <w:spacing w:line="338" w:lineRule="auto" w:before="44"/>
        <w:ind w:left="112" w:right="59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组合中，采用其他方法计提坏账准备的应收账款</w:t>
      </w:r>
    </w:p>
    <w:p>
      <w:pPr>
        <w:spacing w:line="340" w:lineRule="auto" w:before="43"/>
        <w:ind w:left="112" w:right="5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期末单项金额虽不重大但单项计提坏账准备的应收账款</w:t>
      </w:r>
    </w:p>
    <w:p>
      <w:pPr>
        <w:spacing w:before="39"/>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）本报告期实际核销的应收账款情况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30"/>
              <w:jc w:val="righ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02" w:right="70"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746,162.62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78"/>
              <w:jc w:val="right"/>
              <w:rPr>
                <w:rFonts w:ascii="宋体" w:hAnsi="宋体" w:cs="宋体" w:eastAsia="宋体" w:hint="default"/>
                <w:sz w:val="18"/>
                <w:szCs w:val="18"/>
              </w:rPr>
            </w:pPr>
            <w:r>
              <w:rPr>
                <w:rFonts w:ascii="宋体" w:hAnsi="宋体" w:cs="宋体" w:eastAsia="宋体" w:hint="default"/>
                <w:sz w:val="18"/>
                <w:szCs w:val="18"/>
              </w:rPr>
              <w:t>长期无法收回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472,166.70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78"/>
              <w:jc w:val="right"/>
              <w:rPr>
                <w:rFonts w:ascii="宋体" w:hAnsi="宋体" w:cs="宋体" w:eastAsia="宋体" w:hint="default"/>
                <w:sz w:val="18"/>
                <w:szCs w:val="18"/>
              </w:rPr>
            </w:pPr>
            <w:r>
              <w:rPr>
                <w:rFonts w:ascii="宋体" w:hAnsi="宋体" w:cs="宋体" w:eastAsia="宋体" w:hint="default"/>
                <w:sz w:val="18"/>
                <w:szCs w:val="18"/>
              </w:rPr>
              <w:t>长期无法收回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246,536.80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78"/>
              <w:jc w:val="right"/>
              <w:rPr>
                <w:rFonts w:ascii="宋体" w:hAnsi="宋体" w:cs="宋体" w:eastAsia="宋体" w:hint="default"/>
                <w:sz w:val="18"/>
                <w:szCs w:val="18"/>
              </w:rPr>
            </w:pPr>
            <w:r>
              <w:rPr>
                <w:rFonts w:ascii="宋体" w:hAnsi="宋体" w:cs="宋体" w:eastAsia="宋体" w:hint="default"/>
                <w:sz w:val="18"/>
                <w:szCs w:val="18"/>
              </w:rPr>
              <w:t>长期无法收回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124,417.00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78"/>
              <w:jc w:val="right"/>
              <w:rPr>
                <w:rFonts w:ascii="宋体" w:hAnsi="宋体" w:cs="宋体" w:eastAsia="宋体" w:hint="default"/>
                <w:sz w:val="18"/>
                <w:szCs w:val="18"/>
              </w:rPr>
            </w:pPr>
            <w:r>
              <w:rPr>
                <w:rFonts w:ascii="宋体" w:hAnsi="宋体" w:cs="宋体" w:eastAsia="宋体" w:hint="default"/>
                <w:sz w:val="18"/>
                <w:szCs w:val="18"/>
              </w:rPr>
              <w:t>长期无法收回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78"/>
              <w:jc w:val="right"/>
              <w:rPr>
                <w:rFonts w:ascii="宋体" w:hAnsi="宋体" w:cs="宋体" w:eastAsia="宋体" w:hint="default"/>
                <w:sz w:val="18"/>
                <w:szCs w:val="18"/>
              </w:rPr>
            </w:pPr>
            <w:r>
              <w:rPr>
                <w:rFonts w:ascii="宋体" w:hAnsi="宋体" w:cs="宋体" w:eastAsia="宋体" w:hint="default"/>
                <w:sz w:val="18"/>
                <w:szCs w:val="18"/>
              </w:rPr>
              <w:t>长期无法收回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其他零星货款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241,040.39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78"/>
              <w:jc w:val="right"/>
              <w:rPr>
                <w:rFonts w:ascii="宋体" w:hAnsi="宋体" w:cs="宋体" w:eastAsia="宋体" w:hint="default"/>
                <w:sz w:val="18"/>
                <w:szCs w:val="18"/>
              </w:rPr>
            </w:pPr>
            <w:r>
              <w:rPr>
                <w:rFonts w:ascii="宋体" w:hAnsi="宋体" w:cs="宋体" w:eastAsia="宋体" w:hint="default"/>
                <w:sz w:val="18"/>
                <w:szCs w:val="18"/>
              </w:rPr>
              <w:t>长期无法收回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1,898,323.51</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pStyle w:val="BodyText"/>
        <w:spacing w:line="240" w:lineRule="auto" w:before="92"/>
        <w:ind w:right="0"/>
        <w:jc w:val="left"/>
      </w:pPr>
      <w:r>
        <w:rPr/>
        <w:t>报告期内核销的应收款项金额合计</w:t>
      </w:r>
      <w:r>
        <w:rPr>
          <w:rFonts w:ascii="Times New Roman" w:hAnsi="Times New Roman" w:cs="Times New Roman" w:eastAsia="Times New Roman" w:hint="default"/>
        </w:rPr>
        <w:t>1,898,323.51</w:t>
      </w:r>
      <w:r>
        <w:rPr/>
        <w:t>元。</w:t>
      </w:r>
    </w:p>
    <w:p>
      <w:pPr>
        <w:spacing w:line="240" w:lineRule="auto" w:before="7"/>
        <w:rPr>
          <w:rFonts w:ascii="宋体" w:hAnsi="宋体" w:cs="宋体" w:eastAsia="宋体" w:hint="default"/>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）应收账款中金额前五名单位情况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26,328,510.62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13.7%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9,076,725.87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6,040,210.48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3.14%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4,740,556.58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4,563,473.02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2.37%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50,749,476.57</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26.4%</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）其他应收款按种类披露</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02"/>
        <w:gridCol w:w="3702"/>
        <w:gridCol w:w="3965"/>
      </w:tblGrid>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02"/>
        <w:gridCol w:w="1058"/>
        <w:gridCol w:w="792"/>
        <w:gridCol w:w="1058"/>
        <w:gridCol w:w="794"/>
        <w:gridCol w:w="1058"/>
        <w:gridCol w:w="926"/>
        <w:gridCol w:w="1190"/>
        <w:gridCol w:w="791"/>
      </w:tblGrid>
      <w:tr>
        <w:trPr>
          <w:trHeight w:val="402" w:hRule="exact"/>
        </w:trPr>
        <w:tc>
          <w:tcPr>
            <w:tcW w:w="1902" w:type="dxa"/>
            <w:tcBorders>
              <w:top w:val="single" w:sz="4" w:space="0" w:color="000000"/>
              <w:left w:val="single" w:sz="4" w:space="0" w:color="000000"/>
              <w:bottom w:val="nil" w:sz="6" w:space="0" w:color="auto"/>
              <w:right w:val="single" w:sz="4" w:space="0" w:color="000000"/>
            </w:tcBorders>
            <w:shd w:val="clear" w:color="auto" w:fill="D3D3D3"/>
          </w:tcPr>
          <w:p>
            <w:pP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2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902" w:type="dxa"/>
            <w:tcBorders>
              <w:top w:val="nil" w:sz="6" w:space="0" w:color="auto"/>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3"/>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 w:right="0"/>
              <w:jc w:val="center"/>
              <w:rPr>
                <w:rFonts w:ascii="Times New Roman" w:hAnsi="Times New Roman" w:cs="Times New Roman" w:eastAsia="Times New Roman" w:hint="default"/>
                <w:sz w:val="18"/>
                <w:szCs w:val="18"/>
              </w:rPr>
            </w:pPr>
            <w:r>
              <w:rPr>
                <w:rFonts w:ascii="Times New Roman"/>
                <w:sz w:val="18"/>
              </w:rPr>
              <w:t>3,537,384.47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703,748.12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19.89%</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center"/>
              <w:rPr>
                <w:rFonts w:ascii="Times New Roman" w:hAnsi="Times New Roman" w:cs="Times New Roman" w:eastAsia="Times New Roman" w:hint="default"/>
                <w:sz w:val="18"/>
                <w:szCs w:val="18"/>
              </w:rPr>
            </w:pPr>
            <w:r>
              <w:rPr>
                <w:rFonts w:ascii="Times New Roman"/>
                <w:sz w:val="18"/>
              </w:rPr>
              <w:t>5,061,482.28</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576,758.03</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11.4%</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 w:right="0"/>
              <w:jc w:val="center"/>
              <w:rPr>
                <w:rFonts w:ascii="Times New Roman" w:hAnsi="Times New Roman" w:cs="Times New Roman" w:eastAsia="Times New Roman" w:hint="default"/>
                <w:sz w:val="18"/>
                <w:szCs w:val="18"/>
              </w:rPr>
            </w:pPr>
            <w:r>
              <w:rPr>
                <w:rFonts w:ascii="Times New Roman"/>
                <w:sz w:val="18"/>
              </w:rPr>
              <w:t>3,537,384.47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703,748.12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19.89%</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center"/>
              <w:rPr>
                <w:rFonts w:ascii="Times New Roman" w:hAnsi="Times New Roman" w:cs="Times New Roman" w:eastAsia="Times New Roman" w:hint="default"/>
                <w:sz w:val="18"/>
                <w:szCs w:val="18"/>
              </w:rPr>
            </w:pPr>
            <w:r>
              <w:rPr>
                <w:rFonts w:ascii="Times New Roman"/>
                <w:sz w:val="18"/>
              </w:rPr>
              <w:t>5,061,482.28</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576,758.03</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11.4%</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 w:right="0"/>
              <w:jc w:val="center"/>
              <w:rPr>
                <w:rFonts w:ascii="Times New Roman" w:hAnsi="Times New Roman" w:cs="Times New Roman" w:eastAsia="Times New Roman" w:hint="default"/>
                <w:sz w:val="18"/>
                <w:szCs w:val="18"/>
              </w:rPr>
            </w:pPr>
            <w:r>
              <w:rPr>
                <w:rFonts w:ascii="Times New Roman"/>
                <w:sz w:val="18"/>
              </w:rPr>
              <w:t>3,537,384.47</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703,748.12</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center"/>
              <w:rPr>
                <w:rFonts w:ascii="Times New Roman" w:hAnsi="Times New Roman" w:cs="Times New Roman" w:eastAsia="Times New Roman" w:hint="default"/>
                <w:sz w:val="18"/>
                <w:szCs w:val="18"/>
              </w:rPr>
            </w:pPr>
            <w:r>
              <w:rPr>
                <w:rFonts w:ascii="Times New Roman"/>
                <w:sz w:val="18"/>
              </w:rPr>
              <w:t>5,061,482.28</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576,758.03</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360" w:lineRule="auto" w:before="50"/>
        <w:ind w:left="112" w:right="-20"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 期末单项金额重大并单项计提坏账准备的其他应收款</w:t>
      </w:r>
    </w:p>
    <w:p>
      <w:pPr>
        <w:spacing w:line="338" w:lineRule="auto" w:before="27"/>
        <w:ind w:left="11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组合中，采用账龄分析法计提坏账准备的其他应收款</w:t>
      </w:r>
    </w:p>
    <w:p>
      <w:pPr>
        <w:spacing w:before="43"/>
        <w:ind w:left="11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4253" w:space="4576"/>
            <w:col w:w="104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47"/>
        <w:gridCol w:w="1841"/>
        <w:gridCol w:w="658"/>
        <w:gridCol w:w="1448"/>
        <w:gridCol w:w="1449"/>
        <w:gridCol w:w="657"/>
        <w:gridCol w:w="1668"/>
      </w:tblGrid>
      <w:tr>
        <w:trPr>
          <w:trHeight w:val="402" w:hRule="exact"/>
        </w:trPr>
        <w:tc>
          <w:tcPr>
            <w:tcW w:w="18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94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847" w:type="dxa"/>
            <w:vMerge/>
            <w:tcBorders>
              <w:left w:val="single" w:sz="4" w:space="0" w:color="000000"/>
              <w:right w:val="single" w:sz="4" w:space="0" w:color="000000"/>
            </w:tcBorders>
            <w:shd w:val="clear" w:color="auto" w:fill="D3D3D3"/>
          </w:tcPr>
          <w:p>
            <w:pPr/>
          </w:p>
        </w:tc>
        <w:tc>
          <w:tcPr>
            <w:tcW w:w="249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847" w:type="dxa"/>
            <w:vMerge/>
            <w:tcBorders>
              <w:left w:val="single" w:sz="4" w:space="0" w:color="000000"/>
              <w:bottom w:val="single" w:sz="4" w:space="0" w:color="000000"/>
              <w:right w:val="single" w:sz="4" w:space="0" w:color="000000"/>
            </w:tcBorders>
            <w:shd w:val="clear" w:color="auto" w:fill="D3D3D3"/>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9" w:right="0"/>
              <w:jc w:val="left"/>
              <w:rPr>
                <w:rFonts w:ascii="Times New Roman" w:hAnsi="Times New Roman" w:cs="Times New Roman" w:eastAsia="Times New Roman" w:hint="default"/>
                <w:sz w:val="18"/>
                <w:szCs w:val="18"/>
              </w:rPr>
            </w:pPr>
            <w:r>
              <w:rPr>
                <w:rFonts w:ascii="Times New Roman"/>
                <w:sz w:val="18"/>
              </w:rPr>
              <w:t>(%)</w:t>
            </w:r>
          </w:p>
        </w:tc>
        <w:tc>
          <w:tcPr>
            <w:tcW w:w="1448" w:type="dxa"/>
            <w:vMerge/>
            <w:tcBorders>
              <w:left w:val="single" w:sz="4" w:space="0" w:color="000000"/>
              <w:bottom w:val="single" w:sz="4" w:space="0" w:color="000000"/>
              <w:right w:val="single" w:sz="4" w:space="0" w:color="000000"/>
            </w:tcBorders>
            <w:shd w:val="clear" w:color="auto" w:fill="D3D3D3"/>
          </w:tcPr>
          <w:p>
            <w:pPr/>
          </w:p>
        </w:tc>
        <w:tc>
          <w:tcPr>
            <w:tcW w:w="1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0" w:right="0"/>
              <w:jc w:val="left"/>
              <w:rPr>
                <w:rFonts w:ascii="Times New Roman" w:hAnsi="Times New Roman" w:cs="Times New Roman" w:eastAsia="Times New Roman" w:hint="default"/>
                <w:sz w:val="18"/>
                <w:szCs w:val="18"/>
              </w:rPr>
            </w:pPr>
            <w:r>
              <w:rPr>
                <w:rFonts w:ascii="Times New Roman"/>
                <w:sz w:val="18"/>
              </w:rPr>
              <w:t>(%)</w:t>
            </w:r>
          </w:p>
        </w:tc>
        <w:tc>
          <w:tcPr>
            <w:tcW w:w="166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4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4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1,731,016.62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51,930.50</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3,914,668.03</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77.34%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117,440.04</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1,046,063.60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29.57%</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104,606.36</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501,386.24</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9.91%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50,138.62</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266,366.24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7.53%</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53,273.25</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295,310.80</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59,062.16</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493,938.01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13.96%</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493,938.01</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350,117.21</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6.92%</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350,117.21</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3,537,384.47</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703,748.12</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5,061,482.28</w:t>
            </w:r>
          </w:p>
        </w:tc>
        <w:tc>
          <w:tcPr>
            <w:tcW w:w="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576,758.03</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7"/>
        <w:ind w:left="112" w:right="5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组合中，采用其他方法计提坏账准备的其他应收款</w:t>
      </w:r>
    </w:p>
    <w:p>
      <w:pPr>
        <w:spacing w:line="340" w:lineRule="auto" w:before="39"/>
        <w:ind w:left="112" w:right="52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期末单项金额虽不重大但单项计提坏账准备的其他应收款</w:t>
      </w:r>
    </w:p>
    <w:p>
      <w:pPr>
        <w:spacing w:before="41"/>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）其他应收款金额前五名单位情况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28" w:right="50" w:hanging="677"/>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投标服务商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392,941.87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3"/>
                <w:sz w:val="18"/>
              </w:rPr>
              <w:t>11.11%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非关联关系</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237,885.21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6.72%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投标服务商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211,835.00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5.99%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174,691.10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4.94%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职工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124,216.00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3.51%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1,141,569.18</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32.27%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）其他应收关联方账款情况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77"/>
        <w:gridCol w:w="2430"/>
        <w:gridCol w:w="2430"/>
        <w:gridCol w:w="2430"/>
      </w:tblGrid>
      <w:tr>
        <w:trPr>
          <w:trHeight w:val="402" w:hRule="exact"/>
        </w:trPr>
        <w:tc>
          <w:tcPr>
            <w:tcW w:w="2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8"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占其他应收款总额的比例</w:t>
            </w:r>
            <w:r>
              <w:rPr>
                <w:rFonts w:ascii="Times New Roman" w:hAnsi="Times New Roman" w:cs="Times New Roman" w:eastAsia="Times New Roman" w:hint="default"/>
                <w:spacing w:val="-1"/>
                <w:sz w:val="18"/>
                <w:szCs w:val="18"/>
              </w:rPr>
              <w:t>(%)</w:t>
            </w:r>
          </w:p>
        </w:tc>
      </w:tr>
      <w:tr>
        <w:trPr>
          <w:trHeight w:val="402" w:hRule="exact"/>
        </w:trPr>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唐成宽</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15,800.00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0.47%</w:t>
            </w:r>
          </w:p>
        </w:tc>
      </w:tr>
      <w:tr>
        <w:trPr>
          <w:trHeight w:val="402" w:hRule="exact"/>
        </w:trPr>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陆江</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0.08%</w:t>
            </w:r>
          </w:p>
        </w:tc>
      </w:tr>
      <w:tr>
        <w:trPr>
          <w:trHeight w:val="402" w:hRule="exact"/>
        </w:trPr>
        <w:tc>
          <w:tcPr>
            <w:tcW w:w="2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18,800.00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0.55%</w:t>
            </w:r>
          </w:p>
        </w:tc>
      </w:tr>
    </w:tbl>
    <w:p>
      <w:pPr>
        <w:spacing w:line="240" w:lineRule="auto" w:before="4"/>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02"/>
        <w:gridCol w:w="3188"/>
        <w:gridCol w:w="1062"/>
        <w:gridCol w:w="3054"/>
        <w:gridCol w:w="1062"/>
      </w:tblGrid>
      <w:tr>
        <w:trPr>
          <w:trHeight w:val="402" w:hRule="exact"/>
        </w:trPr>
        <w:tc>
          <w:tcPr>
            <w:tcW w:w="12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202" w:type="dxa"/>
            <w:vMerge/>
            <w:tcBorders>
              <w:left w:val="single" w:sz="4" w:space="0" w:color="000000"/>
              <w:bottom w:val="single" w:sz="4" w:space="0" w:color="000000"/>
              <w:right w:val="single" w:sz="4" w:space="0" w:color="000000"/>
            </w:tcBorders>
            <w:shd w:val="clear" w:color="auto" w:fill="D3D3D3"/>
          </w:tcPr>
          <w:p>
            <w:pP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9"/>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105,355,965.61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94.71%</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169,458,869.47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99.3%</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5,826,442.91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5.24%</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1,139,068.10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0.67%</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44,828.10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0.04%</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35,911.64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0.02%</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0.01%</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10,716.68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111,241,036.62</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170,644,565.89</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预付款项账龄的说明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4"/>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02"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原材料供应商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59,805,798.96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2012-12-20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原材料供应商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24,422,678.97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2012-11-27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原材料供应商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2012-12-28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原材料供应商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2012-12-29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建筑施工方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3,612,187.07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预付工程款</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98,240,665.00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预付款项主要单位的说明</w:t>
      </w:r>
    </w:p>
    <w:p>
      <w:pPr>
        <w:spacing w:after="0"/>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8"/>
        <w:gridCol w:w="1461"/>
        <w:gridCol w:w="1194"/>
        <w:gridCol w:w="1329"/>
        <w:gridCol w:w="1328"/>
        <w:gridCol w:w="1329"/>
        <w:gridCol w:w="1328"/>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3D3D3"/>
          </w:tcPr>
          <w:p>
            <w:pPr/>
          </w:p>
        </w:tc>
        <w:tc>
          <w:tcPr>
            <w:tcW w:w="1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9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29,484,696.12</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29,484,696.12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17,620,374.80</w:t>
            </w:r>
          </w:p>
        </w:tc>
        <w:tc>
          <w:tcPr>
            <w:tcW w:w="1329"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17,620,374.80</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46,803,407.95</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46,803,407.95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39,925,323.64</w:t>
            </w:r>
          </w:p>
        </w:tc>
        <w:tc>
          <w:tcPr>
            <w:tcW w:w="1329"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39,925,323.64</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42,890,724.03</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42,890,724.03</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32,724,968.23</w:t>
            </w:r>
          </w:p>
        </w:tc>
        <w:tc>
          <w:tcPr>
            <w:tcW w:w="1329"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32,724,968.23</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低值易消耗品</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320,914.33</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320,914.33</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320,914.33</w:t>
            </w:r>
          </w:p>
        </w:tc>
        <w:tc>
          <w:tcPr>
            <w:tcW w:w="1329"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320,914.33</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119,499,742.43</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119,499,742.43</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90,591,581.00</w:t>
            </w:r>
          </w:p>
        </w:tc>
        <w:tc>
          <w:tcPr>
            <w:tcW w:w="1329"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90,591,581.00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8</w:t>
      </w:r>
      <w:r>
        <w:rPr/>
        <w:t>、长期股权投资</w:t>
      </w:r>
      <w:r>
        <w:rPr>
          <w:b w:val="0"/>
          <w:bCs w:val="0"/>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）长期股权投资明细情况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359" w:hRule="exact"/>
        </w:trPr>
        <w:tc>
          <w:tcPr>
            <w:tcW w:w="7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在被投资</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252" w:hRule="exact"/>
        </w:trPr>
        <w:tc>
          <w:tcPr>
            <w:tcW w:w="7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301" w:right="31"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32"/>
              <w:jc w:val="right"/>
              <w:rPr>
                <w:rFonts w:ascii="宋体" w:hAnsi="宋体" w:cs="宋体" w:eastAsia="宋体" w:hint="default"/>
                <w:sz w:val="18"/>
                <w:szCs w:val="18"/>
              </w:rPr>
            </w:pPr>
            <w:r>
              <w:rPr>
                <w:rFonts w:ascii="宋体" w:hAnsi="宋体" w:cs="宋体" w:eastAsia="宋体" w:hint="default"/>
                <w:sz w:val="18"/>
                <w:szCs w:val="18"/>
              </w:rPr>
              <w:t>投资成本</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34"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5" w:right="31"/>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58"/>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4" w:right="32"/>
              <w:jc w:val="both"/>
              <w:rPr>
                <w:rFonts w:ascii="宋体" w:hAnsi="宋体" w:cs="宋体" w:eastAsia="宋体" w:hint="default"/>
                <w:sz w:val="18"/>
                <w:szCs w:val="18"/>
              </w:rPr>
            </w:pPr>
            <w:r>
              <w:rPr>
                <w:rFonts w:ascii="宋体" w:hAnsi="宋体" w:cs="宋体" w:eastAsia="宋体" w:hint="default"/>
                <w:sz w:val="18"/>
                <w:szCs w:val="18"/>
              </w:rPr>
              <w:t>单位持股 比例与表 决权比例 不一致的</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15"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352" w:hRule="exact"/>
        </w:trPr>
        <w:tc>
          <w:tcPr>
            <w:tcW w:w="79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说明</w:t>
            </w: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57"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安徽华菱</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39"/>
              <w:jc w:val="left"/>
              <w:rPr>
                <w:rFonts w:ascii="宋体" w:hAnsi="宋体" w:cs="宋体" w:eastAsia="宋体" w:hint="default"/>
                <w:sz w:val="18"/>
                <w:szCs w:val="18"/>
              </w:rPr>
            </w:pPr>
            <w:r>
              <w:rPr>
                <w:rFonts w:ascii="宋体" w:hAnsi="宋体" w:cs="宋体" w:eastAsia="宋体" w:hint="default"/>
                <w:sz w:val="18"/>
                <w:szCs w:val="18"/>
              </w:rPr>
              <w:t>西厨设备 股份有限</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9,975,000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9,975,000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9,975,000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4.67%</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4.67%</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315,000.0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352"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台山市农</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村信用合</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50,000.00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50,000.00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36" w:right="0"/>
              <w:jc w:val="left"/>
              <w:rPr>
                <w:rFonts w:ascii="Times New Roman" w:hAnsi="Times New Roman" w:cs="Times New Roman" w:eastAsia="Times New Roman" w:hint="default"/>
                <w:sz w:val="18"/>
                <w:szCs w:val="18"/>
              </w:rPr>
            </w:pPr>
            <w:r>
              <w:rPr>
                <w:rFonts w:ascii="Times New Roman"/>
                <w:sz w:val="18"/>
              </w:rPr>
              <w:t>5,000.00</w:t>
            </w:r>
          </w:p>
        </w:tc>
      </w:tr>
      <w:tr>
        <w:trPr>
          <w:trHeight w:val="352"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作联社</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10,025,00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 w:right="0"/>
              <w:jc w:val="left"/>
              <w:rPr>
                <w:rFonts w:ascii="Times New Roman" w:hAnsi="Times New Roman" w:cs="Times New Roman" w:eastAsia="Times New Roman" w:hint="default"/>
                <w:sz w:val="18"/>
                <w:szCs w:val="18"/>
              </w:rPr>
            </w:pPr>
            <w:r>
              <w:rPr>
                <w:rFonts w:ascii="Times New Roman"/>
                <w:sz w:val="18"/>
              </w:rPr>
              <w:t>10,025,00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 w:right="0"/>
              <w:jc w:val="left"/>
              <w:rPr>
                <w:rFonts w:ascii="Times New Roman" w:hAnsi="Times New Roman" w:cs="Times New Roman" w:eastAsia="Times New Roman" w:hint="default"/>
                <w:sz w:val="18"/>
                <w:szCs w:val="18"/>
              </w:rPr>
            </w:pPr>
            <w:r>
              <w:rPr>
                <w:rFonts w:ascii="Times New Roman"/>
                <w:sz w:val="18"/>
              </w:rPr>
              <w:t>10,025,00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4" w:right="0"/>
              <w:jc w:val="lef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9</w:t>
      </w:r>
      <w:r>
        <w:rPr/>
        <w:t>、固定资产</w:t>
      </w:r>
      <w:r>
        <w:rPr>
          <w:b w:val="0"/>
          <w:bCs w:val="0"/>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29"/>
        <w:gridCol w:w="1461"/>
        <w:gridCol w:w="2922"/>
        <w:gridCol w:w="1594"/>
        <w:gridCol w:w="1461"/>
      </w:tblGrid>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8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129"/>
        <w:gridCol w:w="1461"/>
        <w:gridCol w:w="1328"/>
        <w:gridCol w:w="1594"/>
        <w:gridCol w:w="1594"/>
        <w:gridCol w:w="1461"/>
      </w:tblGrid>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217,120,770.26</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54" w:right="0"/>
              <w:jc w:val="left"/>
              <w:rPr>
                <w:rFonts w:ascii="Times New Roman" w:hAnsi="Times New Roman" w:cs="Times New Roman" w:eastAsia="Times New Roman" w:hint="default"/>
                <w:sz w:val="18"/>
                <w:szCs w:val="18"/>
              </w:rPr>
            </w:pPr>
            <w:r>
              <w:rPr>
                <w:rFonts w:ascii="Times New Roman"/>
                <w:sz w:val="18"/>
              </w:rPr>
              <w:t>44,912,396.25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1,280,349.17</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260,752,817.34</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125,066,477.80</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54" w:right="0"/>
              <w:jc w:val="left"/>
              <w:rPr>
                <w:rFonts w:ascii="Times New Roman" w:hAnsi="Times New Roman" w:cs="Times New Roman" w:eastAsia="Times New Roman" w:hint="default"/>
                <w:sz w:val="18"/>
                <w:szCs w:val="18"/>
              </w:rPr>
            </w:pPr>
            <w:r>
              <w:rPr>
                <w:rFonts w:ascii="Times New Roman"/>
                <w:sz w:val="18"/>
              </w:rPr>
              <w:t>35,815,087.67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1,114,374.17</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159,767,191.30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85,636,897.57</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8,663,757.74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5,500.00</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94,295,155.31</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4,369,423.76</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270,085.46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160,475.00</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4,479,034.22</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电子设备及其他设备</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2,047,971.13</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163,465.38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2,211,436.51</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30,751,582.07</w:t>
            </w:r>
          </w:p>
        </w:tc>
        <w:tc>
          <w:tcPr>
            <w:tcW w:w="13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12,846,405.82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289,560.75</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43,308,427.14</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6,704,418.41</w:t>
            </w:r>
          </w:p>
        </w:tc>
        <w:tc>
          <w:tcPr>
            <w:tcW w:w="13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3,801,990.06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178,295.04</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10,328,113.43</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21,998,476.35</w:t>
            </w:r>
          </w:p>
        </w:tc>
        <w:tc>
          <w:tcPr>
            <w:tcW w:w="13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7,669,233.80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3,744.57</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29,663,965.58</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1,524,533.93</w:t>
            </w:r>
          </w:p>
        </w:tc>
        <w:tc>
          <w:tcPr>
            <w:tcW w:w="13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1,010,288.62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107,521.14</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2,427,301.41</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电子设备及其他设备</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524,153.38</w:t>
            </w:r>
          </w:p>
        </w:tc>
        <w:tc>
          <w:tcPr>
            <w:tcW w:w="13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364,893.34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889,046.72</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1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186,369,188.19</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217,444,390.20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118,362,059.39</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149,439,077.87</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63,638,421.22</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64,631,189.73</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2,844,889.83</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2,051,732.81</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电子设备及其他设备</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1,523,817.75</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1,322,389.79</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电子设备及其他设备</w:t>
            </w:r>
          </w:p>
        </w:tc>
        <w:tc>
          <w:tcPr>
            <w:tcW w:w="1461" w:type="dxa"/>
            <w:tcBorders>
              <w:top w:val="single" w:sz="4" w:space="0" w:color="000000"/>
              <w:left w:val="single" w:sz="4" w:space="0" w:color="000000"/>
              <w:bottom w:val="single" w:sz="4" w:space="0" w:color="000000"/>
              <w:right w:val="single" w:sz="4" w:space="0" w:color="000000"/>
            </w:tcBorders>
          </w:tcPr>
          <w:p>
            <w:pP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14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186,369,188.19</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217,444,390.20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118,362,059.39</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149,439,077.87</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63,638,421.22</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64,631,189.73</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2,844,889.83</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2,051,732.81</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电子设备及其他设备</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1,523,817.75</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1,322,389.79</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本期折旧额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12,846,405.82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元；本期由在建工程转入固定资产原价为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16,458,815.23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7"/>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90"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隆泰公司厂房、办公楼、综合楼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尚未完全验收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固定资产说明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10</w:t>
      </w:r>
      <w:r>
        <w:rPr/>
        <w:t>、在建工程</w:t>
      </w:r>
      <w:r>
        <w:rPr>
          <w:b w:val="0"/>
          <w:bCs w:val="0"/>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265"/>
        <w:gridCol w:w="1196"/>
        <w:gridCol w:w="1195"/>
        <w:gridCol w:w="1194"/>
        <w:gridCol w:w="1195"/>
        <w:gridCol w:w="1195"/>
        <w:gridCol w:w="1328"/>
      </w:tblGrid>
      <w:tr>
        <w:trPr>
          <w:trHeight w:val="402" w:hRule="exact"/>
        </w:trPr>
        <w:tc>
          <w:tcPr>
            <w:tcW w:w="22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8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265"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431,000.00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431,000.00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6" w:right="0"/>
              <w:jc w:val="left"/>
              <w:rPr>
                <w:rFonts w:ascii="Times New Roman" w:hAnsi="Times New Roman" w:cs="Times New Roman" w:eastAsia="Times New Roman" w:hint="default"/>
                <w:sz w:val="18"/>
                <w:szCs w:val="18"/>
              </w:rPr>
            </w:pPr>
            <w:r>
              <w:rPr>
                <w:rFonts w:ascii="Times New Roman"/>
                <w:sz w:val="18"/>
              </w:rPr>
              <w:t>4,938,179.00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4,938,179.00</w:t>
            </w:r>
          </w:p>
        </w:tc>
      </w:tr>
      <w:tr>
        <w:trPr>
          <w:trHeight w:val="402" w:hRule="exact"/>
        </w:trPr>
        <w:tc>
          <w:tcPr>
            <w:tcW w:w="22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431,000.00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431,000.00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6" w:right="0"/>
              <w:jc w:val="left"/>
              <w:rPr>
                <w:rFonts w:ascii="Times New Roman" w:hAnsi="Times New Roman" w:cs="Times New Roman" w:eastAsia="Times New Roman" w:hint="default"/>
                <w:sz w:val="18"/>
                <w:szCs w:val="18"/>
              </w:rPr>
            </w:pPr>
            <w:r>
              <w:rPr>
                <w:rFonts w:ascii="Times New Roman"/>
                <w:sz w:val="18"/>
              </w:rPr>
              <w:t>4,938,179.00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4,938,179.00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5"/>
        <w:gridCol w:w="735"/>
        <w:gridCol w:w="735"/>
        <w:gridCol w:w="735"/>
        <w:gridCol w:w="735"/>
        <w:gridCol w:w="735"/>
        <w:gridCol w:w="737"/>
        <w:gridCol w:w="736"/>
        <w:gridCol w:w="736"/>
        <w:gridCol w:w="736"/>
        <w:gridCol w:w="736"/>
        <w:gridCol w:w="736"/>
        <w:gridCol w:w="737"/>
      </w:tblGrid>
      <w:tr>
        <w:trPr>
          <w:trHeight w:val="1338" w:hRule="exact"/>
        </w:trPr>
        <w:tc>
          <w:tcPr>
            <w:tcW w:w="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2"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0"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2"/>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1" w:right="91"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3" w:right="91"/>
              <w:jc w:val="center"/>
              <w:rPr>
                <w:rFonts w:ascii="宋体" w:hAnsi="宋体" w:cs="宋体" w:eastAsia="宋体" w:hint="default"/>
                <w:sz w:val="18"/>
                <w:szCs w:val="18"/>
              </w:rPr>
            </w:pPr>
            <w:r>
              <w:rPr>
                <w:rFonts w:ascii="宋体" w:hAnsi="宋体" w:cs="宋体" w:eastAsia="宋体" w:hint="default"/>
                <w:sz w:val="18"/>
                <w:szCs w:val="18"/>
              </w:rPr>
              <w:t>工程投 入占预 算比例</w:t>
            </w:r>
          </w:p>
          <w:p>
            <w:pPr>
              <w:pStyle w:val="TableParagraph"/>
              <w:spacing w:line="240" w:lineRule="auto" w:before="58"/>
              <w:ind w:left="2"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2"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4" w:right="90"/>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0" w:right="45" w:firstLine="43"/>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4" w:right="90"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2586"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22" w:right="-18"/>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万吨稀 土多元 合金镀 层钢丝、 钢绞线 项目附 属工程</w:t>
            </w:r>
          </w:p>
        </w:tc>
        <w:tc>
          <w:tcPr>
            <w:tcW w:w="735"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417,179.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128,576.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545,755.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79"/>
              <w:jc w:val="right"/>
              <w:rPr>
                <w:rFonts w:ascii="Times New Roman" w:hAnsi="Times New Roman" w:cs="Times New Roman" w:eastAsia="Times New Roman" w:hint="default"/>
                <w:sz w:val="18"/>
                <w:szCs w:val="18"/>
              </w:rPr>
            </w:pPr>
            <w:r>
              <w:rPr>
                <w:rFonts w:ascii="Times New Roman"/>
                <w:sz w:val="18"/>
              </w:rPr>
              <w:t>100%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16" w:lineRule="auto"/>
              <w:ind w:left="22" w:right="162"/>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厂区环 境工程</w:t>
            </w:r>
          </w:p>
        </w:tc>
        <w:tc>
          <w:tcPr>
            <w:tcW w:w="735"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4,521,00</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5,000.00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4,095,00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9"/>
              <w:jc w:val="right"/>
              <w:rPr>
                <w:rFonts w:ascii="Times New Roman" w:hAnsi="Times New Roman" w:cs="Times New Roman" w:eastAsia="Times New Roman" w:hint="default"/>
                <w:sz w:val="18"/>
                <w:szCs w:val="18"/>
              </w:rPr>
            </w:pPr>
            <w:r>
              <w:rPr>
                <w:rFonts w:ascii="Times New Roman"/>
                <w:sz w:val="18"/>
              </w:rPr>
              <w:t>100%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募集资 </w:t>
            </w:r>
            <w:r>
              <w:rPr>
                <w:rFonts w:ascii="宋体" w:hAnsi="宋体" w:cs="宋体" w:eastAsia="宋体" w:hint="default"/>
                <w:spacing w:val="-10"/>
                <w:sz w:val="18"/>
                <w:szCs w:val="18"/>
              </w:rPr>
              <w:t>金、自筹</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60"/>
              <w:jc w:val="left"/>
              <w:rPr>
                <w:rFonts w:ascii="宋体" w:hAnsi="宋体" w:cs="宋体" w:eastAsia="宋体" w:hint="default"/>
                <w:sz w:val="18"/>
                <w:szCs w:val="18"/>
              </w:rPr>
            </w:pPr>
            <w:r>
              <w:rPr>
                <w:rFonts w:ascii="宋体" w:hAnsi="宋体" w:cs="宋体" w:eastAsia="宋体" w:hint="default"/>
                <w:sz w:val="18"/>
                <w:szCs w:val="18"/>
              </w:rPr>
              <w:t>污水处 理工程</w:t>
            </w:r>
          </w:p>
        </w:tc>
        <w:tc>
          <w:tcPr>
            <w:tcW w:w="735"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431,000.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42"/>
              <w:jc w:val="right"/>
              <w:rPr>
                <w:rFonts w:ascii="宋体" w:hAnsi="宋体" w:cs="宋体" w:eastAsia="宋体" w:hint="default"/>
                <w:sz w:val="18"/>
                <w:szCs w:val="18"/>
              </w:rPr>
            </w:pPr>
            <w:r>
              <w:rPr>
                <w:rFonts w:ascii="宋体" w:hAnsi="宋体" w:cs="宋体" w:eastAsia="宋体" w:hint="default"/>
                <w:sz w:val="18"/>
                <w:szCs w:val="18"/>
              </w:rPr>
              <w:t>自筹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431,000.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5"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4,938,17</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9.00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564,576.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4,640,75</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5.30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9"/>
              <w:jc w:val="righ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在建工程项目变动情况的说明</w:t>
      </w:r>
    </w:p>
    <w:p>
      <w:pPr>
        <w:pStyle w:val="BodyText"/>
        <w:spacing w:line="256" w:lineRule="auto" w:before="92"/>
        <w:ind w:right="0" w:firstLine="436"/>
        <w:jc w:val="left"/>
      </w:pPr>
      <w:r>
        <w:rPr>
          <w:spacing w:val="-1"/>
        </w:rPr>
        <w:t>年产</w:t>
      </w:r>
      <w:r>
        <w:rPr>
          <w:rFonts w:ascii="Times New Roman" w:hAnsi="Times New Roman" w:cs="Times New Roman" w:eastAsia="Times New Roman" w:hint="default"/>
          <w:spacing w:val="-1"/>
        </w:rPr>
        <w:t>2.6</w:t>
      </w:r>
      <w:r>
        <w:rPr>
          <w:spacing w:val="-1"/>
        </w:rPr>
        <w:t>万吨稀土多元合金镀层钢丝、钢绞线项目：经</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27</w:t>
      </w:r>
      <w:r>
        <w:rPr>
          <w:spacing w:val="-1"/>
        </w:rPr>
        <w:t>日召开的</w:t>
      </w:r>
      <w:r>
        <w:rPr>
          <w:rFonts w:ascii="Times New Roman" w:hAnsi="Times New Roman" w:cs="Times New Roman" w:eastAsia="Times New Roman" w:hint="default"/>
          <w:spacing w:val="-1"/>
        </w:rPr>
        <w:t>2008</w:t>
      </w:r>
      <w:r>
        <w:rPr>
          <w:spacing w:val="-1"/>
        </w:rPr>
        <w:t>年第二次股东大会审</w:t>
      </w:r>
      <w:r>
        <w:rPr/>
        <w:t> 议通过，项目总投入资金为</w:t>
      </w:r>
      <w:r>
        <w:rPr>
          <w:rFonts w:ascii="Times New Roman" w:hAnsi="Times New Roman" w:cs="Times New Roman" w:eastAsia="Times New Roman" w:hint="default"/>
        </w:rPr>
        <w:t>5,400</w:t>
      </w:r>
      <w:r>
        <w:rPr/>
        <w:t>万元，截止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日，该项目已完工结转至固定资产。</w:t>
      </w:r>
    </w:p>
    <w:p>
      <w:pPr>
        <w:pStyle w:val="BodyText"/>
        <w:spacing w:line="256" w:lineRule="auto" w:before="5"/>
        <w:ind w:right="0" w:firstLine="420"/>
        <w:jc w:val="left"/>
      </w:pPr>
      <w:r>
        <w:rPr>
          <w:spacing w:val="-1"/>
        </w:rPr>
        <w:t>厂区环境工程募集资金部分截止</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日已完工结转至固定资产；自筹资金污水处理工程仍在</w:t>
      </w:r>
      <w:r>
        <w:rPr/>
        <w:t> 筹建中。</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61"/>
        <w:ind w:right="0"/>
        <w:jc w:val="left"/>
        <w:rPr>
          <w:b w:val="0"/>
          <w:bCs w:val="0"/>
        </w:rPr>
      </w:pPr>
      <w:r>
        <w:rPr>
          <w:rFonts w:ascii="Times New Roman" w:hAnsi="Times New Roman" w:cs="Times New Roman" w:eastAsia="Times New Roman" w:hint="default"/>
        </w:rPr>
        <w:t>11</w:t>
      </w:r>
      <w:r>
        <w:rPr/>
        <w:t>、无形资产</w:t>
      </w:r>
      <w:r>
        <w:rPr>
          <w:b w:val="0"/>
          <w:bCs w:val="0"/>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96"/>
        <w:gridCol w:w="1843"/>
        <w:gridCol w:w="1843"/>
        <w:gridCol w:w="1843"/>
        <w:gridCol w:w="1843"/>
      </w:tblGrid>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7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4" w:right="0"/>
              <w:jc w:val="left"/>
              <w:rPr>
                <w:rFonts w:ascii="Times New Roman" w:hAnsi="Times New Roman" w:cs="Times New Roman" w:eastAsia="Times New Roman" w:hint="default"/>
                <w:sz w:val="18"/>
                <w:szCs w:val="18"/>
              </w:rPr>
            </w:pPr>
            <w:r>
              <w:rPr>
                <w:rFonts w:ascii="Times New Roman"/>
                <w:sz w:val="18"/>
              </w:rPr>
              <w:t>56,929,382.79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9" w:right="0"/>
              <w:jc w:val="left"/>
              <w:rPr>
                <w:rFonts w:ascii="Times New Roman" w:hAnsi="Times New Roman" w:cs="Times New Roman" w:eastAsia="Times New Roman" w:hint="default"/>
                <w:sz w:val="18"/>
                <w:szCs w:val="18"/>
              </w:rPr>
            </w:pPr>
            <w:r>
              <w:rPr>
                <w:rFonts w:ascii="Times New Roman"/>
                <w:sz w:val="18"/>
              </w:rPr>
              <w:t>993,381.00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4" w:right="0"/>
              <w:jc w:val="left"/>
              <w:rPr>
                <w:rFonts w:ascii="Times New Roman" w:hAnsi="Times New Roman" w:cs="Times New Roman" w:eastAsia="Times New Roman" w:hint="default"/>
                <w:sz w:val="18"/>
                <w:szCs w:val="18"/>
              </w:rPr>
            </w:pPr>
            <w:r>
              <w:rPr>
                <w:rFonts w:ascii="Times New Roman"/>
                <w:sz w:val="18"/>
              </w:rPr>
              <w:t>57,922,763.79</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196"/>
        <w:gridCol w:w="1843"/>
        <w:gridCol w:w="1843"/>
        <w:gridCol w:w="1843"/>
        <w:gridCol w:w="1843"/>
      </w:tblGrid>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56,779,382.79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993,381.00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57,772,763.79</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2,549,343.89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1,239,587.16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3,788,931.05</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2,472,260.56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1,214,587.16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3,686,847.72</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77,083.33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102,083.33</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54,380,038.90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-246,206.16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54,133,832.74</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54,307,122.23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-221,206.16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54,085,916.07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72,916.67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47,916.67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54,380,038.90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-246,206.16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54,133,832.74</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54,307,122.23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-221,206.16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54,085,916.07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72,916.67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47,916.67</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本期摊销额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1,239,587.16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12</w:t>
      </w:r>
      <w:r>
        <w:rPr/>
        <w:t>、递延所得税资产和递延所得税负债</w:t>
      </w:r>
      <w:r>
        <w:rPr>
          <w:b w:val="0"/>
          <w:bCs w:val="0"/>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）递延所得税资产和递延所得税负债不以抵销后的净额列示</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已确认的递延所得税资产和递延所得税负债</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2"/>
        <w:gridCol w:w="2923"/>
        <w:gridCol w:w="2922"/>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956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1,462,503.17</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1,605,197.04</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1,462,503.17</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1,605,197.04</w:t>
            </w:r>
          </w:p>
        </w:tc>
      </w:tr>
      <w:tr>
        <w:trPr>
          <w:trHeight w:val="402" w:hRule="exact"/>
        </w:trPr>
        <w:tc>
          <w:tcPr>
            <w:tcW w:w="956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未确认递延所得税资产明细</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2"/>
        <w:gridCol w:w="2923"/>
        <w:gridCol w:w="2922"/>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未确认递延所得税资产的可抵扣亏损将于以下年度到期</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7"/>
        <w:gridCol w:w="2258"/>
        <w:gridCol w:w="1994"/>
        <w:gridCol w:w="3320"/>
      </w:tblGrid>
      <w:tr>
        <w:trPr>
          <w:trHeight w:val="402"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应纳税差异和可抵扣差异项目明细</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855"/>
        <w:gridCol w:w="2924"/>
        <w:gridCol w:w="2788"/>
      </w:tblGrid>
      <w:tr>
        <w:trPr>
          <w:trHeight w:val="402" w:hRule="exact"/>
        </w:trPr>
        <w:tc>
          <w:tcPr>
            <w:tcW w:w="38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571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2" w:hRule="exact"/>
        </w:trPr>
        <w:tc>
          <w:tcPr>
            <w:tcW w:w="3855" w:type="dxa"/>
            <w:vMerge/>
            <w:tcBorders>
              <w:left w:val="single" w:sz="4" w:space="0" w:color="000000"/>
              <w:bottom w:val="single" w:sz="4" w:space="0" w:color="000000"/>
              <w:right w:val="single" w:sz="4" w:space="0" w:color="000000"/>
            </w:tcBorders>
            <w:shd w:val="clear" w:color="auto" w:fill="D3D3D3"/>
          </w:tcPr>
          <w:p>
            <w:pPr/>
          </w:p>
        </w:tc>
        <w:tc>
          <w:tcPr>
            <w:tcW w:w="2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w:t>
            </w:r>
          </w:p>
        </w:tc>
      </w:tr>
    </w:tbl>
    <w:p>
      <w:pPr>
        <w:spacing w:after="0" w:line="240" w:lineRule="auto"/>
        <w:jc w:val="center"/>
        <w:rPr>
          <w:rFonts w:ascii="宋体" w:hAnsi="宋体" w:cs="宋体" w:eastAsia="宋体" w:hint="default"/>
          <w:sz w:val="18"/>
          <w:szCs w:val="18"/>
        </w:rPr>
        <w:sectPr>
          <w:footerReference w:type="default" r:id="rId28"/>
          <w:pgSz w:w="11910" w:h="16840"/>
          <w:pgMar w:footer="978" w:header="746" w:top="1060" w:bottom="1160" w:left="1020" w:right="1020"/>
          <w:pgNumType w:start="9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855"/>
        <w:gridCol w:w="2924"/>
        <w:gridCol w:w="2788"/>
      </w:tblGrid>
      <w:tr>
        <w:trPr>
          <w:trHeight w:val="402" w:hRule="exact"/>
        </w:trPr>
        <w:tc>
          <w:tcPr>
            <w:tcW w:w="956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2"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9,750,021.12</w:t>
            </w:r>
          </w:p>
        </w:tc>
        <w:tc>
          <w:tcPr>
            <w:tcW w:w="2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10,070,744.73</w:t>
            </w:r>
          </w:p>
        </w:tc>
      </w:tr>
      <w:tr>
        <w:trPr>
          <w:trHeight w:val="402" w:hRule="exact"/>
        </w:trPr>
        <w:tc>
          <w:tcPr>
            <w:tcW w:w="38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9,750,021.12</w:t>
            </w:r>
          </w:p>
        </w:tc>
        <w:tc>
          <w:tcPr>
            <w:tcW w:w="2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10,070,744.73</w:t>
            </w:r>
          </w:p>
        </w:tc>
      </w:tr>
      <w:tr>
        <w:trPr>
          <w:trHeight w:val="402" w:hRule="exact"/>
        </w:trPr>
        <w:tc>
          <w:tcPr>
            <w:tcW w:w="956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互抵后的递延所得税资产及负债的组成项目</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061"/>
        <w:gridCol w:w="1627"/>
        <w:gridCol w:w="1627"/>
        <w:gridCol w:w="1627"/>
        <w:gridCol w:w="1628"/>
      </w:tblGrid>
      <w:tr>
        <w:trPr>
          <w:trHeight w:val="1026" w:hRule="exact"/>
        </w:trPr>
        <w:tc>
          <w:tcPr>
            <w:tcW w:w="3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89" w:right="86"/>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89" w:right="86"/>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87" w:right="88"/>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89" w:right="86"/>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402" w:hRule="exact"/>
        </w:trPr>
        <w:tc>
          <w:tcPr>
            <w:tcW w:w="3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8" w:right="0"/>
              <w:jc w:val="left"/>
              <w:rPr>
                <w:rFonts w:ascii="Times New Roman" w:hAnsi="Times New Roman" w:cs="Times New Roman" w:eastAsia="Times New Roman" w:hint="default"/>
                <w:sz w:val="18"/>
                <w:szCs w:val="18"/>
              </w:rPr>
            </w:pPr>
            <w:r>
              <w:rPr>
                <w:rFonts w:ascii="Times New Roman"/>
                <w:sz w:val="18"/>
              </w:rPr>
              <w:t>1,462,503.17</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8" w:right="0"/>
              <w:jc w:val="left"/>
              <w:rPr>
                <w:rFonts w:ascii="Times New Roman" w:hAnsi="Times New Roman" w:cs="Times New Roman" w:eastAsia="Times New Roman" w:hint="default"/>
                <w:sz w:val="18"/>
                <w:szCs w:val="18"/>
              </w:rPr>
            </w:pPr>
            <w:r>
              <w:rPr>
                <w:rFonts w:ascii="Times New Roman"/>
                <w:sz w:val="18"/>
              </w:rPr>
              <w:t>1,605,197.04</w:t>
            </w:r>
          </w:p>
        </w:tc>
        <w:tc>
          <w:tcPr>
            <w:tcW w:w="1628" w:type="dxa"/>
            <w:tcBorders>
              <w:top w:val="single" w:sz="4" w:space="0" w:color="000000"/>
              <w:left w:val="single" w:sz="4" w:space="0" w:color="000000"/>
              <w:bottom w:val="single" w:sz="4" w:space="0" w:color="000000"/>
              <w:right w:val="single" w:sz="4" w:space="0" w:color="000000"/>
            </w:tcBorders>
          </w:tcPr>
          <w:p>
            <w:pP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递延所得税资产和递延所得税负债互抵明细</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3851;height:397" coordorigin="13,13" coordsize="3851,397">
              <v:shape style="position:absolute;left:13;top:13;width:3851;height:397" coordorigin="13,13" coordsize="3851,397" path="m13,13l3864,13,3864,410,13,410,13,13xe" filled="true" fillcolor="#d3d3d3" stroked="false">
                <v:path arrowok="t"/>
                <v:fill type="solid"/>
              </v:shape>
            </v:group>
            <v:group style="position:absolute;left:3869;top:13;width:5707;height:397" coordorigin="3869,13" coordsize="5707,397">
              <v:shape style="position:absolute;left:3869;top:13;width:5707;height:397" coordorigin="3869,13" coordsize="5707,397" path="m3869,13l9576,13,9576,410,3869,410,3869,13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3866;top:5;width:2;height:402" coordorigin="3866,5" coordsize="2,402">
              <v:shape style="position:absolute;left:3866;top:5;width:2;height:402" coordorigin="3866,5" coordsize="0,402" path="m3866,5l3866,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758;top:12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3866;top:10;width:5712;height:402" type="#_x0000_t202" filled="false" stroked="false">
                <v:textbox inset="0,0,0,0">
                  <w:txbxContent>
                    <w:p>
                      <w:pPr>
                        <w:spacing w:before="57"/>
                        <w:ind w:left="0" w:right="0" w:firstLine="0"/>
                        <w:jc w:val="center"/>
                        <w:rPr>
                          <w:rFonts w:ascii="宋体" w:hAnsi="宋体" w:cs="宋体" w:eastAsia="宋体" w:hint="default"/>
                          <w:sz w:val="18"/>
                          <w:szCs w:val="18"/>
                        </w:rPr>
                      </w:pPr>
                      <w:r>
                        <w:rPr>
                          <w:rFonts w:ascii="宋体" w:hAnsi="宋体" w:cs="宋体" w:eastAsia="宋体" w:hint="default"/>
                          <w:sz w:val="18"/>
                          <w:szCs w:val="18"/>
                        </w:rPr>
                        <w:t>本期互抵金额</w:t>
                      </w:r>
                    </w:p>
                  </w:txbxContent>
                </v:textbox>
                <w10:wrap type="none"/>
              </v:shape>
            </v:group>
          </v:group>
        </w:pict>
      </w:r>
      <w:r>
        <w:rPr>
          <w:rFonts w:ascii="宋体" w:hAnsi="宋体" w:cs="宋体" w:eastAsia="宋体" w:hint="default"/>
          <w:position w:val="-7"/>
          <w:sz w:val="20"/>
          <w:szCs w:val="20"/>
        </w:rPr>
      </w:r>
    </w:p>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递延所得税资产和递延所得税负债的说明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13</w:t>
      </w:r>
      <w:r>
        <w:rPr/>
        <w:t>、资产减值准备明细</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65"/>
        <w:gridCol w:w="1528"/>
        <w:gridCol w:w="1528"/>
        <w:gridCol w:w="1398"/>
        <w:gridCol w:w="1398"/>
        <w:gridCol w:w="1452"/>
      </w:tblGrid>
      <w:tr>
        <w:trPr>
          <w:trHeight w:val="402" w:hRule="exact"/>
        </w:trPr>
        <w:tc>
          <w:tcPr>
            <w:tcW w:w="22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265" w:type="dxa"/>
            <w:vMerge/>
            <w:tcBorders>
              <w:left w:val="single" w:sz="4" w:space="0" w:color="000000"/>
              <w:bottom w:val="single" w:sz="4" w:space="0" w:color="000000"/>
              <w:right w:val="single" w:sz="4" w:space="0" w:color="000000"/>
            </w:tcBorders>
            <w:shd w:val="clear" w:color="auto" w:fill="D3D3D3"/>
          </w:tcPr>
          <w:p>
            <w:pPr/>
          </w:p>
        </w:tc>
        <w:tc>
          <w:tcPr>
            <w:tcW w:w="1528" w:type="dxa"/>
            <w:vMerge/>
            <w:tcBorders>
              <w:left w:val="single" w:sz="4" w:space="0" w:color="000000"/>
              <w:bottom w:val="single" w:sz="4" w:space="0" w:color="000000"/>
              <w:right w:val="single" w:sz="4" w:space="0" w:color="000000"/>
            </w:tcBorders>
            <w:shd w:val="clear" w:color="auto" w:fill="D3D3D3"/>
          </w:tcPr>
          <w:p>
            <w:pPr/>
          </w:p>
        </w:tc>
        <w:tc>
          <w:tcPr>
            <w:tcW w:w="1528" w:type="dxa"/>
            <w:vMerge/>
            <w:tcBorders>
              <w:left w:val="single" w:sz="4" w:space="0" w:color="000000"/>
              <w:bottom w:val="single" w:sz="4" w:space="0" w:color="000000"/>
              <w:right w:val="single" w:sz="4" w:space="0" w:color="000000"/>
            </w:tcBorders>
            <w:shd w:val="clear" w:color="auto" w:fill="D3D3D3"/>
          </w:tcPr>
          <w:p>
            <w:pPr/>
          </w:p>
        </w:tc>
        <w:tc>
          <w:tcPr>
            <w:tcW w:w="1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2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10,070,744.73</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1,577,599.90</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1,898,323.51</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9,750,021.12</w:t>
            </w:r>
          </w:p>
        </w:tc>
      </w:tr>
      <w:tr>
        <w:trPr>
          <w:trHeight w:val="402" w:hRule="exact"/>
        </w:trPr>
        <w:tc>
          <w:tcPr>
            <w:tcW w:w="22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10,070,744.73</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1,577,599.90</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1,898,323.51</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9,750,021.12</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资产减值明细情况的说明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14</w:t>
      </w:r>
      <w:r>
        <w:rPr/>
        <w:t>、短期借款</w:t>
      </w:r>
      <w:r>
        <w:rPr>
          <w:b w:val="0"/>
          <w:bCs w:val="0"/>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90"/>
        <w:gridCol w:w="2922"/>
        <w:gridCol w:w="3056"/>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30,674,010.14</w:t>
            </w:r>
          </w:p>
        </w:tc>
        <w:tc>
          <w:tcPr>
            <w:tcW w:w="3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22"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31,200,000.00</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101,800,000.00</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已贴现未到期票据</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102,362,536.02</w:t>
            </w:r>
          </w:p>
        </w:tc>
        <w:tc>
          <w:tcPr>
            <w:tcW w:w="3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163,036,546.16</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12"/>
        <w:rPr>
          <w:rFonts w:ascii="宋体" w:hAnsi="宋体" w:cs="宋体" w:eastAsia="宋体" w:hint="default"/>
          <w:sz w:val="25"/>
          <w:szCs w:val="25"/>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15</w:t>
      </w:r>
      <w:r>
        <w:rPr/>
        <w:t>、应付票据</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90"/>
        <w:gridCol w:w="2922"/>
        <w:gridCol w:w="3056"/>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51,000,000.00</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110,000,000.00</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51,000,000.00</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110,000,000.00</w:t>
            </w:r>
          </w:p>
        </w:tc>
      </w:tr>
    </w:tbl>
    <w:p>
      <w:pPr>
        <w:spacing w:line="340" w:lineRule="auto" w:before="51"/>
        <w:ind w:left="112" w:right="6096" w:firstLine="0"/>
        <w:jc w:val="left"/>
        <w:rPr>
          <w:rFonts w:ascii="宋体" w:hAnsi="宋体" w:cs="宋体" w:eastAsia="宋体" w:hint="default"/>
          <w:sz w:val="18"/>
          <w:szCs w:val="18"/>
        </w:rPr>
      </w:pPr>
      <w:r>
        <w:rPr>
          <w:rFonts w:ascii="宋体" w:hAnsi="宋体" w:cs="宋体" w:eastAsia="宋体" w:hint="default"/>
          <w:sz w:val="18"/>
          <w:szCs w:val="18"/>
        </w:rPr>
        <w:t>下一会计期间将到期的金额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51,000,000.00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 应付票据的说明</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16</w:t>
      </w:r>
      <w:r>
        <w:rPr/>
        <w:t>、应付账款</w:t>
      </w:r>
      <w:r>
        <w:rPr>
          <w:b w:val="0"/>
          <w:bCs w:val="0"/>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590"/>
        <w:gridCol w:w="2922"/>
        <w:gridCol w:w="3056"/>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54,950,243.30</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10,217,875.21</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1,037,362.94</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2,030,530.93</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111,370.36</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85,101.72</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116,835.22</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98,026.10</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56,215,811.82</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12,431,533.96</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17</w:t>
      </w:r>
      <w:r>
        <w:rPr/>
        <w:t>、预收账款</w:t>
      </w:r>
      <w:r>
        <w:rPr>
          <w:b w:val="0"/>
          <w:bCs w:val="0"/>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）预收账款情况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855"/>
        <w:gridCol w:w="2790"/>
        <w:gridCol w:w="2922"/>
      </w:tblGrid>
      <w:tr>
        <w:trPr>
          <w:trHeight w:val="402" w:hRule="exact"/>
        </w:trPr>
        <w:tc>
          <w:tcPr>
            <w:tcW w:w="38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8,906,659.52</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7,171,317.59</w:t>
            </w:r>
          </w:p>
        </w:tc>
      </w:tr>
      <w:tr>
        <w:trPr>
          <w:trHeight w:val="402"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479,905.95</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561,423.61</w:t>
            </w:r>
          </w:p>
        </w:tc>
      </w:tr>
      <w:tr>
        <w:trPr>
          <w:trHeight w:val="402"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90" w:type="dxa"/>
            <w:tcBorders>
              <w:top w:val="single" w:sz="4" w:space="0" w:color="000000"/>
              <w:left w:val="single" w:sz="4" w:space="0" w:color="000000"/>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168,941.73</w:t>
            </w:r>
          </w:p>
        </w:tc>
      </w:tr>
      <w:tr>
        <w:trPr>
          <w:trHeight w:val="402"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790" w:type="dxa"/>
            <w:tcBorders>
              <w:top w:val="single" w:sz="4" w:space="0" w:color="000000"/>
              <w:left w:val="single" w:sz="4" w:space="0" w:color="000000"/>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78,914.27</w:t>
            </w:r>
          </w:p>
        </w:tc>
      </w:tr>
      <w:tr>
        <w:trPr>
          <w:trHeight w:val="402" w:hRule="exact"/>
        </w:trPr>
        <w:tc>
          <w:tcPr>
            <w:tcW w:w="38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9,386,565.47</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7,980,597.20</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18</w:t>
      </w:r>
      <w:r>
        <w:rPr/>
        <w:t>、应付职工薪酬</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7"/>
        <w:gridCol w:w="1861"/>
        <w:gridCol w:w="1993"/>
        <w:gridCol w:w="2258"/>
        <w:gridCol w:w="1860"/>
      </w:tblGrid>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597"/>
        <w:gridCol w:w="1861"/>
        <w:gridCol w:w="1993"/>
        <w:gridCol w:w="2258"/>
        <w:gridCol w:w="1860"/>
      </w:tblGrid>
      <w:tr>
        <w:trPr>
          <w:trHeight w:val="714"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1,941,424.23</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26,438,588.55</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26,496,098.12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1,883,914.66</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2,042,779.36</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2,042,779.36</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4,743,059.41</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4,743,059.41</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医疗保险 费</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1,062,290.30</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1,062,290.30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基本养老保险</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3,172,264.58</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3,172,264.58</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失业保险</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253,408.06</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253,408.06</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工伤保险</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157,032.14</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157,032.14</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生育保险</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98,064.34</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98,064.34</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29,150.00</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29,150.00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31,447.37</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31,447.37</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1,941,424.23</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33,285,024.69</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33,342,534.26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1,883,914.66</w:t>
            </w:r>
          </w:p>
        </w:tc>
      </w:tr>
    </w:tbl>
    <w:p>
      <w:pPr>
        <w:spacing w:line="348" w:lineRule="auto" w:before="51"/>
        <w:ind w:left="112" w:right="2894" w:firstLine="0"/>
        <w:jc w:val="left"/>
        <w:rPr>
          <w:rFonts w:ascii="宋体" w:hAnsi="宋体" w:cs="宋体" w:eastAsia="宋体" w:hint="default"/>
          <w:sz w:val="18"/>
          <w:szCs w:val="18"/>
        </w:rPr>
      </w:pPr>
      <w:r>
        <w:rPr>
          <w:rFonts w:ascii="宋体" w:hAnsi="宋体" w:cs="宋体" w:eastAsia="宋体" w:hint="default"/>
          <w:sz w:val="18"/>
          <w:szCs w:val="18"/>
        </w:rPr>
        <w:t>应付职工薪酬中属于拖欠性质的金额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工会经费和职工教育经费金额元，非货币性福利金额元，因解除劳动关系给予补偿元。 应付职工薪酬预计发放时间、金额等安排</w:t>
      </w:r>
    </w:p>
    <w:p>
      <w:pPr>
        <w:pStyle w:val="BodyText"/>
        <w:spacing w:line="240" w:lineRule="auto" w:before="11"/>
        <w:ind w:left="532" w:right="0"/>
        <w:jc w:val="left"/>
      </w:pPr>
      <w:r>
        <w:rPr/>
        <w:t>每个月</w:t>
      </w:r>
      <w:r>
        <w:rPr>
          <w:rFonts w:ascii="Times New Roman" w:hAnsi="Times New Roman" w:cs="Times New Roman" w:eastAsia="Times New Roman" w:hint="default"/>
        </w:rPr>
        <w:t>28</w:t>
      </w:r>
      <w:r>
        <w:rPr/>
        <w:t>日为发放工资时间，由人力资源部根据考勤等核算好工资交财务部们通过银行转账发放。</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19</w:t>
      </w:r>
      <w:r>
        <w:rPr/>
        <w:t>、应交税费</w:t>
      </w:r>
      <w:r>
        <w:rPr>
          <w:b w:val="0"/>
          <w:bCs w:val="0"/>
        </w:rPr>
      </w:r>
    </w:p>
    <w:p>
      <w:pPr>
        <w:spacing w:line="240" w:lineRule="auto" w:before="4"/>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122"/>
        <w:gridCol w:w="2789"/>
        <w:gridCol w:w="2657"/>
      </w:tblGrid>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1,227,716.80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-452,078.30</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7,998,639.53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5,760,252.52</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5,482,802.22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2,898,323.51</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488,757.46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288,914.27</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281,064.33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164,057.34</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173,856.71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91,020.49</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293,310.22</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3,574.12</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134,517.24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78,288.29</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16,084,238.63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8,828,778.12</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应交税费说明，所在地税务机关同意各分公司、分厂之间应纳税所得额相互调剂的，应说明税款计算过程</w:t>
      </w:r>
    </w:p>
    <w:p>
      <w:pPr>
        <w:spacing w:after="0"/>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20</w:t>
      </w:r>
      <w:r>
        <w:rPr/>
        <w:t>、应付利息</w:t>
      </w:r>
      <w:r>
        <w:rPr>
          <w:b w:val="0"/>
          <w:bCs w:val="0"/>
        </w:rPr>
      </w:r>
    </w:p>
    <w:p>
      <w:pPr>
        <w:spacing w:line="240" w:lineRule="auto" w:before="1"/>
        <w:rPr>
          <w:rFonts w:ascii="宋体" w:hAnsi="宋体" w:cs="宋体" w:eastAsia="宋体" w:hint="default"/>
          <w:b/>
          <w:bCs/>
          <w:sz w:val="23"/>
          <w:szCs w:val="23"/>
        </w:rPr>
      </w:pPr>
    </w:p>
    <w:p>
      <w:pPr>
        <w:spacing w:before="44"/>
        <w:ind w:left="0" w:right="19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122"/>
        <w:gridCol w:w="2789"/>
        <w:gridCol w:w="2657"/>
      </w:tblGrid>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长期借款应付利息</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2,052,031.78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1,815,878.34</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2,052,031.78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1,815,878.34</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应付利息说明</w:t>
      </w:r>
    </w:p>
    <w:p>
      <w:pPr>
        <w:pStyle w:val="BodyText"/>
        <w:spacing w:line="256" w:lineRule="auto" w:before="92"/>
        <w:ind w:right="171" w:firstLine="420"/>
        <w:jc w:val="both"/>
      </w:pPr>
      <w:r>
        <w:rPr/>
        <w:t>本公司承担了国家发展和改革委员会</w:t>
      </w:r>
      <w:r>
        <w:rPr>
          <w:rFonts w:ascii="Times New Roman" w:hAnsi="Times New Roman" w:cs="Times New Roman" w:eastAsia="Times New Roman" w:hint="default"/>
        </w:rPr>
        <w:t>2005</w:t>
      </w:r>
      <w:r>
        <w:rPr/>
        <w:t>年重点行业机构调整《年产</w:t>
      </w:r>
      <w:r>
        <w:rPr>
          <w:rFonts w:ascii="Times New Roman" w:hAnsi="Times New Roman" w:cs="Times New Roman" w:eastAsia="Times New Roman" w:hint="default"/>
        </w:rPr>
        <w:t>8</w:t>
      </w:r>
      <w:r>
        <w:rPr/>
        <w:t>万吨稀土多元合金镀层装备系 </w:t>
      </w:r>
      <w:r>
        <w:rPr>
          <w:spacing w:val="-1"/>
        </w:rPr>
        <w:t>列产品》，此项目中央预算内专项补助资金</w:t>
      </w:r>
      <w:r>
        <w:rPr>
          <w:rFonts w:ascii="Times New Roman" w:hAnsi="Times New Roman" w:cs="Times New Roman" w:eastAsia="Times New Roman" w:hint="default"/>
          <w:spacing w:val="-1"/>
        </w:rPr>
        <w:t>664</w:t>
      </w:r>
      <w:r>
        <w:rPr>
          <w:spacing w:val="-1"/>
        </w:rPr>
        <w:t>万元（国债贴息），地方预算内专项资金人民币</w:t>
      </w:r>
      <w:r>
        <w:rPr>
          <w:rFonts w:ascii="Times New Roman" w:hAnsi="Times New Roman" w:cs="Times New Roman" w:eastAsia="Times New Roman" w:hint="default"/>
          <w:spacing w:val="-1"/>
        </w:rPr>
        <w:t>664</w:t>
      </w:r>
      <w:r>
        <w:rPr>
          <w:spacing w:val="-1"/>
        </w:rPr>
        <w:t>万元。</w:t>
      </w:r>
      <w:r>
        <w:rPr>
          <w:spacing w:val="-78"/>
        </w:rPr>
        <w:t> </w:t>
      </w:r>
      <w:r>
        <w:rPr>
          <w:spacing w:val="-78"/>
        </w:rPr>
      </w:r>
      <w:r>
        <w:rPr/>
        <w:t>根据安徽当涂经济开发区管理委员会（原名</w:t>
      </w:r>
      <w:r>
        <w:rPr>
          <w:rFonts w:ascii="Times New Roman" w:hAnsi="Times New Roman" w:cs="Times New Roman" w:eastAsia="Times New Roman" w:hint="default"/>
        </w:rPr>
        <w:t>“</w:t>
      </w:r>
      <w:r>
        <w:rPr/>
        <w:t>当涂工业园区管委会</w:t>
      </w:r>
      <w:r>
        <w:rPr>
          <w:rFonts w:ascii="Times New Roman" w:hAnsi="Times New Roman" w:cs="Times New Roman" w:eastAsia="Times New Roman" w:hint="default"/>
        </w:rPr>
        <w:t>”</w:t>
      </w:r>
      <w:r>
        <w:rPr/>
        <w:t>）与本公司</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4</w:t>
      </w:r>
      <w:r>
        <w:rPr/>
        <w:t>日签订转贷国债 </w:t>
      </w:r>
      <w:r>
        <w:rPr>
          <w:spacing w:val="-1"/>
        </w:rPr>
        <w:t>资金的协议及</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25</w:t>
      </w:r>
      <w:r>
        <w:rPr>
          <w:spacing w:val="-1"/>
        </w:rPr>
        <w:t>日签订的补充协议，由安徽当涂经济开发区管理委员会提供地方专项转贷国债</w:t>
      </w:r>
      <w:r>
        <w:rPr>
          <w:spacing w:val="-99"/>
        </w:rPr>
        <w:t> </w:t>
      </w:r>
      <w:r>
        <w:rPr>
          <w:spacing w:val="-99"/>
        </w:rPr>
      </w:r>
      <w:r>
        <w:rPr/>
        <w:t>资金人民币</w:t>
      </w:r>
      <w:r>
        <w:rPr>
          <w:rFonts w:ascii="Times New Roman" w:hAnsi="Times New Roman" w:cs="Times New Roman" w:eastAsia="Times New Roman" w:hint="default"/>
        </w:rPr>
        <w:t>664</w:t>
      </w:r>
      <w:r>
        <w:rPr/>
        <w:t>万元，国债转贷资金的年利率按起息日中国人民银行公布的一年期存款利率加</w:t>
      </w:r>
      <w:r>
        <w:rPr>
          <w:rFonts w:ascii="Times New Roman" w:hAnsi="Times New Roman" w:cs="Times New Roman" w:eastAsia="Times New Roman" w:hint="default"/>
        </w:rPr>
        <w:t>0.3%</w:t>
      </w:r>
      <w:r>
        <w:rPr/>
        <w:t>确定。</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21</w:t>
      </w:r>
      <w:r>
        <w:rPr/>
        <w:t>、其他应付款</w:t>
      </w:r>
      <w:r>
        <w:rPr>
          <w:b w:val="0"/>
          <w:bCs w:val="0"/>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）其他应付款情况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0" w:right="19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2"/>
        <w:gridCol w:w="3057"/>
        <w:gridCol w:w="2789"/>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273,859.99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92,157.16</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82,544.16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1,507,927.09</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966,461.29</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1,322,865.44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1,600,084.25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）金额较大的其他应付款说明内容</w:t>
      </w:r>
      <w:r>
        <w:rPr>
          <w:b w:val="0"/>
          <w:bCs w:val="0"/>
        </w:rPr>
      </w:r>
    </w:p>
    <w:p>
      <w:pPr>
        <w:spacing w:line="240" w:lineRule="auto" w:before="11"/>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2557"/>
        <w:gridCol w:w="1418"/>
        <w:gridCol w:w="1274"/>
        <w:gridCol w:w="1132"/>
        <w:gridCol w:w="1649"/>
        <w:gridCol w:w="1682"/>
      </w:tblGrid>
      <w:tr>
        <w:trPr>
          <w:trHeight w:val="347" w:hRule="exact"/>
        </w:trPr>
        <w:tc>
          <w:tcPr>
            <w:tcW w:w="255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第三方</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748,718.29</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2-3</w:t>
            </w:r>
            <w:r>
              <w:rPr>
                <w:rFonts w:ascii="宋体" w:hAnsi="宋体" w:cs="宋体" w:eastAsia="宋体" w:hint="default"/>
                <w:spacing w:val="-1"/>
                <w:sz w:val="18"/>
                <w:szCs w:val="18"/>
              </w:rPr>
              <w:t>年</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代付款</w:t>
            </w:r>
          </w:p>
        </w:tc>
        <w:tc>
          <w:tcPr>
            <w:tcW w:w="16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3"/>
              <w:ind w:right="6"/>
              <w:jc w:val="right"/>
              <w:rPr>
                <w:rFonts w:ascii="Times New Roman" w:hAnsi="Times New Roman" w:cs="Times New Roman" w:eastAsia="Times New Roman" w:hint="default"/>
                <w:sz w:val="18"/>
                <w:szCs w:val="18"/>
              </w:rPr>
            </w:pPr>
            <w:r>
              <w:rPr>
                <w:rFonts w:ascii="Times New Roman"/>
                <w:spacing w:val="-1"/>
                <w:sz w:val="18"/>
              </w:rPr>
              <w:t>56.60%</w:t>
            </w:r>
          </w:p>
        </w:tc>
      </w:tr>
      <w:tr>
        <w:trPr>
          <w:trHeight w:val="347" w:hRule="exact"/>
        </w:trPr>
        <w:tc>
          <w:tcPr>
            <w:tcW w:w="255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hAnsi="宋体" w:cs="宋体" w:eastAsia="宋体" w:hint="default"/>
                <w:sz w:val="18"/>
                <w:szCs w:val="18"/>
              </w:rPr>
              <w:t>第三方</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210,600.00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年以内</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hAnsi="宋体" w:cs="宋体" w:eastAsia="宋体" w:hint="default"/>
                <w:sz w:val="18"/>
                <w:szCs w:val="18"/>
              </w:rPr>
              <w:t>运输保证金</w:t>
            </w:r>
          </w:p>
        </w:tc>
        <w:tc>
          <w:tcPr>
            <w:tcW w:w="16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pacing w:val="-1"/>
                <w:sz w:val="18"/>
              </w:rPr>
              <w:t>15.92%</w:t>
            </w:r>
          </w:p>
        </w:tc>
      </w:tr>
      <w:tr>
        <w:trPr>
          <w:trHeight w:val="347" w:hRule="exact"/>
        </w:trPr>
        <w:tc>
          <w:tcPr>
            <w:tcW w:w="255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第三方</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200,000.00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2-3</w:t>
            </w:r>
            <w:r>
              <w:rPr>
                <w:rFonts w:ascii="宋体" w:hAnsi="宋体" w:cs="宋体" w:eastAsia="宋体" w:hint="default"/>
                <w:spacing w:val="-1"/>
                <w:sz w:val="18"/>
                <w:szCs w:val="18"/>
              </w:rPr>
              <w:t>年</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运输抵押金</w:t>
            </w:r>
          </w:p>
        </w:tc>
        <w:tc>
          <w:tcPr>
            <w:tcW w:w="16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pacing w:val="-1"/>
                <w:sz w:val="18"/>
              </w:rPr>
              <w:t>15.12%</w:t>
            </w:r>
          </w:p>
        </w:tc>
      </w:tr>
      <w:tr>
        <w:trPr>
          <w:trHeight w:val="347" w:hRule="exact"/>
        </w:trPr>
        <w:tc>
          <w:tcPr>
            <w:tcW w:w="255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第三方</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54,412.47</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年</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投标保证金</w:t>
            </w:r>
          </w:p>
        </w:tc>
        <w:tc>
          <w:tcPr>
            <w:tcW w:w="16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pacing w:val="-1"/>
                <w:sz w:val="18"/>
              </w:rPr>
              <w:t>4.11%</w:t>
            </w:r>
          </w:p>
        </w:tc>
      </w:tr>
      <w:tr>
        <w:trPr>
          <w:trHeight w:val="347" w:hRule="exact"/>
        </w:trPr>
        <w:tc>
          <w:tcPr>
            <w:tcW w:w="255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第三方</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20,017.00</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年以内</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住宿费</w:t>
            </w:r>
          </w:p>
        </w:tc>
        <w:tc>
          <w:tcPr>
            <w:tcW w:w="16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pacing w:val="-1"/>
                <w:sz w:val="18"/>
              </w:rPr>
              <w:t>1.51%</w:t>
            </w:r>
          </w:p>
        </w:tc>
      </w:tr>
      <w:tr>
        <w:trPr>
          <w:trHeight w:val="347" w:hRule="exact"/>
        </w:trPr>
        <w:tc>
          <w:tcPr>
            <w:tcW w:w="2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1,233,747.76</w:t>
            </w:r>
          </w:p>
        </w:tc>
        <w:tc>
          <w:tcPr>
            <w:tcW w:w="1132" w:type="dxa"/>
            <w:tcBorders>
              <w:top w:val="single" w:sz="6" w:space="0" w:color="000000"/>
              <w:left w:val="single" w:sz="6" w:space="0" w:color="000000"/>
              <w:bottom w:val="single" w:sz="6" w:space="0" w:color="000000"/>
              <w:right w:val="single" w:sz="6" w:space="0" w:color="000000"/>
            </w:tcBorders>
          </w:tcPr>
          <w:p>
            <w:pPr/>
          </w:p>
        </w:tc>
        <w:tc>
          <w:tcPr>
            <w:tcW w:w="1649" w:type="dxa"/>
            <w:tcBorders>
              <w:top w:val="single" w:sz="6" w:space="0" w:color="000000"/>
              <w:left w:val="single" w:sz="6" w:space="0" w:color="000000"/>
              <w:bottom w:val="single" w:sz="6" w:space="0" w:color="000000"/>
              <w:right w:val="single" w:sz="6" w:space="0" w:color="000000"/>
            </w:tcBorders>
          </w:tcPr>
          <w:p>
            <w:pPr/>
          </w:p>
        </w:tc>
        <w:tc>
          <w:tcPr>
            <w:tcW w:w="16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3"/>
              <w:ind w:right="6"/>
              <w:jc w:val="right"/>
              <w:rPr>
                <w:rFonts w:ascii="Times New Roman" w:hAnsi="Times New Roman" w:cs="Times New Roman" w:eastAsia="Times New Roman" w:hint="default"/>
                <w:sz w:val="18"/>
                <w:szCs w:val="18"/>
              </w:rPr>
            </w:pPr>
            <w:r>
              <w:rPr>
                <w:rFonts w:ascii="Times New Roman"/>
                <w:spacing w:val="-1"/>
                <w:sz w:val="18"/>
              </w:rPr>
              <w:t>93.26%</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spacing w:before="35"/>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、长期借款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9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90"/>
        <w:gridCol w:w="2922"/>
        <w:gridCol w:w="3056"/>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746" w:footer="978" w:top="1060" w:bottom="1160" w:left="1020" w:right="94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590"/>
        <w:gridCol w:w="2922"/>
        <w:gridCol w:w="3056"/>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6,640,000.00</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6,640,000.00</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6,640,000.00</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6,640,000.00</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）金额前五名的长期借款</w:t>
      </w:r>
      <w:r>
        <w:rPr>
          <w:b w:val="0"/>
          <w:bCs w:val="0"/>
        </w:rPr>
      </w:r>
    </w:p>
    <w:p>
      <w:pPr>
        <w:spacing w:line="240" w:lineRule="auto" w:before="1"/>
        <w:rPr>
          <w:rFonts w:ascii="宋体" w:hAnsi="宋体" w:cs="宋体" w:eastAsia="宋体" w:hint="default"/>
          <w:b/>
          <w:bCs/>
          <w:sz w:val="23"/>
          <w:szCs w:val="23"/>
        </w:rPr>
      </w:pPr>
    </w:p>
    <w:p>
      <w:pPr>
        <w:spacing w:before="44"/>
        <w:ind w:left="0" w:right="2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3"/>
        <w:gridCol w:w="1065"/>
        <w:gridCol w:w="1064"/>
        <w:gridCol w:w="1064"/>
        <w:gridCol w:w="1064"/>
        <w:gridCol w:w="1064"/>
        <w:gridCol w:w="1064"/>
        <w:gridCol w:w="1064"/>
        <w:gridCol w:w="1057"/>
      </w:tblGrid>
      <w:tr>
        <w:trPr>
          <w:trHeight w:val="402" w:hRule="exact"/>
        </w:trPr>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3" w:type="dxa"/>
            <w:vMerge/>
            <w:tcBorders>
              <w:left w:val="single" w:sz="4" w:space="0" w:color="000000"/>
              <w:bottom w:val="single" w:sz="4" w:space="0" w:color="000000"/>
              <w:right w:val="single" w:sz="4" w:space="0" w:color="000000"/>
            </w:tcBorders>
            <w:shd w:val="clear" w:color="auto" w:fill="D3D3D3"/>
          </w:tcPr>
          <w:p>
            <w:pPr/>
          </w:p>
        </w:tc>
        <w:tc>
          <w:tcPr>
            <w:tcW w:w="1065"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本币金额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本币金额</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28"/>
              <w:jc w:val="both"/>
              <w:rPr>
                <w:rFonts w:ascii="宋体" w:hAnsi="宋体" w:cs="宋体" w:eastAsia="宋体" w:hint="default"/>
                <w:sz w:val="18"/>
                <w:szCs w:val="18"/>
              </w:rPr>
            </w:pPr>
            <w:r>
              <w:rPr>
                <w:rFonts w:ascii="宋体" w:hAnsi="宋体" w:cs="宋体" w:eastAsia="宋体" w:hint="default"/>
                <w:sz w:val="18"/>
                <w:szCs w:val="18"/>
              </w:rPr>
              <w:t>安徽当涂经 济开发区管 理委员会</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6,640,000.00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6,640,000.00</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长期借款说明，因逾期借款获得展期形成的长期借款，应说明获得展期的条件、本金、利息、预计还款安排等</w:t>
      </w:r>
    </w:p>
    <w:p>
      <w:pPr>
        <w:pStyle w:val="BodyText"/>
        <w:spacing w:line="256" w:lineRule="auto" w:before="92"/>
        <w:ind w:right="0"/>
        <w:jc w:val="left"/>
        <w:rPr>
          <w:rFonts w:ascii="Times New Roman" w:hAnsi="Times New Roman" w:cs="Times New Roman" w:eastAsia="Times New Roman" w:hint="default"/>
        </w:rPr>
      </w:pPr>
      <w:r>
        <w:rPr/>
        <w:t>本公司承担了国家发展和改革委员会</w:t>
      </w:r>
      <w:r>
        <w:rPr>
          <w:rFonts w:ascii="Times New Roman" w:hAnsi="Times New Roman" w:cs="Times New Roman" w:eastAsia="Times New Roman" w:hint="default"/>
        </w:rPr>
        <w:t>2005</w:t>
      </w:r>
      <w:r>
        <w:rPr/>
        <w:t>年重点行业机构调整《年产</w:t>
      </w:r>
      <w:r>
        <w:rPr>
          <w:rFonts w:ascii="Times New Roman" w:hAnsi="Times New Roman" w:cs="Times New Roman" w:eastAsia="Times New Roman" w:hint="default"/>
        </w:rPr>
        <w:t>8</w:t>
      </w:r>
      <w:r>
        <w:rPr/>
        <w:t>万吨稀土多元合金镀层装备系列产 </w:t>
      </w:r>
      <w:r>
        <w:rPr>
          <w:spacing w:val="-1"/>
        </w:rPr>
        <w:t>品》，此项目中央预算内专项补助资金</w:t>
      </w:r>
      <w:r>
        <w:rPr>
          <w:rFonts w:ascii="Times New Roman" w:hAnsi="Times New Roman" w:cs="Times New Roman" w:eastAsia="Times New Roman" w:hint="default"/>
          <w:spacing w:val="-1"/>
        </w:rPr>
        <w:t>664</w:t>
      </w:r>
      <w:r>
        <w:rPr>
          <w:spacing w:val="-1"/>
        </w:rPr>
        <w:t>万元（国债贴息），地方预算内专项资金人民币</w:t>
      </w:r>
      <w:r>
        <w:rPr>
          <w:rFonts w:ascii="Times New Roman" w:hAnsi="Times New Roman" w:cs="Times New Roman" w:eastAsia="Times New Roman" w:hint="default"/>
          <w:spacing w:val="-1"/>
        </w:rPr>
        <w:t>664</w:t>
      </w:r>
      <w:r>
        <w:rPr>
          <w:spacing w:val="-1"/>
        </w:rPr>
        <w:t>万元。根据</w:t>
      </w:r>
      <w:r>
        <w:rPr>
          <w:spacing w:val="-103"/>
        </w:rPr>
        <w:t> </w:t>
      </w:r>
      <w:r>
        <w:rPr>
          <w:spacing w:val="-103"/>
        </w:rPr>
      </w:r>
      <w:r>
        <w:rPr>
          <w:spacing w:val="-1"/>
        </w:rPr>
        <w:t>安徽当涂经济开发区管理委员会（原名</w:t>
      </w:r>
      <w:r>
        <w:rPr>
          <w:rFonts w:ascii="Times New Roman" w:hAnsi="Times New Roman" w:cs="Times New Roman" w:eastAsia="Times New Roman" w:hint="default"/>
          <w:spacing w:val="-1"/>
        </w:rPr>
        <w:t>“</w:t>
      </w:r>
      <w:r>
        <w:rPr>
          <w:spacing w:val="-1"/>
        </w:rPr>
        <w:t>当涂工业园区管委会</w:t>
      </w:r>
      <w:r>
        <w:rPr>
          <w:rFonts w:ascii="Times New Roman" w:hAnsi="Times New Roman" w:cs="Times New Roman" w:eastAsia="Times New Roman" w:hint="default"/>
          <w:spacing w:val="-1"/>
        </w:rPr>
        <w:t>”</w:t>
      </w:r>
      <w:r>
        <w:rPr>
          <w:spacing w:val="-1"/>
        </w:rPr>
        <w:t>）与本公司</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4</w:t>
      </w:r>
      <w:r>
        <w:rPr>
          <w:spacing w:val="-1"/>
        </w:rPr>
        <w:t>日签订转贷国债资金</w:t>
      </w:r>
      <w:r>
        <w:rPr>
          <w:spacing w:val="-80"/>
        </w:rPr>
        <w:t> </w:t>
      </w:r>
      <w:r>
        <w:rPr>
          <w:spacing w:val="-80"/>
        </w:rPr>
      </w:r>
      <w:r>
        <w:rPr>
          <w:spacing w:val="-1"/>
        </w:rPr>
        <w:t>的协议及</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25</w:t>
      </w:r>
      <w:r>
        <w:rPr>
          <w:spacing w:val="-1"/>
        </w:rPr>
        <w:t>日签订的补充协议，由安徽当涂经济开发区管理委员会提供地方专项转贷国债资金</w:t>
      </w:r>
      <w:r>
        <w:rPr>
          <w:spacing w:val="-99"/>
        </w:rPr>
        <w:t> </w:t>
      </w:r>
      <w:r>
        <w:rPr>
          <w:spacing w:val="-99"/>
        </w:rPr>
      </w:r>
      <w:r>
        <w:rPr/>
        <w:t>人民币</w:t>
      </w:r>
      <w:r>
        <w:rPr>
          <w:rFonts w:ascii="Times New Roman" w:hAnsi="Times New Roman" w:cs="Times New Roman" w:eastAsia="Times New Roman" w:hint="default"/>
        </w:rPr>
        <w:t>664</w:t>
      </w:r>
      <w:r>
        <w:rPr/>
        <w:t>万元，国债转贷资金的年利率按起息日中国人民银行公布的一年期存款利率加</w:t>
      </w:r>
      <w:r>
        <w:rPr>
          <w:rFonts w:ascii="Times New Roman" w:hAnsi="Times New Roman" w:cs="Times New Roman" w:eastAsia="Times New Roman" w:hint="default"/>
        </w:rPr>
        <w:t>0.3%</w:t>
      </w:r>
    </w:p>
    <w:p>
      <w:pPr>
        <w:spacing w:line="240" w:lineRule="auto" w:before="6"/>
        <w:rPr>
          <w:rFonts w:ascii="Times New Roman" w:hAnsi="Times New Roman" w:cs="Times New Roman" w:eastAsia="Times New Roman"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23</w:t>
      </w:r>
      <w:r>
        <w:rPr/>
        <w:t>、其他非流动负债</w:t>
      </w:r>
      <w:r>
        <w:rPr>
          <w:b w:val="0"/>
          <w:bCs w:val="0"/>
        </w:rPr>
      </w:r>
    </w:p>
    <w:p>
      <w:pPr>
        <w:spacing w:line="240" w:lineRule="auto" w:before="7"/>
        <w:rPr>
          <w:rFonts w:ascii="宋体" w:hAnsi="宋体" w:cs="宋体" w:eastAsia="宋体" w:hint="default"/>
          <w:b/>
          <w:bCs/>
          <w:sz w:val="26"/>
          <w:szCs w:val="26"/>
        </w:rPr>
      </w:pPr>
    </w:p>
    <w:p>
      <w:pPr>
        <w:spacing w:before="0"/>
        <w:ind w:left="0" w:right="2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2"/>
        <w:gridCol w:w="2790"/>
        <w:gridCol w:w="3056"/>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8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8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18,600,000.00</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31,000,000.00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18,600,000.00</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31,000,000.00</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其他非流动负债说明，包括本报告期取得的各类与资产相关、与收益相关的政府补助及其期末金额</w:t>
      </w:r>
    </w:p>
    <w:p>
      <w:pPr>
        <w:pStyle w:val="BodyText"/>
        <w:spacing w:line="256" w:lineRule="auto" w:before="92"/>
        <w:ind w:right="0" w:firstLine="420"/>
        <w:jc w:val="left"/>
      </w:pPr>
      <w:r>
        <w:rPr>
          <w:rFonts w:ascii="Times New Roman" w:hAnsi="Times New Roman" w:cs="Times New Roman" w:eastAsia="Times New Roman" w:hint="default"/>
          <w:spacing w:val="10"/>
        </w:rPr>
        <w:t>2011</w:t>
      </w:r>
      <w:r>
        <w:rPr>
          <w:spacing w:val="10"/>
        </w:rPr>
        <w:t>年</w:t>
      </w:r>
      <w:r>
        <w:rPr>
          <w:rFonts w:ascii="Times New Roman" w:hAnsi="Times New Roman" w:cs="Times New Roman" w:eastAsia="Times New Roman" w:hint="default"/>
          <w:spacing w:val="10"/>
        </w:rPr>
        <w:t>4</w:t>
      </w:r>
      <w:r>
        <w:rPr>
          <w:spacing w:val="10"/>
        </w:rPr>
        <w:t>月</w:t>
      </w:r>
      <w:r>
        <w:rPr>
          <w:rFonts w:ascii="Times New Roman" w:hAnsi="Times New Roman" w:cs="Times New Roman" w:eastAsia="Times New Roman" w:hint="default"/>
          <w:spacing w:val="10"/>
        </w:rPr>
        <w:t>19</w:t>
      </w:r>
      <w:r>
        <w:rPr>
          <w:spacing w:val="10"/>
        </w:rPr>
        <w:t>日，全资子公司重庆市隆泰稀土新材料有限责任公司收到武隆县政府依据（武隆府</w:t>
      </w:r>
      <w:r>
        <w:rPr/>
        <w:t> </w:t>
      </w:r>
      <w:r>
        <w:rPr>
          <w:rFonts w:ascii="Times New Roman" w:hAnsi="Times New Roman" w:cs="Times New Roman" w:eastAsia="Times New Roman" w:hint="default"/>
          <w:spacing w:val="-1"/>
        </w:rPr>
        <w:t>[2011]42</w:t>
      </w:r>
      <w:r>
        <w:rPr>
          <w:spacing w:val="-1"/>
        </w:rPr>
        <w:t>号）文件拨付的关于年产</w:t>
      </w:r>
      <w:r>
        <w:rPr>
          <w:rFonts w:ascii="Times New Roman" w:hAnsi="Times New Roman" w:cs="Times New Roman" w:eastAsia="Times New Roman" w:hint="default"/>
          <w:spacing w:val="-1"/>
        </w:rPr>
        <w:t>6</w:t>
      </w:r>
      <w:r>
        <w:rPr>
          <w:spacing w:val="-1"/>
        </w:rPr>
        <w:t>万吨高铁</w:t>
      </w:r>
      <w:r>
        <w:rPr>
          <w:rFonts w:ascii="Times New Roman" w:hAnsi="Times New Roman" w:cs="Times New Roman" w:eastAsia="Times New Roman" w:hint="default"/>
          <w:spacing w:val="-1"/>
        </w:rPr>
        <w:t>PC</w:t>
      </w:r>
      <w:r>
        <w:rPr>
          <w:spacing w:val="-1"/>
        </w:rPr>
        <w:t>制品项目补助资金</w:t>
      </w:r>
      <w:r>
        <w:rPr>
          <w:rFonts w:ascii="Times New Roman" w:hAnsi="Times New Roman" w:cs="Times New Roman" w:eastAsia="Times New Roman" w:hint="default"/>
          <w:spacing w:val="-1"/>
        </w:rPr>
        <w:t>3,311.27</w:t>
      </w:r>
      <w:r>
        <w:rPr>
          <w:spacing w:val="-1"/>
        </w:rPr>
        <w:t>万元，依据（武隆府</w:t>
      </w:r>
      <w:r>
        <w:rPr>
          <w:rFonts w:ascii="Times New Roman" w:hAnsi="Times New Roman" w:cs="Times New Roman" w:eastAsia="Times New Roman" w:hint="default"/>
          <w:spacing w:val="-1"/>
        </w:rPr>
        <w:t>[2011]42</w:t>
      </w:r>
      <w:r>
        <w:rPr>
          <w:spacing w:val="-1"/>
        </w:rPr>
        <w:t>号）</w:t>
      </w:r>
      <w:r>
        <w:rPr>
          <w:spacing w:val="-97"/>
        </w:rPr>
        <w:t> </w:t>
      </w:r>
      <w:r>
        <w:rPr>
          <w:spacing w:val="-97"/>
        </w:rPr>
      </w:r>
      <w:r>
        <w:rPr/>
        <w:t>文件精神和武隆县工业园区管理委员会下发的《关于确认隆泰公司项目补助资金的通知》，</w:t>
      </w:r>
      <w:r>
        <w:rPr>
          <w:rFonts w:ascii="Times New Roman" w:hAnsi="Times New Roman" w:cs="Times New Roman" w:eastAsia="Times New Roman" w:hint="default"/>
        </w:rPr>
        <w:t>2011</w:t>
      </w:r>
      <w:r>
        <w:rPr/>
        <w:t>年确认营 业外收入</w:t>
      </w:r>
      <w:r>
        <w:rPr>
          <w:rFonts w:ascii="Times New Roman" w:hAnsi="Times New Roman" w:cs="Times New Roman" w:eastAsia="Times New Roman" w:hint="default"/>
        </w:rPr>
        <w:t>211.27</w:t>
      </w:r>
      <w:r>
        <w:rPr/>
        <w:t>万元，确认递延收益</w:t>
      </w:r>
      <w:r>
        <w:rPr>
          <w:rFonts w:ascii="Times New Roman" w:hAnsi="Times New Roman" w:cs="Times New Roman" w:eastAsia="Times New Roman" w:hint="default"/>
        </w:rPr>
        <w:t>3,100</w:t>
      </w:r>
      <w:r>
        <w:rPr/>
        <w:t>万元。本期摊销递延收益</w:t>
      </w:r>
      <w:r>
        <w:rPr>
          <w:rFonts w:ascii="Times New Roman" w:hAnsi="Times New Roman" w:cs="Times New Roman" w:eastAsia="Times New Roman" w:hint="default"/>
        </w:rPr>
        <w:t>1,240</w:t>
      </w:r>
      <w:r>
        <w:rPr/>
        <w:t>万元。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24</w:t>
      </w:r>
      <w:r>
        <w:rPr/>
        <w:t>、股本</w:t>
      </w:r>
      <w:r>
        <w:rPr>
          <w:b w:val="0"/>
          <w:bCs w:val="0"/>
        </w:rPr>
      </w:r>
    </w:p>
    <w:p>
      <w:pPr>
        <w:spacing w:line="240" w:lineRule="auto" w:before="7"/>
        <w:rPr>
          <w:rFonts w:ascii="宋体" w:hAnsi="宋体" w:cs="宋体" w:eastAsia="宋体" w:hint="default"/>
          <w:b/>
          <w:bCs/>
          <w:sz w:val="26"/>
          <w:szCs w:val="26"/>
        </w:rPr>
      </w:pPr>
    </w:p>
    <w:p>
      <w:pPr>
        <w:spacing w:before="0"/>
        <w:ind w:left="0" w:right="2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6"/>
        <w:gridCol w:w="1196"/>
        <w:gridCol w:w="1196"/>
        <w:gridCol w:w="1196"/>
        <w:gridCol w:w="1196"/>
        <w:gridCol w:w="1196"/>
        <w:gridCol w:w="1196"/>
        <w:gridCol w:w="1196"/>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3D3D3"/>
          </w:tcPr>
          <w:p>
            <w:pP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77,830,780.00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77,830,780.00</w:t>
            </w:r>
          </w:p>
        </w:tc>
      </w:tr>
    </w:tbl>
    <w:p>
      <w:pPr>
        <w:spacing w:before="51"/>
        <w:ind w:left="11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股本变动情况说明，本报告期内有增资或减资行为的，应披露执行验资的会计师事务所名称和验资报告文号；运行不足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spacing w:after="0"/>
        <w:jc w:val="left"/>
        <w:rPr>
          <w:rFonts w:ascii="Times New Roman" w:hAnsi="Times New Roman" w:cs="Times New Roman" w:eastAsia="Times New Roman" w:hint="default"/>
          <w:sz w:val="18"/>
          <w:szCs w:val="18"/>
        </w:rPr>
        <w:sectPr>
          <w:pgSz w:w="11910" w:h="16840"/>
          <w:pgMar w:header="746" w:footer="978" w:top="1060" w:bottom="1160" w:left="1020" w:right="920"/>
        </w:sectPr>
      </w:pPr>
    </w:p>
    <w:p>
      <w:pPr>
        <w:spacing w:line="240" w:lineRule="auto" w:before="5"/>
        <w:rPr>
          <w:rFonts w:ascii="Times New Roman" w:hAnsi="Times New Roman" w:cs="Times New Roman" w:eastAsia="Times New Roman" w:hint="default"/>
          <w:sz w:val="29"/>
          <w:szCs w:val="29"/>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年的股份有限公司，设立前的年份只需说明净资产情况；有限责任公司整体变更为股份公司应说明公司设立时的验资情况</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25</w:t>
      </w:r>
      <w:r>
        <w:rPr/>
        <w:t>、资本公积</w:t>
      </w:r>
      <w:r>
        <w:rPr>
          <w:b w:val="0"/>
          <w:bCs w:val="0"/>
        </w:rPr>
      </w:r>
    </w:p>
    <w:p>
      <w:pPr>
        <w:spacing w:line="240" w:lineRule="auto" w:before="7"/>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4"/>
        <w:gridCol w:w="1860"/>
        <w:gridCol w:w="1994"/>
        <w:gridCol w:w="1726"/>
        <w:gridCol w:w="1594"/>
      </w:tblGrid>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3" w:right="0"/>
              <w:jc w:val="left"/>
              <w:rPr>
                <w:rFonts w:ascii="Times New Roman" w:hAnsi="Times New Roman" w:cs="Times New Roman" w:eastAsia="Times New Roman" w:hint="default"/>
                <w:sz w:val="18"/>
                <w:szCs w:val="18"/>
              </w:rPr>
            </w:pPr>
            <w:r>
              <w:rPr>
                <w:rFonts w:ascii="Times New Roman"/>
                <w:sz w:val="18"/>
              </w:rPr>
              <w:t>579,996,139.78</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579,996,139.78</w:t>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03" w:right="0"/>
              <w:jc w:val="left"/>
              <w:rPr>
                <w:rFonts w:ascii="Times New Roman" w:hAnsi="Times New Roman" w:cs="Times New Roman" w:eastAsia="Times New Roman" w:hint="default"/>
                <w:sz w:val="18"/>
                <w:szCs w:val="18"/>
              </w:rPr>
            </w:pPr>
            <w:r>
              <w:rPr>
                <w:rFonts w:ascii="Times New Roman"/>
                <w:sz w:val="18"/>
              </w:rPr>
              <w:t>579,996,139.78</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579,996,139.78</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资本公积说明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26</w:t>
      </w:r>
      <w:r>
        <w:rPr/>
        <w:t>、盈余公积</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4"/>
        <w:gridCol w:w="1860"/>
        <w:gridCol w:w="1994"/>
        <w:gridCol w:w="1726"/>
        <w:gridCol w:w="1594"/>
      </w:tblGrid>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16,246,263.45</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3,264,214.68</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5" w:right="0"/>
              <w:jc w:val="left"/>
              <w:rPr>
                <w:rFonts w:ascii="Times New Roman" w:hAnsi="Times New Roman" w:cs="Times New Roman" w:eastAsia="Times New Roman" w:hint="default"/>
                <w:sz w:val="18"/>
                <w:szCs w:val="18"/>
              </w:rPr>
            </w:pPr>
            <w:r>
              <w:rPr>
                <w:rFonts w:ascii="Times New Roman"/>
                <w:sz w:val="18"/>
              </w:rPr>
              <w:t>19,510,478.13</w:t>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16,246,263.45</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3,264,214.68</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5" w:right="0"/>
              <w:jc w:val="left"/>
              <w:rPr>
                <w:rFonts w:ascii="Times New Roman" w:hAnsi="Times New Roman" w:cs="Times New Roman" w:eastAsia="Times New Roman" w:hint="default"/>
                <w:sz w:val="18"/>
                <w:szCs w:val="18"/>
              </w:rPr>
            </w:pPr>
            <w:r>
              <w:rPr>
                <w:rFonts w:ascii="Times New Roman"/>
                <w:sz w:val="18"/>
              </w:rPr>
              <w:t>19,510,478.13</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盈余公积说明，用盈余公积转增股本、弥补亏损、分派股利的，应说明有关决议</w:t>
      </w:r>
    </w:p>
    <w:p>
      <w:pPr>
        <w:pStyle w:val="BodyText"/>
        <w:spacing w:line="240" w:lineRule="auto" w:before="92"/>
        <w:ind w:left="532" w:right="0"/>
        <w:jc w:val="left"/>
      </w:pPr>
      <w:r>
        <w:rPr/>
        <w:t>按母公司税后净利润的</w:t>
      </w:r>
      <w:r>
        <w:rPr>
          <w:rFonts w:ascii="Times New Roman" w:hAnsi="Times New Roman" w:cs="Times New Roman" w:eastAsia="Times New Roman" w:hint="default"/>
        </w:rPr>
        <w:t>10%</w:t>
      </w:r>
      <w:r>
        <w:rPr/>
        <w:t>提取法定盈余公积。</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27</w:t>
      </w:r>
      <w:r>
        <w:rPr/>
        <w:t>、未分配利润</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717"/>
        <w:gridCol w:w="3729"/>
        <w:gridCol w:w="2122"/>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44,486,244.45</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47,785,243.97</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3,264,214.68</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54,481,546.00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34,525,727.74</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调整年初未分配利润明细：</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、由于《企业会计准则》及其相关新规定进行追溯调整，影响年初未分配利润元。</w:t>
      </w:r>
    </w:p>
    <w:p>
      <w:pPr>
        <w:spacing w:before="101"/>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、由于会计政策变更，影响年初未分配利润元。</w:t>
      </w:r>
    </w:p>
    <w:p>
      <w:pPr>
        <w:spacing w:before="10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、由于重大会计差错更正，影响年初未分配利润元。</w:t>
      </w:r>
    </w:p>
    <w:p>
      <w:pPr>
        <w:spacing w:before="10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、由于同一控制导致的合并范围变更，影响年初未分配利润元。</w:t>
      </w:r>
    </w:p>
    <w:p>
      <w:pPr>
        <w:spacing w:line="326" w:lineRule="auto" w:before="101"/>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、其他调整合计影响年初未分配利润元。 </w:t>
      </w:r>
      <w:r>
        <w:rPr>
          <w:rFonts w:ascii="宋体" w:hAnsi="宋体" w:cs="宋体" w:eastAsia="宋体" w:hint="default"/>
          <w:spacing w:val="-2"/>
          <w:sz w:val="18"/>
          <w:szCs w:val="18"/>
        </w:rPr>
        <w:t>未分配利润说明，对于首次公开发行证券的公司，如果发行前的滚存利润经股东大会决议由新老股东共同享有，应明确予以</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说明；如果发行前的滚存利润经股东大会决议在发行前进行分配并由老股东享有，公司应明确披露应付股利中老股东享有的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经审计的利润数</w:t>
      </w:r>
    </w:p>
    <w:p>
      <w:pPr>
        <w:pStyle w:val="BodyText"/>
        <w:spacing w:line="240" w:lineRule="auto" w:before="27"/>
        <w:ind w:left="532" w:right="0"/>
        <w:jc w:val="left"/>
      </w:pPr>
      <w:r>
        <w:rPr>
          <w:rFonts w:ascii="Times New Roman" w:hAnsi="Times New Roman" w:cs="Times New Roman" w:eastAsia="Times New Roman" w:hint="default"/>
          <w:spacing w:val="3"/>
        </w:rPr>
        <w:t>2012</w:t>
      </w:r>
      <w:r>
        <w:rPr>
          <w:spacing w:val="3"/>
        </w:rPr>
        <w:t>年</w:t>
      </w:r>
      <w:r>
        <w:rPr>
          <w:spacing w:val="-83"/>
        </w:rPr>
        <w:t> </w:t>
      </w:r>
      <w:r>
        <w:rPr>
          <w:rFonts w:ascii="Times New Roman" w:hAnsi="Times New Roman" w:cs="Times New Roman" w:eastAsia="Times New Roman" w:hint="default"/>
          <w:spacing w:val="8"/>
        </w:rPr>
        <w:t>5</w:t>
      </w:r>
      <w:r>
        <w:rPr>
          <w:spacing w:val="8"/>
        </w:rPr>
        <w:t>月</w:t>
      </w:r>
      <w:r>
        <w:rPr>
          <w:spacing w:val="-83"/>
        </w:rPr>
        <w:t> </w:t>
      </w:r>
      <w:r>
        <w:rPr>
          <w:rFonts w:ascii="Times New Roman" w:hAnsi="Times New Roman" w:cs="Times New Roman" w:eastAsia="Times New Roman" w:hint="default"/>
        </w:rPr>
        <w:t>16</w:t>
      </w:r>
      <w:r>
        <w:rPr>
          <w:rFonts w:ascii="Times New Roman" w:hAnsi="Times New Roman" w:cs="Times New Roman" w:eastAsia="Times New Roman" w:hint="default"/>
          <w:spacing w:val="-31"/>
        </w:rPr>
        <w:t> </w:t>
      </w:r>
      <w:r>
        <w:rPr>
          <w:spacing w:val="14"/>
        </w:rPr>
        <w:t>日公司</w:t>
      </w:r>
      <w:r>
        <w:rPr>
          <w:rFonts w:ascii="Times New Roman" w:hAnsi="Times New Roman" w:cs="Times New Roman" w:eastAsia="Times New Roman" w:hint="default"/>
          <w:spacing w:val="14"/>
        </w:rPr>
        <w:t>2011</w:t>
      </w:r>
      <w:r>
        <w:rPr>
          <w:spacing w:val="14"/>
        </w:rPr>
        <w:t>年度股东大会审议通过</w:t>
      </w:r>
      <w:r>
        <w:rPr>
          <w:spacing w:val="-8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1"/>
        </w:rPr>
        <w:t> </w:t>
      </w:r>
      <w:r>
        <w:rPr>
          <w:spacing w:val="17"/>
        </w:rPr>
        <w:t>年年度权益分派方案：</w:t>
      </w:r>
      <w:r>
        <w:rPr>
          <w:spacing w:val="-85"/>
        </w:rPr>
        <w:t> </w:t>
      </w:r>
      <w:r>
        <w:rPr>
          <w:spacing w:val="16"/>
        </w:rPr>
        <w:t>以公司现有总股本</w:t>
      </w:r>
    </w:p>
    <w:p>
      <w:pPr>
        <w:spacing w:after="0" w:line="240" w:lineRule="auto"/>
        <w:jc w:val="left"/>
        <w:sectPr>
          <w:pgSz w:w="11910" w:h="16840"/>
          <w:pgMar w:header="746" w:footer="978" w:top="1060" w:bottom="1160" w:left="1020" w:right="102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rFonts w:ascii="Times New Roman" w:hAnsi="Times New Roman" w:cs="Times New Roman" w:eastAsia="Times New Roman" w:hint="default"/>
        </w:rPr>
        <w:t>77,830,780  </w:t>
      </w:r>
      <w:r>
        <w:rPr/>
        <w:t>股为基数，向全体股东每 </w:t>
      </w:r>
      <w:r>
        <w:rPr>
          <w:rFonts w:ascii="Times New Roman" w:hAnsi="Times New Roman" w:cs="Times New Roman" w:eastAsia="Times New Roman" w:hint="default"/>
        </w:rPr>
        <w:t>10  </w:t>
      </w:r>
      <w:r>
        <w:rPr/>
        <w:t>股派 </w:t>
      </w:r>
      <w:r>
        <w:rPr>
          <w:rFonts w:ascii="Times New Roman" w:hAnsi="Times New Roman" w:cs="Times New Roman" w:eastAsia="Times New Roman" w:hint="default"/>
        </w:rPr>
        <w:t>4.5</w:t>
      </w:r>
      <w:r>
        <w:rPr>
          <w:rFonts w:ascii="Times New Roman" w:hAnsi="Times New Roman" w:cs="Times New Roman" w:eastAsia="Times New Roman" w:hint="default"/>
          <w:spacing w:val="24"/>
        </w:rPr>
        <w:t> </w:t>
      </w:r>
      <w:r>
        <w:rPr/>
        <w:t>元人民币现金（含税），共分配利润</w:t>
      </w:r>
      <w:r>
        <w:rPr>
          <w:rFonts w:ascii="Times New Roman" w:hAnsi="Times New Roman" w:cs="Times New Roman" w:eastAsia="Times New Roman" w:hint="default"/>
        </w:rPr>
        <w:t>35,023,851.00</w:t>
      </w:r>
      <w:r>
        <w:rPr/>
        <w:t>元</w:t>
      </w:r>
    </w:p>
    <w:p>
      <w:pPr>
        <w:pStyle w:val="BodyText"/>
        <w:spacing w:line="256" w:lineRule="auto" w:before="21"/>
        <w:ind w:right="106" w:firstLine="42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日公司</w:t>
      </w:r>
      <w:r>
        <w:rPr>
          <w:rFonts w:ascii="Times New Roman" w:hAnsi="Times New Roman" w:cs="Times New Roman" w:eastAsia="Times New Roman" w:hint="default"/>
        </w:rPr>
        <w:t>2012 </w:t>
      </w:r>
      <w:r>
        <w:rPr/>
        <w:t>年第一次临时股东大会审议通过</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年半年度权益分派方案：以公司现有 </w:t>
      </w:r>
      <w:r>
        <w:rPr>
          <w:spacing w:val="-1"/>
        </w:rPr>
        <w:t>总股本</w:t>
      </w:r>
      <w:r>
        <w:rPr/>
        <w:t> </w:t>
      </w:r>
      <w:r>
        <w:rPr>
          <w:rFonts w:ascii="Times New Roman" w:hAnsi="Times New Roman" w:cs="Times New Roman" w:eastAsia="Times New Roman" w:hint="default"/>
          <w:spacing w:val="-1"/>
        </w:rPr>
        <w:t>77,830,780</w:t>
      </w:r>
      <w:r>
        <w:rPr>
          <w:rFonts w:ascii="Times New Roman" w:hAnsi="Times New Roman" w:cs="Times New Roman" w:eastAsia="Times New Roman" w:hint="default"/>
        </w:rPr>
        <w:t> </w:t>
      </w:r>
      <w:r>
        <w:rPr>
          <w:spacing w:val="-8"/>
        </w:rPr>
        <w:t>股为基数，向全体股东每</w:t>
      </w:r>
      <w:r>
        <w:rPr/>
        <w:t> </w:t>
      </w:r>
      <w:r>
        <w:rPr>
          <w:rFonts w:ascii="Times New Roman" w:hAnsi="Times New Roman" w:cs="Times New Roman" w:eastAsia="Times New Roman" w:hint="default"/>
        </w:rPr>
        <w:t>10 </w:t>
      </w:r>
      <w:r>
        <w:rPr/>
        <w:t>股派 </w:t>
      </w:r>
      <w:r>
        <w:rPr>
          <w:rFonts w:ascii="Times New Roman" w:hAnsi="Times New Roman" w:cs="Times New Roman" w:eastAsia="Times New Roman" w:hint="default"/>
        </w:rPr>
        <w:t>2.5</w:t>
      </w:r>
      <w:r>
        <w:rPr>
          <w:rFonts w:ascii="Times New Roman" w:hAnsi="Times New Roman" w:cs="Times New Roman" w:eastAsia="Times New Roman" w:hint="default"/>
          <w:spacing w:val="31"/>
        </w:rPr>
        <w:t> </w:t>
      </w:r>
      <w:r>
        <w:rPr>
          <w:spacing w:val="-10"/>
        </w:rPr>
        <w:t>元人民币现金（含税），共分配利润</w:t>
      </w:r>
      <w:r>
        <w:rPr>
          <w:rFonts w:ascii="Times New Roman" w:hAnsi="Times New Roman" w:cs="Times New Roman" w:eastAsia="Times New Roman" w:hint="default"/>
          <w:spacing w:val="-10"/>
        </w:rPr>
        <w:t>19,457,695.00</w:t>
      </w:r>
      <w:r>
        <w:rPr>
          <w:rFonts w:ascii="Times New Roman" w:hAnsi="Times New Roman" w:cs="Times New Roman" w:eastAsia="Times New Roman" w:hint="default"/>
        </w:rPr>
        <w:t> </w:t>
      </w:r>
      <w:r>
        <w:rPr/>
        <w:t>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4"/>
        <w:spacing w:line="240" w:lineRule="auto"/>
        <w:ind w:right="0"/>
        <w:jc w:val="left"/>
        <w:rPr>
          <w:b w:val="0"/>
          <w:bCs w:val="0"/>
        </w:rPr>
      </w:pPr>
      <w:r>
        <w:rPr>
          <w:rFonts w:ascii="Times New Roman" w:hAnsi="Times New Roman" w:cs="Times New Roman" w:eastAsia="Times New Roman" w:hint="default"/>
        </w:rPr>
        <w:t>28</w:t>
      </w:r>
      <w:r>
        <w:rPr/>
        <w:t>、营业收入、营业成本</w:t>
      </w:r>
      <w:r>
        <w:rPr>
          <w:b w:val="0"/>
          <w:bCs w:val="0"/>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2"/>
        <w:gridCol w:w="3057"/>
        <w:gridCol w:w="3190"/>
      </w:tblGrid>
      <w:tr>
        <w:trPr>
          <w:trHeight w:val="402" w:hRule="exact"/>
        </w:trPr>
        <w:tc>
          <w:tcPr>
            <w:tcW w:w="3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829,871,953.00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689,056,837.48</w:t>
            </w:r>
          </w:p>
        </w:tc>
      </w:tr>
      <w:tr>
        <w:trPr>
          <w:trHeight w:val="402" w:hRule="exact"/>
        </w:trPr>
        <w:tc>
          <w:tcPr>
            <w:tcW w:w="3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3,547,866.29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2,069,848.48</w:t>
            </w:r>
          </w:p>
        </w:tc>
      </w:tr>
      <w:tr>
        <w:trPr>
          <w:trHeight w:val="402" w:hRule="exact"/>
        </w:trPr>
        <w:tc>
          <w:tcPr>
            <w:tcW w:w="3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722,447,323.00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599,304,709.62</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27"/>
        <w:gridCol w:w="1726"/>
        <w:gridCol w:w="1861"/>
        <w:gridCol w:w="1727"/>
        <w:gridCol w:w="1726"/>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金属加工制造</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7" w:right="0"/>
              <w:jc w:val="left"/>
              <w:rPr>
                <w:rFonts w:ascii="Times New Roman" w:hAnsi="Times New Roman" w:cs="Times New Roman" w:eastAsia="Times New Roman" w:hint="default"/>
                <w:sz w:val="18"/>
                <w:szCs w:val="18"/>
              </w:rPr>
            </w:pPr>
            <w:r>
              <w:rPr>
                <w:rFonts w:ascii="Times New Roman"/>
                <w:sz w:val="18"/>
              </w:rPr>
              <w:t>829,871,953.00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721,518,936.40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689,056,837.48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599,294,757.21</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7" w:right="0"/>
              <w:jc w:val="left"/>
              <w:rPr>
                <w:rFonts w:ascii="Times New Roman" w:hAnsi="Times New Roman" w:cs="Times New Roman" w:eastAsia="Times New Roman" w:hint="default"/>
                <w:sz w:val="18"/>
                <w:szCs w:val="18"/>
              </w:rPr>
            </w:pPr>
            <w:r>
              <w:rPr>
                <w:rFonts w:ascii="Times New Roman"/>
                <w:sz w:val="18"/>
              </w:rPr>
              <w:t>829,871,953.00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721,518,936.40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689,056,837.48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599,294,757.21</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27"/>
        <w:gridCol w:w="1726"/>
        <w:gridCol w:w="1861"/>
        <w:gridCol w:w="1727"/>
        <w:gridCol w:w="1726"/>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9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97"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钢绞线</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7" w:right="0"/>
              <w:jc w:val="left"/>
              <w:rPr>
                <w:rFonts w:ascii="Times New Roman" w:hAnsi="Times New Roman" w:cs="Times New Roman" w:eastAsia="Times New Roman" w:hint="default"/>
                <w:sz w:val="18"/>
                <w:szCs w:val="18"/>
              </w:rPr>
            </w:pPr>
            <w:r>
              <w:rPr>
                <w:rFonts w:ascii="Times New Roman"/>
                <w:sz w:val="18"/>
              </w:rPr>
              <w:t>450,689,413.77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370,692,474.26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497,723,277.74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417,732,374.41</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钢绞线</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7" w:right="0"/>
              <w:jc w:val="left"/>
              <w:rPr>
                <w:rFonts w:ascii="Times New Roman" w:hAnsi="Times New Roman" w:cs="Times New Roman" w:eastAsia="Times New Roman" w:hint="default"/>
                <w:sz w:val="18"/>
                <w:szCs w:val="18"/>
              </w:rPr>
            </w:pPr>
            <w:r>
              <w:rPr>
                <w:rFonts w:ascii="Times New Roman"/>
                <w:sz w:val="18"/>
              </w:rPr>
              <w:t>276,592,556.34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267,638,602.17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128,545,347.51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126,030,654.84</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钢丝</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7" w:right="0"/>
              <w:jc w:val="left"/>
              <w:rPr>
                <w:rFonts w:ascii="Times New Roman" w:hAnsi="Times New Roman" w:cs="Times New Roman" w:eastAsia="Times New Roman" w:hint="default"/>
                <w:sz w:val="18"/>
                <w:szCs w:val="18"/>
              </w:rPr>
            </w:pPr>
            <w:r>
              <w:rPr>
                <w:rFonts w:ascii="Times New Roman"/>
                <w:sz w:val="18"/>
              </w:rPr>
              <w:t>102,589,982.89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83,187,859.97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62,788,212.23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55,531,727.96</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7" w:right="0"/>
              <w:jc w:val="left"/>
              <w:rPr>
                <w:rFonts w:ascii="Times New Roman" w:hAnsi="Times New Roman" w:cs="Times New Roman" w:eastAsia="Times New Roman" w:hint="default"/>
                <w:sz w:val="18"/>
                <w:szCs w:val="18"/>
              </w:rPr>
            </w:pPr>
            <w:r>
              <w:rPr>
                <w:rFonts w:ascii="Times New Roman"/>
                <w:sz w:val="18"/>
              </w:rPr>
              <w:t>829,871,953.00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721,518,936.40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689,056,837.48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599,294,757.21</w:t>
            </w:r>
          </w:p>
        </w:tc>
      </w:tr>
    </w:tbl>
    <w:p>
      <w:pPr>
        <w:spacing w:line="240" w:lineRule="auto" w:before="4"/>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27"/>
        <w:gridCol w:w="1726"/>
        <w:gridCol w:w="1861"/>
        <w:gridCol w:w="1727"/>
        <w:gridCol w:w="1726"/>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营业成本</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527"/>
        <w:gridCol w:w="1726"/>
        <w:gridCol w:w="1861"/>
        <w:gridCol w:w="1727"/>
        <w:gridCol w:w="1726"/>
      </w:tblGrid>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608,614,765.76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525,891,635.66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562,438,051.42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490,504,379.61</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221,257,187.24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195,627,300.74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126,618,786.06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108,790,377.60</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829,871,953.00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721,518,936.40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689,056,837.48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599,294,757.21</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94"/>
        <w:gridCol w:w="2848"/>
        <w:gridCol w:w="4127"/>
      </w:tblGrid>
      <w:tr>
        <w:trPr>
          <w:trHeight w:val="402" w:hRule="exact"/>
        </w:trPr>
        <w:tc>
          <w:tcPr>
            <w:tcW w:w="2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880"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8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142,623,241.63</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17.11%</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38,229,680.48</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4.59%</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16,590,610.44</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15,597,146.93</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1.87%</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14,517,755.66</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227,558,435.14</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27.3%</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营业收入的说明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29</w:t>
      </w:r>
      <w:r>
        <w:rPr/>
        <w:t>、营业税金及附加</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793"/>
        <w:gridCol w:w="1993"/>
        <w:gridCol w:w="1861"/>
        <w:gridCol w:w="2921"/>
      </w:tblGrid>
      <w:tr>
        <w:trPr>
          <w:trHeight w:val="402" w:hRule="exact"/>
        </w:trPr>
        <w:tc>
          <w:tcPr>
            <w:tcW w:w="2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7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2" w:hRule="exact"/>
        </w:trPr>
        <w:tc>
          <w:tcPr>
            <w:tcW w:w="2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1,059,235.74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797,692.11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应交流转税额的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r>
      <w:tr>
        <w:trPr>
          <w:trHeight w:val="402" w:hRule="exact"/>
        </w:trPr>
        <w:tc>
          <w:tcPr>
            <w:tcW w:w="2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635,541.43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478,615.29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应交流转税额的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r>
      <w:tr>
        <w:trPr>
          <w:trHeight w:val="402" w:hRule="exact"/>
        </w:trPr>
        <w:tc>
          <w:tcPr>
            <w:tcW w:w="2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423,694.28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307,794.16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应交流转税额的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r>
      <w:tr>
        <w:trPr>
          <w:trHeight w:val="402" w:hRule="exact"/>
        </w:trPr>
        <w:tc>
          <w:tcPr>
            <w:tcW w:w="2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2,118,471.45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1,584,101.56</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营业税金及附加的说明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30</w:t>
      </w:r>
      <w:r>
        <w:rPr/>
        <w:t>、销售费用</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20,737,650.15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15,393,381.27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2,417,877.68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2,243,542.35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923,305.11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597,543.39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3,244,380.57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1,439,052.98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1,930,934.73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1,124,267.40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销售佣金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916,222.91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444,297.63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154,459.10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171,864.20</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交际应酬费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822,758.00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652,900.50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96,679.00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363,632.00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商检费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280,348.94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196,450.50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12,397.01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28,818.38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2,666,945.15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655,556.21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34,203,958.35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23,311,306.81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31</w:t>
      </w:r>
      <w:r>
        <w:rPr/>
        <w:t>、管理费用</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5,621,634.70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4,609,464.43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4,710,934.76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3,753,281.49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2,574,115.80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1,429,537.72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1,445,294.38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1,500,406.50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4,611,201.69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1,356,043.59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884,071.99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1,505,986.20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762,293.63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860,268.49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967,040.58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671,491.70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650,492.24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622,252.92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1,294,892.01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1,144,305.18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709,115.69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779,009.43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96,156.60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227,485.98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1,542,620.54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2,475,166.16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25,869,864.61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20,934,699.79</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32</w:t>
      </w:r>
      <w:r>
        <w:rPr/>
        <w:t>、财务费用</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9,386,998.26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7,604,093.18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-3,768,744.00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-5,870,452.18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-372,430.45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827,856.05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725,552.56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375,647.19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58,877.00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408,467.50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6,030,253.37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3,345,611.74</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33</w:t>
      </w:r>
      <w:r>
        <w:rPr/>
        <w:t>、投资收益</w:t>
      </w:r>
      <w:r>
        <w:rPr>
          <w:b w:val="0"/>
          <w:bCs w:val="0"/>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）投资收益明细情况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857"/>
        <w:gridCol w:w="2789"/>
        <w:gridCol w:w="2921"/>
      </w:tblGrid>
      <w:tr>
        <w:trPr>
          <w:trHeight w:val="402"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4,300.00</w:t>
            </w:r>
          </w:p>
        </w:tc>
      </w:tr>
      <w:tr>
        <w:trPr>
          <w:trHeight w:val="402"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789"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138,042.16</w:t>
            </w:r>
          </w:p>
        </w:tc>
      </w:tr>
      <w:tr>
        <w:trPr>
          <w:trHeight w:val="402"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持有交易性金融资产期间取得的投资收益</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-803,368.92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-168,267.52</w:t>
            </w:r>
          </w:p>
        </w:tc>
      </w:tr>
      <w:tr>
        <w:trPr>
          <w:trHeight w:val="402"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-483,368.92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-25,925.36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27"/>
        <w:gridCol w:w="1993"/>
        <w:gridCol w:w="1727"/>
        <w:gridCol w:w="2921"/>
      </w:tblGrid>
      <w:tr>
        <w:trPr>
          <w:trHeight w:val="402" w:hRule="exact"/>
        </w:trPr>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4"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2" w:hRule="exact"/>
        </w:trPr>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安徽华菱西厨设备股份有限公司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315,000.00</w:t>
            </w:r>
          </w:p>
        </w:tc>
        <w:tc>
          <w:tcPr>
            <w:tcW w:w="1727"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本年进行现金分红</w:t>
            </w:r>
          </w:p>
        </w:tc>
      </w:tr>
      <w:tr>
        <w:trPr>
          <w:trHeight w:val="402" w:hRule="exact"/>
        </w:trPr>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台山市农村信用合作联社</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320,000.00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4,300.00</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34</w:t>
      </w:r>
      <w:r>
        <w:rPr/>
        <w:t>、资产减值损失</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254"/>
        <w:gridCol w:w="2525"/>
        <w:gridCol w:w="2789"/>
      </w:tblGrid>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1,577,599.90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3,919,171.27</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1,577,599.90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3,919,171.27</w:t>
            </w:r>
          </w:p>
        </w:tc>
      </w:tr>
    </w:tbl>
    <w:p>
      <w:pPr>
        <w:spacing w:line="240" w:lineRule="auto" w:before="4"/>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35</w:t>
      </w:r>
      <w:r>
        <w:rPr/>
        <w:t>、营业外收入</w:t>
      </w:r>
      <w:r>
        <w:rPr>
          <w:b w:val="0"/>
          <w:bCs w:val="0"/>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）营业外收入情况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93"/>
        <w:gridCol w:w="1955"/>
        <w:gridCol w:w="2160"/>
        <w:gridCol w:w="2160"/>
      </w:tblGrid>
      <w:tr>
        <w:trPr>
          <w:trHeight w:val="714"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894" w:right="82" w:hanging="809"/>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487,986.24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406,947.72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487,986.24</w:t>
            </w: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487,986.24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406,947.72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487,986.24</w:t>
            </w: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14,809,000.00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10,460,700.00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14,809,000.00</w:t>
            </w: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506,046.08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240,801.32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506,046.08</w:t>
            </w: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15,803,032.32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11,108,449.04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15,803,032.32</w:t>
            </w:r>
          </w:p>
        </w:tc>
      </w:tr>
    </w:tbl>
    <w:p>
      <w:pPr>
        <w:spacing w:after="0" w:line="240" w:lineRule="auto"/>
        <w:jc w:val="right"/>
        <w:rPr>
          <w:rFonts w:ascii="Times New Roman" w:hAnsi="Times New Roman" w:cs="Times New Roman" w:eastAsia="Times New Roman" w:hint="default"/>
          <w:sz w:val="18"/>
          <w:szCs w:val="18"/>
        </w:rPr>
        <w:sectPr>
          <w:footerReference w:type="default" r:id="rId29"/>
          <w:pgSz w:w="11910" w:h="16840"/>
          <w:pgMar w:footer="978" w:header="746" w:top="1060" w:bottom="1160" w:left="1020" w:right="1020"/>
          <w:pgNumType w:start="100"/>
        </w:sectPr>
      </w:pPr>
    </w:p>
    <w:p>
      <w:pPr>
        <w:spacing w:line="240" w:lineRule="auto" w:before="9"/>
        <w:rPr>
          <w:rFonts w:ascii="宋体" w:hAnsi="宋体" w:cs="宋体" w:eastAsia="宋体" w:hint="default"/>
          <w:sz w:val="24"/>
          <w:szCs w:val="24"/>
        </w:rPr>
      </w:pPr>
      <w:r>
        <w:rPr/>
        <w:pict>
          <v:shape style="position:absolute;margin-left:56.459999pt;margin-top:120.250023pt;width:479.15pt;height:645.2pt;mso-position-horizontal-relative:page;mso-position-vertical-relative:page;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0"/>
                    <w:gridCol w:w="1994"/>
                    <w:gridCol w:w="1993"/>
                    <w:gridCol w:w="2921"/>
                  </w:tblGrid>
                  <w:tr>
                    <w:trPr>
                      <w:trHeight w:val="402"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博士后工作站奖励款</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系</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日收到据当政</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号博士后工作站激励资金</w:t>
                        </w:r>
                      </w:p>
                    </w:tc>
                  </w:tr>
                  <w:tr>
                    <w:trPr>
                      <w:trHeight w:val="102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当涂经济开发区奖励款</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系</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日收到据当开工</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号的当涂经济开发区表彰</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年度先进集体奖</w:t>
                        </w:r>
                      </w:p>
                    </w:tc>
                  </w:tr>
                  <w:tr>
                    <w:trPr>
                      <w:trHeight w:val="102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县政府奖励款</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58"/>
                          <w:jc w:val="both"/>
                          <w:rPr>
                            <w:rFonts w:ascii="宋体" w:hAnsi="宋体" w:cs="宋体" w:eastAsia="宋体" w:hint="default"/>
                            <w:sz w:val="18"/>
                            <w:szCs w:val="18"/>
                          </w:rPr>
                        </w:pPr>
                        <w:r>
                          <w:rPr>
                            <w:rFonts w:ascii="宋体" w:hAnsi="宋体" w:cs="宋体" w:eastAsia="宋体" w:hint="default"/>
                            <w:sz w:val="18"/>
                            <w:szCs w:val="18"/>
                          </w:rPr>
                          <w:t>系</w:t>
                        </w:r>
                        <w:r>
                          <w:rPr>
                            <w:rFonts w:ascii="宋体" w:hAnsi="宋体" w:cs="宋体" w:eastAsia="宋体" w:hint="default"/>
                            <w:spacing w:val="-63"/>
                            <w:sz w:val="18"/>
                            <w:szCs w:val="18"/>
                          </w:rPr>
                          <w:t> </w:t>
                        </w:r>
                        <w:r>
                          <w:rPr>
                            <w:rFonts w:ascii="Times New Roman" w:hAnsi="Times New Roman" w:cs="Times New Roman" w:eastAsia="Times New Roman" w:hint="default"/>
                            <w:spacing w:val="-1"/>
                            <w:sz w:val="18"/>
                            <w:szCs w:val="18"/>
                          </w:rPr>
                          <w:t>2012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7"/>
                            <w:sz w:val="18"/>
                            <w:szCs w:val="18"/>
                          </w:rPr>
                          <w:t> </w:t>
                        </w:r>
                        <w:r>
                          <w:rPr>
                            <w:rFonts w:ascii="宋体" w:hAnsi="宋体" w:cs="宋体" w:eastAsia="宋体" w:hint="default"/>
                            <w:spacing w:val="-9"/>
                            <w:sz w:val="18"/>
                            <w:szCs w:val="18"/>
                          </w:rPr>
                          <w:t>日收到据当发（</w:t>
                        </w:r>
                        <w:r>
                          <w:rPr>
                            <w:rFonts w:ascii="Times New Roman" w:hAnsi="Times New Roman" w:cs="Times New Roman" w:eastAsia="Times New Roman" w:hint="default"/>
                            <w:spacing w:val="-9"/>
                            <w:sz w:val="18"/>
                            <w:szCs w:val="18"/>
                          </w:rPr>
                          <w:t>2012</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号的县政府表彰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年度先进集 体奖</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5"/>
                          <w:jc w:val="left"/>
                          <w:rPr>
                            <w:rFonts w:ascii="宋体" w:hAnsi="宋体" w:cs="宋体" w:eastAsia="宋体" w:hint="default"/>
                            <w:sz w:val="18"/>
                            <w:szCs w:val="18"/>
                          </w:rPr>
                        </w:pPr>
                        <w:r>
                          <w:rPr>
                            <w:rFonts w:ascii="宋体" w:hAnsi="宋体" w:cs="宋体" w:eastAsia="宋体" w:hint="default"/>
                            <w:sz w:val="18"/>
                            <w:szCs w:val="18"/>
                          </w:rPr>
                          <w:t>人力资源和社会保险局机关资助 费用</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96"/>
                          <w:jc w:val="left"/>
                          <w:rPr>
                            <w:rFonts w:ascii="宋体" w:hAnsi="宋体" w:cs="宋体" w:eastAsia="宋体" w:hint="default"/>
                            <w:sz w:val="18"/>
                            <w:szCs w:val="18"/>
                          </w:rPr>
                        </w:pPr>
                        <w:r>
                          <w:rPr>
                            <w:rFonts w:ascii="宋体" w:hAnsi="宋体" w:cs="宋体" w:eastAsia="宋体" w:hint="default"/>
                            <w:sz w:val="18"/>
                            <w:szCs w:val="18"/>
                          </w:rPr>
                          <w:t>系</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日收到的人力资源 和社会保险局机关资助费用</w:t>
                        </w:r>
                      </w:p>
                    </w:tc>
                  </w:tr>
                  <w:tr>
                    <w:trPr>
                      <w:trHeight w:val="102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5"/>
                          <w:jc w:val="left"/>
                          <w:rPr>
                            <w:rFonts w:ascii="宋体" w:hAnsi="宋体" w:cs="宋体" w:eastAsia="宋体" w:hint="default"/>
                            <w:sz w:val="18"/>
                            <w:szCs w:val="18"/>
                          </w:rPr>
                        </w:pPr>
                        <w:r>
                          <w:rPr>
                            <w:rFonts w:ascii="宋体" w:hAnsi="宋体" w:cs="宋体" w:eastAsia="宋体" w:hint="default"/>
                            <w:sz w:val="18"/>
                            <w:szCs w:val="18"/>
                          </w:rPr>
                          <w:t>中小企业境外发展补贴及国际市 场开拓资金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10"/>
                          <w:jc w:val="both"/>
                          <w:rPr>
                            <w:rFonts w:ascii="宋体" w:hAnsi="宋体" w:cs="宋体" w:eastAsia="宋体" w:hint="default"/>
                            <w:sz w:val="18"/>
                            <w:szCs w:val="18"/>
                          </w:rPr>
                        </w:pPr>
                        <w:r>
                          <w:rPr>
                            <w:rFonts w:ascii="宋体" w:hAnsi="宋体" w:cs="宋体" w:eastAsia="宋体" w:hint="default"/>
                            <w:sz w:val="18"/>
                            <w:szCs w:val="18"/>
                          </w:rPr>
                          <w:t>系</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8"/>
                            <w:sz w:val="18"/>
                            <w:szCs w:val="18"/>
                          </w:rPr>
                          <w:t> </w:t>
                        </w:r>
                        <w:r>
                          <w:rPr>
                            <w:rFonts w:ascii="宋体" w:hAnsi="宋体" w:cs="宋体" w:eastAsia="宋体" w:hint="default"/>
                            <w:spacing w:val="-9"/>
                            <w:sz w:val="18"/>
                            <w:szCs w:val="18"/>
                          </w:rPr>
                          <w:t>日收到据财企（</w:t>
                        </w:r>
                        <w:r>
                          <w:rPr>
                            <w:rFonts w:ascii="Times New Roman" w:hAnsi="Times New Roman" w:cs="Times New Roman" w:eastAsia="Times New Roman" w:hint="default"/>
                            <w:spacing w:val="-9"/>
                            <w:sz w:val="18"/>
                            <w:szCs w:val="18"/>
                          </w:rPr>
                          <w:t>2011</w:t>
                        </w:r>
                        <w:r>
                          <w:rPr>
                            <w:rFonts w:ascii="Times New Roman" w:hAnsi="Times New Roman" w:cs="Times New Roman" w:eastAsia="Times New Roman" w:hint="default"/>
                            <w:sz w:val="18"/>
                            <w:szCs w:val="18"/>
                          </w:rPr>
                          <w:t> 2203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号中小企业境外发展补贴及国 际市场开拓资金</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技术标准战略奖励资金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系</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日收到据马政</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号技术标准战略奖励资金</w:t>
                        </w:r>
                      </w:p>
                    </w:tc>
                  </w:tr>
                  <w:tr>
                    <w:trPr>
                      <w:trHeight w:val="102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外贸促进款</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51"/>
                          <w:jc w:val="both"/>
                          <w:rPr>
                            <w:rFonts w:ascii="宋体" w:hAnsi="宋体" w:cs="宋体" w:eastAsia="宋体" w:hint="default"/>
                            <w:sz w:val="18"/>
                            <w:szCs w:val="18"/>
                          </w:rPr>
                        </w:pPr>
                        <w:r>
                          <w:rPr>
                            <w:rFonts w:ascii="宋体" w:hAnsi="宋体" w:cs="宋体" w:eastAsia="宋体" w:hint="default"/>
                            <w:sz w:val="18"/>
                            <w:szCs w:val="18"/>
                          </w:rPr>
                          <w:t>系</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日收到外贸促进 </w:t>
                        </w:r>
                        <w:r>
                          <w:rPr>
                            <w:rFonts w:ascii="Times New Roman" w:hAnsi="Times New Roman" w:cs="Times New Roman" w:eastAsia="Times New Roman" w:hint="default"/>
                            <w:sz w:val="18"/>
                            <w:szCs w:val="18"/>
                          </w:rPr>
                          <w:t>216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类款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21606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2160699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项外贸促 进款</w:t>
                        </w:r>
                      </w:p>
                    </w:tc>
                  </w:tr>
                  <w:tr>
                    <w:trPr>
                      <w:trHeight w:val="102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工业转型发展专项资金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系</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日收到据马财</w:t>
                        </w:r>
                      </w:p>
                      <w:p>
                        <w:pPr>
                          <w:pStyle w:val="TableParagraph"/>
                          <w:spacing w:line="300" w:lineRule="auto" w:before="63"/>
                          <w:ind w:left="23" w:right="5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362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号工业转型发展专项资 金金融服务奖补助资金</w:t>
                        </w:r>
                      </w:p>
                    </w:tc>
                  </w:tr>
                  <w:tr>
                    <w:trPr>
                      <w:trHeight w:val="102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科技型中小企业技术创新基金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系</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日收到据国科发</w:t>
                        </w:r>
                      </w:p>
                      <w:p>
                        <w:pPr>
                          <w:pStyle w:val="TableParagraph"/>
                          <w:spacing w:line="300" w:lineRule="auto" w:before="63"/>
                          <w:ind w:left="23" w:right="22"/>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2011</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年科技型中小企 业技术创新基金</w:t>
                        </w:r>
                      </w:p>
                    </w:tc>
                  </w:tr>
                  <w:tr>
                    <w:trPr>
                      <w:trHeight w:val="102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2" w:right="21"/>
                          <w:jc w:val="left"/>
                          <w:rPr>
                            <w:rFonts w:ascii="宋体" w:hAnsi="宋体" w:cs="宋体" w:eastAsia="宋体" w:hint="default"/>
                            <w:sz w:val="18"/>
                            <w:szCs w:val="18"/>
                          </w:rPr>
                        </w:pPr>
                        <w:r>
                          <w:rPr>
                            <w:rFonts w:ascii="宋体" w:hAnsi="宋体" w:cs="宋体" w:eastAsia="宋体" w:hint="default"/>
                            <w:sz w:val="18"/>
                            <w:szCs w:val="18"/>
                          </w:rPr>
                          <w:t>市科学技术</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年第一批国家创 新基金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系</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日收到据武财企</w:t>
                        </w:r>
                      </w:p>
                      <w:p>
                        <w:pPr>
                          <w:pStyle w:val="TableParagraph"/>
                          <w:spacing w:line="300" w:lineRule="auto" w:before="63"/>
                          <w:ind w:left="23" w:right="5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号市科学技术</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 一批国家创新基金</w:t>
                        </w:r>
                      </w:p>
                    </w:tc>
                  </w:tr>
                  <w:tr>
                    <w:trPr>
                      <w:trHeight w:val="102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5"/>
                          <w:jc w:val="left"/>
                          <w:rPr>
                            <w:rFonts w:ascii="宋体" w:hAnsi="宋体" w:cs="宋体" w:eastAsia="宋体" w:hint="default"/>
                            <w:sz w:val="18"/>
                            <w:szCs w:val="18"/>
                          </w:rPr>
                        </w:pPr>
                        <w:r>
                          <w:rPr>
                            <w:rFonts w:ascii="宋体" w:hAnsi="宋体" w:cs="宋体" w:eastAsia="宋体" w:hint="default"/>
                            <w:sz w:val="18"/>
                            <w:szCs w:val="18"/>
                          </w:rPr>
                          <w:t>招商引资和工业园区建设工作先 进集体和先进个人奖</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系</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日收到据武隆委发</w:t>
                        </w:r>
                      </w:p>
                      <w:p>
                        <w:pPr>
                          <w:pStyle w:val="TableParagraph"/>
                          <w:spacing w:line="300" w:lineRule="auto" w:before="63"/>
                          <w:ind w:left="23" w:right="22"/>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2012</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号招商引资和工业园区建 设工作先进集体和先进个人奖</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优秀民营企业奖励款</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系</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日收到据武隆委发</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号优秀民营企业奖励款</w:t>
                        </w:r>
                      </w:p>
                    </w:tc>
                  </w:tr>
                  <w:tr>
                    <w:trPr>
                      <w:trHeight w:val="102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工业和信息化发展专项资金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58"/>
                          <w:jc w:val="both"/>
                          <w:rPr>
                            <w:rFonts w:ascii="宋体" w:hAnsi="宋体" w:cs="宋体" w:eastAsia="宋体" w:hint="default"/>
                            <w:sz w:val="18"/>
                            <w:szCs w:val="18"/>
                          </w:rPr>
                        </w:pPr>
                        <w:r>
                          <w:rPr>
                            <w:rFonts w:ascii="宋体" w:hAnsi="宋体" w:cs="宋体" w:eastAsia="宋体" w:hint="default"/>
                            <w:sz w:val="18"/>
                            <w:szCs w:val="18"/>
                          </w:rPr>
                          <w:t>系</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日收到据武隆委 发（</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557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号工业和信息化发展 专项资金</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制品项目补助资金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2"/>
                          <w:jc w:val="center"/>
                          <w:rPr>
                            <w:rFonts w:ascii="宋体" w:hAnsi="宋体" w:cs="宋体" w:eastAsia="宋体" w:hint="default"/>
                            <w:sz w:val="18"/>
                            <w:szCs w:val="18"/>
                          </w:rPr>
                        </w:pPr>
                        <w:r>
                          <w:rPr>
                            <w:rFonts w:ascii="宋体" w:hAnsi="宋体" w:cs="宋体" w:eastAsia="宋体" w:hint="default"/>
                            <w:sz w:val="18"/>
                            <w:szCs w:val="18"/>
                          </w:rPr>
                          <w:t>递延收益转当期损益确认</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制品项</w:t>
                        </w:r>
                      </w:p>
                    </w:tc>
                  </w:tr>
                </w:tbl>
                <w:p>
                  <w:pPr/>
                </w:p>
              </w:txbxContent>
            </v:textbox>
            <w10:wrap type="none"/>
          </v:shape>
        </w:pict>
      </w: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0"/>
        <w:ind w:left="0" w:right="12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0"/>
        <w:ind w:left="0" w:right="121"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660"/>
        <w:gridCol w:w="1994"/>
        <w:gridCol w:w="1993"/>
        <w:gridCol w:w="2921"/>
      </w:tblGrid>
      <w:tr>
        <w:trPr>
          <w:trHeight w:val="362" w:hRule="exact"/>
        </w:trPr>
        <w:tc>
          <w:tcPr>
            <w:tcW w:w="2660"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18"/>
                <w:szCs w:val="18"/>
              </w:rPr>
            </w:pPr>
            <w:r>
              <w:rPr>
                <w:rFonts w:ascii="宋体" w:hAnsi="宋体" w:cs="宋体" w:eastAsia="宋体" w:hint="default"/>
                <w:sz w:val="18"/>
                <w:szCs w:val="18"/>
              </w:rPr>
              <w:t>目补助资金</w:t>
            </w:r>
          </w:p>
        </w:tc>
      </w:tr>
      <w:tr>
        <w:trPr>
          <w:trHeight w:val="102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县政府表彰先进集体</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母公司</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日收到据当发</w:t>
            </w:r>
          </w:p>
          <w:p>
            <w:pPr>
              <w:pStyle w:val="TableParagraph"/>
              <w:spacing w:line="300" w:lineRule="auto" w:before="63"/>
              <w:ind w:left="23" w:right="22"/>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2011</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号的县政府表彰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 先进集体奖</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区域协调发展资金</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日收到据财企</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宋体" w:hAnsi="宋体" w:cs="宋体" w:eastAsia="宋体" w:hint="default"/>
                <w:sz w:val="18"/>
                <w:szCs w:val="18"/>
              </w:rPr>
              <w:t>】</w:t>
            </w:r>
            <w:r>
              <w:rPr>
                <w:rFonts w:ascii="Times New Roman" w:hAnsi="Times New Roman" w:cs="Times New Roman" w:eastAsia="Times New Roman" w:hint="default"/>
                <w:sz w:val="18"/>
                <w:szCs w:val="18"/>
              </w:rPr>
              <w:t>2210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号区域发展资金</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企业所得税返还</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4,550,000.00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日收到据财预</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宋体" w:hAnsi="宋体" w:cs="宋体" w:eastAsia="宋体" w:hint="default"/>
                <w:sz w:val="18"/>
                <w:szCs w:val="18"/>
              </w:rPr>
              <w:t>】</w:t>
            </w:r>
            <w:r>
              <w:rPr>
                <w:rFonts w:ascii="Times New Roman" w:hAnsi="Times New Roman" w:cs="Times New Roman" w:eastAsia="Times New Roman" w:hint="default"/>
                <w:sz w:val="18"/>
                <w:szCs w:val="18"/>
              </w:rPr>
              <w:t>1299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号所得税返还</w:t>
            </w:r>
          </w:p>
        </w:tc>
      </w:tr>
      <w:tr>
        <w:trPr>
          <w:trHeight w:val="102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博士后工作站启动经费</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日收到据皖 </w:t>
            </w:r>
            <w:r>
              <w:rPr>
                <w:rFonts w:ascii="宋体" w:hAnsi="宋体" w:cs="宋体" w:eastAsia="宋体" w:hint="default"/>
                <w:spacing w:val="-7"/>
                <w:sz w:val="18"/>
                <w:szCs w:val="18"/>
              </w:rPr>
              <w:t>人发【</w:t>
            </w:r>
            <w:r>
              <w:rPr>
                <w:rFonts w:ascii="Times New Roman" w:hAnsi="Times New Roman" w:cs="Times New Roman" w:eastAsia="Times New Roman" w:hint="default"/>
                <w:spacing w:val="-7"/>
                <w:sz w:val="18"/>
                <w:szCs w:val="18"/>
              </w:rPr>
              <w:t>2002</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75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号博士后工作站启动</w:t>
            </w:r>
            <w:r>
              <w:rPr>
                <w:rFonts w:ascii="宋体" w:hAnsi="宋体" w:cs="宋体" w:eastAsia="宋体" w:hint="default"/>
                <w:spacing w:val="-88"/>
                <w:sz w:val="18"/>
                <w:szCs w:val="18"/>
              </w:rPr>
              <w:t> </w:t>
            </w:r>
            <w:r>
              <w:rPr>
                <w:rFonts w:ascii="宋体" w:hAnsi="宋体" w:cs="宋体" w:eastAsia="宋体" w:hint="default"/>
                <w:sz w:val="18"/>
                <w:szCs w:val="18"/>
              </w:rPr>
              <w:t>经费</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金融服务奖补资金</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3,494,000.00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22"/>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日收到据财 </w:t>
            </w:r>
            <w:r>
              <w:rPr>
                <w:rFonts w:ascii="宋体" w:hAnsi="宋体" w:cs="宋体" w:eastAsia="宋体" w:hint="default"/>
                <w:spacing w:val="-6"/>
                <w:sz w:val="18"/>
                <w:szCs w:val="18"/>
              </w:rPr>
              <w:t>金【</w:t>
            </w:r>
            <w:r>
              <w:rPr>
                <w:rFonts w:ascii="Times New Roman" w:hAnsi="Times New Roman" w:cs="Times New Roman" w:eastAsia="Times New Roman" w:hint="default"/>
                <w:spacing w:val="-6"/>
                <w:sz w:val="18"/>
                <w:szCs w:val="18"/>
              </w:rPr>
              <w:t>2010</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1823</w:t>
            </w:r>
            <w:r>
              <w:rPr>
                <w:rFonts w:ascii="Times New Roman" w:hAnsi="Times New Roman" w:cs="Times New Roman" w:eastAsia="Times New Roman" w:hint="default"/>
                <w:sz w:val="18"/>
                <w:szCs w:val="18"/>
              </w:rPr>
              <w:t> </w:t>
            </w:r>
            <w:r>
              <w:rPr>
                <w:rFonts w:ascii="宋体" w:hAnsi="宋体" w:cs="宋体" w:eastAsia="宋体" w:hint="default"/>
                <w:sz w:val="18"/>
                <w:szCs w:val="18"/>
              </w:rPr>
              <w:t>号金融服务奖补资金</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隆泰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制品项目补助资金</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2,112,700.00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日子公司收到据武隆府</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制品项目资金</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6" w:right="0"/>
              <w:jc w:val="left"/>
              <w:rPr>
                <w:rFonts w:ascii="Times New Roman" w:hAnsi="Times New Roman" w:cs="Times New Roman" w:eastAsia="Times New Roman" w:hint="default"/>
                <w:sz w:val="18"/>
                <w:szCs w:val="18"/>
              </w:rPr>
            </w:pPr>
            <w:r>
              <w:rPr>
                <w:rFonts w:ascii="Times New Roman"/>
                <w:sz w:val="18"/>
              </w:rPr>
              <w:t>14,809,000.00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10,460,700.00</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营业外收入说明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36</w:t>
      </w:r>
      <w:r>
        <w:rPr/>
        <w:t>、营业外支出</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0"/>
        <w:gridCol w:w="2021"/>
        <w:gridCol w:w="1914"/>
        <w:gridCol w:w="1914"/>
      </w:tblGrid>
      <w:tr>
        <w:trPr>
          <w:trHeight w:val="714"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81" w:right="49" w:hanging="629"/>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1,255.43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1,255.43</w:t>
            </w: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1,255.43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1,255.43</w:t>
            </w: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赔偿金</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261,832.15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551,787.50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261,832.15</w:t>
            </w: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182,479.28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241,313.31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182,479.28</w:t>
            </w: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445,566.86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793,100.81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445,566.86</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营业外支出说明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37</w:t>
      </w:r>
      <w:r>
        <w:rPr/>
        <w:t>、所得税费用</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655"/>
        <w:gridCol w:w="2523"/>
        <w:gridCol w:w="2390"/>
      </w:tblGrid>
      <w:tr>
        <w:trPr>
          <w:trHeight w:val="402" w:hRule="exact"/>
        </w:trPr>
        <w:tc>
          <w:tcPr>
            <w:tcW w:w="4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8,118,507.31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8,221,024.72</w:t>
            </w:r>
          </w:p>
        </w:tc>
      </w:tr>
      <w:tr>
        <w:trPr>
          <w:trHeight w:val="402" w:hRule="exact"/>
        </w:trPr>
        <w:tc>
          <w:tcPr>
            <w:tcW w:w="4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142,693.87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-627,754.95</w:t>
            </w:r>
          </w:p>
        </w:tc>
      </w:tr>
      <w:tr>
        <w:trPr>
          <w:trHeight w:val="402" w:hRule="exact"/>
        </w:trPr>
        <w:tc>
          <w:tcPr>
            <w:tcW w:w="4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8,261,201.18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7,593,269.77</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9"/>
        <w:rPr>
          <w:rFonts w:ascii="宋体" w:hAnsi="宋体" w:cs="宋体" w:eastAsia="宋体" w:hint="default"/>
          <w:sz w:val="24"/>
          <w:szCs w:val="24"/>
        </w:rPr>
      </w:pPr>
    </w:p>
    <w:p>
      <w:pPr>
        <w:pStyle w:val="Heading4"/>
        <w:spacing w:line="240" w:lineRule="auto" w:before="35"/>
        <w:ind w:right="124"/>
        <w:jc w:val="left"/>
        <w:rPr>
          <w:b w:val="0"/>
          <w:bCs w:val="0"/>
        </w:rPr>
      </w:pPr>
      <w:r>
        <w:rPr>
          <w:rFonts w:ascii="Times New Roman" w:hAnsi="Times New Roman" w:cs="Times New Roman" w:eastAsia="Times New Roman" w:hint="default"/>
        </w:rPr>
        <w:t>38</w:t>
      </w:r>
      <w:r>
        <w:rPr/>
        <w:t>、基本每股收益和稀释每股收益的计算过程</w:t>
      </w:r>
      <w:r>
        <w:rPr>
          <w:b w:val="0"/>
          <w:bCs w:val="0"/>
        </w:rPr>
      </w:r>
    </w:p>
    <w:p>
      <w:pPr>
        <w:spacing w:line="240" w:lineRule="auto" w:before="9"/>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5352"/>
        <w:gridCol w:w="1582"/>
        <w:gridCol w:w="1352"/>
        <w:gridCol w:w="1353"/>
      </w:tblGrid>
      <w:tr>
        <w:trPr>
          <w:trHeight w:val="354" w:hRule="exact"/>
        </w:trPr>
        <w:tc>
          <w:tcPr>
            <w:tcW w:w="53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23" w:right="0"/>
              <w:jc w:val="left"/>
              <w:rPr>
                <w:rFonts w:ascii="宋体" w:hAnsi="宋体" w:cs="宋体" w:eastAsia="宋体" w:hint="default"/>
                <w:sz w:val="18"/>
                <w:szCs w:val="18"/>
              </w:rPr>
            </w:pPr>
            <w:r>
              <w:rPr>
                <w:rFonts w:ascii="宋体" w:hAnsi="宋体" w:cs="宋体" w:eastAsia="宋体" w:hint="default"/>
                <w:sz w:val="18"/>
                <w:szCs w:val="18"/>
              </w:rPr>
              <w:t>计算过程</w:t>
            </w:r>
          </w:p>
        </w:tc>
        <w:tc>
          <w:tcPr>
            <w:tcW w:w="13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08"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35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309"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62" w:hRule="exact"/>
        </w:trPr>
        <w:tc>
          <w:tcPr>
            <w:tcW w:w="5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5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P0</w:t>
            </w:r>
          </w:p>
        </w:tc>
        <w:tc>
          <w:tcPr>
            <w:tcW w:w="1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47,785,243.97</w:t>
            </w:r>
          </w:p>
        </w:tc>
        <w:tc>
          <w:tcPr>
            <w:tcW w:w="13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8"/>
              <w:jc w:val="right"/>
              <w:rPr>
                <w:rFonts w:ascii="Times New Roman" w:hAnsi="Times New Roman" w:cs="Times New Roman" w:eastAsia="Times New Roman" w:hint="default"/>
                <w:sz w:val="18"/>
                <w:szCs w:val="18"/>
              </w:rPr>
            </w:pPr>
            <w:r>
              <w:rPr>
                <w:rFonts w:ascii="Times New Roman"/>
                <w:spacing w:val="-1"/>
                <w:sz w:val="18"/>
              </w:rPr>
              <w:t>41,423,238.27</w:t>
            </w:r>
          </w:p>
        </w:tc>
      </w:tr>
      <w:tr>
        <w:trPr>
          <w:trHeight w:val="362" w:hRule="exact"/>
        </w:trPr>
        <w:tc>
          <w:tcPr>
            <w:tcW w:w="5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归属于公司普通股股东的非经常性损益</w:t>
            </w:r>
          </w:p>
        </w:tc>
        <w:tc>
          <w:tcPr>
            <w:tcW w:w="15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w w:val="99"/>
                <w:sz w:val="18"/>
              </w:rPr>
              <w:t>F</w:t>
            </w:r>
            <w:r>
              <w:rPr>
                <w:rFonts w:ascii="Times New Roman"/>
                <w:sz w:val="18"/>
              </w:rPr>
            </w:r>
          </w:p>
        </w:tc>
        <w:tc>
          <w:tcPr>
            <w:tcW w:w="1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13,052,151.22</w:t>
            </w:r>
          </w:p>
        </w:tc>
        <w:tc>
          <w:tcPr>
            <w:tcW w:w="13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5"/>
              <w:jc w:val="right"/>
              <w:rPr>
                <w:rFonts w:ascii="Times New Roman" w:hAnsi="Times New Roman" w:cs="Times New Roman" w:eastAsia="Times New Roman" w:hint="default"/>
                <w:sz w:val="18"/>
                <w:szCs w:val="18"/>
              </w:rPr>
            </w:pPr>
            <w:r>
              <w:rPr>
                <w:rFonts w:ascii="Times New Roman"/>
                <w:spacing w:val="-1"/>
                <w:sz w:val="18"/>
              </w:rPr>
              <w:t>8,539,266.93</w:t>
            </w:r>
          </w:p>
        </w:tc>
      </w:tr>
      <w:tr>
        <w:trPr>
          <w:trHeight w:val="362" w:hRule="exact"/>
        </w:trPr>
        <w:tc>
          <w:tcPr>
            <w:tcW w:w="5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扣除非经常性损益后归属于普通股股东的净利润</w:t>
            </w:r>
          </w:p>
        </w:tc>
        <w:tc>
          <w:tcPr>
            <w:tcW w:w="15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left="447" w:right="0"/>
              <w:jc w:val="left"/>
              <w:rPr>
                <w:rFonts w:ascii="Times New Roman" w:hAnsi="Times New Roman" w:cs="Times New Roman" w:eastAsia="Times New Roman" w:hint="default"/>
                <w:sz w:val="18"/>
                <w:szCs w:val="18"/>
              </w:rPr>
            </w:pPr>
            <w:r>
              <w:rPr>
                <w:rFonts w:ascii="Times New Roman"/>
                <w:sz w:val="18"/>
              </w:rPr>
              <w:t>P0'=P0-F</w:t>
            </w:r>
          </w:p>
        </w:tc>
        <w:tc>
          <w:tcPr>
            <w:tcW w:w="1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34,733,092.75</w:t>
            </w:r>
          </w:p>
        </w:tc>
        <w:tc>
          <w:tcPr>
            <w:tcW w:w="13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4"/>
              <w:ind w:right="8"/>
              <w:jc w:val="right"/>
              <w:rPr>
                <w:rFonts w:ascii="Times New Roman" w:hAnsi="Times New Roman" w:cs="Times New Roman" w:eastAsia="Times New Roman" w:hint="default"/>
                <w:sz w:val="18"/>
                <w:szCs w:val="18"/>
              </w:rPr>
            </w:pPr>
            <w:r>
              <w:rPr>
                <w:rFonts w:ascii="Times New Roman"/>
                <w:spacing w:val="-1"/>
                <w:sz w:val="18"/>
              </w:rPr>
              <w:t>32,883,971.34</w:t>
            </w:r>
          </w:p>
        </w:tc>
      </w:tr>
      <w:tr>
        <w:trPr>
          <w:trHeight w:val="362" w:hRule="exact"/>
        </w:trPr>
        <w:tc>
          <w:tcPr>
            <w:tcW w:w="5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稀释事项对归属于公司普通股股东的净利润的影响</w:t>
            </w:r>
          </w:p>
        </w:tc>
        <w:tc>
          <w:tcPr>
            <w:tcW w:w="15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99"/>
                <w:sz w:val="18"/>
              </w:rPr>
              <w:t>V</w:t>
            </w:r>
            <w:r>
              <w:rPr>
                <w:rFonts w:ascii="Times New Roman"/>
                <w:sz w:val="18"/>
              </w:rPr>
            </w:r>
          </w:p>
        </w:tc>
        <w:tc>
          <w:tcPr>
            <w:tcW w:w="1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94" w:hRule="exact"/>
        </w:trPr>
        <w:tc>
          <w:tcPr>
            <w:tcW w:w="535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42"/>
              <w:ind w:left="3" w:right="1"/>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归属于公司普通股股东的净利润，并考虑稀释性潜在普通股对其影</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响，按《企业会计准则》及有关规定进行调整。</w:t>
            </w:r>
          </w:p>
        </w:tc>
        <w:tc>
          <w:tcPr>
            <w:tcW w:w="15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428" w:right="0"/>
              <w:jc w:val="left"/>
              <w:rPr>
                <w:rFonts w:ascii="Times New Roman" w:hAnsi="Times New Roman" w:cs="Times New Roman" w:eastAsia="Times New Roman" w:hint="default"/>
                <w:sz w:val="18"/>
                <w:szCs w:val="18"/>
              </w:rPr>
            </w:pPr>
            <w:r>
              <w:rPr>
                <w:rFonts w:ascii="Times New Roman"/>
                <w:sz w:val="18"/>
              </w:rPr>
              <w:t>P1=P0+V</w:t>
            </w:r>
          </w:p>
        </w:tc>
        <w:tc>
          <w:tcPr>
            <w:tcW w:w="1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47,785,243.97</w:t>
            </w:r>
          </w:p>
        </w:tc>
        <w:tc>
          <w:tcPr>
            <w:tcW w:w="13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41,423,238.27</w:t>
            </w:r>
          </w:p>
        </w:tc>
      </w:tr>
      <w:tr>
        <w:trPr>
          <w:trHeight w:val="794" w:hRule="exact"/>
        </w:trPr>
        <w:tc>
          <w:tcPr>
            <w:tcW w:w="535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40"/>
              <w:ind w:left="3" w:right="1"/>
              <w:jc w:val="left"/>
              <w:rPr>
                <w:rFonts w:ascii="宋体" w:hAnsi="宋体" w:cs="宋体" w:eastAsia="宋体" w:hint="default"/>
                <w:sz w:val="18"/>
                <w:szCs w:val="18"/>
              </w:rPr>
            </w:pPr>
            <w:r>
              <w:rPr>
                <w:rFonts w:ascii="宋体" w:hAnsi="宋体" w:cs="宋体" w:eastAsia="宋体" w:hint="default"/>
                <w:spacing w:val="3"/>
                <w:sz w:val="18"/>
                <w:szCs w:val="18"/>
              </w:rPr>
              <w:t>稀释事项对扣除非经常性损益后归属于公司普通股股东的净利润的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影响</w:t>
            </w:r>
          </w:p>
        </w:tc>
        <w:tc>
          <w:tcPr>
            <w:tcW w:w="15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V'</w:t>
            </w:r>
          </w:p>
        </w:tc>
        <w:tc>
          <w:tcPr>
            <w:tcW w:w="1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94" w:hRule="exact"/>
        </w:trPr>
        <w:tc>
          <w:tcPr>
            <w:tcW w:w="535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41"/>
              <w:ind w:left="3" w:right="1"/>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扣除非经常性损益后归属于公司普通股股东的净利润，并考虑稀释性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潜在普通股对其影响，按《企业会计准则》及有关规定进行调整</w:t>
            </w:r>
          </w:p>
        </w:tc>
        <w:tc>
          <w:tcPr>
            <w:tcW w:w="15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P1'=P0'+V'</w:t>
            </w:r>
          </w:p>
        </w:tc>
        <w:tc>
          <w:tcPr>
            <w:tcW w:w="1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34,733,092.75</w:t>
            </w:r>
          </w:p>
        </w:tc>
        <w:tc>
          <w:tcPr>
            <w:tcW w:w="1353"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32,883,971.34</w:t>
            </w:r>
          </w:p>
        </w:tc>
      </w:tr>
      <w:tr>
        <w:trPr>
          <w:trHeight w:val="362" w:hRule="exact"/>
        </w:trPr>
        <w:tc>
          <w:tcPr>
            <w:tcW w:w="5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5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S0</w:t>
            </w:r>
          </w:p>
        </w:tc>
        <w:tc>
          <w:tcPr>
            <w:tcW w:w="1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77,830,780</w:t>
            </w:r>
          </w:p>
        </w:tc>
        <w:tc>
          <w:tcPr>
            <w:tcW w:w="13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8"/>
              <w:jc w:val="right"/>
              <w:rPr>
                <w:rFonts w:ascii="Times New Roman" w:hAnsi="Times New Roman" w:cs="Times New Roman" w:eastAsia="Times New Roman" w:hint="default"/>
                <w:sz w:val="18"/>
                <w:szCs w:val="18"/>
              </w:rPr>
            </w:pPr>
            <w:r>
              <w:rPr>
                <w:rFonts w:ascii="Times New Roman"/>
                <w:spacing w:val="-1"/>
                <w:sz w:val="18"/>
              </w:rPr>
              <w:t>77,830,780</w:t>
            </w:r>
          </w:p>
        </w:tc>
      </w:tr>
      <w:tr>
        <w:trPr>
          <w:trHeight w:val="362" w:hRule="exact"/>
        </w:trPr>
        <w:tc>
          <w:tcPr>
            <w:tcW w:w="5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报告期因公积金转增股本或股票股利分配等增加股份数</w:t>
            </w:r>
          </w:p>
        </w:tc>
        <w:tc>
          <w:tcPr>
            <w:tcW w:w="15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S1</w:t>
            </w:r>
          </w:p>
        </w:tc>
        <w:tc>
          <w:tcPr>
            <w:tcW w:w="1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4"/>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5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报告期因发行新股或债转股等增加股份数</w:t>
            </w:r>
          </w:p>
        </w:tc>
        <w:tc>
          <w:tcPr>
            <w:tcW w:w="15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Si</w:t>
            </w:r>
          </w:p>
        </w:tc>
        <w:tc>
          <w:tcPr>
            <w:tcW w:w="1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5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15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Sj</w:t>
            </w:r>
          </w:p>
        </w:tc>
        <w:tc>
          <w:tcPr>
            <w:tcW w:w="1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5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5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Sk</w:t>
            </w:r>
          </w:p>
        </w:tc>
        <w:tc>
          <w:tcPr>
            <w:tcW w:w="1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5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5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M0</w:t>
            </w:r>
          </w:p>
        </w:tc>
        <w:tc>
          <w:tcPr>
            <w:tcW w:w="1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z w:val="18"/>
              </w:rPr>
              <w:t>12</w:t>
            </w:r>
          </w:p>
        </w:tc>
        <w:tc>
          <w:tcPr>
            <w:tcW w:w="13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5"/>
              <w:jc w:val="right"/>
              <w:rPr>
                <w:rFonts w:ascii="Times New Roman" w:hAnsi="Times New Roman" w:cs="Times New Roman" w:eastAsia="Times New Roman" w:hint="default"/>
                <w:sz w:val="18"/>
                <w:szCs w:val="18"/>
              </w:rPr>
            </w:pPr>
            <w:r>
              <w:rPr>
                <w:rFonts w:ascii="Times New Roman"/>
                <w:sz w:val="18"/>
              </w:rPr>
              <w:t>12</w:t>
            </w:r>
          </w:p>
        </w:tc>
      </w:tr>
      <w:tr>
        <w:trPr>
          <w:trHeight w:val="362" w:hRule="exact"/>
        </w:trPr>
        <w:tc>
          <w:tcPr>
            <w:tcW w:w="5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5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Mi</w:t>
            </w:r>
          </w:p>
        </w:tc>
        <w:tc>
          <w:tcPr>
            <w:tcW w:w="1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5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5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Mj</w:t>
            </w:r>
          </w:p>
        </w:tc>
        <w:tc>
          <w:tcPr>
            <w:tcW w:w="1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4"/>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14" w:hRule="exact"/>
        </w:trPr>
        <w:tc>
          <w:tcPr>
            <w:tcW w:w="5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2"/>
              <w:ind w:left="3"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5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2"/>
              <w:ind w:left="8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S=S0</w:t>
            </w:r>
            <w:r>
              <w:rPr>
                <w:rFonts w:ascii="宋体" w:hAnsi="宋体" w:cs="宋体" w:eastAsia="宋体" w:hint="default"/>
                <w:sz w:val="18"/>
                <w:szCs w:val="18"/>
              </w:rPr>
              <w:t>＋</w:t>
            </w:r>
            <w:r>
              <w:rPr>
                <w:rFonts w:ascii="Times New Roman" w:hAnsi="Times New Roman" w:cs="Times New Roman" w:eastAsia="Times New Roman" w:hint="default"/>
                <w:sz w:val="18"/>
                <w:szCs w:val="18"/>
              </w:rPr>
              <w:t>S1</w:t>
            </w:r>
            <w:r>
              <w:rPr>
                <w:rFonts w:ascii="宋体" w:hAnsi="宋体" w:cs="宋体" w:eastAsia="宋体" w:hint="default"/>
                <w:sz w:val="18"/>
                <w:szCs w:val="18"/>
              </w:rPr>
              <w:t>＋</w:t>
            </w:r>
            <w:r>
              <w:rPr>
                <w:rFonts w:ascii="Times New Roman" w:hAnsi="Times New Roman" w:cs="Times New Roman" w:eastAsia="Times New Roman" w:hint="default"/>
                <w:sz w:val="18"/>
                <w:szCs w:val="18"/>
              </w:rPr>
              <w:t>Si×Mi</w:t>
            </w:r>
          </w:p>
          <w:p>
            <w:pPr>
              <w:pStyle w:val="TableParagraph"/>
              <w:spacing w:line="240" w:lineRule="auto"/>
              <w:ind w:right="0"/>
              <w:jc w:val="left"/>
              <w:rPr>
                <w:rFonts w:ascii="宋体" w:hAnsi="宋体" w:cs="宋体" w:eastAsia="宋体" w:hint="default"/>
                <w:b/>
                <w:bCs/>
                <w:sz w:val="17"/>
                <w:szCs w:val="17"/>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÷M0–Sj×Mj÷M0-Sk</w:t>
            </w:r>
          </w:p>
        </w:tc>
        <w:tc>
          <w:tcPr>
            <w:tcW w:w="1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77,830,780</w:t>
            </w:r>
          </w:p>
        </w:tc>
        <w:tc>
          <w:tcPr>
            <w:tcW w:w="13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77,830,780</w:t>
            </w:r>
          </w:p>
        </w:tc>
      </w:tr>
      <w:tr>
        <w:trPr>
          <w:trHeight w:val="794" w:hRule="exact"/>
        </w:trPr>
        <w:tc>
          <w:tcPr>
            <w:tcW w:w="5352"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42"/>
              <w:ind w:left="3" w:right="1"/>
              <w:jc w:val="left"/>
              <w:rPr>
                <w:rFonts w:ascii="宋体" w:hAnsi="宋体" w:cs="宋体" w:eastAsia="宋体" w:hint="default"/>
                <w:sz w:val="18"/>
                <w:szCs w:val="18"/>
              </w:rPr>
            </w:pPr>
            <w:r>
              <w:rPr>
                <w:rFonts w:ascii="宋体" w:hAnsi="宋体" w:cs="宋体" w:eastAsia="宋体" w:hint="default"/>
                <w:spacing w:val="-3"/>
                <w:sz w:val="18"/>
                <w:szCs w:val="18"/>
              </w:rPr>
              <w:t>加：假定稀释性潜在普通股转换为已发行普通股而增加的普通股加权</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平均数</w:t>
            </w:r>
          </w:p>
        </w:tc>
        <w:tc>
          <w:tcPr>
            <w:tcW w:w="15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X1</w:t>
            </w:r>
          </w:p>
        </w:tc>
        <w:tc>
          <w:tcPr>
            <w:tcW w:w="1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5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计算稀释每股收益的普通股加权平均数</w:t>
            </w:r>
          </w:p>
        </w:tc>
        <w:tc>
          <w:tcPr>
            <w:tcW w:w="15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left="413" w:right="0"/>
              <w:jc w:val="left"/>
              <w:rPr>
                <w:rFonts w:ascii="Times New Roman" w:hAnsi="Times New Roman" w:cs="Times New Roman" w:eastAsia="Times New Roman" w:hint="default"/>
                <w:sz w:val="18"/>
                <w:szCs w:val="18"/>
              </w:rPr>
            </w:pPr>
            <w:r>
              <w:rPr>
                <w:rFonts w:ascii="Times New Roman"/>
                <w:sz w:val="18"/>
              </w:rPr>
              <w:t>X2=S+X1</w:t>
            </w:r>
          </w:p>
        </w:tc>
        <w:tc>
          <w:tcPr>
            <w:tcW w:w="1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77,830,780</w:t>
            </w:r>
          </w:p>
        </w:tc>
        <w:tc>
          <w:tcPr>
            <w:tcW w:w="13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8"/>
              <w:jc w:val="right"/>
              <w:rPr>
                <w:rFonts w:ascii="Times New Roman" w:hAnsi="Times New Roman" w:cs="Times New Roman" w:eastAsia="Times New Roman" w:hint="default"/>
                <w:sz w:val="18"/>
                <w:szCs w:val="18"/>
              </w:rPr>
            </w:pPr>
            <w:r>
              <w:rPr>
                <w:rFonts w:ascii="Times New Roman"/>
                <w:spacing w:val="-1"/>
                <w:sz w:val="18"/>
              </w:rPr>
              <w:t>77,830,780</w:t>
            </w:r>
          </w:p>
        </w:tc>
      </w:tr>
      <w:tr>
        <w:trPr>
          <w:trHeight w:val="362" w:hRule="exact"/>
        </w:trPr>
        <w:tc>
          <w:tcPr>
            <w:tcW w:w="5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其中：可转换公司债转换而增加的普通股加权数</w:t>
            </w:r>
          </w:p>
        </w:tc>
        <w:tc>
          <w:tcPr>
            <w:tcW w:w="1582" w:type="dxa"/>
            <w:tcBorders>
              <w:top w:val="single" w:sz="12" w:space="0" w:color="000000"/>
              <w:left w:val="single" w:sz="6" w:space="0" w:color="000000"/>
              <w:bottom w:val="single" w:sz="12" w:space="0" w:color="000000"/>
              <w:right w:val="single" w:sz="6" w:space="0" w:color="000000"/>
            </w:tcBorders>
          </w:tcPr>
          <w:p>
            <w:pPr/>
          </w:p>
        </w:tc>
        <w:tc>
          <w:tcPr>
            <w:tcW w:w="1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5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524" w:right="0"/>
              <w:jc w:val="left"/>
              <w:rPr>
                <w:rFonts w:ascii="宋体" w:hAnsi="宋体" w:cs="宋体" w:eastAsia="宋体" w:hint="default"/>
                <w:sz w:val="18"/>
                <w:szCs w:val="18"/>
              </w:rPr>
            </w:pPr>
            <w:r>
              <w:rPr>
                <w:rFonts w:ascii="宋体" w:hAnsi="宋体" w:cs="宋体" w:eastAsia="宋体" w:hint="default"/>
                <w:sz w:val="18"/>
                <w:szCs w:val="18"/>
              </w:rPr>
              <w:t>认股权证</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股份期权行权而增加的普通股加权数</w:t>
            </w:r>
          </w:p>
        </w:tc>
        <w:tc>
          <w:tcPr>
            <w:tcW w:w="1582" w:type="dxa"/>
            <w:tcBorders>
              <w:top w:val="single" w:sz="12" w:space="0" w:color="000000"/>
              <w:left w:val="single" w:sz="6" w:space="0" w:color="000000"/>
              <w:bottom w:val="single" w:sz="12" w:space="0" w:color="000000"/>
              <w:right w:val="single" w:sz="6" w:space="0" w:color="000000"/>
            </w:tcBorders>
          </w:tcPr>
          <w:p>
            <w:pPr/>
          </w:p>
        </w:tc>
        <w:tc>
          <w:tcPr>
            <w:tcW w:w="1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5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524" w:right="0"/>
              <w:jc w:val="left"/>
              <w:rPr>
                <w:rFonts w:ascii="宋体" w:hAnsi="宋体" w:cs="宋体" w:eastAsia="宋体" w:hint="default"/>
                <w:sz w:val="18"/>
                <w:szCs w:val="18"/>
              </w:rPr>
            </w:pPr>
            <w:r>
              <w:rPr>
                <w:rFonts w:ascii="宋体" w:hAnsi="宋体" w:cs="宋体" w:eastAsia="宋体" w:hint="default"/>
                <w:sz w:val="18"/>
                <w:szCs w:val="18"/>
              </w:rPr>
              <w:t>回购承诺履行而增加的普通股加权数</w:t>
            </w:r>
          </w:p>
        </w:tc>
        <w:tc>
          <w:tcPr>
            <w:tcW w:w="1582" w:type="dxa"/>
            <w:tcBorders>
              <w:top w:val="single" w:sz="12" w:space="0" w:color="000000"/>
              <w:left w:val="single" w:sz="6" w:space="0" w:color="000000"/>
              <w:bottom w:val="single" w:sz="12" w:space="0" w:color="000000"/>
              <w:right w:val="single" w:sz="6" w:space="0" w:color="000000"/>
            </w:tcBorders>
          </w:tcPr>
          <w:p>
            <w:pPr/>
          </w:p>
        </w:tc>
        <w:tc>
          <w:tcPr>
            <w:tcW w:w="1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4"/>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5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归属于公司普通股股东的基本每股收益</w:t>
            </w:r>
          </w:p>
        </w:tc>
        <w:tc>
          <w:tcPr>
            <w:tcW w:w="15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336"/>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EPS0=P0÷S</w:t>
            </w:r>
          </w:p>
        </w:tc>
        <w:tc>
          <w:tcPr>
            <w:tcW w:w="1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0.61</w:t>
            </w:r>
          </w:p>
        </w:tc>
        <w:tc>
          <w:tcPr>
            <w:tcW w:w="13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8"/>
              <w:jc w:val="right"/>
              <w:rPr>
                <w:rFonts w:ascii="Times New Roman" w:hAnsi="Times New Roman" w:cs="Times New Roman" w:eastAsia="Times New Roman" w:hint="default"/>
                <w:sz w:val="18"/>
                <w:szCs w:val="18"/>
              </w:rPr>
            </w:pPr>
            <w:r>
              <w:rPr>
                <w:rFonts w:ascii="Times New Roman"/>
                <w:spacing w:val="-1"/>
                <w:sz w:val="18"/>
              </w:rPr>
              <w:t>0.53</w:t>
            </w:r>
          </w:p>
        </w:tc>
      </w:tr>
      <w:tr>
        <w:trPr>
          <w:trHeight w:val="362" w:hRule="exact"/>
        </w:trPr>
        <w:tc>
          <w:tcPr>
            <w:tcW w:w="5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扣除非经常性损益后归属于公司普通股股东的基本每股收益</w:t>
            </w:r>
          </w:p>
        </w:tc>
        <w:tc>
          <w:tcPr>
            <w:tcW w:w="15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30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EPS0'=P0'÷S</w:t>
            </w:r>
          </w:p>
        </w:tc>
        <w:tc>
          <w:tcPr>
            <w:tcW w:w="1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0.45</w:t>
            </w:r>
          </w:p>
        </w:tc>
        <w:tc>
          <w:tcPr>
            <w:tcW w:w="13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8"/>
              <w:jc w:val="right"/>
              <w:rPr>
                <w:rFonts w:ascii="Times New Roman" w:hAnsi="Times New Roman" w:cs="Times New Roman" w:eastAsia="Times New Roman" w:hint="default"/>
                <w:sz w:val="18"/>
                <w:szCs w:val="18"/>
              </w:rPr>
            </w:pPr>
            <w:r>
              <w:rPr>
                <w:rFonts w:ascii="Times New Roman"/>
                <w:spacing w:val="-1"/>
                <w:sz w:val="18"/>
              </w:rPr>
              <w:t>0.42</w:t>
            </w:r>
          </w:p>
        </w:tc>
      </w:tr>
      <w:tr>
        <w:trPr>
          <w:trHeight w:val="362" w:hRule="exact"/>
        </w:trPr>
        <w:tc>
          <w:tcPr>
            <w:tcW w:w="5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归属于公司普通股股东的稀释每股收益</w:t>
            </w:r>
          </w:p>
        </w:tc>
        <w:tc>
          <w:tcPr>
            <w:tcW w:w="15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274"/>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EPS1=P1÷X2</w:t>
            </w:r>
          </w:p>
        </w:tc>
        <w:tc>
          <w:tcPr>
            <w:tcW w:w="1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z w:val="18"/>
              </w:rPr>
              <w:t>0.61</w:t>
            </w:r>
          </w:p>
        </w:tc>
        <w:tc>
          <w:tcPr>
            <w:tcW w:w="13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8"/>
              <w:jc w:val="right"/>
              <w:rPr>
                <w:rFonts w:ascii="Times New Roman" w:hAnsi="Times New Roman" w:cs="Times New Roman" w:eastAsia="Times New Roman" w:hint="default"/>
                <w:sz w:val="18"/>
                <w:szCs w:val="18"/>
              </w:rPr>
            </w:pPr>
            <w:r>
              <w:rPr>
                <w:rFonts w:ascii="Times New Roman"/>
                <w:spacing w:val="-1"/>
                <w:sz w:val="18"/>
              </w:rPr>
              <w:t>0.53</w:t>
            </w:r>
          </w:p>
        </w:tc>
      </w:tr>
      <w:tr>
        <w:trPr>
          <w:trHeight w:val="362" w:hRule="exact"/>
        </w:trPr>
        <w:tc>
          <w:tcPr>
            <w:tcW w:w="5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扣除非经常性损益后归属于公司普通股股东的稀释每股收益</w:t>
            </w:r>
          </w:p>
        </w:tc>
        <w:tc>
          <w:tcPr>
            <w:tcW w:w="15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24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EPS1'=P1'÷X2</w:t>
            </w:r>
          </w:p>
        </w:tc>
        <w:tc>
          <w:tcPr>
            <w:tcW w:w="13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z w:val="18"/>
              </w:rPr>
              <w:t>0.45</w:t>
            </w:r>
          </w:p>
        </w:tc>
        <w:tc>
          <w:tcPr>
            <w:tcW w:w="135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8"/>
              <w:jc w:val="right"/>
              <w:rPr>
                <w:rFonts w:ascii="Times New Roman" w:hAnsi="Times New Roman" w:cs="Times New Roman" w:eastAsia="Times New Roman" w:hint="default"/>
                <w:sz w:val="18"/>
                <w:szCs w:val="18"/>
              </w:rPr>
            </w:pPr>
            <w:r>
              <w:rPr>
                <w:rFonts w:ascii="Times New Roman"/>
                <w:spacing w:val="-1"/>
                <w:sz w:val="18"/>
              </w:rPr>
              <w:t>0.42</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00"/>
        </w:sectPr>
      </w:pPr>
    </w:p>
    <w:p>
      <w:pPr>
        <w:spacing w:line="240" w:lineRule="auto" w:before="9"/>
        <w:rPr>
          <w:rFonts w:ascii="宋体" w:hAnsi="宋体" w:cs="宋体" w:eastAsia="宋体" w:hint="default"/>
          <w:b/>
          <w:bCs/>
          <w:sz w:val="24"/>
          <w:szCs w:val="24"/>
        </w:rPr>
      </w:pPr>
    </w:p>
    <w:p>
      <w:pPr>
        <w:spacing w:before="35"/>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、现金流量表附注</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4"/>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3,708,752.22</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2,527,628.00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1,991,156.77</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4"/>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8,227,536.99</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604"/>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运输费用</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20,715,172.61</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1,789,798.58</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3,375,469.11</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业务办公费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4,115,888.68</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银行费用</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784,429.56</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435,871.03</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8,073,975.06</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604"/>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39,290,604.63</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5579;height:397" coordorigin="13,13" coordsize="5579,397">
              <v:shape style="position:absolute;left:13;top:13;width:5579;height:397" coordorigin="13,13" coordsize="5579,397" path="m13,13l5592,13,5592,410,13,410,13,13xe" filled="true" fillcolor="#d3d3d3" stroked="false">
                <v:path arrowok="t"/>
                <v:fill type="solid"/>
              </v:shape>
            </v:group>
            <v:group style="position:absolute;left:5597;top:13;width:3979;height:397" coordorigin="5597,13" coordsize="3979,397">
              <v:shape style="position:absolute;left:5597;top:13;width:3979;height:397" coordorigin="5597,13" coordsize="3979,397" path="m5597,13l9576,13,9576,410,5597,410,5597,13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5594;top:5;width:2;height:402" coordorigin="5594,5" coordsize="2,402">
              <v:shape style="position:absolute;left:5594;top:5;width:2;height:402" coordorigin="5594,5" coordsize="0,402" path="m5594,5l55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622;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405;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5579;height:397" coordorigin="13,13" coordsize="5579,397">
              <v:shape style="position:absolute;left:13;top:13;width:5579;height:397" coordorigin="13,13" coordsize="5579,397" path="m13,13l5592,13,5592,410,13,410,13,13xe" filled="true" fillcolor="#d3d3d3" stroked="false">
                <v:path arrowok="t"/>
                <v:fill type="solid"/>
              </v:shape>
            </v:group>
            <v:group style="position:absolute;left:5597;top:13;width:3979;height:397" coordorigin="5597,13" coordsize="3979,397">
              <v:shape style="position:absolute;left:5597;top:13;width:3979;height:397" coordorigin="5597,13" coordsize="3979,397" path="m5597,13l9576,13,9576,410,5597,410,5597,13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5594;top:5;width:2;height:402" coordorigin="5594,5" coordsize="2,402">
              <v:shape style="position:absolute;left:5594;top:5;width:2;height:402" coordorigin="5594,5" coordsize="0,402" path="m5594,5l55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622;top:12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405;top:12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after="0"/>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604"/>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36,034,154.40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604"/>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36,034,154.40</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4"/>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10,567,467.00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4"/>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10,567,467.00</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40</w:t>
      </w:r>
      <w:r>
        <w:rPr/>
        <w:t>、现金流量表补充资料</w:t>
      </w:r>
      <w:r>
        <w:rPr>
          <w:b w:val="0"/>
          <w:bCs w:val="0"/>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389"/>
        <w:gridCol w:w="2523"/>
        <w:gridCol w:w="2656"/>
      </w:tblGrid>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47,785,243.97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41,423,238.27</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1,577,599.90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3,919,171.27</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12,846,405.82</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10,199,469.26</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1,239,587.16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1,195,333.18</w:t>
            </w:r>
          </w:p>
        </w:tc>
      </w:tr>
      <w:tr>
        <w:trPr>
          <w:trHeight w:val="714" w:hRule="exact"/>
        </w:trPr>
        <w:tc>
          <w:tcPr>
            <w:tcW w:w="4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34"/>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-486,730.81</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-406,947.72</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9,450,432.54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7,604,093.18</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483,368.92</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28,326.09</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142,693.87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-627,754.95</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-28,908,161.43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9,821,320.68</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-98,136,149.46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-195,161,005.11</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81,122,833.53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138,588,952.52</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27,117,124.01</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16,584,196.67</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4389"/>
        <w:gridCol w:w="2523"/>
        <w:gridCol w:w="2656"/>
      </w:tblGrid>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113,676,847.34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220,127,295.29</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220,127,295.29</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267,557,257.68</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-106,450,447.95</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-47,429,962.39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387"/>
        <w:gridCol w:w="2524"/>
        <w:gridCol w:w="2657"/>
      </w:tblGrid>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113,676,847.34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220,127,295.29</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20,851.97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106,419.58</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113,655,995.37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220,020,875.71</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113,676,847.34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220,127,295.29</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现金流量表补充资料的说明</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八、关联方及关联交易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73"/>
        <w:gridCol w:w="870"/>
        <w:gridCol w:w="870"/>
        <w:gridCol w:w="870"/>
        <w:gridCol w:w="870"/>
        <w:gridCol w:w="870"/>
        <w:gridCol w:w="870"/>
        <w:gridCol w:w="870"/>
        <w:gridCol w:w="870"/>
        <w:gridCol w:w="870"/>
        <w:gridCol w:w="861"/>
      </w:tblGrid>
      <w:tr>
        <w:trPr>
          <w:trHeight w:val="359" w:hRule="exact"/>
        </w:trPr>
        <w:tc>
          <w:tcPr>
            <w:tcW w:w="873"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母公司对</w:t>
            </w: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母公司对</w:t>
            </w: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61"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624" w:hRule="exact"/>
        </w:trPr>
        <w:tc>
          <w:tcPr>
            <w:tcW w:w="87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42" w:right="70" w:hanging="272"/>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39" w:right="68" w:hanging="269"/>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8" w:right="69"/>
              <w:jc w:val="left"/>
              <w:rPr>
                <w:rFonts w:ascii="宋体" w:hAnsi="宋体" w:cs="宋体" w:eastAsia="宋体" w:hint="default"/>
                <w:sz w:val="18"/>
                <w:szCs w:val="18"/>
              </w:rPr>
            </w:pPr>
            <w:r>
              <w:rPr>
                <w:rFonts w:ascii="宋体" w:hAnsi="宋体" w:cs="宋体" w:eastAsia="宋体" w:hint="default"/>
                <w:sz w:val="18"/>
                <w:szCs w:val="18"/>
              </w:rPr>
              <w:t>本企业的 持股比例</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70" w:right="68"/>
              <w:jc w:val="left"/>
              <w:rPr>
                <w:rFonts w:ascii="宋体" w:hAnsi="宋体" w:cs="宋体" w:eastAsia="宋体" w:hint="default"/>
                <w:sz w:val="18"/>
                <w:szCs w:val="18"/>
              </w:rPr>
            </w:pPr>
            <w:r>
              <w:rPr>
                <w:rFonts w:ascii="宋体" w:hAnsi="宋体" w:cs="宋体" w:eastAsia="宋体" w:hint="default"/>
                <w:sz w:val="18"/>
                <w:szCs w:val="18"/>
              </w:rPr>
              <w:t>本企业的 表决权比</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8" w:right="69"/>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245"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355" w:hRule="exact"/>
        </w:trPr>
        <w:tc>
          <w:tcPr>
            <w:tcW w:w="873"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61" w:type="dxa"/>
            <w:tcBorders>
              <w:top w:val="nil" w:sz="6" w:space="0" w:color="auto"/>
              <w:left w:val="single" w:sz="4" w:space="0" w:color="000000"/>
              <w:bottom w:val="single" w:sz="4" w:space="0" w:color="000000"/>
              <w:right w:val="single" w:sz="4" w:space="0" w:color="000000"/>
            </w:tcBorders>
            <w:shd w:val="clear" w:color="auto" w:fill="D3D3D3"/>
          </w:tcPr>
          <w:p>
            <w:pPr/>
          </w:p>
        </w:tc>
      </w:tr>
    </w:tbl>
    <w:p>
      <w:pPr>
        <w:spacing w:line="360" w:lineRule="auto" w:before="51"/>
        <w:ind w:left="112" w:right="7520"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无</w:t>
      </w:r>
    </w:p>
    <w:p>
      <w:pPr>
        <w:spacing w:line="240" w:lineRule="auto" w:before="12"/>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58"/>
        <w:gridCol w:w="956"/>
        <w:gridCol w:w="957"/>
        <w:gridCol w:w="959"/>
        <w:gridCol w:w="957"/>
        <w:gridCol w:w="957"/>
        <w:gridCol w:w="957"/>
        <w:gridCol w:w="956"/>
        <w:gridCol w:w="956"/>
        <w:gridCol w:w="957"/>
      </w:tblGrid>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8"/>
              <w:ind w:left="1"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359" w:hRule="exact"/>
        </w:trPr>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重庆市隆泰</w:t>
            </w:r>
          </w:p>
        </w:tc>
        <w:tc>
          <w:tcPr>
            <w:tcW w:w="956"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7"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稀土新材料 有限责任公</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刘凌云</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金属制品</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04" w:right="0"/>
              <w:jc w:val="left"/>
              <w:rPr>
                <w:rFonts w:ascii="Times New Roman" w:hAnsi="Times New Roman" w:cs="Times New Roman" w:eastAsia="Times New Roman" w:hint="default"/>
                <w:sz w:val="18"/>
                <w:szCs w:val="18"/>
              </w:rPr>
            </w:pPr>
            <w:r>
              <w:rPr>
                <w:rFonts w:ascii="Times New Roman"/>
                <w:sz w:val="18"/>
              </w:rPr>
              <w:t>100%</w:t>
            </w:r>
          </w:p>
        </w:tc>
        <w:tc>
          <w:tcPr>
            <w:tcW w:w="95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56162885-0</w:t>
            </w:r>
          </w:p>
        </w:tc>
      </w:tr>
      <w:tr>
        <w:trPr>
          <w:trHeight w:val="355" w:hRule="exact"/>
        </w:trPr>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56"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7" w:type="dxa"/>
            <w:tcBorders>
              <w:top w:val="nil" w:sz="6" w:space="0" w:color="auto"/>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、本企业的其他关联方情况</w:t>
      </w:r>
      <w:r>
        <w:rPr>
          <w:b w:val="0"/>
          <w:bCs w:val="0"/>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58"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刘凌云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总经理，持有公司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9.5441%</w:t>
            </w:r>
            <w:r>
              <w:rPr>
                <w:rFonts w:ascii="宋体" w:hAnsi="宋体" w:cs="宋体" w:eastAsia="宋体" w:hint="default"/>
                <w:sz w:val="18"/>
                <w:szCs w:val="18"/>
              </w:rPr>
              <w:t>的股权</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喻琴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公司股东，持有公司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5.5505%</w:t>
            </w:r>
            <w:r>
              <w:rPr>
                <w:rFonts w:ascii="宋体" w:hAnsi="宋体" w:cs="宋体" w:eastAsia="宋体" w:hint="default"/>
                <w:sz w:val="18"/>
                <w:szCs w:val="18"/>
              </w:rPr>
              <w:t>的股权</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宫为平</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副总经理，持有公司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4.3698%</w:t>
            </w:r>
            <w:r>
              <w:rPr>
                <w:rFonts w:ascii="宋体" w:hAnsi="宋体" w:cs="宋体" w:eastAsia="宋体" w:hint="default"/>
                <w:sz w:val="18"/>
                <w:szCs w:val="18"/>
              </w:rPr>
              <w:t>的股权</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黄学春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6"/>
              <w:jc w:val="left"/>
              <w:rPr>
                <w:rFonts w:ascii="宋体" w:hAnsi="宋体" w:cs="宋体" w:eastAsia="宋体" w:hint="default"/>
                <w:sz w:val="18"/>
                <w:szCs w:val="18"/>
              </w:rPr>
            </w:pPr>
            <w:r>
              <w:rPr>
                <w:rFonts w:ascii="宋体" w:hAnsi="宋体" w:cs="宋体" w:eastAsia="宋体" w:hint="default"/>
                <w:sz w:val="18"/>
                <w:szCs w:val="18"/>
              </w:rPr>
              <w:t>副总经理兼财务总监、董事会秘书，持 有公司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3.7154%</w:t>
            </w:r>
            <w:r>
              <w:rPr>
                <w:rFonts w:ascii="宋体" w:hAnsi="宋体" w:cs="宋体" w:eastAsia="宋体" w:hint="default"/>
                <w:sz w:val="18"/>
                <w:szCs w:val="18"/>
              </w:rPr>
              <w:t>的股权</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唐成宽</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董事，持有公司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2.1849%</w:t>
            </w:r>
            <w:r>
              <w:rPr>
                <w:rFonts w:ascii="宋体" w:hAnsi="宋体" w:cs="宋体" w:eastAsia="宋体" w:hint="default"/>
                <w:sz w:val="18"/>
                <w:szCs w:val="18"/>
              </w:rPr>
              <w:t>的股权</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吴翠华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董事，持有公司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1.0925%</w:t>
            </w:r>
            <w:r>
              <w:rPr>
                <w:rFonts w:ascii="宋体" w:hAnsi="宋体" w:cs="宋体" w:eastAsia="宋体" w:hint="default"/>
                <w:sz w:val="18"/>
                <w:szCs w:val="18"/>
              </w:rPr>
              <w:t>的股权</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袁福祥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监事，持有公司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1.0925%</w:t>
            </w:r>
            <w:r>
              <w:rPr>
                <w:rFonts w:ascii="宋体" w:hAnsi="宋体" w:cs="宋体" w:eastAsia="宋体" w:hint="default"/>
                <w:sz w:val="18"/>
                <w:szCs w:val="18"/>
              </w:rPr>
              <w:t>的股权</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公司股东，持有公司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0.6817%</w:t>
            </w:r>
            <w:r>
              <w:rPr>
                <w:rFonts w:ascii="宋体" w:hAnsi="宋体" w:cs="宋体" w:eastAsia="宋体" w:hint="default"/>
                <w:sz w:val="18"/>
                <w:szCs w:val="18"/>
              </w:rPr>
              <w:t>的股权</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史志民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总工程师，持有公司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0.1927</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的股权</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章大林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副总经理，持有公司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0.1927%</w:t>
            </w:r>
            <w:r>
              <w:rPr>
                <w:rFonts w:ascii="宋体" w:hAnsi="宋体" w:cs="宋体" w:eastAsia="宋体" w:hint="default"/>
                <w:sz w:val="18"/>
                <w:szCs w:val="18"/>
              </w:rPr>
              <w:t>的股权</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陆江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副总经理，持有公司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0.1927%</w:t>
            </w:r>
            <w:r>
              <w:rPr>
                <w:rFonts w:ascii="宋体" w:hAnsi="宋体" w:cs="宋体" w:eastAsia="宋体" w:hint="default"/>
                <w:sz w:val="18"/>
                <w:szCs w:val="18"/>
              </w:rPr>
              <w:t>的股权</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本企业的其他关联方情况的说明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w:t>
      </w:r>
      <w:r>
        <w:rPr/>
        <w:t>、关联方应收应付款项</w:t>
      </w:r>
      <w:r>
        <w:rPr>
          <w:b w:val="0"/>
          <w:bCs w:val="0"/>
        </w:rPr>
      </w:r>
    </w:p>
    <w:p>
      <w:pPr>
        <w:spacing w:line="240" w:lineRule="auto" w:before="12"/>
        <w:rPr>
          <w:rFonts w:ascii="宋体" w:hAnsi="宋体" w:cs="宋体" w:eastAsia="宋体" w:hint="default"/>
          <w:b/>
          <w:bCs/>
          <w:sz w:val="22"/>
          <w:szCs w:val="22"/>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上市公司应收关联方款项</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58"/>
        <w:gridCol w:w="1667"/>
        <w:gridCol w:w="1461"/>
        <w:gridCol w:w="1462"/>
        <w:gridCol w:w="1459"/>
        <w:gridCol w:w="1460"/>
      </w:tblGrid>
      <w:tr>
        <w:trPr>
          <w:trHeight w:val="402" w:hRule="exact"/>
        </w:trPr>
        <w:tc>
          <w:tcPr>
            <w:tcW w:w="205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6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91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2058" w:type="dxa"/>
            <w:vMerge/>
            <w:tcBorders>
              <w:left w:val="single" w:sz="4" w:space="0" w:color="000000"/>
              <w:bottom w:val="single" w:sz="4" w:space="0" w:color="000000"/>
              <w:right w:val="single" w:sz="4" w:space="0" w:color="000000"/>
            </w:tcBorders>
            <w:shd w:val="clear" w:color="auto" w:fill="D3D3D3"/>
          </w:tcPr>
          <w:p>
            <w:pPr/>
          </w:p>
        </w:tc>
        <w:tc>
          <w:tcPr>
            <w:tcW w:w="1667" w:type="dxa"/>
            <w:vMerge/>
            <w:tcBorders>
              <w:left w:val="single" w:sz="4" w:space="0" w:color="000000"/>
              <w:bottom w:val="single" w:sz="4" w:space="0" w:color="000000"/>
              <w:right w:val="single" w:sz="4" w:space="0" w:color="000000"/>
            </w:tcBorders>
            <w:shd w:val="clear" w:color="auto" w:fill="D3D3D3"/>
          </w:tcPr>
          <w:p>
            <w:pPr/>
          </w:p>
        </w:tc>
        <w:tc>
          <w:tcPr>
            <w:tcW w:w="1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7" w:type="dxa"/>
            <w:tcBorders>
              <w:top w:val="single" w:sz="4" w:space="0" w:color="000000"/>
              <w:left w:val="single" w:sz="4" w:space="0" w:color="000000"/>
              <w:bottom w:val="single" w:sz="4" w:space="0" w:color="000000"/>
              <w:right w:val="single" w:sz="4" w:space="0" w:color="000000"/>
            </w:tcBorders>
          </w:tcPr>
          <w:p>
            <w:pPr/>
          </w:p>
        </w:tc>
        <w:tc>
          <w:tcPr>
            <w:tcW w:w="1461"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唐成宽</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474.00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510.00</w:t>
            </w:r>
          </w:p>
        </w:tc>
      </w:tr>
      <w:tr>
        <w:trPr>
          <w:trHeight w:val="402"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陆江</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90.00</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上市公司应付关联方款项</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794"/>
        <w:gridCol w:w="2258"/>
        <w:gridCol w:w="2258"/>
        <w:gridCol w:w="2258"/>
      </w:tblGrid>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期初金额</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九、或有事项</w:t>
      </w:r>
      <w:r>
        <w:rPr>
          <w:b w:val="0"/>
          <w:bCs w:val="0"/>
        </w:rPr>
      </w:r>
    </w:p>
    <w:p>
      <w:pPr>
        <w:spacing w:line="240" w:lineRule="auto" w:before="9"/>
        <w:rPr>
          <w:rFonts w:ascii="宋体" w:hAnsi="宋体" w:cs="宋体" w:eastAsia="宋体" w:hint="default"/>
          <w:b/>
          <w:bCs/>
          <w:sz w:val="24"/>
          <w:szCs w:val="24"/>
        </w:rPr>
      </w:pPr>
    </w:p>
    <w:p>
      <w:pPr>
        <w:spacing w:line="506" w:lineRule="auto" w:before="0"/>
        <w:ind w:left="532"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、为其他单位提供债务担保形成的或有负债及其财务影响</w:t>
      </w:r>
      <w:r>
        <w:rPr>
          <w:rFonts w:ascii="宋体" w:hAnsi="宋体" w:cs="宋体" w:eastAsia="宋体" w:hint="default"/>
          <w:b/>
          <w:bCs/>
          <w:w w:val="99"/>
          <w:sz w:val="21"/>
          <w:szCs w:val="21"/>
        </w:rPr>
        <w:t> </w:t>
      </w:r>
      <w:r>
        <w:rPr>
          <w:rFonts w:ascii="宋体" w:hAnsi="宋体" w:cs="宋体" w:eastAsia="宋体" w:hint="default"/>
          <w:spacing w:val="-1"/>
          <w:sz w:val="21"/>
          <w:szCs w:val="21"/>
        </w:rPr>
        <w:t>截止</w:t>
      </w:r>
      <w:r>
        <w:rPr>
          <w:rFonts w:ascii="Times New Roman" w:hAnsi="Times New Roman" w:cs="Times New Roman" w:eastAsia="Times New Roman" w:hint="default"/>
          <w:spacing w:val="-1"/>
          <w:sz w:val="21"/>
          <w:szCs w:val="21"/>
        </w:rPr>
        <w:t>2012</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31</w:t>
      </w:r>
      <w:r>
        <w:rPr>
          <w:rFonts w:ascii="宋体" w:hAnsi="宋体" w:cs="宋体" w:eastAsia="宋体" w:hint="default"/>
          <w:spacing w:val="-1"/>
          <w:sz w:val="21"/>
          <w:szCs w:val="21"/>
        </w:rPr>
        <w:t>日，本公司以未到期承兑汇票背书给第三方，金额共计人民币</w:t>
      </w:r>
      <w:r>
        <w:rPr>
          <w:rFonts w:ascii="Times New Roman" w:hAnsi="Times New Roman" w:cs="Times New Roman" w:eastAsia="Times New Roman" w:hint="default"/>
          <w:spacing w:val="-1"/>
          <w:sz w:val="21"/>
          <w:szCs w:val="21"/>
        </w:rPr>
        <w:t>38,210,305.80</w:t>
      </w:r>
      <w:r>
        <w:rPr>
          <w:rFonts w:ascii="宋体" w:hAnsi="宋体" w:cs="宋体" w:eastAsia="宋体" w:hint="default"/>
          <w:spacing w:val="-1"/>
          <w:sz w:val="21"/>
          <w:szCs w:val="21"/>
        </w:rPr>
        <w:t>元。</w:t>
      </w:r>
    </w:p>
    <w:p>
      <w:pPr>
        <w:spacing w:before="141"/>
        <w:ind w:left="112" w:right="0" w:firstLine="0"/>
        <w:jc w:val="left"/>
        <w:rPr>
          <w:rFonts w:ascii="宋体" w:hAnsi="宋体" w:cs="宋体" w:eastAsia="宋体" w:hint="default"/>
          <w:sz w:val="18"/>
          <w:szCs w:val="18"/>
        </w:rPr>
      </w:pPr>
      <w:r>
        <w:rPr>
          <w:rFonts w:ascii="宋体" w:hAnsi="宋体" w:cs="宋体" w:eastAsia="宋体" w:hint="default"/>
          <w:sz w:val="18"/>
          <w:szCs w:val="18"/>
        </w:rPr>
        <w:t>其他或有负债及其财务影响</w:t>
      </w:r>
    </w:p>
    <w:p>
      <w:pPr>
        <w:spacing w:after="0"/>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十、承诺事项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、重大承诺事项</w:t>
      </w:r>
      <w:r>
        <w:rPr>
          <w:b w:val="0"/>
          <w:bCs w:val="0"/>
        </w:rPr>
      </w:r>
    </w:p>
    <w:p>
      <w:pPr>
        <w:spacing w:line="240" w:lineRule="auto" w:before="7"/>
        <w:rPr>
          <w:rFonts w:ascii="宋体" w:hAnsi="宋体" w:cs="宋体" w:eastAsia="宋体" w:hint="default"/>
          <w:b/>
          <w:bCs/>
          <w:sz w:val="24"/>
          <w:szCs w:val="24"/>
        </w:rPr>
      </w:pPr>
    </w:p>
    <w:p>
      <w:pPr>
        <w:spacing w:line="487" w:lineRule="auto" w:before="0"/>
        <w:ind w:left="112" w:right="625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、前期承诺履行情况</w:t>
      </w:r>
      <w:r>
        <w:rPr>
          <w:rFonts w:ascii="宋体" w:hAnsi="宋体" w:cs="宋体" w:eastAsia="宋体" w:hint="default"/>
          <w:b/>
          <w:bCs/>
          <w:w w:val="99"/>
          <w:sz w:val="21"/>
          <w:szCs w:val="21"/>
        </w:rPr>
        <w:t> </w:t>
      </w:r>
      <w:r>
        <w:rPr>
          <w:rFonts w:ascii="宋体" w:hAnsi="宋体" w:cs="宋体" w:eastAsia="宋体" w:hint="default"/>
          <w:b/>
          <w:bCs/>
          <w:sz w:val="24"/>
          <w:szCs w:val="24"/>
        </w:rPr>
        <w:t>十一、资产负债表日后事项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、资产负债表日后利润分配情况说明</w:t>
      </w:r>
      <w:r>
        <w:rPr>
          <w:rFonts w:ascii="宋体" w:hAnsi="宋体" w:cs="宋体" w:eastAsia="宋体" w:hint="default"/>
          <w:sz w:val="21"/>
          <w:szCs w:val="21"/>
        </w:rPr>
      </w:r>
    </w:p>
    <w:p>
      <w:pPr>
        <w:spacing w:before="10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7,783,078.00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7,783,078.00</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十二、母公司财务报表主要项目注释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9"/>
        <w:gridCol w:w="1194"/>
        <w:gridCol w:w="531"/>
        <w:gridCol w:w="1328"/>
        <w:gridCol w:w="665"/>
        <w:gridCol w:w="1194"/>
        <w:gridCol w:w="665"/>
        <w:gridCol w:w="1328"/>
        <w:gridCol w:w="665"/>
      </w:tblGrid>
      <w:tr>
        <w:trPr>
          <w:trHeight w:val="402" w:hRule="exact"/>
        </w:trPr>
        <w:tc>
          <w:tcPr>
            <w:tcW w:w="19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99" w:type="dxa"/>
            <w:vMerge/>
            <w:tcBorders>
              <w:left w:val="single" w:sz="4" w:space="0" w:color="000000"/>
              <w:right w:val="single" w:sz="4" w:space="0" w:color="000000"/>
            </w:tcBorders>
            <w:shd w:val="clear" w:color="auto" w:fill="D3D3D3"/>
          </w:tcPr>
          <w:p>
            <w:pPr/>
          </w:p>
        </w:tc>
        <w:tc>
          <w:tcPr>
            <w:tcW w:w="17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3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3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999" w:type="dxa"/>
            <w:vMerge/>
            <w:tcBorders>
              <w:left w:val="single" w:sz="4" w:space="0" w:color="000000"/>
              <w:bottom w:val="single" w:sz="4" w:space="0" w:color="000000"/>
              <w:right w:val="single" w:sz="4" w:space="0" w:color="000000"/>
            </w:tcBorders>
            <w:shd w:val="clear" w:color="auto" w:fill="D3D3D3"/>
          </w:tcPr>
          <w:p>
            <w:pP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7"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4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3" w:right="0"/>
              <w:jc w:val="left"/>
              <w:rPr>
                <w:rFonts w:ascii="Times New Roman" w:hAnsi="Times New Roman" w:cs="Times New Roman" w:eastAsia="Times New Roman" w:hint="default"/>
                <w:sz w:val="18"/>
                <w:szCs w:val="18"/>
              </w:rPr>
            </w:pPr>
            <w:r>
              <w:rPr>
                <w:rFonts w:ascii="Times New Roman"/>
                <w:sz w:val="18"/>
              </w:rPr>
              <w:t>(%)</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4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3"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2"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164,845,146.79</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8,189,475.53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9" w:right="0"/>
              <w:jc w:val="left"/>
              <w:rPr>
                <w:rFonts w:ascii="Times New Roman" w:hAnsi="Times New Roman" w:cs="Times New Roman" w:eastAsia="Times New Roman" w:hint="default"/>
                <w:sz w:val="18"/>
                <w:szCs w:val="18"/>
              </w:rPr>
            </w:pPr>
            <w:r>
              <w:rPr>
                <w:rFonts w:ascii="Times New Roman"/>
                <w:sz w:val="18"/>
              </w:rPr>
              <w:t>4.97%</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169,688,787.37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8,564,473.84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5.05%</w:t>
            </w:r>
          </w:p>
        </w:tc>
      </w:tr>
      <w:tr>
        <w:trPr>
          <w:trHeight w:val="402"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164,845,146.79</w:t>
            </w:r>
          </w:p>
        </w:tc>
        <w:tc>
          <w:tcPr>
            <w:tcW w:w="531"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8,189,475.53</w:t>
            </w:r>
          </w:p>
        </w:tc>
        <w:tc>
          <w:tcPr>
            <w:tcW w:w="66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169,688,787.37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8,564,473.84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w:t>
            </w:r>
          </w:p>
        </w:tc>
      </w:tr>
      <w:tr>
        <w:trPr>
          <w:trHeight w:val="402"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164,845,146.79</w:t>
            </w:r>
          </w:p>
        </w:tc>
        <w:tc>
          <w:tcPr>
            <w:tcW w:w="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8,189,475.53</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169,688,787.37</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8,564,473.84</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357" w:lineRule="auto" w:before="52"/>
        <w:ind w:left="112" w:right="-20" w:firstLine="0"/>
        <w:jc w:val="left"/>
        <w:rPr>
          <w:rFonts w:ascii="宋体" w:hAnsi="宋体" w:cs="宋体" w:eastAsia="宋体" w:hint="default"/>
          <w:sz w:val="18"/>
          <w:szCs w:val="18"/>
        </w:rPr>
      </w:pPr>
      <w:r>
        <w:rPr>
          <w:rFonts w:ascii="宋体" w:hAnsi="宋体" w:cs="宋体" w:eastAsia="宋体" w:hint="default"/>
          <w:sz w:val="18"/>
          <w:szCs w:val="18"/>
        </w:rPr>
        <w:t>应收账款种类的说明 期末单项金额重大并单项计提坏账准备的应收账款</w:t>
      </w:r>
    </w:p>
    <w:p>
      <w:pPr>
        <w:spacing w:line="340" w:lineRule="auto" w:before="29"/>
        <w:ind w:left="11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组合中，采用账龄分析法计提坏账准备的应收账款</w:t>
      </w:r>
    </w:p>
    <w:p>
      <w:pPr>
        <w:spacing w:before="39"/>
        <w:ind w:left="11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2"/>
          <w:szCs w:val="12"/>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4073" w:space="4756"/>
            <w:col w:w="104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994"/>
        <w:gridCol w:w="664"/>
        <w:gridCol w:w="1462"/>
        <w:gridCol w:w="2126"/>
        <w:gridCol w:w="664"/>
        <w:gridCol w:w="1594"/>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346"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12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5" w:type="dxa"/>
            <w:vMerge/>
            <w:tcBorders>
              <w:left w:val="single" w:sz="4" w:space="0" w:color="000000"/>
              <w:right w:val="single" w:sz="4" w:space="0" w:color="000000"/>
            </w:tcBorders>
            <w:shd w:val="clear" w:color="auto" w:fill="D3D3D3"/>
          </w:tcPr>
          <w:p>
            <w:pPr/>
          </w:p>
        </w:tc>
        <w:tc>
          <w:tcPr>
            <w:tcW w:w="26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065" w:type="dxa"/>
            <w:vMerge/>
            <w:tcBorders>
              <w:left w:val="single" w:sz="4" w:space="0" w:color="000000"/>
              <w:bottom w:val="single" w:sz="4" w:space="0" w:color="000000"/>
              <w:right w:val="single" w:sz="4" w:space="0" w:color="000000"/>
            </w:tcBorders>
            <w:shd w:val="clear" w:color="auto" w:fill="D3D3D3"/>
          </w:tcPr>
          <w:p>
            <w:pP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462" w:type="dxa"/>
            <w:vMerge/>
            <w:tcBorders>
              <w:left w:val="single" w:sz="4" w:space="0" w:color="000000"/>
              <w:bottom w:val="single" w:sz="4" w:space="0" w:color="000000"/>
              <w:right w:val="single" w:sz="4" w:space="0" w:color="000000"/>
            </w:tcBorders>
            <w:shd w:val="clear" w:color="auto" w:fill="D3D3D3"/>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2"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bl>
    <w:p>
      <w:pPr>
        <w:spacing w:after="0" w:line="240" w:lineRule="auto"/>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065"/>
        <w:gridCol w:w="1994"/>
        <w:gridCol w:w="664"/>
        <w:gridCol w:w="1462"/>
        <w:gridCol w:w="2126"/>
        <w:gridCol w:w="664"/>
        <w:gridCol w:w="1594"/>
      </w:tblGrid>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 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149,242,352.63</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90.55%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4,477,270.58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154,569,932.04</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4,637,097.96</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10,303,588.94</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1,030,358.89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10,466,787.53</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1,046,678.75</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3,271,698.95</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654,339.79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2,214,213.34</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442,842.67</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2,027,506.27</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2,027,506.27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2,437,854.46</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2,437,854.46</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164,845,146.79</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8,189,475.53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169,688,787.37</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8,564,473.84</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0" w:lineRule="auto" w:before="117"/>
        <w:ind w:left="112" w:right="59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组合中，采用其他方法计提坏账准备的应收账款</w:t>
      </w:r>
    </w:p>
    <w:p>
      <w:pPr>
        <w:spacing w:line="340" w:lineRule="auto" w:before="39"/>
        <w:ind w:left="112" w:right="5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期末单项金额虽不重大但单项计提坏账准备的应收账款</w:t>
      </w:r>
    </w:p>
    <w:p>
      <w:pPr>
        <w:spacing w:before="41"/>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）本报告期实际核销的应收账款情况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0"/>
              <w:jc w:val="righ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02" w:right="70"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746,162.62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78"/>
              <w:jc w:val="right"/>
              <w:rPr>
                <w:rFonts w:ascii="宋体" w:hAnsi="宋体" w:cs="宋体" w:eastAsia="宋体" w:hint="default"/>
                <w:sz w:val="18"/>
                <w:szCs w:val="18"/>
              </w:rPr>
            </w:pPr>
            <w:r>
              <w:rPr>
                <w:rFonts w:ascii="宋体" w:hAnsi="宋体" w:cs="宋体" w:eastAsia="宋体" w:hint="default"/>
                <w:sz w:val="18"/>
                <w:szCs w:val="18"/>
              </w:rPr>
              <w:t>长期无法收回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472,166.70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78"/>
              <w:jc w:val="right"/>
              <w:rPr>
                <w:rFonts w:ascii="宋体" w:hAnsi="宋体" w:cs="宋体" w:eastAsia="宋体" w:hint="default"/>
                <w:sz w:val="18"/>
                <w:szCs w:val="18"/>
              </w:rPr>
            </w:pPr>
            <w:r>
              <w:rPr>
                <w:rFonts w:ascii="宋体" w:hAnsi="宋体" w:cs="宋体" w:eastAsia="宋体" w:hint="default"/>
                <w:sz w:val="18"/>
                <w:szCs w:val="18"/>
              </w:rPr>
              <w:t>长期无法收回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246,536.80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78"/>
              <w:jc w:val="right"/>
              <w:rPr>
                <w:rFonts w:ascii="宋体" w:hAnsi="宋体" w:cs="宋体" w:eastAsia="宋体" w:hint="default"/>
                <w:sz w:val="18"/>
                <w:szCs w:val="18"/>
              </w:rPr>
            </w:pPr>
            <w:r>
              <w:rPr>
                <w:rFonts w:ascii="宋体" w:hAnsi="宋体" w:cs="宋体" w:eastAsia="宋体" w:hint="default"/>
                <w:sz w:val="18"/>
                <w:szCs w:val="18"/>
              </w:rPr>
              <w:t>长期无法收回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124,417.00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78"/>
              <w:jc w:val="right"/>
              <w:rPr>
                <w:rFonts w:ascii="宋体" w:hAnsi="宋体" w:cs="宋体" w:eastAsia="宋体" w:hint="default"/>
                <w:sz w:val="18"/>
                <w:szCs w:val="18"/>
              </w:rPr>
            </w:pPr>
            <w:r>
              <w:rPr>
                <w:rFonts w:ascii="宋体" w:hAnsi="宋体" w:cs="宋体" w:eastAsia="宋体" w:hint="default"/>
                <w:sz w:val="18"/>
                <w:szCs w:val="18"/>
              </w:rPr>
              <w:t>长期无法收回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78"/>
              <w:jc w:val="right"/>
              <w:rPr>
                <w:rFonts w:ascii="宋体" w:hAnsi="宋体" w:cs="宋体" w:eastAsia="宋体" w:hint="default"/>
                <w:sz w:val="18"/>
                <w:szCs w:val="18"/>
              </w:rPr>
            </w:pPr>
            <w:r>
              <w:rPr>
                <w:rFonts w:ascii="宋体" w:hAnsi="宋体" w:cs="宋体" w:eastAsia="宋体" w:hint="default"/>
                <w:sz w:val="18"/>
                <w:szCs w:val="18"/>
              </w:rPr>
              <w:t>长期无法收回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其他零星货款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241,040.39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78"/>
              <w:jc w:val="right"/>
              <w:rPr>
                <w:rFonts w:ascii="宋体" w:hAnsi="宋体" w:cs="宋体" w:eastAsia="宋体" w:hint="default"/>
                <w:sz w:val="18"/>
                <w:szCs w:val="18"/>
              </w:rPr>
            </w:pPr>
            <w:r>
              <w:rPr>
                <w:rFonts w:ascii="宋体" w:hAnsi="宋体" w:cs="宋体" w:eastAsia="宋体" w:hint="default"/>
                <w:sz w:val="18"/>
                <w:szCs w:val="18"/>
              </w:rPr>
              <w:t>长期无法收回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1,898,323.51</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）应收账款中金额前五名单位情况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9,076,725.87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5.51%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6,040,210.48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4,740,556.58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2.88%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4,563,473.02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2.77%</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4,490,448.17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2.72%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28,911,414.12</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70"/>
        <w:gridCol w:w="1454"/>
        <w:gridCol w:w="528"/>
        <w:gridCol w:w="1321"/>
        <w:gridCol w:w="528"/>
        <w:gridCol w:w="1322"/>
        <w:gridCol w:w="528"/>
        <w:gridCol w:w="1189"/>
        <w:gridCol w:w="527"/>
      </w:tblGrid>
      <w:tr>
        <w:trPr>
          <w:trHeight w:val="402" w:hRule="exact"/>
        </w:trPr>
        <w:tc>
          <w:tcPr>
            <w:tcW w:w="21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31"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170" w:type="dxa"/>
            <w:vMerge/>
            <w:tcBorders>
              <w:left w:val="single" w:sz="4" w:space="0" w:color="000000"/>
              <w:right w:val="single" w:sz="4" w:space="0" w:color="000000"/>
            </w:tcBorders>
            <w:shd w:val="clear" w:color="auto" w:fill="D3D3D3"/>
          </w:tcPr>
          <w:p>
            <w:pP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2170" w:type="dxa"/>
            <w:vMerge/>
            <w:tcBorders>
              <w:left w:val="single" w:sz="4" w:space="0" w:color="000000"/>
              <w:bottom w:val="single" w:sz="4" w:space="0" w:color="000000"/>
              <w:right w:val="single" w:sz="4" w:space="0" w:color="000000"/>
            </w:tcBorders>
            <w:shd w:val="clear" w:color="auto" w:fill="D3D3D3"/>
          </w:tcPr>
          <w:p>
            <w:pP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6"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5"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5" w:right="0"/>
              <w:jc w:val="left"/>
              <w:rPr>
                <w:rFonts w:ascii="Times New Roman" w:hAnsi="Times New Roman" w:cs="Times New Roman" w:eastAsia="Times New Roman" w:hint="default"/>
                <w:sz w:val="18"/>
                <w:szCs w:val="18"/>
              </w:rPr>
            </w:pPr>
            <w:r>
              <w:rPr>
                <w:rFonts w:ascii="Times New Roman"/>
                <w:sz w:val="18"/>
              </w:rPr>
              <w:t>(%)</w:t>
            </w:r>
          </w:p>
        </w:tc>
        <w:tc>
          <w:tcPr>
            <w:tcW w:w="1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7"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129,886,077.16</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100%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8" w:right="0"/>
              <w:jc w:val="left"/>
              <w:rPr>
                <w:rFonts w:ascii="Times New Roman" w:hAnsi="Times New Roman" w:cs="Times New Roman" w:eastAsia="Times New Roman" w:hint="default"/>
                <w:sz w:val="18"/>
                <w:szCs w:val="18"/>
              </w:rPr>
            </w:pPr>
            <w:r>
              <w:rPr>
                <w:rFonts w:ascii="Times New Roman"/>
                <w:sz w:val="18"/>
              </w:rPr>
              <w:t>689,988.86</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0.53%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109,178,348.75</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100%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6" w:right="0"/>
              <w:jc w:val="left"/>
              <w:rPr>
                <w:rFonts w:ascii="Times New Roman" w:hAnsi="Times New Roman" w:cs="Times New Roman" w:eastAsia="Times New Roman" w:hint="default"/>
                <w:sz w:val="18"/>
                <w:szCs w:val="18"/>
              </w:rPr>
            </w:pPr>
            <w:r>
              <w:rPr>
                <w:rFonts w:ascii="Times New Roman"/>
                <w:sz w:val="18"/>
              </w:rPr>
              <w:t>560,417.57</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 w:right="0"/>
              <w:jc w:val="left"/>
              <w:rPr>
                <w:rFonts w:ascii="Times New Roman" w:hAnsi="Times New Roman" w:cs="Times New Roman" w:eastAsia="Times New Roman" w:hint="default"/>
                <w:sz w:val="18"/>
                <w:szCs w:val="18"/>
              </w:rPr>
            </w:pPr>
            <w:r>
              <w:rPr>
                <w:rFonts w:ascii="Times New Roman"/>
                <w:sz w:val="18"/>
              </w:rPr>
              <w:t>0.51%</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129,886,077.16</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100%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8" w:right="0"/>
              <w:jc w:val="left"/>
              <w:rPr>
                <w:rFonts w:ascii="Times New Roman" w:hAnsi="Times New Roman" w:cs="Times New Roman" w:eastAsia="Times New Roman" w:hint="default"/>
                <w:sz w:val="18"/>
                <w:szCs w:val="18"/>
              </w:rPr>
            </w:pPr>
            <w:r>
              <w:rPr>
                <w:rFonts w:ascii="Times New Roman"/>
                <w:sz w:val="18"/>
              </w:rPr>
              <w:t>689,988.86</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0.53%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109,178,348.75</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6" w:right="0"/>
              <w:jc w:val="left"/>
              <w:rPr>
                <w:rFonts w:ascii="Times New Roman" w:hAnsi="Times New Roman" w:cs="Times New Roman" w:eastAsia="Times New Roman" w:hint="default"/>
                <w:sz w:val="18"/>
                <w:szCs w:val="18"/>
              </w:rPr>
            </w:pPr>
            <w:r>
              <w:rPr>
                <w:rFonts w:ascii="Times New Roman"/>
                <w:sz w:val="18"/>
              </w:rPr>
              <w:t>560,417.57</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0.51%</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129,886,077.16</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8" w:right="0"/>
              <w:jc w:val="left"/>
              <w:rPr>
                <w:rFonts w:ascii="Times New Roman" w:hAnsi="Times New Roman" w:cs="Times New Roman" w:eastAsia="Times New Roman" w:hint="default"/>
                <w:sz w:val="18"/>
                <w:szCs w:val="18"/>
              </w:rPr>
            </w:pPr>
            <w:r>
              <w:rPr>
                <w:rFonts w:ascii="Times New Roman"/>
                <w:sz w:val="18"/>
              </w:rPr>
              <w:t>689,988.86</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109,178,348.75</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6" w:right="0"/>
              <w:jc w:val="left"/>
              <w:rPr>
                <w:rFonts w:ascii="Times New Roman" w:hAnsi="Times New Roman" w:cs="Times New Roman" w:eastAsia="Times New Roman" w:hint="default"/>
                <w:sz w:val="18"/>
                <w:szCs w:val="18"/>
              </w:rPr>
            </w:pPr>
            <w:r>
              <w:rPr>
                <w:rFonts w:ascii="Times New Roman"/>
                <w:sz w:val="18"/>
              </w:rPr>
              <w:t>560,417.57</w:t>
            </w:r>
          </w:p>
        </w:tc>
        <w:tc>
          <w:tcPr>
            <w:tcW w:w="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footerReference w:type="default" r:id="rId30"/>
          <w:pgSz w:w="11910" w:h="16840"/>
          <w:pgMar w:footer="978" w:header="746" w:top="1060" w:bottom="1160" w:left="1020" w:right="1020"/>
          <w:pgNumType w:start="110"/>
        </w:sectPr>
      </w:pPr>
    </w:p>
    <w:p>
      <w:pPr>
        <w:spacing w:line="357" w:lineRule="auto" w:before="52"/>
        <w:ind w:left="112" w:right="-20"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 期末单项金额重大并单项计提坏账准备的其他应收款</w:t>
      </w:r>
    </w:p>
    <w:p>
      <w:pPr>
        <w:spacing w:line="340" w:lineRule="auto" w:before="29"/>
        <w:ind w:left="11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组合中，采用账龄分析法计提坏账准备的其他应收款</w:t>
      </w:r>
    </w:p>
    <w:p>
      <w:pPr>
        <w:spacing w:before="39"/>
        <w:ind w:left="11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2"/>
          <w:szCs w:val="12"/>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1020" w:right="1020"/>
          <w:cols w:num="2" w:equalWidth="0">
            <w:col w:w="4253" w:space="4576"/>
            <w:col w:w="104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66"/>
        <w:gridCol w:w="1793"/>
        <w:gridCol w:w="664"/>
        <w:gridCol w:w="1594"/>
        <w:gridCol w:w="1861"/>
        <w:gridCol w:w="665"/>
        <w:gridCol w:w="1726"/>
      </w:tblGrid>
      <w:tr>
        <w:trPr>
          <w:trHeight w:val="402" w:hRule="exact"/>
        </w:trPr>
        <w:tc>
          <w:tcPr>
            <w:tcW w:w="1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405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266" w:type="dxa"/>
            <w:vMerge/>
            <w:tcBorders>
              <w:left w:val="single" w:sz="4" w:space="0" w:color="000000"/>
              <w:right w:val="single" w:sz="4" w:space="0" w:color="000000"/>
            </w:tcBorders>
            <w:shd w:val="clear" w:color="auto" w:fill="D3D3D3"/>
          </w:tcPr>
          <w:p>
            <w:pPr/>
          </w:p>
        </w:tc>
        <w:tc>
          <w:tcPr>
            <w:tcW w:w="24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266" w:type="dxa"/>
            <w:vMerge/>
            <w:tcBorders>
              <w:left w:val="single" w:sz="4" w:space="0" w:color="000000"/>
              <w:bottom w:val="single" w:sz="4" w:space="0" w:color="000000"/>
              <w:right w:val="single" w:sz="4" w:space="0" w:color="000000"/>
            </w:tcBorders>
            <w:shd w:val="clear" w:color="auto" w:fill="D3D3D3"/>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4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3" w:right="0"/>
              <w:jc w:val="left"/>
              <w:rPr>
                <w:rFonts w:ascii="Times New Roman" w:hAnsi="Times New Roman" w:cs="Times New Roman" w:eastAsia="Times New Roman" w:hint="default"/>
                <w:sz w:val="18"/>
                <w:szCs w:val="18"/>
              </w:rPr>
            </w:pPr>
            <w:r>
              <w:rPr>
                <w:rFonts w:ascii="Times New Roman"/>
                <w:sz w:val="18"/>
              </w:rPr>
              <w:t>(%)</w:t>
            </w:r>
          </w:p>
        </w:tc>
        <w:tc>
          <w:tcPr>
            <w:tcW w:w="172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23,661,866.40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18.22%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50,741.81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108,031,534.50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8" w:right="0"/>
              <w:jc w:val="left"/>
              <w:rPr>
                <w:rFonts w:ascii="Times New Roman" w:hAnsi="Times New Roman" w:cs="Times New Roman" w:eastAsia="Times New Roman" w:hint="default"/>
                <w:sz w:val="18"/>
                <w:szCs w:val="18"/>
              </w:rPr>
            </w:pPr>
            <w:r>
              <w:rPr>
                <w:rFonts w:ascii="Times New Roman"/>
                <w:sz w:val="18"/>
              </w:rPr>
              <w:t>98.95%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101,099.58</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105,463,906.51</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left"/>
              <w:rPr>
                <w:rFonts w:ascii="Times New Roman" w:hAnsi="Times New Roman" w:cs="Times New Roman" w:eastAsia="Times New Roman" w:hint="default"/>
                <w:sz w:val="18"/>
                <w:szCs w:val="18"/>
              </w:rPr>
            </w:pPr>
            <w:r>
              <w:rPr>
                <w:rFonts w:ascii="Times New Roman"/>
                <w:sz w:val="18"/>
              </w:rPr>
              <w:t>81.19%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92,035.79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501,386.24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50,138.62</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266,366.24</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53,273.25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295,310.80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0.27%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59,062.16</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493,938.01</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493,938.01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350,117.21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350,117.21</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129,886,077.16</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689,988.86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109,178,348.75</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560,417.57</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7"/>
        <w:ind w:left="112" w:right="5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组合中，采用其他方法计提坏账准备的其他应收款</w:t>
      </w:r>
    </w:p>
    <w:p>
      <w:pPr>
        <w:spacing w:before="39"/>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12"/>
        <w:rPr>
          <w:rFonts w:ascii="宋体" w:hAnsi="宋体" w:cs="宋体" w:eastAsia="宋体" w:hint="default"/>
          <w:sz w:val="25"/>
          <w:szCs w:val="25"/>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期末单项金额虽不重大但单项计提坏账准备的其他应收款</w:t>
      </w:r>
    </w:p>
    <w:p>
      <w:pPr>
        <w:spacing w:before="115"/>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）其他应收款金额前五名单位情况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728" w:right="50" w:hanging="677"/>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隆泰稀土</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126,514,021.31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97.4%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投标服务商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392,941.87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非关联关系</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237,885.21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0.18%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投标服务商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211,835.00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0.16%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174,691.10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0.13%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127,531,374.49</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98.17%</w:t>
            </w:r>
          </w:p>
        </w:tc>
      </w:tr>
    </w:tbl>
    <w:p>
      <w:pPr>
        <w:spacing w:line="240" w:lineRule="auto" w:before="4"/>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）其他应收关联方账款情况</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77"/>
        <w:gridCol w:w="2430"/>
        <w:gridCol w:w="2430"/>
        <w:gridCol w:w="2430"/>
      </w:tblGrid>
      <w:tr>
        <w:trPr>
          <w:trHeight w:val="402" w:hRule="exact"/>
        </w:trPr>
        <w:tc>
          <w:tcPr>
            <w:tcW w:w="2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8"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3"/>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占其他应收款总额的比例</w:t>
            </w:r>
            <w:r>
              <w:rPr>
                <w:rFonts w:ascii="Times New Roman" w:hAnsi="Times New Roman" w:cs="Times New Roman" w:eastAsia="Times New Roman" w:hint="default"/>
                <w:spacing w:val="-1"/>
                <w:sz w:val="18"/>
                <w:szCs w:val="18"/>
              </w:rPr>
              <w:t>(%)</w:t>
            </w:r>
          </w:p>
        </w:tc>
      </w:tr>
      <w:tr>
        <w:trPr>
          <w:trHeight w:val="402" w:hRule="exact"/>
        </w:trPr>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隆泰稀土</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126,514,021.31</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97.4%</w:t>
            </w:r>
          </w:p>
        </w:tc>
      </w:tr>
      <w:tr>
        <w:trPr>
          <w:trHeight w:val="402" w:hRule="exact"/>
        </w:trPr>
        <w:tc>
          <w:tcPr>
            <w:tcW w:w="2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126,514,021.31</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358" w:hRule="exact"/>
        </w:trPr>
        <w:tc>
          <w:tcPr>
            <w:tcW w:w="7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在被投资</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252" w:hRule="exact"/>
        </w:trPr>
        <w:tc>
          <w:tcPr>
            <w:tcW w:w="7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301" w:right="31"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32"/>
              <w:jc w:val="right"/>
              <w:rPr>
                <w:rFonts w:ascii="宋体" w:hAnsi="宋体" w:cs="宋体" w:eastAsia="宋体" w:hint="default"/>
                <w:sz w:val="18"/>
                <w:szCs w:val="18"/>
              </w:rPr>
            </w:pPr>
            <w:r>
              <w:rPr>
                <w:rFonts w:ascii="宋体" w:hAnsi="宋体" w:cs="宋体" w:eastAsia="宋体" w:hint="default"/>
                <w:sz w:val="18"/>
                <w:szCs w:val="18"/>
              </w:rPr>
              <w:t>投资成本</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34"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5" w:right="31"/>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58"/>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4" w:right="32"/>
              <w:jc w:val="both"/>
              <w:rPr>
                <w:rFonts w:ascii="宋体" w:hAnsi="宋体" w:cs="宋体" w:eastAsia="宋体" w:hint="default"/>
                <w:sz w:val="18"/>
                <w:szCs w:val="18"/>
              </w:rPr>
            </w:pPr>
            <w:r>
              <w:rPr>
                <w:rFonts w:ascii="宋体" w:hAnsi="宋体" w:cs="宋体" w:eastAsia="宋体" w:hint="default"/>
                <w:sz w:val="18"/>
                <w:szCs w:val="18"/>
              </w:rPr>
              <w:t>单位持股 比例与表 决权比例 不一致的</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15"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352" w:hRule="exact"/>
        </w:trPr>
        <w:tc>
          <w:tcPr>
            <w:tcW w:w="79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214"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隆泰稀土</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信用社股 金</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4,500.00</w:t>
            </w: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50,050,00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50,050,00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50,050,00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34" w:right="0"/>
              <w:jc w:val="lef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4,500.00</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长期股权投资的说明</w:t>
      </w:r>
    </w:p>
    <w:p>
      <w:pPr>
        <w:spacing w:after="0"/>
        <w:jc w:val="left"/>
        <w:rPr>
          <w:rFonts w:ascii="宋体" w:hAnsi="宋体" w:cs="宋体" w:eastAsia="宋体" w:hint="default"/>
          <w:sz w:val="18"/>
          <w:szCs w:val="18"/>
        </w:rPr>
        <w:sectPr>
          <w:pgSz w:w="11910" w:h="16840"/>
          <w:pgMar w:header="746" w:footer="978" w:top="1060" w:bottom="1160" w:left="1020" w:right="102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25"/>
        <w:gridCol w:w="3455"/>
        <w:gridCol w:w="3588"/>
      </w:tblGrid>
      <w:tr>
        <w:trPr>
          <w:trHeight w:val="402"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590,396,309.74</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560,511,489.97</w:t>
            </w:r>
          </w:p>
        </w:tc>
      </w:tr>
      <w:tr>
        <w:trPr>
          <w:trHeight w:val="402"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1,920,271.69</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2,042,974.63</w:t>
            </w:r>
          </w:p>
        </w:tc>
      </w:tr>
      <w:tr>
        <w:trPr>
          <w:trHeight w:val="402"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592,316,581.43</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562,554,464.60</w:t>
            </w:r>
          </w:p>
        </w:tc>
      </w:tr>
      <w:tr>
        <w:trPr>
          <w:trHeight w:val="402"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496,042,027.13</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473,856,411.84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金属加工制造</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590,396,309.74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495,113,640.53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560,511,489.97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7" w:right="0"/>
              <w:jc w:val="left"/>
              <w:rPr>
                <w:rFonts w:ascii="Times New Roman" w:hAnsi="Times New Roman" w:cs="Times New Roman" w:eastAsia="Times New Roman" w:hint="default"/>
                <w:sz w:val="18"/>
                <w:szCs w:val="18"/>
              </w:rPr>
            </w:pPr>
            <w:r>
              <w:rPr>
                <w:rFonts w:ascii="Times New Roman"/>
                <w:sz w:val="18"/>
              </w:rPr>
              <w:t>473,846,459.43</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590,396,309.74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495,113,640.53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560,511,489.97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7" w:right="0"/>
              <w:jc w:val="left"/>
              <w:rPr>
                <w:rFonts w:ascii="Times New Roman" w:hAnsi="Times New Roman" w:cs="Times New Roman" w:eastAsia="Times New Roman" w:hint="default"/>
                <w:sz w:val="18"/>
                <w:szCs w:val="18"/>
              </w:rPr>
            </w:pPr>
            <w:r>
              <w:rPr>
                <w:rFonts w:ascii="Times New Roman"/>
                <w:sz w:val="18"/>
              </w:rPr>
              <w:t>473,846,459.43</w:t>
            </w:r>
          </w:p>
        </w:tc>
      </w:tr>
    </w:tbl>
    <w:p>
      <w:pPr>
        <w:spacing w:line="240" w:lineRule="auto" w:before="4"/>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钢绞线</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450,689,413.77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372,261,363.36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497,723,277.74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418,325,714.13</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钢绞线</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37,116,913.08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38,471,763.27</w:t>
            </w:r>
          </w:p>
        </w:tc>
        <w:tc>
          <w:tcPr>
            <w:tcW w:w="186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钢丝</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102,589,982.89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84,380,513.90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62,788,212.23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55,520,745.30</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590,396,309.74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495,113,640.53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560,511,489.97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473,846,459.43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407,860,309.32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341,577,211.77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457,085,619.63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385,138,236.65</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182,536,000.42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153,536,428.76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103,425,870.34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88,708,222.78</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590,396,309.74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495,113,640.53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560,511,489.97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473,846,459.43</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2921"/>
        <w:gridCol w:w="1863"/>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14"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12" w:right="24"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16,590,610.44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15,597,146.93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2.63%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14,517,755.66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2.45%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13,586,768.55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2.29%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11,802,564.50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1.99%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72,094,846.08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12.17%</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营业收入的说明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7"/>
        <w:rPr>
          <w:rFonts w:ascii="宋体" w:hAnsi="宋体" w:cs="宋体" w:eastAsia="宋体" w:hint="default"/>
          <w:b/>
          <w:bCs/>
          <w:sz w:val="24"/>
          <w:szCs w:val="2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）投资收益明细</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522"/>
        <w:gridCol w:w="2523"/>
        <w:gridCol w:w="2523"/>
      </w:tblGrid>
      <w:tr>
        <w:trPr>
          <w:trHeight w:val="402" w:hRule="exact"/>
        </w:trPr>
        <w:tc>
          <w:tcPr>
            <w:tcW w:w="4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80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80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4,300.00</w:t>
            </w:r>
          </w:p>
        </w:tc>
      </w:tr>
      <w:tr>
        <w:trPr>
          <w:trHeight w:val="402" w:hRule="exact"/>
        </w:trPr>
        <w:tc>
          <w:tcPr>
            <w:tcW w:w="4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523" w:type="dxa"/>
            <w:tcBorders>
              <w:top w:val="single" w:sz="4" w:space="0" w:color="000000"/>
              <w:left w:val="single" w:sz="4" w:space="0" w:color="000000"/>
              <w:bottom w:val="single" w:sz="4" w:space="0" w:color="000000"/>
              <w:right w:val="single" w:sz="4" w:space="0" w:color="000000"/>
            </w:tcBorders>
          </w:tcPr>
          <w:p>
            <w:pP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135,641.43</w:t>
            </w:r>
          </w:p>
        </w:tc>
      </w:tr>
      <w:tr>
        <w:trPr>
          <w:trHeight w:val="402" w:hRule="exact"/>
        </w:trPr>
        <w:tc>
          <w:tcPr>
            <w:tcW w:w="4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持有交易性金融资产期间取得的投资收益</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-803,368.92</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-168,267.52</w:t>
            </w:r>
          </w:p>
        </w:tc>
      </w:tr>
      <w:tr>
        <w:trPr>
          <w:trHeight w:val="402" w:hRule="exact"/>
        </w:trPr>
        <w:tc>
          <w:tcPr>
            <w:tcW w:w="4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-798,368.92</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-28,326.09</w:t>
            </w:r>
          </w:p>
        </w:tc>
      </w:tr>
    </w:tbl>
    <w:p>
      <w:pPr>
        <w:spacing w:line="240" w:lineRule="auto" w:before="4"/>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5"/>
        <w:gridCol w:w="1727"/>
        <w:gridCol w:w="1594"/>
        <w:gridCol w:w="2921"/>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台山市农村信用合作联社</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4,300.00</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052"/>
        <w:gridCol w:w="2258"/>
        <w:gridCol w:w="2258"/>
      </w:tblGrid>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32,642,146.82</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43,777,621.41</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1,652,896.49</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2,973,538.39</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102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5052"/>
        <w:gridCol w:w="2258"/>
        <w:gridCol w:w="2258"/>
      </w:tblGrid>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7,944,239.36</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8,407,554.64</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535,941.04</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533,080.42</w:t>
            </w:r>
          </w:p>
        </w:tc>
      </w:tr>
      <w:tr>
        <w:trPr>
          <w:trHeight w:val="714"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0"/>
              <w:ind w:left="22" w:right="20"/>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pacing w:val="-87"/>
                <w:sz w:val="18"/>
                <w:szCs w:val="18"/>
              </w:rPr>
              <w:t> </w:t>
            </w:r>
            <w:r>
              <w:rPr>
                <w:rFonts w:ascii="宋体" w:hAnsi="宋体" w:cs="宋体" w:eastAsia="宋体" w:hint="default"/>
                <w:sz w:val="18"/>
                <w:szCs w:val="18"/>
              </w:rPr>
              <w:t>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-486,730.81</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-406,947.72</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8,836,564.13</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7,604,093.18</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798,368.92</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28,326.09</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36,814.05</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-435,789.19</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-12,093,475.10</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-14,406,769.06</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-110,411,624.97</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-156,395,820.10</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78,416,868.25</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131,114,933.42</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7,872,008.18</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22,793,821.48</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064"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1064"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112,847,503.49</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216,119,953.85</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216,119,953.85</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267,422,525.25</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-103,272,450.36</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-51,302,571.40</w:t>
            </w:r>
          </w:p>
        </w:tc>
      </w:tr>
    </w:tbl>
    <w:p>
      <w:pPr>
        <w:spacing w:line="240" w:lineRule="auto" w:before="0"/>
        <w:rPr>
          <w:rFonts w:ascii="宋体" w:hAnsi="宋体" w:cs="宋体" w:eastAsia="宋体" w:hint="default"/>
          <w:sz w:val="18"/>
          <w:szCs w:val="18"/>
        </w:rPr>
      </w:pPr>
    </w:p>
    <w:p>
      <w:pPr>
        <w:pStyle w:val="Heading2"/>
        <w:spacing w:line="240" w:lineRule="auto" w:before="26"/>
        <w:ind w:right="0"/>
        <w:jc w:val="left"/>
        <w:rPr>
          <w:b w:val="0"/>
          <w:bCs w:val="0"/>
        </w:rPr>
      </w:pPr>
      <w:r>
        <w:rPr/>
        <w:t>十三、补充资料</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1"/>
        <w:rPr>
          <w:rFonts w:ascii="宋体" w:hAnsi="宋体" w:cs="宋体" w:eastAsia="宋体" w:hint="default"/>
          <w:b/>
          <w:bCs/>
          <w:sz w:val="23"/>
          <w:szCs w:val="23"/>
        </w:rPr>
      </w:pPr>
    </w:p>
    <w:p>
      <w:pPr>
        <w:spacing w:before="44"/>
        <w:ind w:left="0" w:right="27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39"/>
        <w:gridCol w:w="2178"/>
        <w:gridCol w:w="1914"/>
        <w:gridCol w:w="1938"/>
      </w:tblGrid>
      <w:tr>
        <w:trPr>
          <w:trHeight w:val="402" w:hRule="exact"/>
        </w:trPr>
        <w:tc>
          <w:tcPr>
            <w:tcW w:w="353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 w:right="1"/>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3539" w:type="dxa"/>
            <w:vMerge/>
            <w:tcBorders>
              <w:left w:val="single" w:sz="4" w:space="0" w:color="000000"/>
              <w:bottom w:val="single" w:sz="4" w:space="0" w:color="000000"/>
              <w:right w:val="single" w:sz="4" w:space="0" w:color="000000"/>
            </w:tcBorders>
            <w:shd w:val="clear" w:color="auto" w:fill="D3D3D3"/>
          </w:tcPr>
          <w:p>
            <w:pPr/>
          </w:p>
        </w:tc>
        <w:tc>
          <w:tcPr>
            <w:tcW w:w="2178" w:type="dxa"/>
            <w:vMerge/>
            <w:tcBorders>
              <w:left w:val="single" w:sz="4" w:space="0" w:color="000000"/>
              <w:bottom w:val="single" w:sz="4" w:space="0" w:color="000000"/>
              <w:right w:val="single" w:sz="4" w:space="0" w:color="000000"/>
            </w:tcBorders>
            <w:shd w:val="clear" w:color="auto" w:fill="D3D3D3"/>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11"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24"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402" w:hRule="exact"/>
        </w:trPr>
        <w:tc>
          <w:tcPr>
            <w:tcW w:w="35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0.61</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0.61</w:t>
            </w:r>
          </w:p>
        </w:tc>
      </w:tr>
      <w:tr>
        <w:trPr>
          <w:trHeight w:val="714" w:hRule="exact"/>
        </w:trPr>
        <w:tc>
          <w:tcPr>
            <w:tcW w:w="35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22" w:right="84"/>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0.45</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0.45</w:t>
            </w:r>
          </w:p>
        </w:tc>
      </w:tr>
    </w:tbl>
    <w:p>
      <w:pPr>
        <w:spacing w:line="240" w:lineRule="auto" w:before="4"/>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7"/>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1703"/>
        <w:gridCol w:w="1559"/>
        <w:gridCol w:w="1557"/>
        <w:gridCol w:w="1403"/>
        <w:gridCol w:w="992"/>
        <w:gridCol w:w="2567"/>
      </w:tblGrid>
      <w:tr>
        <w:trPr>
          <w:trHeight w:val="347" w:hRule="exact"/>
        </w:trPr>
        <w:tc>
          <w:tcPr>
            <w:tcW w:w="1703"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59" w:type="dxa"/>
            <w:vMerge w:val="restart"/>
            <w:tcBorders>
              <w:top w:val="single" w:sz="6" w:space="0" w:color="000000"/>
              <w:left w:val="single" w:sz="6" w:space="0" w:color="000000"/>
              <w:right w:val="single" w:sz="6" w:space="0" w:color="000000"/>
            </w:tcBorders>
          </w:tcPr>
          <w:p>
            <w:pPr>
              <w:pStyle w:val="TableParagraph"/>
              <w:spacing w:line="240" w:lineRule="auto" w:before="21"/>
              <w:ind w:left="117" w:right="0"/>
              <w:jc w:val="left"/>
              <w:rPr>
                <w:rFonts w:ascii="宋体" w:hAnsi="宋体" w:cs="宋体" w:eastAsia="宋体" w:hint="default"/>
                <w:sz w:val="18"/>
                <w:szCs w:val="18"/>
              </w:rPr>
            </w:pPr>
            <w:r>
              <w:rPr>
                <w:rFonts w:ascii="宋体" w:hAnsi="宋体" w:cs="宋体" w:eastAsia="宋体" w:hint="default"/>
                <w:sz w:val="18"/>
                <w:szCs w:val="18"/>
              </w:rPr>
              <w:t>年末数</w:t>
            </w:r>
            <w:r>
              <w:rPr>
                <w:rFonts w:ascii="Times New Roman" w:hAnsi="Times New Roman" w:cs="Times New Roman" w:eastAsia="Times New Roman" w:hint="default"/>
                <w:sz w:val="18"/>
                <w:szCs w:val="18"/>
              </w:rPr>
              <w:t>/</w:t>
            </w:r>
            <w:r>
              <w:rPr>
                <w:rFonts w:ascii="宋体" w:hAnsi="宋体" w:cs="宋体" w:eastAsia="宋体" w:hint="default"/>
                <w:sz w:val="18"/>
                <w:szCs w:val="18"/>
              </w:rPr>
              <w:t>本年金额</w:t>
            </w:r>
          </w:p>
        </w:tc>
        <w:tc>
          <w:tcPr>
            <w:tcW w:w="1557" w:type="dxa"/>
            <w:vMerge w:val="restart"/>
            <w:tcBorders>
              <w:top w:val="single" w:sz="6" w:space="0" w:color="000000"/>
              <w:left w:val="single" w:sz="6" w:space="0" w:color="000000"/>
              <w:right w:val="single" w:sz="6" w:space="0" w:color="000000"/>
            </w:tcBorders>
          </w:tcPr>
          <w:p>
            <w:pPr>
              <w:pStyle w:val="TableParagraph"/>
              <w:spacing w:line="240" w:lineRule="auto" w:before="21"/>
              <w:ind w:left="115" w:right="0"/>
              <w:jc w:val="left"/>
              <w:rPr>
                <w:rFonts w:ascii="宋体" w:hAnsi="宋体" w:cs="宋体" w:eastAsia="宋体" w:hint="default"/>
                <w:sz w:val="18"/>
                <w:szCs w:val="18"/>
              </w:rPr>
            </w:pPr>
            <w:r>
              <w:rPr>
                <w:rFonts w:ascii="宋体" w:hAnsi="宋体" w:cs="宋体" w:eastAsia="宋体" w:hint="default"/>
                <w:sz w:val="18"/>
                <w:szCs w:val="18"/>
              </w:rPr>
              <w:t>年初数</w:t>
            </w:r>
            <w:r>
              <w:rPr>
                <w:rFonts w:ascii="Times New Roman" w:hAnsi="Times New Roman" w:cs="Times New Roman" w:eastAsia="Times New Roman" w:hint="default"/>
                <w:sz w:val="18"/>
                <w:szCs w:val="18"/>
              </w:rPr>
              <w:t>/</w:t>
            </w:r>
            <w:r>
              <w:rPr>
                <w:rFonts w:ascii="宋体" w:hAnsi="宋体" w:cs="宋体" w:eastAsia="宋体" w:hint="default"/>
                <w:sz w:val="18"/>
                <w:szCs w:val="18"/>
              </w:rPr>
              <w:t>上年金额</w:t>
            </w:r>
          </w:p>
        </w:tc>
        <w:tc>
          <w:tcPr>
            <w:tcW w:w="239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80" w:right="0"/>
              <w:jc w:val="left"/>
              <w:rPr>
                <w:rFonts w:ascii="宋体" w:hAnsi="宋体" w:cs="宋体" w:eastAsia="宋体" w:hint="default"/>
                <w:sz w:val="18"/>
                <w:szCs w:val="18"/>
              </w:rPr>
            </w:pPr>
            <w:r>
              <w:rPr>
                <w:rFonts w:ascii="宋体" w:hAnsi="宋体" w:cs="宋体" w:eastAsia="宋体" w:hint="default"/>
                <w:sz w:val="18"/>
                <w:szCs w:val="18"/>
              </w:rPr>
              <w:t>变动金额、变动幅度</w:t>
            </w:r>
          </w:p>
        </w:tc>
        <w:tc>
          <w:tcPr>
            <w:tcW w:w="2567" w:type="dxa"/>
            <w:vMerge w:val="restart"/>
            <w:tcBorders>
              <w:top w:val="single" w:sz="6" w:space="0" w:color="000000"/>
              <w:left w:val="single" w:sz="6"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47" w:hRule="exact"/>
        </w:trPr>
        <w:tc>
          <w:tcPr>
            <w:tcW w:w="1703" w:type="dxa"/>
            <w:vMerge/>
            <w:tcBorders>
              <w:left w:val="single" w:sz="6" w:space="0" w:color="000000"/>
              <w:bottom w:val="single" w:sz="6" w:space="0" w:color="000000"/>
              <w:right w:val="single" w:sz="6" w:space="0" w:color="000000"/>
            </w:tcBorders>
          </w:tcPr>
          <w:p>
            <w:pPr/>
          </w:p>
        </w:tc>
        <w:tc>
          <w:tcPr>
            <w:tcW w:w="1559" w:type="dxa"/>
            <w:vMerge/>
            <w:tcBorders>
              <w:left w:val="single" w:sz="6" w:space="0" w:color="000000"/>
              <w:bottom w:val="single" w:sz="6" w:space="0" w:color="000000"/>
              <w:right w:val="single" w:sz="6" w:space="0" w:color="000000"/>
            </w:tcBorders>
          </w:tcPr>
          <w:p>
            <w:pPr/>
          </w:p>
        </w:tc>
        <w:tc>
          <w:tcPr>
            <w:tcW w:w="1557" w:type="dxa"/>
            <w:vMerge/>
            <w:tcBorders>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32" w:right="0"/>
              <w:jc w:val="left"/>
              <w:rPr>
                <w:rFonts w:ascii="宋体" w:hAnsi="宋体" w:cs="宋体" w:eastAsia="宋体" w:hint="default"/>
                <w:sz w:val="18"/>
                <w:szCs w:val="18"/>
              </w:rPr>
            </w:pPr>
            <w:r>
              <w:rPr>
                <w:rFonts w:ascii="宋体" w:hAnsi="宋体" w:cs="宋体" w:eastAsia="宋体" w:hint="default"/>
                <w:sz w:val="18"/>
                <w:szCs w:val="18"/>
              </w:rPr>
              <w:t>变动金额</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29" w:right="0"/>
              <w:jc w:val="left"/>
              <w:rPr>
                <w:rFonts w:ascii="宋体" w:hAnsi="宋体" w:cs="宋体" w:eastAsia="宋体" w:hint="default"/>
                <w:sz w:val="18"/>
                <w:szCs w:val="18"/>
              </w:rPr>
            </w:pPr>
            <w:r>
              <w:rPr>
                <w:rFonts w:ascii="宋体" w:hAnsi="宋体" w:cs="宋体" w:eastAsia="宋体" w:hint="default"/>
                <w:sz w:val="18"/>
                <w:szCs w:val="18"/>
              </w:rPr>
              <w:t>变动幅度</w:t>
            </w:r>
          </w:p>
        </w:tc>
        <w:tc>
          <w:tcPr>
            <w:tcW w:w="2567" w:type="dxa"/>
            <w:vMerge/>
            <w:tcBorders>
              <w:left w:val="single" w:sz="6" w:space="0" w:color="000000"/>
              <w:bottom w:val="single" w:sz="6" w:space="0" w:color="000000"/>
              <w:right w:val="nil" w:sz="6" w:space="0" w:color="auto"/>
            </w:tcBorders>
          </w:tcPr>
          <w:p>
            <w:pPr/>
          </w:p>
        </w:tc>
      </w:tr>
      <w:tr>
        <w:trPr>
          <w:trHeight w:val="347"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3"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124,244,314.34</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256,161,449.69</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-131,917,135.35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-51.50%</w:t>
            </w:r>
          </w:p>
        </w:tc>
        <w:tc>
          <w:tcPr>
            <w:tcW w:w="2567"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213,507,520.71</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63,419,237.26</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150,088,283.45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236.66%</w:t>
            </w:r>
          </w:p>
        </w:tc>
        <w:tc>
          <w:tcPr>
            <w:tcW w:w="2567"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3"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111,241,036.62</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170,644,565.89</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-59,403,529.27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-34.81%</w:t>
            </w:r>
          </w:p>
        </w:tc>
        <w:tc>
          <w:tcPr>
            <w:tcW w:w="256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减少了预付采购货款</w:t>
            </w:r>
          </w:p>
        </w:tc>
      </w:tr>
      <w:tr>
        <w:trPr>
          <w:trHeight w:val="347"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3"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57"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-36.82%</w:t>
            </w:r>
          </w:p>
        </w:tc>
        <w:tc>
          <w:tcPr>
            <w:tcW w:w="2567"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119,499,742.43</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90,591,581.00</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28,908,161.43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31.91%</w:t>
            </w:r>
          </w:p>
        </w:tc>
        <w:tc>
          <w:tcPr>
            <w:tcW w:w="256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产销量增加，相应库存增加</w:t>
            </w:r>
          </w:p>
        </w:tc>
      </w:tr>
      <w:tr>
        <w:trPr>
          <w:trHeight w:val="347"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3"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431,000.00</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4,938,179.00</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-4,507,179.00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-91.27%</w:t>
            </w:r>
          </w:p>
        </w:tc>
        <w:tc>
          <w:tcPr>
            <w:tcW w:w="256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工程完工</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86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703"/>
        <w:gridCol w:w="1559"/>
        <w:gridCol w:w="1557"/>
        <w:gridCol w:w="1403"/>
        <w:gridCol w:w="992"/>
        <w:gridCol w:w="2567"/>
      </w:tblGrid>
      <w:tr>
        <w:trPr>
          <w:trHeight w:val="347"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3"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51,000,000.00</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110,000,000.00</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-59,000,000.00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-53.64%</w:t>
            </w:r>
          </w:p>
        </w:tc>
        <w:tc>
          <w:tcPr>
            <w:tcW w:w="2567"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3"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56,215,811.82</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12,431,533.96</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43,784,277.86</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352.20%</w:t>
            </w:r>
          </w:p>
        </w:tc>
        <w:tc>
          <w:tcPr>
            <w:tcW w:w="2567"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16,084,238.63</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8,828,778.12</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7,255,460.51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82.18%</w:t>
            </w:r>
          </w:p>
        </w:tc>
        <w:tc>
          <w:tcPr>
            <w:tcW w:w="256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利润增加，期末应交企业所得税</w:t>
            </w:r>
          </w:p>
        </w:tc>
      </w:tr>
      <w:tr>
        <w:trPr>
          <w:trHeight w:val="347"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3"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18,600,000.00</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31,000,000.00</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-12,400,000.00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-40.00%</w:t>
            </w:r>
          </w:p>
        </w:tc>
        <w:tc>
          <w:tcPr>
            <w:tcW w:w="256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递延收益结转损益</w:t>
            </w:r>
          </w:p>
        </w:tc>
      </w:tr>
      <w:tr>
        <w:trPr>
          <w:trHeight w:val="347"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2,118,471.45</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1,584,101.56</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534,369.89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33.73%</w:t>
            </w:r>
          </w:p>
        </w:tc>
        <w:tc>
          <w:tcPr>
            <w:tcW w:w="256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应交流转税增加</w:t>
            </w:r>
          </w:p>
        </w:tc>
      </w:tr>
      <w:tr>
        <w:trPr>
          <w:trHeight w:val="347"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3"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34,203,958.35</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23,311,306.81</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10,892,651.54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46.73%</w:t>
            </w:r>
          </w:p>
        </w:tc>
        <w:tc>
          <w:tcPr>
            <w:tcW w:w="256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销售增加，相应运费等增加</w:t>
            </w:r>
          </w:p>
        </w:tc>
      </w:tr>
      <w:tr>
        <w:trPr>
          <w:trHeight w:val="347"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6,030,253.37</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3,345,611.74</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2,684,641.63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80.24%</w:t>
            </w:r>
          </w:p>
        </w:tc>
        <w:tc>
          <w:tcPr>
            <w:tcW w:w="256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银行票据贴现增加</w:t>
            </w:r>
          </w:p>
        </w:tc>
      </w:tr>
      <w:tr>
        <w:trPr>
          <w:trHeight w:val="347"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3"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1,577,599.90</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3,919,171.27</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-2,341,571.37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-59.75%</w:t>
            </w:r>
          </w:p>
        </w:tc>
        <w:tc>
          <w:tcPr>
            <w:tcW w:w="256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应收款项增幅减少</w:t>
            </w:r>
          </w:p>
        </w:tc>
      </w:tr>
      <w:tr>
        <w:trPr>
          <w:trHeight w:val="347"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3" w:right="0"/>
              <w:jc w:val="left"/>
              <w:rPr>
                <w:rFonts w:ascii="宋体" w:hAnsi="宋体" w:cs="宋体" w:eastAsia="宋体" w:hint="default"/>
                <w:sz w:val="20"/>
                <w:szCs w:val="20"/>
              </w:rPr>
            </w:pPr>
            <w:r>
              <w:rPr>
                <w:rFonts w:ascii="宋体" w:hAnsi="宋体" w:cs="宋体" w:eastAsia="宋体" w:hint="default"/>
                <w:sz w:val="20"/>
                <w:szCs w:val="20"/>
              </w:rPr>
              <w:t>营业外收入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15,803,032.32</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11,108,449.04</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4,694,583.28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42.26%</w:t>
            </w:r>
          </w:p>
        </w:tc>
        <w:tc>
          <w:tcPr>
            <w:tcW w:w="256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政府补贴转入</w:t>
            </w:r>
          </w:p>
        </w:tc>
      </w:tr>
      <w:tr>
        <w:trPr>
          <w:trHeight w:val="587" w:hRule="exact"/>
        </w:trPr>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 w:right="0"/>
              <w:jc w:val="left"/>
              <w:rPr>
                <w:rFonts w:ascii="宋体" w:hAnsi="宋体" w:cs="宋体" w:eastAsia="宋体" w:hint="default"/>
                <w:sz w:val="20"/>
                <w:szCs w:val="20"/>
              </w:rPr>
            </w:pPr>
            <w:r>
              <w:rPr>
                <w:rFonts w:ascii="宋体" w:hAnsi="宋体" w:cs="宋体" w:eastAsia="宋体" w:hint="default"/>
                <w:sz w:val="20"/>
                <w:szCs w:val="20"/>
              </w:rPr>
              <w:t>营业外支出</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445,566.86</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793,100.81</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-347,533.95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-43.82%</w:t>
            </w:r>
          </w:p>
        </w:tc>
        <w:tc>
          <w:tcPr>
            <w:tcW w:w="256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赔偿金减少</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8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39"/>
        <w:ind w:left="3247" w:right="0" w:firstLine="0"/>
        <w:jc w:val="left"/>
        <w:rPr>
          <w:rFonts w:ascii="宋体" w:hAnsi="宋体" w:cs="宋体" w:eastAsia="宋体" w:hint="default"/>
          <w:sz w:val="32"/>
          <w:szCs w:val="32"/>
        </w:rPr>
      </w:pPr>
      <w:bookmarkStart w:name="_bookmark10" w:id="11"/>
      <w:bookmarkEnd w:id="11"/>
      <w:r>
        <w:rPr/>
      </w:r>
      <w:r>
        <w:rPr>
          <w:rFonts w:ascii="宋体" w:hAnsi="宋体" w:cs="宋体" w:eastAsia="宋体" w:hint="default"/>
          <w:b/>
          <w:bCs/>
          <w:sz w:val="32"/>
          <w:szCs w:val="32"/>
        </w:rPr>
        <w:t>第十一节</w:t>
      </w:r>
      <w:r>
        <w:rPr>
          <w:rFonts w:ascii="宋体" w:hAnsi="宋体" w:cs="宋体" w:eastAsia="宋体" w:hint="default"/>
          <w:b/>
          <w:bCs/>
          <w:spacing w:val="-9"/>
          <w:sz w:val="32"/>
          <w:szCs w:val="32"/>
        </w:rPr>
        <w:t> </w:t>
      </w:r>
      <w:r>
        <w:rPr>
          <w:rFonts w:ascii="宋体" w:hAnsi="宋体" w:cs="宋体" w:eastAsia="宋体" w:hint="default"/>
          <w:b/>
          <w:bCs/>
          <w:sz w:val="32"/>
          <w:szCs w:val="32"/>
        </w:rPr>
        <w:t>备查文件目录</w:t>
      </w:r>
      <w:r>
        <w:rPr>
          <w:rFonts w:ascii="宋体" w:hAnsi="宋体" w:cs="宋体" w:eastAsia="宋体" w:hint="default"/>
          <w:sz w:val="32"/>
          <w:szCs w:val="32"/>
        </w:rPr>
      </w:r>
    </w:p>
    <w:p>
      <w:pPr>
        <w:spacing w:line="240" w:lineRule="auto" w:before="7"/>
        <w:rPr>
          <w:rFonts w:ascii="宋体" w:hAnsi="宋体" w:cs="宋体" w:eastAsia="宋体" w:hint="default"/>
          <w:b/>
          <w:bCs/>
          <w:sz w:val="40"/>
          <w:szCs w:val="40"/>
        </w:rPr>
      </w:pPr>
    </w:p>
    <w:p>
      <w:pPr>
        <w:pStyle w:val="BodyText"/>
        <w:spacing w:line="537" w:lineRule="auto"/>
        <w:ind w:right="0"/>
        <w:jc w:val="left"/>
      </w:pPr>
      <w:r>
        <w:rPr/>
        <w:t>一、载有公司董事长签署、公司盖章的</w:t>
      </w:r>
      <w:r>
        <w:rPr>
          <w:rFonts w:ascii="Times New Roman" w:hAnsi="Times New Roman" w:cs="Times New Roman" w:eastAsia="Times New Roman" w:hint="default"/>
        </w:rPr>
        <w:t>2012</w:t>
      </w:r>
      <w:r>
        <w:rPr/>
        <w:t>年年度报告全文及摘要文本； 二、载有法定代表人、主管会计工作负责人、会计机构负责人签名盖章的会计报表； </w:t>
      </w:r>
      <w:r>
        <w:rPr>
          <w:spacing w:val="-1"/>
        </w:rPr>
        <w:t>三、载有国富浩华会计师事务所（特殊普通合伙）盖章、注册会计师亲笔签字并盖章的审计报告原件；</w:t>
      </w:r>
      <w:r>
        <w:rPr>
          <w:spacing w:val="-82"/>
        </w:rPr>
        <w:t> </w:t>
      </w:r>
      <w:r>
        <w:rPr>
          <w:spacing w:val="-82"/>
        </w:rPr>
      </w:r>
      <w:r>
        <w:rPr/>
        <w:t>四、报告期内在中国证监会指定报纸上公开披露过的所有公司文件的正本及公告的原稿；</w:t>
      </w:r>
      <w:r>
        <w:rPr/>
        <w:t> 五、以上文件置备于公司证券部备查。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8"/>
          <w:szCs w:val="28"/>
        </w:rPr>
      </w:pPr>
    </w:p>
    <w:p>
      <w:pPr>
        <w:pStyle w:val="BodyText"/>
        <w:spacing w:line="240" w:lineRule="auto"/>
        <w:ind w:left="6391" w:right="0"/>
        <w:jc w:val="left"/>
      </w:pPr>
      <w:r>
        <w:rPr/>
        <w:t>马鞍山鼎泰稀土新材料股份有限公司</w:t>
      </w:r>
    </w:p>
    <w:p>
      <w:pPr>
        <w:spacing w:line="240" w:lineRule="auto" w:before="10"/>
        <w:rPr>
          <w:rFonts w:ascii="宋体" w:hAnsi="宋体" w:cs="宋体" w:eastAsia="宋体" w:hint="default"/>
          <w:sz w:val="14"/>
          <w:szCs w:val="14"/>
        </w:rPr>
      </w:pPr>
    </w:p>
    <w:p>
      <w:pPr>
        <w:pStyle w:val="BodyText"/>
        <w:spacing w:line="408" w:lineRule="auto"/>
        <w:ind w:left="7600" w:right="620" w:firstLine="50"/>
        <w:jc w:val="left"/>
      </w:pPr>
      <w:r>
        <w:rPr/>
        <w:t>董事长：刘冀鲁 2013</w:t>
      </w:r>
      <w:r>
        <w:rPr>
          <w:spacing w:val="-54"/>
        </w:rPr>
        <w:t> </w:t>
      </w:r>
      <w:r>
        <w:rPr/>
        <w:t>年</w:t>
      </w:r>
      <w:r>
        <w:rPr>
          <w:spacing w:val="-51"/>
        </w:rPr>
        <w:t> </w:t>
      </w:r>
      <w:r>
        <w:rPr/>
        <w:t>4</w:t>
      </w:r>
      <w:r>
        <w:rPr>
          <w:spacing w:val="-54"/>
        </w:rPr>
        <w:t> </w:t>
      </w:r>
      <w:r>
        <w:rPr/>
        <w:t>月</w:t>
      </w:r>
      <w:r>
        <w:rPr>
          <w:spacing w:val="-51"/>
        </w:rPr>
        <w:t> </w:t>
      </w:r>
      <w:r>
        <w:rPr/>
        <w:t>20</w:t>
      </w:r>
      <w:r>
        <w:rPr>
          <w:spacing w:val="-54"/>
        </w:rPr>
        <w:t> </w:t>
      </w:r>
      <w:r>
        <w:rPr/>
        <w:t>日</w:t>
      </w:r>
    </w:p>
    <w:sectPr>
      <w:pgSz w:w="11910" w:h="16840"/>
      <w:pgMar w:header="746" w:footer="978" w:top="1060" w:bottom="116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995pt;margin-top:795.687927pt;width:6.5pt;height:11pt;mso-position-horizontal-relative:page;mso-position-vertical-relative:page;z-index:-62692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2.007935pt;width:13.1pt;height:11pt;mso-position-horizontal-relative:page;mso-position-vertical-relative:page;z-index:-6267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2.007935pt;width:13.1pt;height:11pt;mso-position-horizontal-relative:page;mso-position-vertical-relative:page;z-index:-626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2.007935pt;width:13.1pt;height:11pt;mso-position-horizontal-relative:page;mso-position-vertical-relative:page;z-index:-626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6266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79980pt;margin-top:782.007935pt;width:17.4pt;height:11pt;mso-position-horizontal-relative:page;mso-position-vertical-relative:page;z-index:-626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2.119995pt;margin-top:782.007935pt;width:8.5pt;height:11pt;mso-position-horizontal-relative:page;mso-position-vertical-relative:page;z-index:-6268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2.007935pt;width:13.2pt;height:11pt;mso-position-horizontal-relative:page;mso-position-vertical-relative:page;z-index:-626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2.007935pt;width:13.1pt;height:11pt;mso-position-horizontal-relative:page;mso-position-vertical-relative:page;z-index:-6268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2.007935pt;width:13.1pt;height:11pt;mso-position-horizontal-relative:page;mso-position-vertical-relative:page;z-index:-6268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2.007935pt;width:13.1pt;height:11pt;mso-position-horizontal-relative:page;mso-position-vertical-relative:page;z-index:-626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2.007935pt;width:13.1pt;height:11pt;mso-position-horizontal-relative:page;mso-position-vertical-relative:page;z-index:-6267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2.007935pt;width:13.1pt;height:11pt;mso-position-horizontal-relative:page;mso-position-vertical-relative:page;z-index:-6267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2.007935pt;width:13.1pt;height:11pt;mso-position-horizontal-relative:page;mso-position-vertical-relative:page;z-index:-6267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17.119995pt;margin-top:36.315651pt;width:222.45pt;height:11.5pt;mso-position-horizontal-relative:page;mso-position-vertical-relative:page;z-index:-6269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马鞍山鼎泰稀土新材料股份有限公司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2"/>
    </w:pPr>
    <w:rPr>
      <w:rFonts w:ascii="宋体" w:hAnsi="宋体" w:eastAsia="宋体"/>
      <w:b/>
      <w:bCs/>
      <w:sz w:val="24"/>
      <w:szCs w:val="24"/>
    </w:rPr>
  </w:style>
  <w:style w:styleId="BodyText" w:type="paragraph">
    <w:name w:val="Body Text"/>
    <w:basedOn w:val="Normal"/>
    <w:uiPriority w:val="1"/>
    <w:qFormat/>
    <w:pPr>
      <w:ind w:left="112"/>
    </w:pPr>
    <w:rPr>
      <w:rFonts w:ascii="宋体" w:hAnsi="宋体" w:eastAsia="宋体"/>
      <w:sz w:val="21"/>
      <w:szCs w:val="21"/>
    </w:rPr>
  </w:style>
  <w:style w:styleId="Heading1" w:type="paragraph">
    <w:name w:val="Heading 1"/>
    <w:basedOn w:val="Normal"/>
    <w:uiPriority w:val="1"/>
    <w:qFormat/>
    <w:pPr>
      <w:spacing w:before="1"/>
      <w:ind w:left="2020"/>
      <w:outlineLvl w:val="1"/>
    </w:pPr>
    <w:rPr>
      <w:rFonts w:ascii="宋体" w:hAnsi="宋体" w:eastAsia="宋体"/>
      <w:b/>
      <w:bCs/>
      <w:sz w:val="32"/>
      <w:szCs w:val="32"/>
    </w:rPr>
  </w:style>
  <w:style w:styleId="Heading2" w:type="paragraph">
    <w:name w:val="Heading 2"/>
    <w:basedOn w:val="Normal"/>
    <w:uiPriority w:val="1"/>
    <w:qFormat/>
    <w:pPr>
      <w:ind w:left="112"/>
      <w:outlineLvl w:val="2"/>
    </w:pPr>
    <w:rPr>
      <w:rFonts w:ascii="宋体" w:hAnsi="宋体" w:eastAsia="宋体"/>
      <w:b/>
      <w:bCs/>
      <w:sz w:val="24"/>
      <w:szCs w:val="24"/>
    </w:rPr>
  </w:style>
  <w:style w:styleId="Heading3" w:type="paragraph">
    <w:name w:val="Heading 3"/>
    <w:basedOn w:val="Normal"/>
    <w:uiPriority w:val="1"/>
    <w:qFormat/>
    <w:pPr>
      <w:ind w:left="112"/>
      <w:outlineLvl w:val="3"/>
    </w:pPr>
    <w:rPr>
      <w:rFonts w:ascii="宋体" w:hAnsi="宋体" w:eastAsia="宋体"/>
      <w:sz w:val="24"/>
      <w:szCs w:val="24"/>
    </w:rPr>
  </w:style>
  <w:style w:styleId="Heading4" w:type="paragraph">
    <w:name w:val="Heading 4"/>
    <w:basedOn w:val="Normal"/>
    <w:uiPriority w:val="1"/>
    <w:qFormat/>
    <w:pPr>
      <w:ind w:left="112"/>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dingtaicn.com/" TargetMode="External"/><Relationship Id="rId10" Type="http://schemas.openxmlformats.org/officeDocument/2006/relationships/hyperlink" Target="mailto:dtxc@dingtaicn.com" TargetMode="External"/><Relationship Id="rId11" Type="http://schemas.openxmlformats.org/officeDocument/2006/relationships/hyperlink" Target="http://www.cninfo.com/" TargetMode="External"/><Relationship Id="rId12" Type="http://schemas.openxmlformats.org/officeDocument/2006/relationships/footer" Target="footer3.xml"/><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footer" Target="footer4.xml"/><Relationship Id="rId17" Type="http://schemas.openxmlformats.org/officeDocument/2006/relationships/hyperlink" Target="http://www.cninfo.com.cn/" TargetMode="External"/><Relationship Id="rId18" Type="http://schemas.openxmlformats.org/officeDocument/2006/relationships/footer" Target="footer5.xml"/><Relationship Id="rId19" Type="http://schemas.openxmlformats.org/officeDocument/2006/relationships/image" Target="media/image5.jpeg"/><Relationship Id="rId20" Type="http://schemas.openxmlformats.org/officeDocument/2006/relationships/footer" Target="footer6.xml"/><Relationship Id="rId21" Type="http://schemas.openxmlformats.org/officeDocument/2006/relationships/image" Target="media/image6.jpeg"/><Relationship Id="rId22" Type="http://schemas.openxmlformats.org/officeDocument/2006/relationships/image" Target="media/image7.jpeg"/><Relationship Id="rId23" Type="http://schemas.openxmlformats.org/officeDocument/2006/relationships/footer" Target="footer7.xml"/><Relationship Id="rId24" Type="http://schemas.openxmlformats.org/officeDocument/2006/relationships/footer" Target="footer8.xml"/><Relationship Id="rId25" Type="http://schemas.openxmlformats.org/officeDocument/2006/relationships/footer" Target="footer9.xml"/><Relationship Id="rId26" Type="http://schemas.openxmlformats.org/officeDocument/2006/relationships/footer" Target="footer10.xml"/><Relationship Id="rId27" Type="http://schemas.openxmlformats.org/officeDocument/2006/relationships/footer" Target="footer11.xml"/><Relationship Id="rId28" Type="http://schemas.openxmlformats.org/officeDocument/2006/relationships/footer" Target="footer12.xml"/><Relationship Id="rId29" Type="http://schemas.openxmlformats.org/officeDocument/2006/relationships/footer" Target="footer13.xml"/><Relationship Id="rId30"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2020-05-04T00:52:51Z</dcterms:created>
  <dcterms:modified xsi:type="dcterms:W3CDTF">2020-05-04T00:52:51Z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2013-04-18T00:00:00Z</vt:filetime>
  </property>
  <property fmtid="{D5CDD505-2E9C-101B-9397-08002B2CF9AE}" pid="3" name="Creator">
    <vt:lpwstr>WPS Office 个人版</vt:lpwstr>
  </property>
  <property fmtid="{D5CDD505-2E9C-101B-9397-08002B2CF9AE}" pid="4" name="LastSaved">
    <vt:filetime>2020-05-03T00:00:00Z</vt:filetime>
  </property>
</Properties>
</file>