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2490"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9"/>
          <w:sz w:val="20"/>
          <w:szCs w:val="20"/>
        </w:rPr>
        <w:drawing>
          <wp:inline distT="0" distB="0" distL="0" distR="0">
            <wp:extent cx="1409134" cy="15811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9134" cy="1581150"/>
                    </a:xfrm>
                    <a:prstGeom prst="rect">
                      <a:avLst/>
                    </a:prstGeom>
                  </pic:spPr>
                </pic:pic>
              </a:graphicData>
            </a:graphic>
          </wp:inline>
        </w:drawing>
      </w:r>
      <w:r>
        <w:rPr>
          <w:rFonts w:ascii="Times New Roman" w:hAnsi="Times New Roman" w:cs="Times New Roman" w:eastAsia="Times New Roman" w:hint="default"/>
          <w:position w:val="-49"/>
          <w:sz w:val="20"/>
          <w:szCs w:val="20"/>
        </w:rPr>
      </w:r>
    </w:p>
    <w:p>
      <w:pPr>
        <w:spacing w:line="240" w:lineRule="auto" w:before="7"/>
        <w:rPr>
          <w:rFonts w:ascii="Times New Roman" w:hAnsi="Times New Roman" w:cs="Times New Roman" w:eastAsia="Times New Roman" w:hint="default"/>
          <w:sz w:val="13"/>
          <w:szCs w:val="13"/>
        </w:rPr>
      </w:pPr>
    </w:p>
    <w:p>
      <w:pPr>
        <w:spacing w:line="460" w:lineRule="exact" w:before="0"/>
        <w:ind w:left="2060" w:right="2063" w:firstLine="0"/>
        <w:jc w:val="center"/>
        <w:rPr>
          <w:rFonts w:ascii="宋体" w:hAnsi="宋体" w:cs="宋体" w:eastAsia="宋体" w:hint="default"/>
          <w:sz w:val="36"/>
          <w:szCs w:val="36"/>
        </w:rPr>
      </w:pPr>
      <w:r>
        <w:rPr>
          <w:rFonts w:ascii="宋体" w:hAnsi="宋体" w:cs="宋体" w:eastAsia="宋体" w:hint="default"/>
          <w:b/>
          <w:bCs/>
          <w:sz w:val="36"/>
          <w:szCs w:val="36"/>
        </w:rPr>
        <w:t>马鞍山鼎泰稀土新材料股份有限公司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060" w:right="206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2060" w:right="2058" w:firstLine="0"/>
        <w:jc w:val="center"/>
        <w:rPr>
          <w:rFonts w:ascii="Times New Roman" w:hAnsi="Times New Roman" w:cs="Times New Roman" w:eastAsia="Times New Roman" w:hint="default"/>
          <w:sz w:val="22"/>
          <w:szCs w:val="22"/>
        </w:rPr>
      </w:pPr>
      <w:r>
        <w:rPr>
          <w:rFonts w:ascii="Times New Roman"/>
          <w:b/>
          <w:sz w:val="22"/>
        </w:rPr>
        <w:t>2015-14</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8"/>
        <w:ind w:left="2060" w:right="206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144"/>
        <w:jc w:val="left"/>
        <w:rPr>
          <w:b w:val="0"/>
          <w:bCs w:val="0"/>
        </w:rPr>
      </w:pPr>
      <w:bookmarkStart w:name="_TOC_250011"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w w:val="99"/>
          <w:sz w:val="28"/>
          <w:szCs w:val="28"/>
        </w:rPr>
        <w:t> </w:t>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5" w:lineRule="auto" w:before="163"/>
        <w:ind w:left="714" w:right="144"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7"/>
          <w:sz w:val="28"/>
          <w:szCs w:val="28"/>
        </w:rPr>
        <w:t> </w:t>
      </w:r>
      <w:r>
        <w:rPr>
          <w:rFonts w:ascii="Times New Roman" w:hAnsi="Times New Roman" w:cs="Times New Roman" w:eastAsia="Times New Roman" w:hint="default"/>
          <w:b/>
          <w:bCs/>
          <w:sz w:val="28"/>
          <w:szCs w:val="28"/>
        </w:rPr>
        <w:t>77830780</w:t>
      </w:r>
      <w:r>
        <w:rPr>
          <w:rFonts w:ascii="Times New Roman" w:hAnsi="Times New Roman" w:cs="Times New Roman" w:eastAsia="Times New Roman" w:hint="default"/>
          <w:b/>
          <w:bCs/>
          <w:spacing w:val="-17"/>
          <w:sz w:val="28"/>
          <w:szCs w:val="28"/>
        </w:rPr>
        <w:t> </w:t>
      </w:r>
      <w:r>
        <w:rPr>
          <w:rFonts w:ascii="宋体" w:hAnsi="宋体" w:cs="宋体" w:eastAsia="宋体" w:hint="default"/>
          <w:b/>
          <w:bCs/>
          <w:spacing w:val="-5"/>
          <w:sz w:val="28"/>
          <w:szCs w:val="28"/>
        </w:rPr>
        <w:t>股为基数，向</w:t>
      </w:r>
      <w:r>
        <w:rPr>
          <w:rFonts w:ascii="宋体" w:hAnsi="宋体" w:cs="宋体" w:eastAsia="宋体" w:hint="default"/>
          <w:spacing w:val="-5"/>
          <w:sz w:val="28"/>
          <w:szCs w:val="28"/>
        </w:rPr>
      </w:r>
    </w:p>
    <w:p>
      <w:pPr>
        <w:spacing w:line="320" w:lineRule="exact" w:before="0"/>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w w:val="100"/>
          <w:sz w:val="28"/>
          <w:szCs w:val="28"/>
        </w:rPr>
        <w:t>0</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line="446" w:lineRule="auto" w:before="236"/>
        <w:ind w:left="714" w:right="144" w:hanging="563"/>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股转增</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5</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w:t>
      </w:r>
      <w:r>
        <w:rPr>
          <w:rFonts w:ascii="宋体" w:hAnsi="宋体" w:cs="宋体" w:eastAsia="宋体" w:hint="default"/>
          <w:b/>
          <w:bCs/>
          <w:spacing w:val="-136"/>
          <w:sz w:val="28"/>
          <w:szCs w:val="28"/>
        </w:rPr>
        <w:t> </w:t>
      </w:r>
      <w:r>
        <w:rPr>
          <w:rFonts w:ascii="宋体" w:hAnsi="宋体" w:cs="宋体" w:eastAsia="宋体" w:hint="default"/>
          <w:b/>
          <w:bCs/>
          <w:w w:val="95"/>
          <w:sz w:val="28"/>
          <w:szCs w:val="28"/>
        </w:rPr>
        <w:t>公司负责人刘冀鲁、主管会计工作负责人张彦及会计机构负责人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sz w:val="28"/>
          <w:szCs w:val="28"/>
        </w:rPr>
      </w:r>
    </w:p>
    <w:p>
      <w:pPr>
        <w:spacing w:line="357" w:lineRule="exact" w:before="0"/>
        <w:ind w:left="152" w:right="144" w:firstLine="0"/>
        <w:jc w:val="left"/>
        <w:rPr>
          <w:rFonts w:ascii="宋体" w:hAnsi="宋体" w:cs="宋体" w:eastAsia="宋体" w:hint="default"/>
          <w:sz w:val="28"/>
          <w:szCs w:val="28"/>
        </w:rPr>
      </w:pP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张彦声明：保证年度报告中财务报告的真实、准确、完整。</w:t>
      </w:r>
      <w:r>
        <w:rPr>
          <w:rFonts w:ascii="宋体" w:hAnsi="宋体" w:cs="宋体" w:eastAsia="宋体" w:hint="default"/>
          <w:sz w:val="28"/>
          <w:szCs w:val="28"/>
        </w:rPr>
      </w:r>
    </w:p>
    <w:p>
      <w:pPr>
        <w:spacing w:after="0" w:line="357" w:lineRule="exact"/>
        <w:jc w:val="left"/>
        <w:rPr>
          <w:rFonts w:ascii="宋体" w:hAnsi="宋体" w:cs="宋体" w:eastAsia="宋体" w:hint="default"/>
          <w:sz w:val="28"/>
          <w:szCs w:val="28"/>
        </w:rPr>
        <w:sectPr>
          <w:footerReference w:type="default" r:id="rId8"/>
          <w:pgSz w:w="11910" w:h="16840"/>
          <w:pgMar w:footer="979"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060" w:right="206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年度报告</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11">
            <w:r>
              <w:rPr/>
              <w:t>第一节</w:t>
            </w:r>
            <w:r>
              <w:rPr>
                <w:spacing w:val="-18"/>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8"/>
              </w:rPr>
              <w:t> </w:t>
            </w:r>
            <w:r>
              <w:rPr/>
              <w:t>公司简介</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8"/>
              </w:rPr>
              <w:t> </w:t>
            </w:r>
            <w:r>
              <w:rPr/>
              <w:t>会计数据和财务指标摘要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7"/>
              </w:rPr>
              <w:t> </w:t>
            </w:r>
            <w:r>
              <w:rPr/>
              <w:t>董事会报告</w:t>
            </w:r>
            <w:r>
              <w:rPr>
                <w:rFonts w:ascii="Times New Roman" w:hAnsi="Times New Roman" w:cs="Times New Roman" w:eastAsia="Times New Roman" w:hint="default"/>
              </w:rPr>
              <w:tab/>
              <w:t>24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8"/>
              </w:rPr>
              <w:t> </w:t>
            </w:r>
            <w:r>
              <w:rPr/>
              <w:t>重要事项</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6">
            <w:r>
              <w:rPr/>
              <w:t>第六节</w:t>
            </w:r>
            <w:r>
              <w:rPr>
                <w:spacing w:val="-18"/>
              </w:rPr>
              <w:t> </w:t>
            </w:r>
            <w:r>
              <w:rPr/>
              <w:t>股份变动及股东情况</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8"/>
              </w:rPr>
              <w:t> </w:t>
            </w:r>
            <w:r>
              <w:rPr/>
              <w:t>优先股相关情况</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18"/>
              </w:rPr>
              <w:t> </w:t>
            </w:r>
            <w:r>
              <w:rPr/>
              <w:t>董事、监事、高级管理人员和员工情况</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8"/>
              </w:rPr>
              <w:t> </w:t>
            </w:r>
            <w:r>
              <w:rPr/>
              <w:t>公司治理</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8"/>
              </w:rPr>
              <w:t> </w:t>
            </w:r>
            <w:r>
              <w:rPr/>
              <w:t>内部控制</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7"/>
              </w:rPr>
              <w:t> </w:t>
            </w:r>
            <w:r>
              <w:rPr/>
              <w:t>财务报告</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18"/>
              </w:rPr>
              <w:t> </w:t>
            </w:r>
            <w:r>
              <w:rPr/>
              <w:t>备查文件目录</w:t>
            </w:r>
            <w:r>
              <w:rPr>
                <w:rFonts w:ascii="Times New Roman" w:hAnsi="Times New Roman" w:cs="Times New Roman" w:eastAsia="Times New Roman" w:hint="default"/>
              </w:rPr>
              <w:tab/>
              <w:t>148</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79" w:top="1060" w:bottom="1160" w:left="980" w:right="980"/>
        </w:sectPr>
      </w:pPr>
    </w:p>
    <w:p>
      <w:pPr>
        <w:spacing w:before="945"/>
        <w:ind w:left="2060" w:right="206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公司、本公司、鼎泰新材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马鞍山鼎泰稀土新材料股份有限公司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隆泰稀土、子公司、全资子公司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重庆市隆泰稀土新材料有限责任公司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广海分公司、分公司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马鞍山鼎泰稀土新材料股份有限公司广海分公司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人民币元、人民币万元、人民币亿元</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马鞍山鼎泰稀土新材料股份有限公司董事会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马鞍山鼎泰稀土新材料股份有限公司监事会</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before="0"/>
        <w:ind w:left="2060" w:right="2060"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1"/>
        <w:rPr>
          <w:rFonts w:ascii="宋体" w:hAnsi="宋体" w:cs="宋体" w:eastAsia="宋体" w:hint="default"/>
          <w:b/>
          <w:bCs/>
          <w:sz w:val="26"/>
          <w:szCs w:val="26"/>
        </w:rPr>
      </w:pPr>
    </w:p>
    <w:p>
      <w:pPr>
        <w:spacing w:line="408" w:lineRule="auto" w:before="0"/>
        <w:ind w:left="152" w:right="144" w:firstLine="562"/>
        <w:jc w:val="left"/>
        <w:rPr>
          <w:rFonts w:ascii="宋体" w:hAnsi="宋体" w:cs="宋体" w:eastAsia="宋体" w:hint="default"/>
          <w:sz w:val="28"/>
          <w:szCs w:val="28"/>
        </w:rPr>
      </w:pPr>
      <w:r>
        <w:rPr>
          <w:rFonts w:ascii="宋体" w:hAnsi="宋体" w:cs="宋体" w:eastAsia="宋体" w:hint="default"/>
          <w:b/>
          <w:bCs/>
          <w:spacing w:val="2"/>
          <w:sz w:val="28"/>
          <w:szCs w:val="28"/>
        </w:rPr>
        <w:t>本年度报告涉及未来计划等前瞻性陈述，不构成公司对投资者的实质性承</w:t>
      </w:r>
      <w:r>
        <w:rPr>
          <w:rFonts w:ascii="宋体" w:hAnsi="宋体" w:cs="宋体" w:eastAsia="宋体" w:hint="default"/>
          <w:b/>
          <w:bCs/>
          <w:w w:val="99"/>
          <w:sz w:val="28"/>
          <w:szCs w:val="28"/>
        </w:rPr>
        <w:t> </w:t>
      </w:r>
      <w:r>
        <w:rPr>
          <w:rFonts w:ascii="宋体" w:hAnsi="宋体" w:cs="宋体" w:eastAsia="宋体" w:hint="default"/>
          <w:b/>
          <w:bCs/>
          <w:sz w:val="28"/>
          <w:szCs w:val="28"/>
        </w:rPr>
        <w:t>诺，请投资者注意投资风险。</w:t>
      </w:r>
      <w:r>
        <w:rPr>
          <w:rFonts w:ascii="宋体" w:hAnsi="宋体" w:cs="宋体" w:eastAsia="宋体" w:hint="default"/>
          <w:sz w:val="28"/>
          <w:szCs w:val="28"/>
        </w:rPr>
      </w:r>
    </w:p>
    <w:p>
      <w:pPr>
        <w:spacing w:after="0" w:line="408" w:lineRule="auto"/>
        <w:jc w:val="left"/>
        <w:rPr>
          <w:rFonts w:ascii="宋体" w:hAnsi="宋体" w:cs="宋体" w:eastAsia="宋体" w:hint="default"/>
          <w:sz w:val="28"/>
          <w:szCs w:val="2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r>
        <w:rPr/>
        <w:pict>
          <v:group style="position:absolute;margin-left:172.339996pt;margin-top:269.809998pt;width:361.55pt;height:19.6pt;mso-position-horizontal-relative:page;mso-position-vertical-relative:page;z-index:-716992" coordorigin="3447,5396" coordsize="7231,392">
            <v:shape style="position:absolute;left:3447;top:5396;width:7231;height:392" coordorigin="3447,5396" coordsize="7231,392" path="m3447,5787l10677,5787,10677,5396,3447,5396,3447,578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1"/>
        <w:spacing w:line="240" w:lineRule="auto"/>
        <w:ind w:right="2059"/>
        <w:jc w:val="center"/>
        <w:rPr>
          <w:b w:val="0"/>
          <w:bCs w:val="0"/>
        </w:rPr>
      </w:pPr>
      <w:bookmarkStart w:name="_TOC_250010" w:id="2"/>
      <w:r>
        <w:rPr/>
        <w:t>第二节</w:t>
      </w:r>
      <w:r>
        <w:rPr>
          <w:spacing w:val="-2"/>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44"/>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33"/>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鼎泰新材</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002352</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马鞍山鼎泰稀土新材料股份有限公司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鼎泰新材</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Maanshan Dingtai Rare Earth &amp; New Materials    Co.,</w:t>
            </w:r>
            <w:r>
              <w:rPr>
                <w:rFonts w:ascii="Times New Roman"/>
                <w:spacing w:val="-14"/>
                <w:sz w:val="18"/>
              </w:rPr>
              <w:t> </w:t>
            </w:r>
            <w:r>
              <w:rPr>
                <w:rFonts w:ascii="Times New Roman"/>
                <w:sz w:val="18"/>
              </w:rPr>
              <w:t>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Ding </w:t>
            </w:r>
            <w:r>
              <w:rPr>
                <w:rFonts w:ascii="Times New Roman"/>
                <w:spacing w:val="-5"/>
                <w:sz w:val="18"/>
              </w:rPr>
              <w:t>Tai </w:t>
            </w:r>
            <w:r>
              <w:rPr>
                <w:rFonts w:ascii="Times New Roman"/>
                <w:sz w:val="18"/>
              </w:rPr>
              <w:t>New</w:t>
            </w:r>
            <w:r>
              <w:rPr>
                <w:rFonts w:ascii="Times New Roman"/>
                <w:spacing w:val="-6"/>
                <w:sz w:val="18"/>
              </w:rPr>
              <w:t> </w:t>
            </w:r>
            <w:r>
              <w:rPr>
                <w:rFonts w:ascii="Times New Roman"/>
                <w:sz w:val="18"/>
              </w:rPr>
              <w:t>Materials</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刘冀鲁</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安徽省马鞍山市当涂工业园</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243100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安徽省马鞍山市当涂工业园</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243100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www.dingtaicn.com</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dtxc@dingtaicn.com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144"/>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黄学春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杨涛</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安徽省马鞍山市当涂经济开发区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安徽省马鞍山市当涂经济开发区</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0555-6615924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0555-6615924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0555-2916511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0555-2916511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dtxc@dingtaicn.com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dtxc@dingtaicn.com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144"/>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b/>
          <w:bCs/>
          <w:sz w:val="23"/>
          <w:szCs w:val="23"/>
        </w:rPr>
      </w:pPr>
    </w:p>
    <w:p>
      <w:pPr>
        <w:pStyle w:val="Heading3"/>
        <w:spacing w:line="240" w:lineRule="auto" w:before="26"/>
        <w:ind w:right="144"/>
        <w:jc w:val="left"/>
        <w:rPr>
          <w:b w:val="0"/>
          <w:bCs w:val="0"/>
        </w:rPr>
      </w:pPr>
      <w:r>
        <w:rPr/>
        <w:t>四、注册变更情况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584"/>
        <w:gridCol w:w="1594"/>
        <w:gridCol w:w="1594"/>
        <w:gridCol w:w="1596"/>
        <w:gridCol w:w="1594"/>
        <w:gridCol w:w="1594"/>
      </w:tblGrid>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当涂工业园</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340521000002878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4"/>
              <w:jc w:val="right"/>
              <w:rPr>
                <w:rFonts w:ascii="Times New Roman" w:hAnsi="Times New Roman" w:cs="Times New Roman" w:eastAsia="Times New Roman" w:hint="default"/>
                <w:sz w:val="18"/>
                <w:szCs w:val="18"/>
              </w:rPr>
            </w:pPr>
            <w:r>
              <w:rPr>
                <w:rFonts w:ascii="Times New Roman"/>
                <w:spacing w:val="-1"/>
                <w:sz w:val="18"/>
              </w:rPr>
              <w:t>340521150660397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15066039-7</w:t>
            </w:r>
          </w:p>
        </w:tc>
      </w:tr>
      <w:tr>
        <w:trPr>
          <w:trHeight w:val="401"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当涂工业园</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340521000002878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4"/>
              <w:jc w:val="right"/>
              <w:rPr>
                <w:rFonts w:ascii="Times New Roman" w:hAnsi="Times New Roman" w:cs="Times New Roman" w:eastAsia="Times New Roman" w:hint="default"/>
                <w:sz w:val="18"/>
                <w:szCs w:val="18"/>
              </w:rPr>
            </w:pPr>
            <w:r>
              <w:rPr>
                <w:rFonts w:ascii="Times New Roman"/>
                <w:spacing w:val="-1"/>
                <w:sz w:val="18"/>
              </w:rPr>
              <w:t>340521150660397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15066039-7</w:t>
            </w:r>
          </w:p>
        </w:tc>
      </w:tr>
      <w:tr>
        <w:trPr>
          <w:trHeight w:val="715" w:hRule="exact"/>
        </w:trPr>
        <w:tc>
          <w:tcPr>
            <w:tcW w:w="31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3"/>
        <w:spacing w:line="240" w:lineRule="auto" w:before="26"/>
        <w:ind w:right="144"/>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郑龙兴、李梅</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公司聘请的报告期内履行持续督导职责的财务顾问</w:t>
      </w:r>
    </w:p>
    <w:p>
      <w:pPr>
        <w:spacing w:before="41"/>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144"/>
        <w:jc w:val="left"/>
        <w:rPr>
          <w:b w:val="0"/>
          <w:bCs w:val="0"/>
        </w:rPr>
      </w:pPr>
      <w:bookmarkStart w:name="_TOC_250009" w:id="3"/>
      <w:r>
        <w:rPr/>
        <w:t>第三节</w:t>
      </w:r>
      <w:r>
        <w:rPr>
          <w:spacing w:val="-6"/>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44"/>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9"/>
        <w:gridCol w:w="1748"/>
        <w:gridCol w:w="1738"/>
        <w:gridCol w:w="1738"/>
        <w:gridCol w:w="1735"/>
      </w:tblGrid>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812,645,896.90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721,994,655.00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833,419,819.29</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24,124,414.93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40,280,988.95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47,785,243.97</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23,440,305.84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23,142,395.03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34,733,092.75</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148,544,685.58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-114,279,125.71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27,117,124.01</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0.61</w:t>
            </w:r>
          </w:p>
        </w:tc>
      </w:tr>
      <w:tr>
        <w:trPr>
          <w:trHeight w:val="404"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0.61</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963,923,502.20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1,151,219,084.02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1,038,085,099.61</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717,895,444.53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724,903,341.60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711,863,125.65</w:t>
            </w:r>
          </w:p>
        </w:tc>
      </w:tr>
    </w:tbl>
    <w:p>
      <w:pPr>
        <w:spacing w:line="240" w:lineRule="auto" w:before="1"/>
        <w:rPr>
          <w:rFonts w:ascii="宋体" w:hAnsi="宋体" w:cs="宋体" w:eastAsia="宋体" w:hint="default"/>
          <w:sz w:val="18"/>
          <w:szCs w:val="18"/>
        </w:rPr>
      </w:pPr>
    </w:p>
    <w:p>
      <w:pPr>
        <w:pStyle w:val="Heading3"/>
        <w:spacing w:line="240" w:lineRule="auto" w:before="26"/>
        <w:ind w:right="144"/>
        <w:jc w:val="left"/>
        <w:rPr>
          <w:b w:val="0"/>
          <w:bCs w:val="0"/>
        </w:rPr>
      </w:pP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16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3"/>
        <w:spacing w:line="240" w:lineRule="auto"/>
        <w:ind w:right="144"/>
        <w:jc w:val="left"/>
        <w:rPr>
          <w:b w:val="0"/>
          <w:bCs w:val="0"/>
        </w:rPr>
      </w:pPr>
      <w:r>
        <w:rPr/>
        <w:t>三、非经常性损益项目及金额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23,560.24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486,730.81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1,320,000.00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20,395,600.00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14,809,000.00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-513,172.37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-256,064.45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61,734.65</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122,718.54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3,024,501.87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2,305,314.24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684,109.09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17,138,593.92</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13,052,151.22</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3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3"/>
        <w:ind w:left="152" w:right="13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90" w:right="3651"/>
        <w:jc w:val="center"/>
        <w:rPr>
          <w:b w:val="0"/>
          <w:bCs w:val="0"/>
        </w:rPr>
      </w:pPr>
      <w:bookmarkStart w:name="_TOC_250008"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left"/>
        <w:rPr>
          <w:b w:val="0"/>
          <w:bCs w:val="0"/>
        </w:rPr>
      </w:pPr>
      <w:r>
        <w:rPr/>
        <w:t>一、概述</w:t>
      </w:r>
      <w:r>
        <w:rPr>
          <w:b w:val="0"/>
          <w:bCs w:val="0"/>
        </w:rPr>
      </w:r>
    </w:p>
    <w:p>
      <w:pPr>
        <w:spacing w:line="240" w:lineRule="auto" w:before="9"/>
        <w:rPr>
          <w:rFonts w:ascii="宋体" w:hAnsi="宋体" w:cs="宋体" w:eastAsia="宋体" w:hint="default"/>
          <w:b/>
          <w:bCs/>
          <w:sz w:val="24"/>
          <w:szCs w:val="24"/>
        </w:rPr>
      </w:pPr>
    </w:p>
    <w:p>
      <w:pPr>
        <w:spacing w:line="273" w:lineRule="auto" w:before="0"/>
        <w:ind w:left="152" w:right="0" w:firstLine="420"/>
        <w:jc w:val="left"/>
        <w:rPr>
          <w:rFonts w:ascii="宋体" w:hAnsi="宋体" w:cs="宋体" w:eastAsia="宋体" w:hint="default"/>
          <w:sz w:val="21"/>
          <w:szCs w:val="21"/>
        </w:rPr>
      </w:pPr>
      <w:r>
        <w:rPr>
          <w:rFonts w:ascii="宋体" w:hAnsi="宋体" w:cs="宋体" w:eastAsia="宋体" w:hint="default"/>
          <w:spacing w:val="-5"/>
          <w:sz w:val="21"/>
          <w:szCs w:val="21"/>
        </w:rPr>
        <w:t>报告期内，经济形势仍然低迷，国内工业增长动力减弱、传统优势逐步流失、新的竞争优势尚未形成、</w:t>
      </w:r>
      <w:r>
        <w:rPr>
          <w:rFonts w:ascii="宋体" w:hAnsi="宋体" w:cs="宋体" w:eastAsia="宋体" w:hint="default"/>
          <w:w w:val="100"/>
          <w:sz w:val="21"/>
          <w:szCs w:val="21"/>
        </w:rPr>
        <w:t> </w:t>
      </w:r>
      <w:r>
        <w:rPr>
          <w:rFonts w:ascii="宋体" w:hAnsi="宋体" w:cs="宋体" w:eastAsia="宋体" w:hint="default"/>
          <w:spacing w:val="-2"/>
          <w:sz w:val="21"/>
          <w:szCs w:val="21"/>
        </w:rPr>
        <w:t>实体经济吸引力不足，结构性矛盾的制约依然突出，回升基础尚不稳固，经济增长缺乏动力，传统工业整</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体发展形势仍然保持相对低迷态势，经济发展进入低速发展的新常态。</w:t>
      </w:r>
    </w:p>
    <w:p>
      <w:pPr>
        <w:spacing w:line="271" w:lineRule="auto" w:before="7"/>
        <w:ind w:left="152" w:right="185" w:firstLine="420"/>
        <w:jc w:val="both"/>
        <w:rPr>
          <w:rFonts w:ascii="宋体" w:hAnsi="宋体" w:cs="宋体" w:eastAsia="宋体" w:hint="default"/>
          <w:sz w:val="21"/>
          <w:szCs w:val="21"/>
        </w:rPr>
      </w:pPr>
      <w:r>
        <w:rPr>
          <w:rFonts w:ascii="宋体" w:hAnsi="宋体" w:cs="宋体" w:eastAsia="宋体" w:hint="default"/>
          <w:spacing w:val="-2"/>
          <w:sz w:val="21"/>
          <w:szCs w:val="21"/>
        </w:rPr>
        <w:t>虽然工业增速迟缓，但基于国家</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稳增长、调结构、惠民生、促发展</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宏观政策的促进作用，基础建设</w:t>
      </w:r>
      <w:r>
        <w:rPr>
          <w:rFonts w:ascii="宋体" w:hAnsi="宋体" w:cs="宋体" w:eastAsia="宋体" w:hint="default"/>
          <w:w w:val="100"/>
          <w:sz w:val="21"/>
          <w:szCs w:val="21"/>
        </w:rPr>
        <w:t> </w:t>
      </w:r>
      <w:r>
        <w:rPr>
          <w:rFonts w:ascii="宋体" w:hAnsi="宋体" w:cs="宋体" w:eastAsia="宋体" w:hint="default"/>
          <w:spacing w:val="-2"/>
          <w:sz w:val="21"/>
          <w:szCs w:val="21"/>
        </w:rPr>
        <w:t>力度加大，电力行业投资保持稳定，与基础建设、电力建设相关的产品市场需求依然活跃。在目前机遇与</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挑战并存的形势下，在公司董事会的正确领导下，公司管理层积极应对市场激烈竞争、同质化竞争导致的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产品销售价格竞争加剧、上游行业的成本传导对中下游行业利润产生挤压、国内外需求萎缩、贸易摩擦、</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劳动力成本不断上涨、原材料价格跌宕起伏、经营成本上升、融资成本高企等诸多困难下，坚持以发展为</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要务，巩固传统优势，不断调整产品结构和市场营销策略，以降本增效为核心，以效益为中心，以销售为</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龙头，以创新为手段，不断优化资源组合，加大技术创新力度，完善内控机制，有效提升公司治理水平，</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公司整体依然保持稳健发展方向。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Heading3"/>
        <w:spacing w:line="240" w:lineRule="auto"/>
        <w:ind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16" w:lineRule="auto" w:before="0"/>
        <w:ind w:left="152" w:right="213" w:firstLine="360"/>
        <w:jc w:val="both"/>
        <w:rPr>
          <w:rFonts w:ascii="宋体" w:hAnsi="宋体" w:cs="宋体" w:eastAsia="宋体" w:hint="default"/>
          <w:sz w:val="18"/>
          <w:szCs w:val="18"/>
        </w:rPr>
      </w:pPr>
      <w:r>
        <w:rPr>
          <w:rFonts w:ascii="宋体" w:hAnsi="宋体" w:cs="宋体" w:eastAsia="宋体" w:hint="default"/>
          <w:spacing w:val="-2"/>
          <w:sz w:val="18"/>
          <w:szCs w:val="18"/>
        </w:rPr>
        <w:t>公司主营业务为：生产、销售：稀土多元合金镀层丝绳及镀件、金属丝绳及其制品等；自营或代理各类商品和技术进出</w:t>
      </w:r>
      <w:r>
        <w:rPr>
          <w:rFonts w:ascii="宋体" w:hAnsi="宋体" w:cs="宋体" w:eastAsia="宋体" w:hint="default"/>
          <w:sz w:val="18"/>
          <w:szCs w:val="18"/>
        </w:rPr>
        <w:t> </w:t>
      </w:r>
      <w:r>
        <w:rPr>
          <w:rFonts w:ascii="宋体" w:hAnsi="宋体" w:cs="宋体" w:eastAsia="宋体" w:hint="default"/>
          <w:spacing w:val="-2"/>
          <w:sz w:val="18"/>
          <w:szCs w:val="18"/>
        </w:rPr>
        <w:t>口业务（国家限定企业经营或禁止进出口的商品和技术除外）。主要产品：稀土锌铝合金镀层钢丝、稀土锌铝合金镀层钢绞</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线，</w:t>
      </w:r>
      <w:r>
        <w:rPr>
          <w:rFonts w:ascii="Times New Roman" w:hAnsi="Times New Roman" w:cs="Times New Roman" w:eastAsia="Times New Roman" w:hint="default"/>
          <w:sz w:val="18"/>
          <w:szCs w:val="18"/>
        </w:rPr>
        <w:t>PC</w:t>
      </w:r>
      <w:r>
        <w:rPr>
          <w:rFonts w:ascii="宋体" w:hAnsi="宋体" w:cs="宋体" w:eastAsia="宋体" w:hint="default"/>
          <w:sz w:val="18"/>
          <w:szCs w:val="18"/>
        </w:rPr>
        <w:t>钢绞线。</w:t>
      </w:r>
    </w:p>
    <w:p>
      <w:pPr>
        <w:spacing w:line="253" w:lineRule="exact" w:before="0"/>
        <w:ind w:left="484" w:right="0" w:firstLine="0"/>
        <w:jc w:val="left"/>
        <w:rPr>
          <w:rFonts w:ascii="宋体" w:hAnsi="宋体" w:cs="宋体" w:eastAsia="宋体" w:hint="default"/>
          <w:sz w:val="21"/>
          <w:szCs w:val="21"/>
        </w:rPr>
      </w:pPr>
      <w:r>
        <w:rPr>
          <w:rFonts w:ascii="宋体" w:hAnsi="宋体" w:cs="宋体" w:eastAsia="宋体" w:hint="default"/>
          <w:sz w:val="21"/>
          <w:szCs w:val="21"/>
        </w:rPr>
        <w:t>报告期内，公司的经营情况如下：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273" w:type="dxa"/>
        <w:tblLayout w:type="fixed"/>
        <w:tblCellMar>
          <w:top w:w="0" w:type="dxa"/>
          <w:left w:w="0" w:type="dxa"/>
          <w:bottom w:w="0" w:type="dxa"/>
          <w:right w:w="0" w:type="dxa"/>
        </w:tblCellMar>
        <w:tblLook w:val="01E0"/>
      </w:tblPr>
      <w:tblGrid>
        <w:gridCol w:w="2014"/>
        <w:gridCol w:w="2811"/>
        <w:gridCol w:w="2278"/>
        <w:gridCol w:w="2269"/>
      </w:tblGrid>
      <w:tr>
        <w:trPr>
          <w:trHeight w:val="341" w:hRule="exact"/>
        </w:trPr>
        <w:tc>
          <w:tcPr>
            <w:tcW w:w="2014" w:type="dxa"/>
            <w:tcBorders>
              <w:top w:val="nil" w:sz="6" w:space="0" w:color="auto"/>
              <w:left w:val="nil" w:sz="6" w:space="0" w:color="auto"/>
              <w:bottom w:val="single" w:sz="6" w:space="0" w:color="000000"/>
              <w:right w:val="single" w:sz="6" w:space="0" w:color="000000"/>
            </w:tcBorders>
          </w:tcPr>
          <w:p>
            <w:pPr>
              <w:pStyle w:val="TableParagraph"/>
              <w:spacing w:line="240" w:lineRule="auto" w:before="2"/>
              <w:ind w:left="19"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81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p>
        </w:tc>
        <w:tc>
          <w:tcPr>
            <w:tcW w:w="227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p>
        </w:tc>
        <w:tc>
          <w:tcPr>
            <w:tcW w:w="226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
              <w:ind w:left="3" w:right="0"/>
              <w:jc w:val="center"/>
              <w:rPr>
                <w:rFonts w:ascii="宋体" w:hAnsi="宋体" w:cs="宋体" w:eastAsia="宋体" w:hint="default"/>
                <w:sz w:val="20"/>
                <w:szCs w:val="20"/>
              </w:rPr>
            </w:pPr>
            <w:r>
              <w:rPr>
                <w:rFonts w:ascii="宋体" w:hAnsi="宋体" w:cs="宋体" w:eastAsia="宋体" w:hint="default"/>
                <w:sz w:val="20"/>
                <w:szCs w:val="20"/>
              </w:rPr>
              <w:t>同比增减</w:t>
            </w:r>
          </w:p>
        </w:tc>
      </w:tr>
      <w:tr>
        <w:trPr>
          <w:trHeight w:val="336"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54" w:lineRule="exact"/>
              <w:ind w:left="19" w:right="0"/>
              <w:jc w:val="center"/>
              <w:rPr>
                <w:rFonts w:ascii="宋体" w:hAnsi="宋体" w:cs="宋体" w:eastAsia="宋体" w:hint="default"/>
                <w:sz w:val="20"/>
                <w:szCs w:val="20"/>
              </w:rPr>
            </w:pPr>
            <w:r>
              <w:rPr>
                <w:rFonts w:ascii="宋体" w:hAnsi="宋体" w:cs="宋体" w:eastAsia="宋体" w:hint="default"/>
                <w:sz w:val="20"/>
                <w:szCs w:val="20"/>
              </w:rPr>
              <w:t>营业收入</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sz w:val="20"/>
              </w:rPr>
              <w:t>812,645,896.90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sz w:val="20"/>
              </w:rPr>
              <w:t>721,994,655.00</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7" w:right="0"/>
              <w:jc w:val="center"/>
              <w:rPr>
                <w:rFonts w:ascii="Times New Roman" w:hAnsi="Times New Roman" w:cs="Times New Roman" w:eastAsia="Times New Roman" w:hint="default"/>
                <w:sz w:val="20"/>
                <w:szCs w:val="20"/>
              </w:rPr>
            </w:pPr>
            <w:r>
              <w:rPr>
                <w:rFonts w:ascii="Times New Roman"/>
                <w:sz w:val="20"/>
              </w:rPr>
              <w:t>12.56%</w:t>
            </w:r>
          </w:p>
        </w:tc>
      </w:tr>
      <w:tr>
        <w:trPr>
          <w:trHeight w:val="336"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54" w:lineRule="exact"/>
              <w:ind w:left="19" w:right="0"/>
              <w:jc w:val="center"/>
              <w:rPr>
                <w:rFonts w:ascii="宋体" w:hAnsi="宋体" w:cs="宋体" w:eastAsia="宋体" w:hint="default"/>
                <w:sz w:val="20"/>
                <w:szCs w:val="20"/>
              </w:rPr>
            </w:pPr>
            <w:r>
              <w:rPr>
                <w:rFonts w:ascii="宋体" w:hAnsi="宋体" w:cs="宋体" w:eastAsia="宋体" w:hint="default"/>
                <w:sz w:val="20"/>
                <w:szCs w:val="20"/>
              </w:rPr>
              <w:t>营业成本</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sz w:val="20"/>
              </w:rPr>
              <w:t>705,785,116.77</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sz w:val="20"/>
              </w:rPr>
              <w:t>621,061,121.46</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7" w:right="0"/>
              <w:jc w:val="center"/>
              <w:rPr>
                <w:rFonts w:ascii="Times New Roman" w:hAnsi="Times New Roman" w:cs="Times New Roman" w:eastAsia="Times New Roman" w:hint="default"/>
                <w:sz w:val="20"/>
                <w:szCs w:val="20"/>
              </w:rPr>
            </w:pPr>
            <w:r>
              <w:rPr>
                <w:rFonts w:ascii="Times New Roman"/>
                <w:sz w:val="20"/>
              </w:rPr>
              <w:t>13.64%</w:t>
            </w:r>
          </w:p>
        </w:tc>
      </w:tr>
      <w:tr>
        <w:trPr>
          <w:trHeight w:val="338"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left="19" w:right="0"/>
              <w:jc w:val="center"/>
              <w:rPr>
                <w:rFonts w:ascii="宋体" w:hAnsi="宋体" w:cs="宋体" w:eastAsia="宋体" w:hint="default"/>
                <w:sz w:val="20"/>
                <w:szCs w:val="20"/>
              </w:rPr>
            </w:pPr>
            <w:r>
              <w:rPr>
                <w:rFonts w:ascii="宋体" w:hAnsi="宋体" w:cs="宋体" w:eastAsia="宋体" w:hint="default"/>
                <w:sz w:val="20"/>
                <w:szCs w:val="20"/>
              </w:rPr>
              <w:t>营业税金及附加</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sz w:val="20"/>
              </w:rPr>
              <w:t>1,629,986.91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0"/>
                <w:szCs w:val="20"/>
              </w:rPr>
            </w:pPr>
            <w:r>
              <w:rPr>
                <w:rFonts w:ascii="Times New Roman"/>
                <w:sz w:val="20"/>
              </w:rPr>
              <w:t>1,813,208.88</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 w:right="0"/>
              <w:jc w:val="center"/>
              <w:rPr>
                <w:rFonts w:ascii="Times New Roman" w:hAnsi="Times New Roman" w:cs="Times New Roman" w:eastAsia="Times New Roman" w:hint="default"/>
                <w:sz w:val="20"/>
                <w:szCs w:val="20"/>
              </w:rPr>
            </w:pPr>
            <w:r>
              <w:rPr>
                <w:rFonts w:ascii="Times New Roman"/>
                <w:sz w:val="20"/>
              </w:rPr>
              <w:t>-10.10%</w:t>
            </w:r>
          </w:p>
        </w:tc>
      </w:tr>
      <w:tr>
        <w:trPr>
          <w:trHeight w:val="336"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54" w:lineRule="exact"/>
              <w:ind w:left="19" w:right="0"/>
              <w:jc w:val="center"/>
              <w:rPr>
                <w:rFonts w:ascii="宋体" w:hAnsi="宋体" w:cs="宋体" w:eastAsia="宋体" w:hint="default"/>
                <w:sz w:val="20"/>
                <w:szCs w:val="20"/>
              </w:rPr>
            </w:pPr>
            <w:r>
              <w:rPr>
                <w:rFonts w:ascii="宋体" w:hAnsi="宋体" w:cs="宋体" w:eastAsia="宋体" w:hint="default"/>
                <w:sz w:val="20"/>
                <w:szCs w:val="20"/>
              </w:rPr>
              <w:t>销售费用</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sz w:val="20"/>
              </w:rPr>
              <w:t>34,602,879.93</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sz w:val="20"/>
              </w:rPr>
              <w:t>32,934,748.75</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7" w:right="0"/>
              <w:jc w:val="center"/>
              <w:rPr>
                <w:rFonts w:ascii="Times New Roman" w:hAnsi="Times New Roman" w:cs="Times New Roman" w:eastAsia="Times New Roman" w:hint="default"/>
                <w:sz w:val="20"/>
                <w:szCs w:val="20"/>
              </w:rPr>
            </w:pPr>
            <w:r>
              <w:rPr>
                <w:rFonts w:ascii="Times New Roman"/>
                <w:sz w:val="20"/>
              </w:rPr>
              <w:t>5.06%</w:t>
            </w:r>
          </w:p>
        </w:tc>
      </w:tr>
      <w:tr>
        <w:trPr>
          <w:trHeight w:val="338"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54" w:lineRule="exact"/>
              <w:ind w:left="19" w:right="0"/>
              <w:jc w:val="center"/>
              <w:rPr>
                <w:rFonts w:ascii="宋体" w:hAnsi="宋体" w:cs="宋体" w:eastAsia="宋体" w:hint="default"/>
                <w:sz w:val="20"/>
                <w:szCs w:val="20"/>
              </w:rPr>
            </w:pPr>
            <w:r>
              <w:rPr>
                <w:rFonts w:ascii="宋体" w:hAnsi="宋体" w:cs="宋体" w:eastAsia="宋体" w:hint="default"/>
                <w:sz w:val="20"/>
                <w:szCs w:val="20"/>
              </w:rPr>
              <w:t>管理费用</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sz w:val="20"/>
              </w:rPr>
              <w:t>29,950,505.48</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sz w:val="20"/>
              </w:rPr>
              <w:t>25,248,716.04</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7" w:right="0"/>
              <w:jc w:val="center"/>
              <w:rPr>
                <w:rFonts w:ascii="Times New Roman" w:hAnsi="Times New Roman" w:cs="Times New Roman" w:eastAsia="Times New Roman" w:hint="default"/>
                <w:sz w:val="20"/>
                <w:szCs w:val="20"/>
              </w:rPr>
            </w:pPr>
            <w:r>
              <w:rPr>
                <w:rFonts w:ascii="Times New Roman"/>
                <w:sz w:val="20"/>
              </w:rPr>
              <w:t>18.62%</w:t>
            </w:r>
          </w:p>
        </w:tc>
      </w:tr>
      <w:tr>
        <w:trPr>
          <w:trHeight w:val="336"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54" w:lineRule="exact"/>
              <w:ind w:left="19" w:right="0"/>
              <w:jc w:val="center"/>
              <w:rPr>
                <w:rFonts w:ascii="宋体" w:hAnsi="宋体" w:cs="宋体" w:eastAsia="宋体" w:hint="default"/>
                <w:sz w:val="20"/>
                <w:szCs w:val="20"/>
              </w:rPr>
            </w:pPr>
            <w:r>
              <w:rPr>
                <w:rFonts w:ascii="宋体" w:hAnsi="宋体" w:cs="宋体" w:eastAsia="宋体" w:hint="default"/>
                <w:sz w:val="20"/>
                <w:szCs w:val="20"/>
              </w:rPr>
              <w:t>财务费用</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sz w:val="20"/>
              </w:rPr>
              <w:t>11,310,753.42</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sz w:val="20"/>
              </w:rPr>
              <w:t>10,520,711.01</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7" w:right="0"/>
              <w:jc w:val="center"/>
              <w:rPr>
                <w:rFonts w:ascii="Times New Roman" w:hAnsi="Times New Roman" w:cs="Times New Roman" w:eastAsia="Times New Roman" w:hint="default"/>
                <w:sz w:val="20"/>
                <w:szCs w:val="20"/>
              </w:rPr>
            </w:pPr>
            <w:r>
              <w:rPr>
                <w:rFonts w:ascii="Times New Roman"/>
                <w:sz w:val="20"/>
              </w:rPr>
              <w:t>7.51%</w:t>
            </w:r>
          </w:p>
        </w:tc>
      </w:tr>
      <w:tr>
        <w:trPr>
          <w:trHeight w:val="336"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54" w:lineRule="exact"/>
              <w:ind w:left="19" w:right="0"/>
              <w:jc w:val="center"/>
              <w:rPr>
                <w:rFonts w:ascii="宋体" w:hAnsi="宋体" w:cs="宋体" w:eastAsia="宋体" w:hint="default"/>
                <w:sz w:val="20"/>
                <w:szCs w:val="20"/>
              </w:rPr>
            </w:pPr>
            <w:r>
              <w:rPr>
                <w:rFonts w:ascii="宋体" w:hAnsi="宋体" w:cs="宋体" w:eastAsia="宋体" w:hint="default"/>
                <w:sz w:val="20"/>
                <w:szCs w:val="20"/>
              </w:rPr>
              <w:t>营业利润</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sz w:val="20"/>
              </w:rPr>
              <w:t>27,108,097.01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sz w:val="20"/>
              </w:rPr>
              <w:t>26,959,998.46</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7" w:right="0"/>
              <w:jc w:val="center"/>
              <w:rPr>
                <w:rFonts w:ascii="Times New Roman" w:hAnsi="Times New Roman" w:cs="Times New Roman" w:eastAsia="Times New Roman" w:hint="default"/>
                <w:sz w:val="20"/>
                <w:szCs w:val="20"/>
              </w:rPr>
            </w:pPr>
            <w:r>
              <w:rPr>
                <w:rFonts w:ascii="Times New Roman"/>
                <w:sz w:val="20"/>
              </w:rPr>
              <w:t>0.55%</w:t>
            </w:r>
          </w:p>
        </w:tc>
      </w:tr>
      <w:tr>
        <w:trPr>
          <w:trHeight w:val="338"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left="21" w:right="0"/>
              <w:jc w:val="center"/>
              <w:rPr>
                <w:rFonts w:ascii="宋体" w:hAnsi="宋体" w:cs="宋体" w:eastAsia="宋体" w:hint="default"/>
                <w:sz w:val="20"/>
                <w:szCs w:val="20"/>
              </w:rPr>
            </w:pPr>
            <w:r>
              <w:rPr>
                <w:rFonts w:ascii="宋体" w:hAnsi="宋体" w:cs="宋体" w:eastAsia="宋体" w:hint="default"/>
                <w:sz w:val="20"/>
                <w:szCs w:val="20"/>
              </w:rPr>
              <w:t>净利润</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sz w:val="20"/>
              </w:rPr>
              <w:t>24,124,414.93</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sz w:val="20"/>
              </w:rPr>
              <w:t>40,280,988.95</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 w:right="0"/>
              <w:jc w:val="center"/>
              <w:rPr>
                <w:rFonts w:ascii="Times New Roman" w:hAnsi="Times New Roman" w:cs="Times New Roman" w:eastAsia="Times New Roman" w:hint="default"/>
                <w:sz w:val="20"/>
                <w:szCs w:val="20"/>
              </w:rPr>
            </w:pPr>
            <w:r>
              <w:rPr>
                <w:rFonts w:ascii="Times New Roman"/>
                <w:sz w:val="20"/>
              </w:rPr>
              <w:t>-40.11%</w:t>
            </w:r>
          </w:p>
        </w:tc>
      </w:tr>
      <w:tr>
        <w:trPr>
          <w:trHeight w:val="648"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85" w:lineRule="auto"/>
              <w:ind w:left="813" w:right="91" w:hanging="699"/>
              <w:jc w:val="left"/>
              <w:rPr>
                <w:rFonts w:ascii="宋体" w:hAnsi="宋体" w:cs="宋体" w:eastAsia="宋体" w:hint="default"/>
                <w:sz w:val="20"/>
                <w:szCs w:val="20"/>
              </w:rPr>
            </w:pPr>
            <w:r>
              <w:rPr>
                <w:rFonts w:ascii="宋体" w:hAnsi="宋体" w:cs="宋体" w:eastAsia="宋体" w:hint="default"/>
                <w:sz w:val="20"/>
                <w:szCs w:val="20"/>
              </w:rPr>
              <w:t>扣除非经常损益后净</w:t>
            </w:r>
            <w:r>
              <w:rPr>
                <w:rFonts w:ascii="宋体" w:hAnsi="宋体" w:cs="宋体" w:eastAsia="宋体" w:hint="default"/>
                <w:w w:val="99"/>
                <w:sz w:val="20"/>
                <w:szCs w:val="20"/>
              </w:rPr>
              <w:t> </w:t>
            </w:r>
            <w:r>
              <w:rPr>
                <w:rFonts w:ascii="宋体" w:hAnsi="宋体" w:cs="宋体" w:eastAsia="宋体" w:hint="default"/>
                <w:sz w:val="20"/>
                <w:szCs w:val="20"/>
              </w:rPr>
              <w:t>利润</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sz w:val="20"/>
              </w:rPr>
              <w:t>23,440,305.84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sz w:val="20"/>
              </w:rPr>
              <w:t>23,142,395.03</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7" w:right="0"/>
              <w:jc w:val="center"/>
              <w:rPr>
                <w:rFonts w:ascii="Times New Roman" w:hAnsi="Times New Roman" w:cs="Times New Roman" w:eastAsia="Times New Roman" w:hint="default"/>
                <w:sz w:val="20"/>
                <w:szCs w:val="20"/>
              </w:rPr>
            </w:pPr>
            <w:r>
              <w:rPr>
                <w:rFonts w:ascii="Times New Roman"/>
                <w:sz w:val="20"/>
              </w:rPr>
              <w:t>1.29%</w:t>
            </w:r>
          </w:p>
        </w:tc>
      </w:tr>
    </w:tbl>
    <w:p>
      <w:pPr>
        <w:spacing w:after="0" w:line="240" w:lineRule="auto"/>
        <w:jc w:val="center"/>
        <w:rPr>
          <w:rFonts w:ascii="Times New Roman" w:hAnsi="Times New Roman" w:cs="Times New Roman" w:eastAsia="Times New Roman" w:hint="default"/>
          <w:sz w:val="20"/>
          <w:szCs w:val="20"/>
        </w:rPr>
        <w:sectPr>
          <w:pgSz w:w="11910" w:h="16840"/>
          <w:pgMar w:header="745" w:footer="979" w:top="1060" w:bottom="1160" w:left="980" w:right="920"/>
        </w:sectPr>
      </w:pPr>
    </w:p>
    <w:p>
      <w:pPr>
        <w:spacing w:line="240" w:lineRule="auto" w:before="10"/>
        <w:rPr>
          <w:rFonts w:ascii="宋体" w:hAnsi="宋体" w:cs="宋体" w:eastAsia="宋体" w:hint="default"/>
          <w:sz w:val="25"/>
          <w:szCs w:val="25"/>
        </w:rPr>
      </w:pPr>
    </w:p>
    <w:p>
      <w:pPr>
        <w:spacing w:line="316" w:lineRule="auto" w:before="44"/>
        <w:ind w:left="152" w:right="330" w:firstLine="288"/>
        <w:jc w:val="both"/>
        <w:rPr>
          <w:rFonts w:ascii="宋体" w:hAnsi="宋体" w:cs="宋体" w:eastAsia="宋体" w:hint="default"/>
          <w:sz w:val="18"/>
          <w:szCs w:val="18"/>
        </w:rPr>
      </w:pPr>
      <w:r>
        <w:rPr>
          <w:rFonts w:ascii="宋体" w:hAnsi="宋体" w:cs="宋体" w:eastAsia="宋体" w:hint="default"/>
          <w:spacing w:val="-1"/>
          <w:sz w:val="18"/>
          <w:szCs w:val="18"/>
        </w:rPr>
        <w:t>报告期内，公司生产经营保持稳定，营业收入与营业成本、销售费用呈现同步增长态势；由于人工成本、环保治理等费</w:t>
      </w:r>
      <w:r>
        <w:rPr>
          <w:rFonts w:ascii="宋体" w:hAnsi="宋体" w:cs="宋体" w:eastAsia="宋体" w:hint="default"/>
          <w:sz w:val="18"/>
          <w:szCs w:val="18"/>
        </w:rPr>
        <w:t> </w:t>
      </w:r>
      <w:r>
        <w:rPr>
          <w:rFonts w:ascii="宋体" w:hAnsi="宋体" w:cs="宋体" w:eastAsia="宋体" w:hint="default"/>
          <w:spacing w:val="-2"/>
          <w:sz w:val="18"/>
          <w:szCs w:val="18"/>
        </w:rPr>
        <w:t>用支出增加，致使管理费用增长较多；资金需求量大，致使财务费用也有所增长。这些经营项目的增长，与公司的经营均保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持合理波动幅度。由于报告期内政府补助大幅减少，致使净利润降幅较大，但扣除非经常损益后的净利润与营业收入相比呈</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现同步增长。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line="357" w:lineRule="auto" w:before="0"/>
        <w:ind w:left="573" w:right="353" w:hanging="421"/>
        <w:jc w:val="left"/>
        <w:rPr>
          <w:rFonts w:ascii="宋体" w:hAnsi="宋体" w:cs="宋体" w:eastAsia="宋体" w:hint="default"/>
          <w:sz w:val="18"/>
          <w:szCs w:val="18"/>
        </w:rPr>
      </w:pPr>
      <w:r>
        <w:rPr>
          <w:rFonts w:ascii="宋体" w:hAnsi="宋体" w:cs="宋体" w:eastAsia="宋体" w:hint="default"/>
          <w:sz w:val="18"/>
          <w:szCs w:val="18"/>
        </w:rPr>
        <w:t>公司回顾总结前期披露的发展战略和经营计划在报告期内的进展情况 报告期内，面对复杂的国内外经济形势，公司管理层严格要求自己，紧紧围绕董事会制定的战略目标，依据公司经营</w:t>
      </w:r>
    </w:p>
    <w:p>
      <w:pPr>
        <w:spacing w:line="224"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计划，稳中求进，整体发展形势良好，各项业务进展顺利。在产品开发上积极调整产品结构，优化产品组合；在管理制度上</w:t>
      </w:r>
    </w:p>
    <w:p>
      <w:pPr>
        <w:spacing w:line="316" w:lineRule="auto" w:before="77"/>
        <w:ind w:left="573" w:right="353" w:hanging="421"/>
        <w:jc w:val="left"/>
        <w:rPr>
          <w:rFonts w:ascii="宋体" w:hAnsi="宋体" w:cs="宋体" w:eastAsia="宋体" w:hint="default"/>
          <w:sz w:val="18"/>
          <w:szCs w:val="18"/>
        </w:rPr>
      </w:pPr>
      <w:r>
        <w:rPr>
          <w:rFonts w:ascii="宋体" w:hAnsi="宋体" w:cs="宋体" w:eastAsia="宋体" w:hint="default"/>
          <w:sz w:val="18"/>
          <w:szCs w:val="18"/>
        </w:rPr>
        <w:t>深化细节管理，加强制度建设；在市场开拓上稳定内贸市场，拓展外贸业务。 报告期内，公司研发硕果累累，完成了若干新产品的研制，扩大了公司产品的系列，拓展了公司产品的领域。同时积</w:t>
      </w:r>
    </w:p>
    <w:p>
      <w:pPr>
        <w:spacing w:line="316" w:lineRule="auto" w:before="19"/>
        <w:ind w:left="573" w:right="353" w:hanging="421"/>
        <w:jc w:val="left"/>
        <w:rPr>
          <w:rFonts w:ascii="宋体" w:hAnsi="宋体" w:cs="宋体" w:eastAsia="宋体" w:hint="default"/>
          <w:sz w:val="18"/>
          <w:szCs w:val="18"/>
        </w:rPr>
      </w:pPr>
      <w:r>
        <w:rPr>
          <w:rFonts w:ascii="宋体" w:hAnsi="宋体" w:cs="宋体" w:eastAsia="宋体" w:hint="default"/>
          <w:sz w:val="18"/>
          <w:szCs w:val="18"/>
        </w:rPr>
        <w:t>极进行新项目的调研、论证。另外进行了多项技术工艺改造，优化生产工艺，有效降低了成本消耗等。 报告期内，公司管理层克服国内外经济形势的不利因素，努力克坚攻难，经过努力，公司的经营取得了预期的业绩，</w:t>
      </w:r>
    </w:p>
    <w:p>
      <w:pPr>
        <w:spacing w:before="19"/>
        <w:ind w:left="152" w:right="353" w:firstLine="0"/>
        <w:jc w:val="left"/>
        <w:rPr>
          <w:rFonts w:ascii="宋体" w:hAnsi="宋体" w:cs="宋体" w:eastAsia="宋体" w:hint="default"/>
          <w:sz w:val="18"/>
          <w:szCs w:val="18"/>
        </w:rPr>
      </w:pPr>
      <w:r>
        <w:rPr>
          <w:rFonts w:ascii="宋体" w:hAnsi="宋体" w:cs="宋体" w:eastAsia="宋体" w:hint="default"/>
          <w:sz w:val="18"/>
          <w:szCs w:val="18"/>
        </w:rPr>
        <w:t>各项基础工作得到扎实开展，各种管理规范得到加强。</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spacing w:before="0"/>
        <w:ind w:left="152" w:right="353" w:firstLine="0"/>
        <w:jc w:val="left"/>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3"/>
        <w:ind w:left="152" w:right="3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3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353"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before="117"/>
        <w:ind w:left="513" w:right="0" w:firstLine="0"/>
        <w:jc w:val="left"/>
        <w:rPr>
          <w:rFonts w:ascii="宋体" w:hAnsi="宋体" w:cs="宋体" w:eastAsia="宋体" w:hint="default"/>
          <w:sz w:val="18"/>
          <w:szCs w:val="18"/>
        </w:rPr>
      </w:pPr>
      <w:r>
        <w:rPr>
          <w:rFonts w:ascii="宋体" w:hAnsi="宋体" w:cs="宋体" w:eastAsia="宋体" w:hint="default"/>
          <w:spacing w:val="-4"/>
          <w:sz w:val="18"/>
          <w:szCs w:val="18"/>
        </w:rPr>
        <w:t>报告期内，在国内外经济环境复苏缓慢，需求增长持续放缓，人力资源成本增加，劳动力要素趋于紧缺等的复杂情况下，</w:t>
      </w:r>
    </w:p>
    <w:p>
      <w:pPr>
        <w:spacing w:line="316" w:lineRule="auto" w:before="76"/>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公司管理层紧盯市场，努力经营。通过努力，公司生产经营规模保持稳定，产销量与上年同期相比增幅明显。主营业务收入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情况如下：</w:t>
      </w:r>
    </w:p>
    <w:p>
      <w:pPr>
        <w:spacing w:line="240" w:lineRule="auto" w:before="9"/>
        <w:rPr>
          <w:rFonts w:ascii="宋体" w:hAnsi="宋体" w:cs="宋体" w:eastAsia="宋体" w:hint="default"/>
          <w:sz w:val="24"/>
          <w:szCs w:val="24"/>
        </w:rPr>
      </w:pPr>
    </w:p>
    <w:tbl>
      <w:tblPr>
        <w:tblW w:w="0" w:type="auto"/>
        <w:jc w:val="left"/>
        <w:tblInd w:w="131" w:type="dxa"/>
        <w:tblLayout w:type="fixed"/>
        <w:tblCellMar>
          <w:top w:w="0" w:type="dxa"/>
          <w:left w:w="0" w:type="dxa"/>
          <w:bottom w:w="0" w:type="dxa"/>
          <w:right w:w="0" w:type="dxa"/>
        </w:tblCellMar>
        <w:tblLook w:val="01E0"/>
      </w:tblPr>
      <w:tblGrid>
        <w:gridCol w:w="3231"/>
        <w:gridCol w:w="2120"/>
        <w:gridCol w:w="2120"/>
        <w:gridCol w:w="2400"/>
      </w:tblGrid>
      <w:tr>
        <w:trPr>
          <w:trHeight w:val="338" w:hRule="exact"/>
        </w:trPr>
        <w:tc>
          <w:tcPr>
            <w:tcW w:w="3231" w:type="dxa"/>
            <w:tcBorders>
              <w:top w:val="nil" w:sz="6" w:space="0" w:color="auto"/>
              <w:left w:val="nil" w:sz="6" w:space="0" w:color="auto"/>
              <w:bottom w:val="single" w:sz="6" w:space="0" w:color="000000"/>
              <w:right w:val="single" w:sz="6" w:space="0" w:color="000000"/>
            </w:tcBorders>
          </w:tcPr>
          <w:p>
            <w:pPr>
              <w:pStyle w:val="TableParagraph"/>
              <w:spacing w:line="240" w:lineRule="auto" w:before="1"/>
              <w:ind w:left="21" w:right="0"/>
              <w:jc w:val="center"/>
              <w:rPr>
                <w:rFonts w:ascii="宋体" w:hAnsi="宋体" w:cs="宋体" w:eastAsia="宋体" w:hint="default"/>
                <w:sz w:val="20"/>
                <w:szCs w:val="20"/>
              </w:rPr>
            </w:pPr>
            <w:r>
              <w:rPr>
                <w:rFonts w:ascii="宋体" w:hAnsi="宋体" w:cs="宋体" w:eastAsia="宋体" w:hint="default"/>
                <w:sz w:val="20"/>
                <w:szCs w:val="20"/>
              </w:rPr>
              <w:t>产品名称</w:t>
            </w:r>
          </w:p>
        </w:tc>
        <w:tc>
          <w:tcPr>
            <w:tcW w:w="212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p>
        </w:tc>
        <w:tc>
          <w:tcPr>
            <w:tcW w:w="212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p>
        </w:tc>
        <w:tc>
          <w:tcPr>
            <w:tcW w:w="240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
              <w:ind w:right="3"/>
              <w:jc w:val="center"/>
              <w:rPr>
                <w:rFonts w:ascii="宋体" w:hAnsi="宋体" w:cs="宋体" w:eastAsia="宋体" w:hint="default"/>
                <w:sz w:val="20"/>
                <w:szCs w:val="20"/>
              </w:rPr>
            </w:pPr>
            <w:r>
              <w:rPr>
                <w:rFonts w:ascii="宋体" w:hAnsi="宋体" w:cs="宋体" w:eastAsia="宋体" w:hint="default"/>
                <w:sz w:val="20"/>
                <w:szCs w:val="20"/>
              </w:rPr>
              <w:t>同比增减</w:t>
            </w:r>
          </w:p>
        </w:tc>
      </w:tr>
      <w:tr>
        <w:trPr>
          <w:trHeight w:val="338" w:hRule="exact"/>
        </w:trPr>
        <w:tc>
          <w:tcPr>
            <w:tcW w:w="3231" w:type="dxa"/>
            <w:tcBorders>
              <w:top w:val="single" w:sz="6" w:space="0" w:color="000000"/>
              <w:left w:val="nil" w:sz="6" w:space="0" w:color="auto"/>
              <w:bottom w:val="single" w:sz="6" w:space="0" w:color="000000"/>
              <w:right w:val="single" w:sz="6" w:space="0" w:color="000000"/>
            </w:tcBorders>
          </w:tcPr>
          <w:p>
            <w:pPr>
              <w:pStyle w:val="TableParagraph"/>
              <w:spacing w:line="254" w:lineRule="exact"/>
              <w:ind w:left="23" w:right="0"/>
              <w:jc w:val="center"/>
              <w:rPr>
                <w:rFonts w:ascii="宋体" w:hAnsi="宋体" w:cs="宋体" w:eastAsia="宋体" w:hint="default"/>
                <w:sz w:val="20"/>
                <w:szCs w:val="20"/>
              </w:rPr>
            </w:pPr>
            <w:r>
              <w:rPr>
                <w:rFonts w:ascii="宋体" w:hAnsi="宋体" w:cs="宋体" w:eastAsia="宋体" w:hint="default"/>
                <w:sz w:val="20"/>
                <w:szCs w:val="20"/>
              </w:rPr>
              <w:t>钢绞线</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3" w:right="0"/>
              <w:jc w:val="center"/>
              <w:rPr>
                <w:rFonts w:ascii="Times New Roman" w:hAnsi="Times New Roman" w:cs="Times New Roman" w:eastAsia="Times New Roman" w:hint="default"/>
                <w:sz w:val="20"/>
                <w:szCs w:val="20"/>
              </w:rPr>
            </w:pPr>
            <w:r>
              <w:rPr>
                <w:rFonts w:ascii="Times New Roman"/>
                <w:sz w:val="20"/>
              </w:rPr>
              <w:t>435,361,528.99</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3" w:right="0"/>
              <w:jc w:val="center"/>
              <w:rPr>
                <w:rFonts w:ascii="Times New Roman" w:hAnsi="Times New Roman" w:cs="Times New Roman" w:eastAsia="Times New Roman" w:hint="default"/>
                <w:sz w:val="20"/>
                <w:szCs w:val="20"/>
              </w:rPr>
            </w:pPr>
            <w:r>
              <w:rPr>
                <w:rFonts w:ascii="Times New Roman"/>
                <w:sz w:val="20"/>
              </w:rPr>
              <w:t>414,766,612.60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sz w:val="20"/>
              </w:rPr>
              <w:t>4.97%</w:t>
            </w:r>
          </w:p>
        </w:tc>
      </w:tr>
      <w:tr>
        <w:trPr>
          <w:trHeight w:val="336" w:hRule="exact"/>
        </w:trPr>
        <w:tc>
          <w:tcPr>
            <w:tcW w:w="3231" w:type="dxa"/>
            <w:tcBorders>
              <w:top w:val="single" w:sz="6" w:space="0" w:color="000000"/>
              <w:left w:val="nil" w:sz="6" w:space="0" w:color="auto"/>
              <w:bottom w:val="single" w:sz="6" w:space="0" w:color="000000"/>
              <w:right w:val="single" w:sz="6" w:space="0" w:color="000000"/>
            </w:tcBorders>
          </w:tcPr>
          <w:p>
            <w:pPr>
              <w:pStyle w:val="TableParagraph"/>
              <w:spacing w:line="269" w:lineRule="exact"/>
              <w:ind w:left="23"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PC</w:t>
            </w:r>
            <w:r>
              <w:rPr>
                <w:rFonts w:ascii="宋体" w:hAnsi="宋体" w:cs="宋体" w:eastAsia="宋体" w:hint="default"/>
                <w:sz w:val="20"/>
                <w:szCs w:val="20"/>
              </w:rPr>
              <w:t>钢绞线</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3" w:right="0"/>
              <w:jc w:val="center"/>
              <w:rPr>
                <w:rFonts w:ascii="Times New Roman" w:hAnsi="Times New Roman" w:cs="Times New Roman" w:eastAsia="Times New Roman" w:hint="default"/>
                <w:sz w:val="20"/>
                <w:szCs w:val="20"/>
              </w:rPr>
            </w:pPr>
            <w:r>
              <w:rPr>
                <w:rFonts w:ascii="Times New Roman"/>
                <w:sz w:val="20"/>
              </w:rPr>
              <w:t>288,843,838.37</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3" w:right="0"/>
              <w:jc w:val="center"/>
              <w:rPr>
                <w:rFonts w:ascii="Times New Roman" w:hAnsi="Times New Roman" w:cs="Times New Roman" w:eastAsia="Times New Roman" w:hint="default"/>
                <w:sz w:val="20"/>
                <w:szCs w:val="20"/>
              </w:rPr>
            </w:pPr>
            <w:r>
              <w:rPr>
                <w:rFonts w:ascii="Times New Roman"/>
                <w:sz w:val="20"/>
              </w:rPr>
              <w:t>209,661,298.69</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
              <w:jc w:val="center"/>
              <w:rPr>
                <w:rFonts w:ascii="Times New Roman" w:hAnsi="Times New Roman" w:cs="Times New Roman" w:eastAsia="Times New Roman" w:hint="default"/>
                <w:sz w:val="20"/>
                <w:szCs w:val="20"/>
              </w:rPr>
            </w:pPr>
            <w:r>
              <w:rPr>
                <w:rFonts w:ascii="Times New Roman"/>
                <w:sz w:val="20"/>
              </w:rPr>
              <w:t>37.77%</w:t>
            </w:r>
          </w:p>
        </w:tc>
      </w:tr>
      <w:tr>
        <w:trPr>
          <w:trHeight w:val="337" w:hRule="exact"/>
        </w:trPr>
        <w:tc>
          <w:tcPr>
            <w:tcW w:w="3231" w:type="dxa"/>
            <w:tcBorders>
              <w:top w:val="single" w:sz="6" w:space="0" w:color="000000"/>
              <w:left w:val="nil" w:sz="6" w:space="0" w:color="auto"/>
              <w:bottom w:val="single" w:sz="6" w:space="0" w:color="000000"/>
              <w:right w:val="single" w:sz="6" w:space="0" w:color="000000"/>
            </w:tcBorders>
          </w:tcPr>
          <w:p>
            <w:pPr>
              <w:pStyle w:val="TableParagraph"/>
              <w:spacing w:line="254" w:lineRule="exact"/>
              <w:ind w:left="21" w:right="0"/>
              <w:jc w:val="center"/>
              <w:rPr>
                <w:rFonts w:ascii="宋体" w:hAnsi="宋体" w:cs="宋体" w:eastAsia="宋体" w:hint="default"/>
                <w:sz w:val="20"/>
                <w:szCs w:val="20"/>
              </w:rPr>
            </w:pPr>
            <w:r>
              <w:rPr>
                <w:rFonts w:ascii="宋体" w:hAnsi="宋体" w:cs="宋体" w:eastAsia="宋体" w:hint="default"/>
                <w:sz w:val="20"/>
                <w:szCs w:val="20"/>
              </w:rPr>
              <w:t>钢丝</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3" w:right="0"/>
              <w:jc w:val="center"/>
              <w:rPr>
                <w:rFonts w:ascii="Times New Roman" w:hAnsi="Times New Roman" w:cs="Times New Roman" w:eastAsia="Times New Roman" w:hint="default"/>
                <w:sz w:val="20"/>
                <w:szCs w:val="20"/>
              </w:rPr>
            </w:pPr>
            <w:r>
              <w:rPr>
                <w:rFonts w:ascii="Times New Roman"/>
                <w:sz w:val="20"/>
              </w:rPr>
              <w:t>86,467,636.33</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3" w:right="0"/>
              <w:jc w:val="center"/>
              <w:rPr>
                <w:rFonts w:ascii="Times New Roman" w:hAnsi="Times New Roman" w:cs="Times New Roman" w:eastAsia="Times New Roman" w:hint="default"/>
                <w:sz w:val="20"/>
                <w:szCs w:val="20"/>
              </w:rPr>
            </w:pPr>
            <w:r>
              <w:rPr>
                <w:rFonts w:ascii="Times New Roman"/>
                <w:sz w:val="20"/>
              </w:rPr>
              <w:t>92,670,105.69</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
              <w:jc w:val="center"/>
              <w:rPr>
                <w:rFonts w:ascii="Times New Roman" w:hAnsi="Times New Roman" w:cs="Times New Roman" w:eastAsia="Times New Roman" w:hint="default"/>
                <w:sz w:val="20"/>
                <w:szCs w:val="20"/>
              </w:rPr>
            </w:pPr>
            <w:r>
              <w:rPr>
                <w:rFonts w:ascii="Times New Roman"/>
                <w:sz w:val="20"/>
              </w:rPr>
              <w:t>-6.69%</w:t>
            </w:r>
          </w:p>
        </w:tc>
      </w:tr>
      <w:tr>
        <w:trPr>
          <w:trHeight w:val="338" w:hRule="exact"/>
        </w:trPr>
        <w:tc>
          <w:tcPr>
            <w:tcW w:w="3231"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left="21"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3" w:right="0"/>
              <w:jc w:val="center"/>
              <w:rPr>
                <w:rFonts w:ascii="Times New Roman" w:hAnsi="Times New Roman" w:cs="Times New Roman" w:eastAsia="Times New Roman" w:hint="default"/>
                <w:sz w:val="20"/>
                <w:szCs w:val="20"/>
              </w:rPr>
            </w:pPr>
            <w:r>
              <w:rPr>
                <w:rFonts w:ascii="Times New Roman"/>
                <w:sz w:val="20"/>
              </w:rPr>
              <w:t>810,673,003.69</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3" w:right="0"/>
              <w:jc w:val="center"/>
              <w:rPr>
                <w:rFonts w:ascii="Times New Roman" w:hAnsi="Times New Roman" w:cs="Times New Roman" w:eastAsia="Times New Roman" w:hint="default"/>
                <w:sz w:val="20"/>
                <w:szCs w:val="20"/>
              </w:rPr>
            </w:pPr>
            <w:r>
              <w:rPr>
                <w:rFonts w:ascii="Times New Roman"/>
                <w:sz w:val="20"/>
              </w:rPr>
              <w:t>717,098,016.98</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0"/>
                <w:szCs w:val="20"/>
              </w:rPr>
            </w:pPr>
            <w:r>
              <w:rPr>
                <w:rFonts w:ascii="Times New Roman"/>
                <w:sz w:val="20"/>
              </w:rPr>
              <w:t>13.05%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spacing w:before="44"/>
        <w:ind w:left="152" w:right="353"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before="115"/>
        <w:ind w:left="152" w:right="3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金属制品</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177,227.2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140,367.15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26.26%</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178,983.44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144,480.48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23.88%</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15,825.45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13,514.37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17.10%</w:t>
            </w:r>
          </w:p>
        </w:tc>
      </w:tr>
    </w:tbl>
    <w:p>
      <w:pPr>
        <w:spacing w:before="49"/>
        <w:ind w:left="152" w:right="353"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52" w:right="3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800"/>
        </w:sectPr>
      </w:pPr>
    </w:p>
    <w:p>
      <w:pPr>
        <w:spacing w:line="240" w:lineRule="auto" w:before="10"/>
        <w:rPr>
          <w:rFonts w:ascii="宋体" w:hAnsi="宋体" w:cs="宋体" w:eastAsia="宋体" w:hint="default"/>
          <w:sz w:val="25"/>
          <w:szCs w:val="25"/>
        </w:rPr>
      </w:pPr>
    </w:p>
    <w:p>
      <w:pPr>
        <w:spacing w:before="44"/>
        <w:ind w:left="152" w:right="144" w:firstLine="0"/>
        <w:jc w:val="left"/>
        <w:rPr>
          <w:rFonts w:ascii="宋体" w:hAnsi="宋体" w:cs="宋体" w:eastAsia="宋体" w:hint="default"/>
          <w:sz w:val="18"/>
          <w:szCs w:val="18"/>
        </w:rPr>
      </w:pPr>
      <w:r>
        <w:rPr>
          <w:rFonts w:ascii="宋体" w:hAnsi="宋体" w:cs="宋体" w:eastAsia="宋体" w:hint="default"/>
          <w:sz w:val="18"/>
          <w:szCs w:val="18"/>
        </w:rPr>
        <w:t>公司重大的在手订单情况</w:t>
      </w:r>
    </w:p>
    <w:p>
      <w:pPr>
        <w:spacing w:line="338" w:lineRule="auto" w:before="117"/>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公司报告期内产品或服务发生重大变化或调整有关情况</w:t>
      </w:r>
    </w:p>
    <w:p>
      <w:pPr>
        <w:spacing w:line="340" w:lineRule="auto" w:before="43"/>
        <w:ind w:left="152" w:right="7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公司主要销售客户情况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277,582,574.31</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34.16%</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3"/>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94,472,250.15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94,122,747.30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11.58%</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34,205,319.33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28,442,873.60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3.50%</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26,339,383.93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277,582,574.31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34.16%</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、成本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44"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金属制品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606,593,815.61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533,583,094.74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金属制品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19,839,730.86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13,671,556.45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45.12%</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金属制品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燃料动力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42,004,405.33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38,678,485.63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金属制品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37,347,164.97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35,050,263.07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6.55%</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钢绞线</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358,451,364.75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342,029,668.67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 </w:t>
            </w:r>
            <w:r>
              <w:rPr>
                <w:rFonts w:ascii="宋体" w:hAnsi="宋体" w:cs="宋体" w:eastAsia="宋体" w:hint="default"/>
                <w:sz w:val="18"/>
                <w:szCs w:val="18"/>
              </w:rPr>
              <w:t>钢绞线</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275,032,008.37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201,229,821.88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36.68%</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钢丝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72,301,743.65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77,723,909.33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705,785,116.77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620,983,399.88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13.66%</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line="316" w:lineRule="auto" w:before="44"/>
        <w:ind w:left="152" w:right="94" w:firstLine="576"/>
        <w:jc w:val="left"/>
        <w:rPr>
          <w:rFonts w:ascii="宋体" w:hAnsi="宋体" w:cs="宋体" w:eastAsia="宋体" w:hint="default"/>
          <w:sz w:val="18"/>
          <w:szCs w:val="18"/>
        </w:rPr>
      </w:pPr>
      <w:r>
        <w:rPr>
          <w:rFonts w:ascii="宋体" w:hAnsi="宋体" w:cs="宋体" w:eastAsia="宋体" w:hint="default"/>
          <w:spacing w:val="-1"/>
          <w:sz w:val="18"/>
          <w:szCs w:val="18"/>
        </w:rPr>
        <w:t>成本构成项目中，主要是人力资源成本增加较多，致使成本结构有所变动。产品成本构成中，各产品的成本构成中，</w:t>
      </w:r>
      <w:r>
        <w:rPr>
          <w:rFonts w:ascii="宋体" w:hAnsi="宋体" w:cs="宋体" w:eastAsia="宋体" w:hint="default"/>
          <w:sz w:val="18"/>
          <w:szCs w:val="18"/>
        </w:rPr>
        <w:t> 由于</w:t>
      </w:r>
      <w:r>
        <w:rPr>
          <w:rFonts w:ascii="Times New Roman" w:hAnsi="Times New Roman" w:cs="Times New Roman" w:eastAsia="Times New Roman" w:hint="default"/>
          <w:sz w:val="18"/>
          <w:szCs w:val="18"/>
        </w:rPr>
        <w:t>PC</w:t>
      </w:r>
      <w:r>
        <w:rPr>
          <w:rFonts w:ascii="宋体" w:hAnsi="宋体" w:cs="宋体" w:eastAsia="宋体" w:hint="default"/>
          <w:sz w:val="18"/>
          <w:szCs w:val="18"/>
        </w:rPr>
        <w:t>钢绞线产量增加较多，各产品比重有所变动。</w:t>
      </w:r>
    </w:p>
    <w:p>
      <w:pPr>
        <w:spacing w:line="240" w:lineRule="auto" w:before="12"/>
        <w:rPr>
          <w:rFonts w:ascii="宋体" w:hAnsi="宋体" w:cs="宋体" w:eastAsia="宋体" w:hint="default"/>
          <w:sz w:val="26"/>
          <w:szCs w:val="26"/>
        </w:rPr>
      </w:pPr>
    </w:p>
    <w:p>
      <w:pPr>
        <w:spacing w:before="0"/>
        <w:ind w:left="152" w:right="94"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512,819,081.43</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72.62%</w:t>
            </w:r>
          </w:p>
        </w:tc>
      </w:tr>
    </w:tbl>
    <w:p>
      <w:pPr>
        <w:spacing w:before="49"/>
        <w:ind w:left="152" w:right="9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3"/>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194,775,836.17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27.58%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169,898,028.26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24.06%</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99,370,471.37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14.07%</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28,431,066.54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4.03%</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20,343,679.09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512,819,081.43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72.62%</w:t>
            </w:r>
          </w:p>
        </w:tc>
      </w:tr>
    </w:tbl>
    <w:p>
      <w:pPr>
        <w:spacing w:line="240" w:lineRule="auto" w:before="3"/>
        <w:rPr>
          <w:rFonts w:ascii="宋体" w:hAnsi="宋体" w:cs="宋体" w:eastAsia="宋体" w:hint="default"/>
          <w:sz w:val="19"/>
          <w:szCs w:val="19"/>
        </w:rPr>
      </w:pPr>
    </w:p>
    <w:p>
      <w:pPr>
        <w:spacing w:before="36"/>
        <w:ind w:left="15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09" w:lineRule="auto" w:before="0"/>
        <w:ind w:left="152" w:right="94" w:firstLine="360"/>
        <w:jc w:val="left"/>
        <w:rPr>
          <w:rFonts w:ascii="宋体" w:hAnsi="宋体" w:cs="宋体" w:eastAsia="宋体" w:hint="default"/>
          <w:sz w:val="18"/>
          <w:szCs w:val="18"/>
        </w:rPr>
      </w:pPr>
      <w:r>
        <w:rPr>
          <w:rFonts w:ascii="宋体" w:hAnsi="宋体" w:cs="宋体" w:eastAsia="宋体" w:hint="default"/>
          <w:spacing w:val="-2"/>
          <w:sz w:val="18"/>
          <w:szCs w:val="18"/>
        </w:rPr>
        <w:t>报告期内，随着公司经营规模的变动，销售费用、管理费用、财务费用也不同幅度变动，虽然增幅各有差异，但均与公</w:t>
      </w:r>
      <w:r>
        <w:rPr>
          <w:rFonts w:ascii="宋体" w:hAnsi="宋体" w:cs="宋体" w:eastAsia="宋体" w:hint="default"/>
          <w:sz w:val="18"/>
          <w:szCs w:val="18"/>
        </w:rPr>
        <w:t> 司的经营规模保持一致。期间费用变动幅度较大的是管理费用，增幅为</w:t>
      </w:r>
      <w:r>
        <w:rPr>
          <w:rFonts w:ascii="Times New Roman" w:hAnsi="Times New Roman" w:cs="Times New Roman" w:eastAsia="Times New Roman" w:hint="default"/>
          <w:sz w:val="18"/>
          <w:szCs w:val="18"/>
        </w:rPr>
        <w:t>18.62%</w:t>
      </w:r>
      <w:r>
        <w:rPr>
          <w:rFonts w:ascii="宋体" w:hAnsi="宋体" w:cs="宋体" w:eastAsia="宋体" w:hint="default"/>
          <w:sz w:val="18"/>
          <w:szCs w:val="18"/>
        </w:rPr>
        <w:t>，主要由于人工成本、环保治理等费用支出 增加，致使管理费用增加较多。期间费用变动表如下：</w:t>
      </w:r>
    </w:p>
    <w:p>
      <w:pPr>
        <w:spacing w:line="240" w:lineRule="auto" w:before="1"/>
        <w:rPr>
          <w:rFonts w:ascii="宋体" w:hAnsi="宋体" w:cs="宋体" w:eastAsia="宋体" w:hint="default"/>
          <w:sz w:val="25"/>
          <w:szCs w:val="25"/>
        </w:rPr>
      </w:pPr>
    </w:p>
    <w:tbl>
      <w:tblPr>
        <w:tblW w:w="0" w:type="auto"/>
        <w:jc w:val="left"/>
        <w:tblInd w:w="839" w:type="dxa"/>
        <w:tblLayout w:type="fixed"/>
        <w:tblCellMar>
          <w:top w:w="0" w:type="dxa"/>
          <w:left w:w="0" w:type="dxa"/>
          <w:bottom w:w="0" w:type="dxa"/>
          <w:right w:w="0" w:type="dxa"/>
        </w:tblCellMar>
        <w:tblLook w:val="01E0"/>
      </w:tblPr>
      <w:tblGrid>
        <w:gridCol w:w="1921"/>
        <w:gridCol w:w="2530"/>
        <w:gridCol w:w="2530"/>
        <w:gridCol w:w="1399"/>
      </w:tblGrid>
      <w:tr>
        <w:trPr>
          <w:trHeight w:val="338" w:hRule="exact"/>
        </w:trPr>
        <w:tc>
          <w:tcPr>
            <w:tcW w:w="1921" w:type="dxa"/>
            <w:tcBorders>
              <w:top w:val="nil" w:sz="6" w:space="0" w:color="auto"/>
              <w:left w:val="nil" w:sz="6" w:space="0" w:color="auto"/>
              <w:bottom w:val="single" w:sz="6" w:space="0" w:color="000000"/>
              <w:right w:val="single" w:sz="6" w:space="0" w:color="000000"/>
            </w:tcBorders>
          </w:tcPr>
          <w:p>
            <w:pPr>
              <w:pStyle w:val="TableParagraph"/>
              <w:spacing w:line="240" w:lineRule="auto" w:before="17"/>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253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39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7"/>
              <w:ind w:left="3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36" w:hRule="exact"/>
        </w:trPr>
        <w:tc>
          <w:tcPr>
            <w:tcW w:w="19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0"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34,602,879.93</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32,934,748.75</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34" w:right="0"/>
              <w:jc w:val="left"/>
              <w:rPr>
                <w:rFonts w:ascii="Times New Roman" w:hAnsi="Times New Roman" w:cs="Times New Roman" w:eastAsia="Times New Roman" w:hint="default"/>
                <w:sz w:val="20"/>
                <w:szCs w:val="20"/>
              </w:rPr>
            </w:pPr>
            <w:r>
              <w:rPr>
                <w:rFonts w:ascii="Times New Roman"/>
                <w:sz w:val="20"/>
              </w:rPr>
              <w:t>5.06%</w:t>
            </w:r>
          </w:p>
        </w:tc>
      </w:tr>
      <w:tr>
        <w:trPr>
          <w:trHeight w:val="338" w:hRule="exact"/>
        </w:trPr>
        <w:tc>
          <w:tcPr>
            <w:tcW w:w="19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0"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29,950,505.48</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25,248,716.04</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383" w:right="0"/>
              <w:jc w:val="left"/>
              <w:rPr>
                <w:rFonts w:ascii="Times New Roman" w:hAnsi="Times New Roman" w:cs="Times New Roman" w:eastAsia="Times New Roman" w:hint="default"/>
                <w:sz w:val="20"/>
                <w:szCs w:val="20"/>
              </w:rPr>
            </w:pPr>
            <w:r>
              <w:rPr>
                <w:rFonts w:ascii="Times New Roman"/>
                <w:sz w:val="20"/>
              </w:rPr>
              <w:t>18.62%</w:t>
            </w:r>
          </w:p>
        </w:tc>
      </w:tr>
      <w:tr>
        <w:trPr>
          <w:trHeight w:val="338" w:hRule="exact"/>
        </w:trPr>
        <w:tc>
          <w:tcPr>
            <w:tcW w:w="19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0"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11,310,753.42</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10,520,711.01</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34" w:right="0"/>
              <w:jc w:val="left"/>
              <w:rPr>
                <w:rFonts w:ascii="Times New Roman" w:hAnsi="Times New Roman" w:cs="Times New Roman" w:eastAsia="Times New Roman" w:hint="default"/>
                <w:sz w:val="20"/>
                <w:szCs w:val="20"/>
              </w:rPr>
            </w:pPr>
            <w:r>
              <w:rPr>
                <w:rFonts w:ascii="Times New Roman"/>
                <w:sz w:val="20"/>
              </w:rPr>
              <w:t>7.51%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36"/>
        <w:ind w:left="15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、研发支出</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73" w:lineRule="auto" w:before="0"/>
        <w:ind w:left="152" w:right="188" w:firstLine="420"/>
        <w:jc w:val="both"/>
        <w:rPr>
          <w:rFonts w:ascii="宋体" w:hAnsi="宋体" w:cs="宋体" w:eastAsia="宋体" w:hint="default"/>
          <w:sz w:val="21"/>
          <w:szCs w:val="21"/>
        </w:rPr>
      </w:pPr>
      <w:r>
        <w:rPr>
          <w:rFonts w:ascii="宋体" w:hAnsi="宋体" w:cs="宋体" w:eastAsia="宋体" w:hint="default"/>
          <w:spacing w:val="-2"/>
          <w:sz w:val="21"/>
          <w:szCs w:val="21"/>
        </w:rPr>
        <w:t>公司一直重视技术研发和产品创新，注重研发投入；坚持以市场为导向，积极推进技术创新工作，开</w:t>
      </w:r>
      <w:r>
        <w:rPr>
          <w:rFonts w:ascii="宋体" w:hAnsi="宋体" w:cs="宋体" w:eastAsia="宋体" w:hint="default"/>
          <w:w w:val="100"/>
          <w:sz w:val="21"/>
          <w:szCs w:val="21"/>
        </w:rPr>
        <w:t> </w:t>
      </w:r>
      <w:r>
        <w:rPr>
          <w:rFonts w:ascii="宋体" w:hAnsi="宋体" w:cs="宋体" w:eastAsia="宋体" w:hint="default"/>
          <w:sz w:val="21"/>
          <w:szCs w:val="21"/>
        </w:rPr>
        <w:t>发新产品，推广新技术，切实发挥技术创新在转型升级、调整产品结构、增强核心竞争力方面的作用。</w:t>
      </w:r>
    </w:p>
    <w:p>
      <w:pPr>
        <w:spacing w:line="256" w:lineRule="auto" w:before="7"/>
        <w:ind w:left="152" w:right="193" w:firstLine="420"/>
        <w:jc w:val="both"/>
        <w:rPr>
          <w:rFonts w:ascii="宋体" w:hAnsi="宋体" w:cs="宋体" w:eastAsia="宋体" w:hint="default"/>
          <w:sz w:val="21"/>
          <w:szCs w:val="21"/>
        </w:rPr>
      </w:pPr>
      <w:r>
        <w:rPr>
          <w:rFonts w:ascii="宋体" w:hAnsi="宋体" w:cs="宋体" w:eastAsia="宋体" w:hint="default"/>
          <w:sz w:val="21"/>
          <w:szCs w:val="21"/>
        </w:rPr>
        <w:t>报告期内，公司科技研发和创新成果丰硕。公司子公司有</w:t>
      </w:r>
      <w:r>
        <w:rPr>
          <w:rFonts w:ascii="Times New Roman" w:hAnsi="Times New Roman" w:cs="Times New Roman" w:eastAsia="Times New Roman" w:hint="default"/>
          <w:sz w:val="21"/>
          <w:szCs w:val="21"/>
        </w:rPr>
        <w:t>6</w:t>
      </w:r>
      <w:r>
        <w:rPr>
          <w:rFonts w:ascii="宋体" w:hAnsi="宋体" w:cs="宋体" w:eastAsia="宋体" w:hint="default"/>
          <w:sz w:val="21"/>
          <w:szCs w:val="21"/>
        </w:rPr>
        <w:t>项专利获得国家知识产权局授权，公司顺</w:t>
      </w:r>
      <w:r>
        <w:rPr>
          <w:rFonts w:ascii="宋体" w:hAnsi="宋体" w:cs="宋体" w:eastAsia="宋体" w:hint="default"/>
          <w:w w:val="100"/>
          <w:sz w:val="21"/>
          <w:szCs w:val="21"/>
        </w:rPr>
        <w:t> </w:t>
      </w:r>
      <w:r>
        <w:rPr>
          <w:rFonts w:ascii="宋体" w:hAnsi="宋体" w:cs="宋体" w:eastAsia="宋体" w:hint="default"/>
          <w:sz w:val="21"/>
          <w:szCs w:val="21"/>
        </w:rPr>
        <w:t>利通过了省级高新技术企业再认定。</w:t>
      </w:r>
    </w:p>
    <w:p>
      <w:pPr>
        <w:spacing w:line="273" w:lineRule="auto" w:before="22"/>
        <w:ind w:left="152" w:right="186" w:firstLine="420"/>
        <w:jc w:val="both"/>
        <w:rPr>
          <w:rFonts w:ascii="宋体" w:hAnsi="宋体" w:cs="宋体" w:eastAsia="宋体" w:hint="default"/>
          <w:sz w:val="21"/>
          <w:szCs w:val="21"/>
        </w:rPr>
      </w:pPr>
      <w:r>
        <w:rPr>
          <w:rFonts w:ascii="宋体" w:hAnsi="宋体" w:cs="宋体" w:eastAsia="宋体" w:hint="default"/>
          <w:spacing w:val="-2"/>
          <w:sz w:val="21"/>
          <w:szCs w:val="21"/>
        </w:rPr>
        <w:t>报告期内，公司继续借助国家级博士后科研工作站、省级先进涂镀技术与稀土材料工程中心、多所高</w:t>
      </w:r>
      <w:r>
        <w:rPr>
          <w:rFonts w:ascii="宋体" w:hAnsi="宋体" w:cs="宋体" w:eastAsia="宋体" w:hint="default"/>
          <w:w w:val="100"/>
          <w:sz w:val="21"/>
          <w:szCs w:val="21"/>
        </w:rPr>
        <w:t> </w:t>
      </w:r>
      <w:r>
        <w:rPr>
          <w:rFonts w:ascii="宋体" w:hAnsi="宋体" w:cs="宋体" w:eastAsia="宋体" w:hint="default"/>
          <w:spacing w:val="-2"/>
          <w:sz w:val="21"/>
          <w:szCs w:val="21"/>
        </w:rPr>
        <w:t>校及科研机构等平台，积极开展多项科研项目的研究，主要涉及国内外前沿的防腐镀层材料、工艺等研究</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项目，以及适用不同客户需求新产品研制和降低成本为目的的新工艺研究等。</w:t>
      </w:r>
    </w:p>
    <w:p>
      <w:pPr>
        <w:spacing w:before="7"/>
        <w:ind w:left="573" w:right="94" w:firstLine="0"/>
        <w:jc w:val="left"/>
        <w:rPr>
          <w:rFonts w:ascii="宋体" w:hAnsi="宋体" w:cs="宋体" w:eastAsia="宋体" w:hint="default"/>
          <w:sz w:val="21"/>
          <w:szCs w:val="21"/>
        </w:rPr>
      </w:pPr>
      <w:r>
        <w:rPr>
          <w:rFonts w:ascii="宋体" w:hAnsi="宋体" w:cs="宋体" w:eastAsia="宋体" w:hint="default"/>
          <w:sz w:val="21"/>
          <w:szCs w:val="21"/>
        </w:rPr>
        <w:t>报告期内，公司的研发费用支出总额为</w:t>
      </w:r>
      <w:r>
        <w:rPr>
          <w:rFonts w:ascii="Times New Roman" w:hAnsi="Times New Roman" w:cs="Times New Roman" w:eastAsia="Times New Roman" w:hint="default"/>
          <w:sz w:val="21"/>
          <w:szCs w:val="21"/>
        </w:rPr>
        <w:t>2526.52</w:t>
      </w:r>
      <w:r>
        <w:rPr>
          <w:rFonts w:ascii="宋体" w:hAnsi="宋体" w:cs="宋体" w:eastAsia="宋体" w:hint="default"/>
          <w:sz w:val="21"/>
          <w:szCs w:val="21"/>
        </w:rPr>
        <w:t>万元，占营业收入的比例为</w:t>
      </w:r>
      <w:r>
        <w:rPr>
          <w:rFonts w:ascii="Times New Roman" w:hAnsi="Times New Roman" w:cs="Times New Roman" w:eastAsia="Times New Roman" w:hint="default"/>
          <w:sz w:val="21"/>
          <w:szCs w:val="21"/>
        </w:rPr>
        <w:t>3.11%</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spacing w:before="36"/>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896,011,767.77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672,685,403.11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33.20%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747,467,082.19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786,964,528.82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148,544,685.58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-114,279,125.71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229.98%</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60,781,240.30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26,695,355.54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127.68%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140,437,734.83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49,553,525.30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183.41%</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-79,656,494.53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-22,858,169.76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248.48%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596,706,241.89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519,427,467.00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14.88%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737,191,675.01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384,890,485.34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91.53%</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-140,485,433.12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134,536,981.66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-204.42%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-71,369,429.31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-2,751,127.84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2,494.19%</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19" w:lineRule="auto" w:before="101"/>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1</w:t>
      </w:r>
      <w:r>
        <w:rPr>
          <w:rFonts w:ascii="宋体" w:hAnsi="宋体" w:cs="宋体" w:eastAsia="宋体" w:hint="default"/>
          <w:sz w:val="18"/>
          <w:szCs w:val="18"/>
        </w:rPr>
        <w:t>、报告期内，公司的经营活动现金流量净额与上年相比，增幅为</w:t>
      </w:r>
      <w:r>
        <w:rPr>
          <w:rFonts w:ascii="Times New Roman" w:hAnsi="Times New Roman" w:cs="Times New Roman" w:eastAsia="Times New Roman" w:hint="default"/>
          <w:sz w:val="18"/>
          <w:szCs w:val="18"/>
        </w:rPr>
        <w:t>229.98%</w:t>
      </w:r>
      <w:r>
        <w:rPr>
          <w:rFonts w:ascii="宋体" w:hAnsi="宋体" w:cs="宋体" w:eastAsia="宋体" w:hint="default"/>
          <w:sz w:val="18"/>
          <w:szCs w:val="18"/>
        </w:rPr>
        <w:t>，主要是由于上期客户使用银行承兑汇票支付的 </w:t>
      </w:r>
      <w:r>
        <w:rPr>
          <w:rFonts w:ascii="宋体" w:hAnsi="宋体" w:cs="宋体" w:eastAsia="宋体" w:hint="default"/>
          <w:spacing w:val="-2"/>
          <w:sz w:val="18"/>
          <w:szCs w:val="18"/>
        </w:rPr>
        <w:t>货款本期到期托收，致使本期收到的现金较多；另外，报告期内，公司预付原材料款也大幅减少，致使现金流出相应减少较</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多。</w:t>
      </w:r>
    </w:p>
    <w:p>
      <w:pPr>
        <w:spacing w:line="309" w:lineRule="auto" w:before="17"/>
        <w:ind w:left="152" w:right="1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、报告期内，公司投资活动现金流量项目变动较大，主要是报告期内，公司将部分临时闲置的现金在银行做结构性存款， 在现金流量表分类时作为投资类列示的，致使投资活动现金收入、支出均呈现较大幅度变动。 </w:t>
      </w:r>
      <w:r>
        <w:rPr>
          <w:rFonts w:ascii="Times New Roman" w:hAnsi="Times New Roman" w:cs="Times New Roman" w:eastAsia="Times New Roman" w:hint="default"/>
          <w:sz w:val="18"/>
          <w:szCs w:val="18"/>
        </w:rPr>
        <w:t>3</w:t>
      </w:r>
      <w:r>
        <w:rPr>
          <w:rFonts w:ascii="宋体" w:hAnsi="宋体" w:cs="宋体" w:eastAsia="宋体" w:hint="default"/>
          <w:sz w:val="18"/>
          <w:szCs w:val="18"/>
        </w:rPr>
        <w:t>、报告期内，公司筹资活动现金流量净额增幅为</w:t>
      </w:r>
      <w:r>
        <w:rPr>
          <w:rFonts w:ascii="Times New Roman" w:hAnsi="Times New Roman" w:cs="Times New Roman" w:eastAsia="Times New Roman" w:hint="default"/>
          <w:sz w:val="18"/>
          <w:szCs w:val="18"/>
        </w:rPr>
        <w:t>-204.42%</w:t>
      </w:r>
      <w:r>
        <w:rPr>
          <w:rFonts w:ascii="宋体" w:hAnsi="宋体" w:cs="宋体" w:eastAsia="宋体" w:hint="default"/>
          <w:sz w:val="18"/>
          <w:szCs w:val="18"/>
        </w:rPr>
        <w:t>，主要是报告期内公司偿还了大量银行借款所致。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19"/>
        <w:ind w:left="152" w:right="144"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line="343" w:lineRule="auto" w:before="117"/>
        <w:ind w:left="441" w:right="190" w:hanging="289"/>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报告期内公司经营活动现金流量净额为</w:t>
      </w:r>
      <w:r>
        <w:rPr>
          <w:rFonts w:ascii="Times New Roman" w:hAnsi="Times New Roman" w:cs="Times New Roman" w:eastAsia="Times New Roman" w:hint="default"/>
          <w:sz w:val="18"/>
          <w:szCs w:val="18"/>
        </w:rPr>
        <w:t>148,544,685.58</w:t>
      </w:r>
      <w:r>
        <w:rPr>
          <w:rFonts w:ascii="宋体" w:hAnsi="宋体" w:cs="宋体" w:eastAsia="宋体" w:hint="default"/>
          <w:sz w:val="18"/>
          <w:szCs w:val="18"/>
        </w:rPr>
        <w:t>元，而本年度净利润为</w:t>
      </w:r>
      <w:r>
        <w:rPr>
          <w:rFonts w:ascii="Times New Roman" w:hAnsi="Times New Roman" w:cs="Times New Roman" w:eastAsia="Times New Roman" w:hint="default"/>
          <w:sz w:val="20"/>
          <w:szCs w:val="20"/>
        </w:rPr>
        <w:t>24,124,414.93</w:t>
      </w:r>
      <w:r>
        <w:rPr>
          <w:rFonts w:ascii="宋体" w:hAnsi="宋体" w:cs="宋体" w:eastAsia="宋体" w:hint="default"/>
          <w:sz w:val="18"/>
          <w:szCs w:val="18"/>
        </w:rPr>
        <w:t>元，差异较大，主要是由于</w:t>
      </w:r>
    </w:p>
    <w:p>
      <w:pPr>
        <w:spacing w:line="194"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上期客户使用银行承兑汇票支付的货款本期到期托收，致使本期收到的现金较多；另外，报告期内，公司预付原材料款也大</w:t>
      </w:r>
    </w:p>
    <w:p>
      <w:pPr>
        <w:spacing w:before="76"/>
        <w:ind w:left="152" w:right="144" w:firstLine="0"/>
        <w:jc w:val="left"/>
        <w:rPr>
          <w:rFonts w:ascii="宋体" w:hAnsi="宋体" w:cs="宋体" w:eastAsia="宋体" w:hint="default"/>
          <w:sz w:val="18"/>
          <w:szCs w:val="18"/>
        </w:rPr>
      </w:pPr>
      <w:r>
        <w:rPr>
          <w:rFonts w:ascii="宋体" w:hAnsi="宋体" w:cs="宋体" w:eastAsia="宋体" w:hint="default"/>
          <w:sz w:val="18"/>
          <w:szCs w:val="18"/>
        </w:rPr>
        <w:t>幅减少，致使现金流出相应减少较多；上述综合因素，致使本期经营性现金流量净额比净利润增加较多。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44"/>
        <w:jc w:val="left"/>
        <w:rPr>
          <w:b w:val="0"/>
          <w:bCs w:val="0"/>
        </w:rPr>
      </w:pPr>
      <w:r>
        <w:rPr/>
        <w:t>三、主营业务构成情况</w:t>
      </w:r>
      <w:r>
        <w:rPr>
          <w:b w:val="0"/>
          <w:bCs w:val="0"/>
        </w:rPr>
      </w:r>
    </w:p>
    <w:p>
      <w:pPr>
        <w:spacing w:line="240" w:lineRule="auto" w:before="7"/>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6"/>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09" w:right="50"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6"/>
        <w:gridCol w:w="1366"/>
        <w:gridCol w:w="1370"/>
      </w:tblGrid>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金属制品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810,673,003.69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705,785,116.77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-0.46%</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钢绞线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435,361,528.99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358,451,364.75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0.13%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 </w:t>
            </w:r>
            <w:r>
              <w:rPr>
                <w:rFonts w:ascii="宋体" w:hAnsi="宋体" w:cs="宋体" w:eastAsia="宋体" w:hint="default"/>
                <w:sz w:val="18"/>
                <w:szCs w:val="18"/>
              </w:rPr>
              <w:t>钢绞线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288,843,838.37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275,032,008.37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钢丝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86,467,636.33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72,301,743.65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0.25%</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601,255,297.08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518,494,224.48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15.84%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-1.47%</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209,417,706.61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187,290,892.29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44"/>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、资产项目重大变动情况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5"/>
        <w:gridCol w:w="1063"/>
        <w:gridCol w:w="1195"/>
        <w:gridCol w:w="1064"/>
        <w:gridCol w:w="931"/>
        <w:gridCol w:w="2785"/>
      </w:tblGrid>
      <w:tr>
        <w:trPr>
          <w:trHeight w:val="380" w:hRule="exact"/>
        </w:trPr>
        <w:tc>
          <w:tcPr>
            <w:tcW w:w="1356"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931"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785" w:type="dxa"/>
            <w:tcBorders>
              <w:top w:val="single" w:sz="4" w:space="0" w:color="000000"/>
              <w:left w:val="single" w:sz="4" w:space="0" w:color="000000"/>
              <w:bottom w:val="single" w:sz="13" w:space="0" w:color="FFFFFF"/>
              <w:right w:val="single" w:sz="4" w:space="0" w:color="000000"/>
            </w:tcBorders>
            <w:shd w:val="clear" w:color="auto" w:fill="D2D2D2"/>
          </w:tcPr>
          <w:p>
            <w:pPr/>
          </w:p>
        </w:tc>
      </w:tr>
      <w:tr>
        <w:trPr>
          <w:trHeight w:val="182" w:hRule="exact"/>
        </w:trPr>
        <w:tc>
          <w:tcPr>
            <w:tcW w:w="1356" w:type="dxa"/>
            <w:vMerge w:val="restart"/>
            <w:tcBorders>
              <w:top w:val="single" w:sz="13" w:space="0" w:color="FFFFFF"/>
              <w:left w:val="single" w:sz="4" w:space="0" w:color="000000"/>
              <w:right w:val="single" w:sz="4" w:space="0" w:color="000000"/>
            </w:tcBorders>
            <w:shd w:val="clear" w:color="auto" w:fill="D2D2D2"/>
          </w:tcPr>
          <w:p>
            <w:pPr/>
          </w:p>
        </w:tc>
        <w:tc>
          <w:tcPr>
            <w:tcW w:w="1165"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31"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85"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84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c>
          <w:tcPr>
            <w:tcW w:w="2785"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c>
          <w:tcPr>
            <w:tcW w:w="2785"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2785"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109,104,690.5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11.32%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218,631,961.39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18.99%</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-7.67%</w:t>
            </w:r>
          </w:p>
        </w:tc>
        <w:tc>
          <w:tcPr>
            <w:tcW w:w="2785"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由于上期保证金存款较多，致使货 币资金下降较多</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2785"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2785"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171,408,840.6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17.78%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156,936,978.68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13.63%</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4.15%</w:t>
            </w:r>
          </w:p>
        </w:tc>
        <w:tc>
          <w:tcPr>
            <w:tcW w:w="2785"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0" w:firstLine="91"/>
              <w:jc w:val="left"/>
              <w:rPr>
                <w:rFonts w:ascii="宋体" w:hAnsi="宋体" w:cs="宋体" w:eastAsia="宋体" w:hint="default"/>
                <w:sz w:val="18"/>
                <w:szCs w:val="18"/>
              </w:rPr>
            </w:pPr>
            <w:r>
              <w:rPr>
                <w:rFonts w:ascii="宋体" w:hAnsi="宋体" w:cs="宋体" w:eastAsia="宋体" w:hint="default"/>
                <w:spacing w:val="-5"/>
                <w:sz w:val="18"/>
                <w:szCs w:val="18"/>
              </w:rPr>
              <w:t>由于销售规模增加，致使应收款相</w:t>
            </w:r>
            <w:r>
              <w:rPr>
                <w:rFonts w:ascii="宋体" w:hAnsi="宋体" w:cs="宋体" w:eastAsia="宋体" w:hint="default"/>
                <w:sz w:val="18"/>
                <w:szCs w:val="18"/>
              </w:rPr>
              <w:t> 应也有所增加</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2785"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2785"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155,098,937.1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16.09%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155,506,067.76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13.51%</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2.58%</w:t>
            </w:r>
          </w:p>
        </w:tc>
        <w:tc>
          <w:tcPr>
            <w:tcW w:w="2785"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2785"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2785"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231,053,621.8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23.97%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218,630,746.18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18.99%</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4.98%</w:t>
            </w:r>
          </w:p>
        </w:tc>
        <w:tc>
          <w:tcPr>
            <w:tcW w:w="2785"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2785"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2785" w:type="dxa"/>
            <w:vMerge/>
            <w:tcBorders>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5" w:type="dxa"/>
            <w:tcBorders>
              <w:top w:val="single" w:sz="4" w:space="0" w:color="000000"/>
              <w:left w:val="single" w:sz="12"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0" w:right="0"/>
              <w:jc w:val="left"/>
              <w:rPr>
                <w:rFonts w:ascii="Times New Roman" w:hAnsi="Times New Roman" w:cs="Times New Roman" w:eastAsia="Times New Roman" w:hint="default"/>
                <w:sz w:val="18"/>
                <w:szCs w:val="18"/>
              </w:rPr>
            </w:pPr>
            <w:r>
              <w:rPr>
                <w:rFonts w:ascii="Times New Roman"/>
                <w:sz w:val="18"/>
              </w:rPr>
              <w:t>113,000.00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0.01%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4" w:right="0"/>
              <w:jc w:val="left"/>
              <w:rPr>
                <w:rFonts w:ascii="Times New Roman" w:hAnsi="Times New Roman" w:cs="Times New Roman" w:eastAsia="Times New Roman" w:hint="default"/>
                <w:sz w:val="18"/>
                <w:szCs w:val="18"/>
              </w:rPr>
            </w:pPr>
            <w:r>
              <w:rPr>
                <w:rFonts w:ascii="Times New Roman"/>
                <w:sz w:val="18"/>
              </w:rPr>
              <w:t>-0.01%</w:t>
            </w:r>
          </w:p>
        </w:tc>
        <w:tc>
          <w:tcPr>
            <w:tcW w:w="27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、负债项目重大变动情况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68"/>
        <w:gridCol w:w="1153"/>
        <w:gridCol w:w="1063"/>
        <w:gridCol w:w="1195"/>
        <w:gridCol w:w="1064"/>
        <w:gridCol w:w="797"/>
        <w:gridCol w:w="2919"/>
      </w:tblGrid>
      <w:tr>
        <w:trPr>
          <w:trHeight w:val="379" w:hRule="exact"/>
        </w:trPr>
        <w:tc>
          <w:tcPr>
            <w:tcW w:w="1368"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216"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3" w:space="0" w:color="FFFFFF"/>
              <w:right w:val="single" w:sz="4" w:space="0" w:color="000000"/>
            </w:tcBorders>
            <w:shd w:val="clear" w:color="auto" w:fill="D2D2D2"/>
          </w:tcPr>
          <w:p>
            <w:pPr/>
          </w:p>
        </w:tc>
      </w:tr>
      <w:tr>
        <w:trPr>
          <w:trHeight w:val="182" w:hRule="exact"/>
        </w:trPr>
        <w:tc>
          <w:tcPr>
            <w:tcW w:w="1368" w:type="dxa"/>
            <w:vMerge w:val="restart"/>
            <w:tcBorders>
              <w:top w:val="single" w:sz="13" w:space="0" w:color="FFFFFF"/>
              <w:left w:val="single" w:sz="4" w:space="0" w:color="000000"/>
              <w:right w:val="single" w:sz="4" w:space="0" w:color="000000"/>
            </w:tcBorders>
            <w:shd w:val="clear" w:color="auto" w:fill="D2D2D2"/>
          </w:tcPr>
          <w:p>
            <w:pPr/>
          </w:p>
        </w:tc>
        <w:tc>
          <w:tcPr>
            <w:tcW w:w="1153"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3" w:space="0" w:color="FFFFFF"/>
              <w:left w:val="single" w:sz="4" w:space="0" w:color="000000"/>
              <w:right w:val="single" w:sz="4" w:space="0" w:color="000000"/>
            </w:tcBorders>
            <w:shd w:val="clear" w:color="auto" w:fill="D2D2D2"/>
          </w:tcPr>
          <w:p>
            <w:pPr>
              <w:pStyle w:val="TableParagraph"/>
              <w:spacing w:line="319"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3" w:space="0" w:color="FFFFFF"/>
              <w:left w:val="single" w:sz="4" w:space="0" w:color="000000"/>
              <w:right w:val="single" w:sz="4" w:space="0" w:color="000000"/>
            </w:tcBorders>
            <w:shd w:val="clear" w:color="auto" w:fill="D2D2D2"/>
          </w:tcPr>
          <w:p>
            <w:pPr>
              <w:pStyle w:val="TableParagraph"/>
              <w:spacing w:line="319"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53"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5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334,060,000.00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报告期内，偿还了大量银行借款</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5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报告期内，向进出口银行安徽省分行</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165"/>
        <w:gridCol w:w="1063"/>
        <w:gridCol w:w="1195"/>
        <w:gridCol w:w="1064"/>
        <w:gridCol w:w="797"/>
        <w:gridCol w:w="2919"/>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借款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年期限</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44"/>
        <w:jc w:val="left"/>
        <w:rPr>
          <w:b w:val="0"/>
          <w:bCs w:val="0"/>
        </w:rPr>
      </w:pPr>
      <w:r>
        <w:rPr/>
        <w:t>五、核心竞争力分析</w:t>
      </w:r>
      <w:r>
        <w:rPr>
          <w:b w:val="0"/>
          <w:bCs w:val="0"/>
        </w:rPr>
      </w:r>
    </w:p>
    <w:p>
      <w:pPr>
        <w:spacing w:line="240" w:lineRule="auto" w:before="12"/>
        <w:rPr>
          <w:rFonts w:ascii="宋体" w:hAnsi="宋体" w:cs="宋体" w:eastAsia="宋体" w:hint="default"/>
          <w:b/>
          <w:bCs/>
          <w:sz w:val="24"/>
          <w:szCs w:val="24"/>
        </w:rPr>
      </w:pPr>
    </w:p>
    <w:p>
      <w:pPr>
        <w:spacing w:line="273" w:lineRule="auto" w:before="0"/>
        <w:ind w:left="152" w:right="5994" w:firstLine="0"/>
        <w:jc w:val="left"/>
        <w:rPr>
          <w:rFonts w:ascii="宋体" w:hAnsi="宋体" w:cs="宋体" w:eastAsia="宋体" w:hint="default"/>
          <w:sz w:val="21"/>
          <w:szCs w:val="21"/>
        </w:rPr>
      </w:pPr>
      <w:r>
        <w:rPr>
          <w:rFonts w:ascii="宋体" w:hAnsi="宋体" w:cs="宋体" w:eastAsia="宋体" w:hint="default"/>
          <w:spacing w:val="-2"/>
          <w:sz w:val="21"/>
          <w:szCs w:val="21"/>
        </w:rPr>
        <w:t>公司的核心竞争力主要体现在以下方面：</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z w:val="21"/>
          <w:szCs w:val="21"/>
        </w:rPr>
        <w:t>技术优势：</w:t>
      </w:r>
    </w:p>
    <w:p>
      <w:pPr>
        <w:spacing w:line="261" w:lineRule="auto" w:before="8"/>
        <w:ind w:left="513" w:right="144" w:firstLine="0"/>
        <w:jc w:val="left"/>
        <w:rPr>
          <w:rFonts w:ascii="宋体" w:hAnsi="宋体" w:cs="宋体" w:eastAsia="宋体" w:hint="default"/>
          <w:sz w:val="21"/>
          <w:szCs w:val="21"/>
        </w:rPr>
      </w:pPr>
      <w:r>
        <w:rPr>
          <w:rFonts w:ascii="宋体" w:hAnsi="宋体" w:cs="宋体" w:eastAsia="宋体" w:hint="default"/>
          <w:sz w:val="21"/>
          <w:szCs w:val="21"/>
        </w:rPr>
        <w:t>公司研发实力雄厚，是国家科技部认定的</w:t>
      </w:r>
      <w:r>
        <w:rPr>
          <w:rFonts w:ascii="Times New Roman" w:hAnsi="Times New Roman" w:cs="Times New Roman" w:eastAsia="Times New Roman" w:hint="default"/>
          <w:sz w:val="21"/>
          <w:szCs w:val="21"/>
        </w:rPr>
        <w:t>“</w:t>
      </w:r>
      <w:r>
        <w:rPr>
          <w:rFonts w:ascii="宋体" w:hAnsi="宋体" w:cs="宋体" w:eastAsia="宋体" w:hint="default"/>
          <w:sz w:val="21"/>
          <w:szCs w:val="21"/>
        </w:rPr>
        <w:t>国家火炬计划重点高新技术企业</w:t>
      </w:r>
      <w:r>
        <w:rPr>
          <w:rFonts w:ascii="Times New Roman" w:hAnsi="Times New Roman" w:cs="Times New Roman" w:eastAsia="Times New Roman" w:hint="default"/>
          <w:sz w:val="21"/>
          <w:szCs w:val="21"/>
        </w:rPr>
        <w:t>”</w:t>
      </w:r>
      <w:r>
        <w:rPr>
          <w:rFonts w:ascii="宋体" w:hAnsi="宋体" w:cs="宋体" w:eastAsia="宋体" w:hint="default"/>
          <w:sz w:val="21"/>
          <w:szCs w:val="21"/>
        </w:rPr>
        <w:t>，公司设立有国家级博士</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1"/>
          <w:sz w:val="21"/>
          <w:szCs w:val="21"/>
        </w:rPr>
        <w:t>后科研工作站，省级工程材料研发中心，与国内多所高校、科研院所建立产学研合作基地，依托研究</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1"/>
          <w:sz w:val="21"/>
          <w:szCs w:val="21"/>
        </w:rPr>
        <w:t>机构的技术优势、信息优势、人才优势等，为公司产品的技术研发、工艺改进、新产品开发等提供了</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强大的技术支持，有效提升了公司的核心竞争力和盈利能力。</w:t>
      </w:r>
      <w:r>
        <w:rPr>
          <w:rFonts w:ascii="宋体" w:hAnsi="宋体" w:cs="宋体" w:eastAsia="宋体" w:hint="default"/>
          <w:w w:val="100"/>
          <w:sz w:val="21"/>
          <w:szCs w:val="21"/>
        </w:rPr>
        <w:t> </w:t>
      </w:r>
      <w:r>
        <w:rPr>
          <w:rFonts w:ascii="宋体" w:hAnsi="宋体" w:cs="宋体" w:eastAsia="宋体" w:hint="default"/>
          <w:spacing w:val="-1"/>
          <w:sz w:val="21"/>
          <w:szCs w:val="21"/>
        </w:rPr>
        <w:t>公司主持承担了</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项国家</w:t>
      </w:r>
      <w:r>
        <w:rPr>
          <w:rFonts w:ascii="Times New Roman" w:hAnsi="Times New Roman" w:cs="Times New Roman" w:eastAsia="Times New Roman" w:hint="default"/>
          <w:spacing w:val="-1"/>
          <w:sz w:val="21"/>
          <w:szCs w:val="21"/>
        </w:rPr>
        <w:t>863</w:t>
      </w:r>
      <w:r>
        <w:rPr>
          <w:rFonts w:ascii="宋体" w:hAnsi="宋体" w:cs="宋体" w:eastAsia="宋体" w:hint="default"/>
          <w:spacing w:val="-1"/>
          <w:sz w:val="21"/>
          <w:szCs w:val="21"/>
        </w:rPr>
        <w:t>计划研究课题，主持制定了</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项行业标准，参与制定了</w:t>
      </w:r>
      <w:r>
        <w:rPr>
          <w:rFonts w:ascii="Times New Roman" w:hAnsi="Times New Roman" w:cs="Times New Roman" w:eastAsia="Times New Roman" w:hint="default"/>
          <w:spacing w:val="-1"/>
          <w:sz w:val="21"/>
          <w:szCs w:val="21"/>
        </w:rPr>
        <w:t>8</w:t>
      </w:r>
      <w:r>
        <w:rPr>
          <w:rFonts w:ascii="宋体" w:hAnsi="宋体" w:cs="宋体" w:eastAsia="宋体" w:hint="default"/>
          <w:spacing w:val="-1"/>
          <w:sz w:val="21"/>
          <w:szCs w:val="21"/>
        </w:rPr>
        <w:t>项国家标准；承担</w:t>
      </w:r>
      <w:r>
        <w:rPr>
          <w:rFonts w:ascii="宋体" w:hAnsi="宋体" w:cs="宋体" w:eastAsia="宋体" w:hint="default"/>
          <w:spacing w:val="-19"/>
          <w:sz w:val="21"/>
          <w:szCs w:val="21"/>
        </w:rPr>
        <w:t> </w:t>
      </w:r>
      <w:r>
        <w:rPr>
          <w:rFonts w:ascii="宋体" w:hAnsi="宋体" w:cs="宋体" w:eastAsia="宋体" w:hint="default"/>
          <w:spacing w:val="-3"/>
          <w:sz w:val="21"/>
          <w:szCs w:val="21"/>
        </w:rPr>
        <w:t>了</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项国家重点行业结构调整国债项目和</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项国家重点火炬计划项目；拥有发明专利</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项，实用新型专利</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Times New Roman" w:hAnsi="Times New Roman" w:cs="Times New Roman" w:eastAsia="Times New Roman" w:hint="default"/>
          <w:spacing w:val="-1"/>
          <w:sz w:val="21"/>
          <w:szCs w:val="21"/>
        </w:rPr>
        <w:t>18</w:t>
      </w:r>
      <w:r>
        <w:rPr>
          <w:rFonts w:ascii="宋体" w:hAnsi="宋体" w:cs="宋体" w:eastAsia="宋体" w:hint="default"/>
          <w:spacing w:val="-1"/>
          <w:sz w:val="21"/>
          <w:szCs w:val="21"/>
        </w:rPr>
        <w:t>项。公司主导产品稀土锌铝合金镀层钢丝钢绞线是我公司具有原始创新自主研发的科技产品，获得</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安徽省科技进步一等奖、安徽省高新技术产品、冶金部冶金产品实物质量</w:t>
      </w:r>
      <w:r>
        <w:rPr>
          <w:rFonts w:ascii="Times New Roman" w:hAnsi="Times New Roman" w:cs="Times New Roman" w:eastAsia="Times New Roman" w:hint="default"/>
          <w:sz w:val="21"/>
          <w:szCs w:val="21"/>
        </w:rPr>
        <w:t>“</w:t>
      </w:r>
      <w:r>
        <w:rPr>
          <w:rFonts w:ascii="宋体" w:hAnsi="宋体" w:cs="宋体" w:eastAsia="宋体" w:hint="default"/>
          <w:sz w:val="21"/>
          <w:szCs w:val="21"/>
        </w:rPr>
        <w:t>金杯奖</w:t>
      </w:r>
      <w:r>
        <w:rPr>
          <w:rFonts w:ascii="Times New Roman" w:hAnsi="Times New Roman" w:cs="Times New Roman" w:eastAsia="Times New Roman" w:hint="default"/>
          <w:sz w:val="21"/>
          <w:szCs w:val="21"/>
        </w:rPr>
        <w:t>”</w:t>
      </w:r>
      <w:r>
        <w:rPr>
          <w:rFonts w:ascii="宋体" w:hAnsi="宋体" w:cs="宋体" w:eastAsia="宋体" w:hint="default"/>
          <w:sz w:val="21"/>
          <w:szCs w:val="21"/>
        </w:rPr>
        <w:t>等多项荣誉。</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10"/>
          <w:sz w:val="21"/>
          <w:szCs w:val="21"/>
        </w:rPr>
        <w:t> </w:t>
      </w:r>
      <w:r>
        <w:rPr>
          <w:rFonts w:ascii="Times New Roman" w:hAnsi="Times New Roman" w:cs="Times New Roman" w:eastAsia="Times New Roman" w:hint="default"/>
          <w:spacing w:val="10"/>
          <w:sz w:val="21"/>
          <w:szCs w:val="21"/>
        </w:rPr>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月，国家科技部批准我公司承担国家</w:t>
      </w:r>
      <w:r>
        <w:rPr>
          <w:rFonts w:ascii="Times New Roman" w:hAnsi="Times New Roman" w:cs="Times New Roman" w:eastAsia="Times New Roman" w:hint="default"/>
          <w:spacing w:val="-1"/>
          <w:sz w:val="21"/>
          <w:szCs w:val="21"/>
        </w:rPr>
        <w:t>863</w:t>
      </w:r>
      <w:r>
        <w:rPr>
          <w:rFonts w:ascii="宋体" w:hAnsi="宋体" w:cs="宋体" w:eastAsia="宋体" w:hint="default"/>
          <w:spacing w:val="-1"/>
          <w:sz w:val="21"/>
          <w:szCs w:val="21"/>
        </w:rPr>
        <w:t>计划，该课题主要目标是为我国的钢铁制品提供新型性能</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优良的防腐保护材料，填补该技术领域的世界空白，为公司今后的发展打下了坚实的技术基础。</w:t>
      </w:r>
    </w:p>
    <w:p>
      <w:pPr>
        <w:spacing w:line="264" w:lineRule="auto" w:before="18"/>
        <w:ind w:left="513" w:right="144" w:hanging="361"/>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4"/>
          <w:sz w:val="21"/>
          <w:szCs w:val="21"/>
        </w:rPr>
        <w:t> </w:t>
      </w:r>
      <w:r>
        <w:rPr>
          <w:rFonts w:ascii="宋体" w:hAnsi="宋体" w:cs="宋体" w:eastAsia="宋体" w:hint="default"/>
          <w:sz w:val="21"/>
          <w:szCs w:val="21"/>
        </w:rPr>
        <w:t>质量优势：</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公司以优良的产品质量和良好的服务形成了较高的产品知名度和企业知名度，公司稀土锌铝合金镀层</w:t>
      </w:r>
      <w:r>
        <w:rPr>
          <w:rFonts w:ascii="宋体" w:hAnsi="宋体" w:cs="宋体" w:eastAsia="宋体" w:hint="default"/>
          <w:w w:val="100"/>
          <w:sz w:val="21"/>
          <w:szCs w:val="21"/>
        </w:rPr>
        <w:t> </w:t>
      </w:r>
      <w:r>
        <w:rPr>
          <w:rFonts w:ascii="宋体" w:hAnsi="宋体" w:cs="宋体" w:eastAsia="宋体" w:hint="default"/>
          <w:spacing w:val="-1"/>
          <w:sz w:val="21"/>
          <w:szCs w:val="21"/>
        </w:rPr>
        <w:t>钢绞线产品具有外观色泽亮丽、镀层附着性能强的特点，经国家权威技术部门武汉材料保护研究所检</w:t>
      </w:r>
      <w:r>
        <w:rPr>
          <w:rFonts w:ascii="宋体" w:hAnsi="宋体" w:cs="宋体" w:eastAsia="宋体" w:hint="default"/>
          <w:w w:val="100"/>
          <w:sz w:val="21"/>
          <w:szCs w:val="21"/>
        </w:rPr>
        <w:t> </w:t>
      </w:r>
      <w:r>
        <w:rPr>
          <w:rFonts w:ascii="宋体" w:hAnsi="宋体" w:cs="宋体" w:eastAsia="宋体" w:hint="default"/>
          <w:spacing w:val="-3"/>
          <w:sz w:val="21"/>
          <w:szCs w:val="21"/>
        </w:rPr>
        <w:t>测证明，耐腐蚀性能（中性盐雾试验、二氧化硫试验）优于普通热镀锌产品，在我国第一条</w:t>
      </w:r>
      <w:r>
        <w:rPr>
          <w:rFonts w:ascii="Times New Roman" w:hAnsi="Times New Roman" w:cs="Times New Roman" w:eastAsia="Times New Roman" w:hint="default"/>
          <w:spacing w:val="-3"/>
          <w:sz w:val="21"/>
          <w:szCs w:val="21"/>
        </w:rPr>
        <w:t>500</w:t>
      </w:r>
      <w:r>
        <w:rPr>
          <w:rFonts w:ascii="宋体" w:hAnsi="宋体" w:cs="宋体" w:eastAsia="宋体" w:hint="default"/>
          <w:spacing w:val="-3"/>
          <w:sz w:val="21"/>
          <w:szCs w:val="21"/>
        </w:rPr>
        <w:t>千伏省</w:t>
      </w:r>
      <w:r>
        <w:rPr>
          <w:rFonts w:ascii="宋体" w:hAnsi="宋体" w:cs="宋体" w:eastAsia="宋体" w:hint="default"/>
          <w:w w:val="100"/>
          <w:sz w:val="21"/>
          <w:szCs w:val="21"/>
        </w:rPr>
        <w:t> </w:t>
      </w:r>
      <w:r>
        <w:rPr>
          <w:rFonts w:ascii="宋体" w:hAnsi="宋体" w:cs="宋体" w:eastAsia="宋体" w:hint="default"/>
          <w:spacing w:val="-1"/>
          <w:sz w:val="21"/>
          <w:szCs w:val="21"/>
        </w:rPr>
        <w:t>际联网线</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鄂赣联网凤－南线所使用已历经</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多年运行，至今未见有锈蚀、断股、散股、损伤等问</w:t>
      </w:r>
      <w:r>
        <w:rPr>
          <w:rFonts w:ascii="宋体" w:hAnsi="宋体" w:cs="宋体" w:eastAsia="宋体" w:hint="default"/>
          <w:w w:val="100"/>
          <w:sz w:val="21"/>
          <w:szCs w:val="21"/>
        </w:rPr>
        <w:t> </w:t>
      </w:r>
      <w:r>
        <w:rPr>
          <w:rFonts w:ascii="宋体" w:hAnsi="宋体" w:cs="宋体" w:eastAsia="宋体" w:hint="default"/>
          <w:spacing w:val="-2"/>
          <w:sz w:val="21"/>
          <w:szCs w:val="21"/>
        </w:rPr>
        <w:t>题，特别是在</w:t>
      </w:r>
      <w:r>
        <w:rPr>
          <w:rFonts w:ascii="Times New Roman" w:hAnsi="Times New Roman" w:cs="Times New Roman" w:eastAsia="Times New Roman" w:hint="default"/>
          <w:spacing w:val="-2"/>
          <w:sz w:val="21"/>
          <w:szCs w:val="21"/>
        </w:rPr>
        <w:t>2005</w:t>
      </w:r>
      <w:r>
        <w:rPr>
          <w:rFonts w:ascii="宋体" w:hAnsi="宋体" w:cs="宋体" w:eastAsia="宋体" w:hint="default"/>
          <w:spacing w:val="-2"/>
          <w:sz w:val="21"/>
          <w:szCs w:val="21"/>
        </w:rPr>
        <w:t>年和</w:t>
      </w:r>
      <w:r>
        <w:rPr>
          <w:rFonts w:ascii="Times New Roman" w:hAnsi="Times New Roman" w:cs="Times New Roman" w:eastAsia="Times New Roman" w:hint="default"/>
          <w:spacing w:val="-2"/>
          <w:sz w:val="21"/>
          <w:szCs w:val="21"/>
        </w:rPr>
        <w:t>2008</w:t>
      </w:r>
      <w:r>
        <w:rPr>
          <w:rFonts w:ascii="宋体" w:hAnsi="宋体" w:cs="宋体" w:eastAsia="宋体" w:hint="default"/>
          <w:spacing w:val="-2"/>
          <w:sz w:val="21"/>
          <w:szCs w:val="21"/>
        </w:rPr>
        <w:t>年的两次严重覆冰中未发生任何质量问题。公司</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年开发的</w:t>
      </w:r>
      <w:r>
        <w:rPr>
          <w:rFonts w:ascii="Times New Roman" w:hAnsi="Times New Roman" w:cs="Times New Roman" w:eastAsia="Times New Roman" w:hint="default"/>
          <w:spacing w:val="-2"/>
          <w:sz w:val="21"/>
          <w:szCs w:val="21"/>
        </w:rPr>
        <w:t>PC</w:t>
      </w:r>
      <w:r>
        <w:rPr>
          <w:rFonts w:ascii="宋体" w:hAnsi="宋体" w:cs="宋体" w:eastAsia="宋体" w:hint="default"/>
          <w:spacing w:val="-2"/>
          <w:sz w:val="21"/>
          <w:szCs w:val="21"/>
        </w:rPr>
        <w:t>钢绞线产</w:t>
      </w:r>
      <w:r>
        <w:rPr>
          <w:rFonts w:ascii="宋体" w:hAnsi="宋体" w:cs="宋体" w:eastAsia="宋体" w:hint="default"/>
          <w:w w:val="100"/>
          <w:sz w:val="21"/>
          <w:szCs w:val="21"/>
        </w:rPr>
        <w:t> </w:t>
      </w:r>
      <w:r>
        <w:rPr>
          <w:rFonts w:ascii="宋体" w:hAnsi="宋体" w:cs="宋体" w:eastAsia="宋体" w:hint="default"/>
          <w:spacing w:val="-2"/>
          <w:sz w:val="21"/>
          <w:szCs w:val="21"/>
        </w:rPr>
        <w:t>品，已批量使用在沪昆、成蒲等一大批重点铁路、高速公路、桥梁等项目上，均得到客户普遍好评。</w:t>
      </w:r>
    </w:p>
    <w:p>
      <w:pPr>
        <w:spacing w:line="268" w:lineRule="auto" w:before="16"/>
        <w:ind w:left="513" w:right="144" w:hanging="361"/>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z w:val="21"/>
          <w:szCs w:val="21"/>
        </w:rPr>
        <w:t>品牌优势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Times New Roman" w:hAnsi="Times New Roman" w:cs="Times New Roman" w:eastAsia="Times New Roman" w:hint="default"/>
          <w:sz w:val="21"/>
          <w:szCs w:val="21"/>
        </w:rPr>
        <w:t>“</w:t>
      </w:r>
      <w:r>
        <w:rPr>
          <w:rFonts w:ascii="宋体" w:hAnsi="宋体" w:cs="宋体" w:eastAsia="宋体" w:hint="default"/>
          <w:sz w:val="21"/>
          <w:szCs w:val="21"/>
        </w:rPr>
        <w:t>鼎泰</w:t>
      </w:r>
      <w:r>
        <w:rPr>
          <w:rFonts w:ascii="Times New Roman" w:hAnsi="Times New Roman" w:cs="Times New Roman" w:eastAsia="Times New Roman" w:hint="default"/>
          <w:sz w:val="21"/>
          <w:szCs w:val="21"/>
        </w:rPr>
        <w:t>”</w:t>
      </w:r>
      <w:r>
        <w:rPr>
          <w:rFonts w:ascii="宋体" w:hAnsi="宋体" w:cs="宋体" w:eastAsia="宋体" w:hint="default"/>
          <w:sz w:val="21"/>
          <w:szCs w:val="21"/>
        </w:rPr>
        <w:t>牌稀土镀层钢丝、钢绞线多年来一直是安徽省名牌产品，在近二十年的生产经营过程中，公司</w:t>
      </w:r>
      <w:r>
        <w:rPr>
          <w:rFonts w:ascii="宋体" w:hAnsi="宋体" w:cs="宋体" w:eastAsia="宋体" w:hint="default"/>
          <w:w w:val="100"/>
          <w:sz w:val="21"/>
          <w:szCs w:val="21"/>
        </w:rPr>
        <w:t> </w:t>
      </w:r>
      <w:r>
        <w:rPr>
          <w:rFonts w:ascii="宋体" w:hAnsi="宋体" w:cs="宋体" w:eastAsia="宋体" w:hint="default"/>
          <w:spacing w:val="-1"/>
          <w:sz w:val="21"/>
          <w:szCs w:val="21"/>
        </w:rPr>
        <w:t>一直凭借稳定的产品质量，良好的商业信誉，完善的售后服务，得到了客户的普遍认可，为公司产品</w:t>
      </w:r>
      <w:r>
        <w:rPr>
          <w:rFonts w:ascii="宋体" w:hAnsi="宋体" w:cs="宋体" w:eastAsia="宋体" w:hint="default"/>
          <w:w w:val="100"/>
          <w:sz w:val="21"/>
          <w:szCs w:val="21"/>
        </w:rPr>
        <w:t> </w:t>
      </w:r>
      <w:r>
        <w:rPr>
          <w:rFonts w:ascii="宋体" w:hAnsi="宋体" w:cs="宋体" w:eastAsia="宋体" w:hint="default"/>
          <w:sz w:val="21"/>
          <w:szCs w:val="21"/>
        </w:rPr>
        <w:t>打造了良好的品牌优势和经营环境。</w:t>
      </w:r>
    </w:p>
    <w:p>
      <w:pPr>
        <w:spacing w:line="268" w:lineRule="auto" w:before="12"/>
        <w:ind w:left="513" w:right="144" w:hanging="361"/>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44"/>
          <w:sz w:val="21"/>
          <w:szCs w:val="21"/>
        </w:rPr>
        <w:t> </w:t>
      </w:r>
      <w:r>
        <w:rPr>
          <w:rFonts w:ascii="宋体" w:hAnsi="宋体" w:cs="宋体" w:eastAsia="宋体" w:hint="default"/>
          <w:sz w:val="21"/>
          <w:szCs w:val="21"/>
        </w:rPr>
        <w:t>市场优势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公司拥有多年的钢丝、钢绞线行业的销售经验，公司产品质量及性能较好，用户较为稳定，产品销售</w:t>
      </w:r>
      <w:r>
        <w:rPr>
          <w:rFonts w:ascii="宋体" w:hAnsi="宋体" w:cs="宋体" w:eastAsia="宋体" w:hint="default"/>
          <w:w w:val="100"/>
          <w:sz w:val="21"/>
          <w:szCs w:val="21"/>
        </w:rPr>
        <w:t> </w:t>
      </w:r>
      <w:r>
        <w:rPr>
          <w:rFonts w:ascii="宋体" w:hAnsi="宋体" w:cs="宋体" w:eastAsia="宋体" w:hint="default"/>
          <w:spacing w:val="-1"/>
          <w:sz w:val="21"/>
          <w:szCs w:val="21"/>
        </w:rPr>
        <w:t>覆盖全国</w:t>
      </w:r>
      <w:r>
        <w:rPr>
          <w:rFonts w:ascii="Times New Roman" w:hAnsi="Times New Roman" w:cs="Times New Roman" w:eastAsia="Times New Roman" w:hint="default"/>
          <w:spacing w:val="-1"/>
          <w:sz w:val="21"/>
          <w:szCs w:val="21"/>
        </w:rPr>
        <w:t>30</w:t>
      </w:r>
      <w:r>
        <w:rPr>
          <w:rFonts w:ascii="宋体" w:hAnsi="宋体" w:cs="宋体" w:eastAsia="宋体" w:hint="default"/>
          <w:spacing w:val="-1"/>
          <w:sz w:val="21"/>
          <w:szCs w:val="21"/>
        </w:rPr>
        <w:t>个省、市、自治区，连续几年在全国重点电力工程招标中占居前列。从国际看，近年来，</w:t>
      </w:r>
      <w:r>
        <w:rPr>
          <w:rFonts w:ascii="宋体" w:hAnsi="宋体" w:cs="宋体" w:eastAsia="宋体" w:hint="default"/>
          <w:w w:val="100"/>
          <w:sz w:val="21"/>
          <w:szCs w:val="21"/>
        </w:rPr>
        <w:t> </w:t>
      </w:r>
      <w:r>
        <w:rPr>
          <w:rFonts w:ascii="宋体" w:hAnsi="宋体" w:cs="宋体" w:eastAsia="宋体" w:hint="default"/>
          <w:spacing w:val="-1"/>
          <w:sz w:val="21"/>
          <w:szCs w:val="21"/>
        </w:rPr>
        <w:t>国外也同样进行大规模的电网、电讯建设投资，公司凭借良好的质量和生产技术，积极进行外贸市场</w:t>
      </w:r>
      <w:r>
        <w:rPr>
          <w:rFonts w:ascii="宋体" w:hAnsi="宋体" w:cs="宋体" w:eastAsia="宋体" w:hint="default"/>
          <w:w w:val="100"/>
          <w:sz w:val="21"/>
          <w:szCs w:val="21"/>
        </w:rPr>
        <w:t> </w:t>
      </w:r>
      <w:r>
        <w:rPr>
          <w:rFonts w:ascii="宋体" w:hAnsi="宋体" w:cs="宋体" w:eastAsia="宋体" w:hint="default"/>
          <w:sz w:val="21"/>
          <w:szCs w:val="21"/>
        </w:rPr>
        <w:t>的开拓，销售范围已扩展至东南亚、欧美、中东、非洲等多个国家和地区，市场前景看好。</w:t>
      </w:r>
    </w:p>
    <w:p>
      <w:pPr>
        <w:spacing w:after="0" w:line="268" w:lineRule="auto"/>
        <w:jc w:val="left"/>
        <w:rPr>
          <w:rFonts w:ascii="宋体" w:hAnsi="宋体" w:cs="宋体" w:eastAsia="宋体" w:hint="default"/>
          <w:sz w:val="21"/>
          <w:szCs w:val="21"/>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94"/>
        <w:jc w:val="left"/>
        <w:rPr>
          <w:b w:val="0"/>
          <w:bCs w:val="0"/>
        </w:rPr>
      </w:pPr>
      <w:r>
        <w:rPr/>
        <w:t>六、投资状况分析</w:t>
      </w:r>
      <w:r>
        <w:rPr>
          <w:b w:val="0"/>
          <w:bCs w:val="0"/>
        </w:rPr>
      </w:r>
    </w:p>
    <w:p>
      <w:pPr>
        <w:spacing w:line="240" w:lineRule="auto" w:before="12"/>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、对外股权投资情况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）对外投资情况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78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公司报告期无对外投资。</w:t>
      </w:r>
    </w:p>
    <w:p>
      <w:pPr>
        <w:spacing w:line="240" w:lineRule="auto" w:before="7"/>
        <w:rPr>
          <w:rFonts w:ascii="宋体" w:hAnsi="宋体" w:cs="宋体" w:eastAsia="宋体" w:hint="default"/>
          <w:sz w:val="21"/>
          <w:szCs w:val="21"/>
        </w:rPr>
      </w:pPr>
    </w:p>
    <w:p>
      <w:pPr>
        <w:spacing w:before="0"/>
        <w:ind w:left="15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）持有金融企业股权情况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76"/>
        <w:gridCol w:w="881"/>
        <w:gridCol w:w="869"/>
        <w:gridCol w:w="871"/>
        <w:gridCol w:w="869"/>
        <w:gridCol w:w="869"/>
        <w:gridCol w:w="869"/>
        <w:gridCol w:w="869"/>
        <w:gridCol w:w="869"/>
        <w:gridCol w:w="869"/>
        <w:gridCol w:w="854"/>
      </w:tblGrid>
      <w:tr>
        <w:trPr>
          <w:trHeight w:val="714" w:hRule="exact"/>
        </w:trPr>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 w:right="-34" w:firstLine="45"/>
              <w:jc w:val="left"/>
              <w:rPr>
                <w:rFonts w:ascii="宋体" w:hAnsi="宋体" w:cs="宋体" w:eastAsia="宋体" w:hint="default"/>
                <w:sz w:val="18"/>
                <w:szCs w:val="18"/>
              </w:rPr>
            </w:pPr>
            <w:r>
              <w:rPr>
                <w:rFonts w:ascii="宋体" w:hAnsi="宋体" w:cs="宋体" w:eastAsia="宋体" w:hint="default"/>
                <w:sz w:val="18"/>
                <w:szCs w:val="18"/>
              </w:rPr>
              <w:t>最初投资 </w:t>
            </w:r>
            <w:r>
              <w:rPr>
                <w:rFonts w:ascii="宋体" w:hAnsi="宋体" w:cs="宋体" w:eastAsia="宋体" w:hint="default"/>
                <w:spacing w:val="-7"/>
                <w:sz w:val="18"/>
                <w:szCs w:val="18"/>
              </w:rPr>
              <w:t>成本（元）</w:t>
            </w:r>
            <w:r>
              <w:rPr>
                <w:rFonts w:ascii="宋体" w:hAnsi="宋体" w:cs="宋体" w:eastAsia="宋体"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 w:right="71" w:firstLine="45"/>
              <w:jc w:val="left"/>
              <w:rPr>
                <w:rFonts w:ascii="宋体" w:hAnsi="宋体" w:cs="宋体" w:eastAsia="宋体" w:hint="default"/>
                <w:sz w:val="18"/>
                <w:szCs w:val="18"/>
              </w:rPr>
            </w:pPr>
            <w:r>
              <w:rPr>
                <w:rFonts w:ascii="宋体" w:hAnsi="宋体" w:cs="宋体" w:eastAsia="宋体" w:hint="default"/>
                <w:sz w:val="18"/>
                <w:szCs w:val="18"/>
              </w:rPr>
              <w:t>期初持股 数量（股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 w:right="0"/>
              <w:jc w:val="left"/>
              <w:rPr>
                <w:rFonts w:ascii="宋体" w:hAnsi="宋体" w:cs="宋体" w:eastAsia="宋体" w:hint="default"/>
                <w:sz w:val="18"/>
                <w:szCs w:val="18"/>
              </w:rPr>
            </w:pPr>
            <w:r>
              <w:rPr>
                <w:rFonts w:ascii="宋体" w:hAnsi="宋体" w:cs="宋体" w:eastAsia="宋体" w:hint="default"/>
                <w:sz w:val="18"/>
                <w:szCs w:val="18"/>
              </w:rPr>
              <w:t>期初持股</w:t>
            </w:r>
          </w:p>
          <w:p>
            <w:pPr>
              <w:pStyle w:val="TableParagraph"/>
              <w:spacing w:line="240" w:lineRule="auto" w:before="74"/>
              <w:ind w:left="-128"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6"/>
                <w:sz w:val="18"/>
                <w:szCs w:val="18"/>
              </w:rPr>
              <w:t> </w:t>
            </w:r>
            <w:r>
              <w:rPr>
                <w:rFonts w:ascii="宋体" w:hAnsi="宋体" w:cs="宋体" w:eastAsia="宋体" w:hint="default"/>
                <w:sz w:val="18"/>
                <w:szCs w:val="18"/>
              </w:rPr>
              <w:t>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 w:right="69" w:firstLine="45"/>
              <w:jc w:val="left"/>
              <w:rPr>
                <w:rFonts w:ascii="宋体" w:hAnsi="宋体" w:cs="宋体" w:eastAsia="宋体" w:hint="default"/>
                <w:sz w:val="18"/>
                <w:szCs w:val="18"/>
              </w:rPr>
            </w:pPr>
            <w:r>
              <w:rPr>
                <w:rFonts w:ascii="宋体" w:hAnsi="宋体" w:cs="宋体" w:eastAsia="宋体" w:hint="default"/>
                <w:sz w:val="18"/>
                <w:szCs w:val="18"/>
              </w:rPr>
              <w:t>期末持股 数量（股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 w:right="0"/>
              <w:jc w:val="left"/>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4"/>
              <w:ind w:left="-126"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z w:val="18"/>
                <w:szCs w:val="18"/>
              </w:rPr>
              <w:t>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9" w:right="67"/>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9" w:right="68"/>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9" w:right="67"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1025"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both"/>
              <w:rPr>
                <w:rFonts w:ascii="宋体" w:hAnsi="宋体" w:cs="宋体" w:eastAsia="宋体" w:hint="default"/>
                <w:sz w:val="18"/>
                <w:szCs w:val="18"/>
              </w:rPr>
            </w:pPr>
            <w:r>
              <w:rPr>
                <w:rFonts w:ascii="宋体" w:hAnsi="宋体" w:cs="宋体" w:eastAsia="宋体" w:hint="default"/>
                <w:sz w:val="18"/>
                <w:szCs w:val="18"/>
              </w:rPr>
              <w:t>台山市农 村信用合 作联社</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商业银行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z w:val="18"/>
                <w:szCs w:val="18"/>
              </w:rPr>
              <w:t>长期股权 投资</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3" w:hRule="exact"/>
        </w:trPr>
        <w:tc>
          <w:tcPr>
            <w:tcW w:w="17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left="523"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）证券投资情况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74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公司报告期不存在证券投资。</w:t>
      </w:r>
    </w:p>
    <w:p>
      <w:pPr>
        <w:spacing w:line="240" w:lineRule="auto" w:before="7"/>
        <w:rPr>
          <w:rFonts w:ascii="宋体" w:hAnsi="宋体" w:cs="宋体" w:eastAsia="宋体" w:hint="default"/>
          <w:sz w:val="21"/>
          <w:szCs w:val="21"/>
        </w:rPr>
      </w:pPr>
    </w:p>
    <w:p>
      <w:pPr>
        <w:spacing w:before="0"/>
        <w:ind w:left="15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）持有其他上市公司股权情况的说明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441" w:right="210" w:hanging="289"/>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本公司的子公司隆泰公司于</w:t>
      </w:r>
      <w:r>
        <w:rPr>
          <w:rFonts w:ascii="Times New Roman" w:hAnsi="Times New Roman" w:cs="Times New Roman" w:eastAsia="Times New Roman" w:hint="default"/>
          <w:sz w:val="18"/>
          <w:szCs w:val="18"/>
        </w:rPr>
        <w:t>2011</w:t>
      </w:r>
      <w:r>
        <w:rPr>
          <w:rFonts w:ascii="宋体" w:hAnsi="宋体" w:cs="宋体" w:eastAsia="宋体" w:hint="default"/>
          <w:sz w:val="18"/>
          <w:szCs w:val="18"/>
        </w:rPr>
        <w:t>年投资安徽华菱西厨装备股份有限公司，投资成本</w:t>
      </w:r>
      <w:r>
        <w:rPr>
          <w:rFonts w:ascii="Times New Roman" w:hAnsi="Times New Roman" w:cs="Times New Roman" w:eastAsia="Times New Roman" w:hint="default"/>
          <w:sz w:val="18"/>
          <w:szCs w:val="18"/>
        </w:rPr>
        <w:t>997.5</w:t>
      </w:r>
      <w:r>
        <w:rPr>
          <w:rFonts w:ascii="宋体" w:hAnsi="宋体" w:cs="宋体" w:eastAsia="宋体" w:hint="default"/>
          <w:sz w:val="18"/>
          <w:szCs w:val="18"/>
        </w:rPr>
        <w:t>万元，持股</w:t>
      </w:r>
      <w:r>
        <w:rPr>
          <w:rFonts w:ascii="Times New Roman" w:hAnsi="Times New Roman" w:cs="Times New Roman" w:eastAsia="Times New Roman" w:hint="default"/>
          <w:sz w:val="18"/>
          <w:szCs w:val="18"/>
        </w:rPr>
        <w:t>210</w:t>
      </w:r>
      <w:r>
        <w:rPr>
          <w:rFonts w:ascii="宋体" w:hAnsi="宋体" w:cs="宋体" w:eastAsia="宋体" w:hint="default"/>
          <w:sz w:val="18"/>
          <w:szCs w:val="18"/>
        </w:rPr>
        <w:t>万股，占该公司</w:t>
      </w:r>
    </w:p>
    <w:p>
      <w:pPr>
        <w:spacing w:line="228" w:lineRule="exact" w:before="0"/>
        <w:ind w:left="152" w:right="94" w:firstLine="0"/>
        <w:jc w:val="left"/>
        <w:rPr>
          <w:rFonts w:ascii="宋体" w:hAnsi="宋体" w:cs="宋体" w:eastAsia="宋体" w:hint="default"/>
          <w:sz w:val="18"/>
          <w:szCs w:val="18"/>
        </w:rPr>
      </w:pPr>
      <w:r>
        <w:rPr>
          <w:rFonts w:ascii="宋体" w:hAnsi="宋体" w:cs="宋体" w:eastAsia="宋体" w:hint="default"/>
          <w:spacing w:val="-2"/>
          <w:sz w:val="18"/>
          <w:szCs w:val="18"/>
        </w:rPr>
        <w:t>的股本的</w:t>
      </w:r>
      <w:r>
        <w:rPr>
          <w:rFonts w:ascii="Times New Roman" w:hAnsi="Times New Roman" w:cs="Times New Roman" w:eastAsia="Times New Roman" w:hint="default"/>
          <w:spacing w:val="-2"/>
          <w:sz w:val="18"/>
          <w:szCs w:val="18"/>
        </w:rPr>
        <w:t>4.67%</w:t>
      </w:r>
      <w:r>
        <w:rPr>
          <w:rFonts w:ascii="宋体" w:hAnsi="宋体" w:cs="宋体" w:eastAsia="宋体" w:hint="default"/>
          <w:spacing w:val="-2"/>
          <w:sz w:val="18"/>
          <w:szCs w:val="18"/>
        </w:rPr>
        <w:t>。该公司于</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24</w:t>
      </w:r>
      <w:r>
        <w:rPr>
          <w:rFonts w:ascii="宋体" w:hAnsi="宋体" w:cs="宋体" w:eastAsia="宋体" w:hint="default"/>
          <w:spacing w:val="-2"/>
          <w:sz w:val="18"/>
          <w:szCs w:val="18"/>
        </w:rPr>
        <w:t>日，在全国中小企业股份转让系统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即</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新三板</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挂牌公开转让。证券简称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华菱西厨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p>
    <w:p>
      <w:pPr>
        <w:spacing w:before="63"/>
        <w:ind w:left="152" w:right="94" w:firstLine="0"/>
        <w:jc w:val="left"/>
        <w:rPr>
          <w:rFonts w:ascii="宋体" w:hAnsi="宋体" w:cs="宋体" w:eastAsia="宋体" w:hint="default"/>
          <w:sz w:val="18"/>
          <w:szCs w:val="18"/>
        </w:rPr>
      </w:pPr>
      <w:r>
        <w:rPr>
          <w:rFonts w:ascii="宋体" w:hAnsi="宋体" w:cs="宋体" w:eastAsia="宋体" w:hint="default"/>
          <w:sz w:val="18"/>
          <w:szCs w:val="18"/>
        </w:rPr>
        <w:t>证券代码</w:t>
      </w:r>
      <w:r>
        <w:rPr>
          <w:rFonts w:ascii="Times New Roman" w:hAnsi="Times New Roman" w:cs="Times New Roman" w:eastAsia="Times New Roman" w:hint="default"/>
          <w:sz w:val="18"/>
          <w:szCs w:val="18"/>
        </w:rPr>
        <w:t>“430582”</w:t>
      </w:r>
      <w:r>
        <w:rPr>
          <w:rFonts w:ascii="宋体" w:hAnsi="宋体" w:cs="宋体" w:eastAsia="宋体" w:hint="default"/>
          <w:sz w:val="18"/>
          <w:szCs w:val="18"/>
        </w:rPr>
        <w:t>。</w:t>
      </w:r>
    </w:p>
    <w:p>
      <w:pPr>
        <w:spacing w:line="240" w:lineRule="auto" w:before="2"/>
        <w:rPr>
          <w:rFonts w:ascii="宋体" w:hAnsi="宋体" w:cs="宋体" w:eastAsia="宋体" w:hint="default"/>
          <w:sz w:val="26"/>
          <w:szCs w:val="26"/>
        </w:rPr>
      </w:pPr>
    </w:p>
    <w:p>
      <w:pPr>
        <w:spacing w:before="0"/>
        <w:ind w:left="15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、委托理财、衍生品投资和委托贷款情况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74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公司报告期不存在委托理财。</w:t>
      </w:r>
    </w:p>
    <w:p>
      <w:pPr>
        <w:spacing w:line="240" w:lineRule="auto" w:before="7"/>
        <w:rPr>
          <w:rFonts w:ascii="宋体" w:hAnsi="宋体" w:cs="宋体" w:eastAsia="宋体" w:hint="default"/>
          <w:sz w:val="21"/>
          <w:szCs w:val="21"/>
        </w:rPr>
      </w:pPr>
    </w:p>
    <w:p>
      <w:pPr>
        <w:spacing w:before="0"/>
        <w:ind w:left="15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）衍生品投资情况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40" w:lineRule="auto" w:before="0"/>
        <w:ind w:left="152" w:right="72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公司报告期不存在衍生品投资。</w:t>
      </w:r>
    </w:p>
    <w:p>
      <w:pPr>
        <w:spacing w:after="0" w:line="34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spacing w:before="36"/>
        <w:ind w:left="152" w:right="75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75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7"/>
        <w:rPr>
          <w:rFonts w:ascii="宋体" w:hAnsi="宋体" w:cs="宋体" w:eastAsia="宋体" w:hint="default"/>
          <w:sz w:val="21"/>
          <w:szCs w:val="21"/>
        </w:rPr>
      </w:pPr>
    </w:p>
    <w:p>
      <w:pPr>
        <w:spacing w:before="0"/>
        <w:ind w:left="152" w:right="75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公司报告期无募集资金使用情况。</w:t>
      </w:r>
    </w:p>
    <w:p>
      <w:pPr>
        <w:spacing w:line="240" w:lineRule="auto" w:before="8"/>
        <w:rPr>
          <w:rFonts w:ascii="宋体" w:hAnsi="宋体" w:cs="宋体" w:eastAsia="宋体" w:hint="default"/>
          <w:sz w:val="21"/>
          <w:szCs w:val="21"/>
        </w:rPr>
      </w:pPr>
    </w:p>
    <w:p>
      <w:pPr>
        <w:spacing w:before="0"/>
        <w:ind w:left="152" w:right="64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、主要子公司、参股公司分析</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00"/>
        </w:sectPr>
      </w:pPr>
    </w:p>
    <w:p>
      <w:pPr>
        <w:spacing w:line="340" w:lineRule="auto" w:before="44"/>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00"/>
          <w:cols w:num="2" w:equalWidth="0">
            <w:col w:w="2313" w:space="6607"/>
            <w:col w:w="11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60"/>
        <w:gridCol w:w="958"/>
        <w:gridCol w:w="956"/>
        <w:gridCol w:w="958"/>
        <w:gridCol w:w="958"/>
        <w:gridCol w:w="956"/>
        <w:gridCol w:w="958"/>
        <w:gridCol w:w="956"/>
        <w:gridCol w:w="958"/>
        <w:gridCol w:w="958"/>
      </w:tblGrid>
      <w:tr>
        <w:trPr>
          <w:trHeight w:val="713"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2" w:right="23" w:hanging="269"/>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both"/>
              <w:rPr>
                <w:rFonts w:ascii="宋体" w:hAnsi="宋体" w:cs="宋体" w:eastAsia="宋体" w:hint="default"/>
                <w:sz w:val="18"/>
                <w:szCs w:val="18"/>
              </w:rPr>
            </w:pPr>
            <w:r>
              <w:rPr>
                <w:rFonts w:ascii="宋体" w:hAnsi="宋体" w:cs="宋体" w:eastAsia="宋体" w:hint="default"/>
                <w:sz w:val="18"/>
                <w:szCs w:val="18"/>
              </w:rPr>
              <w:t>重庆隆泰稀 土新材料有 限责任公司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金属制品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ＰＣ钢绞线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330,809,788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54,563,191.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303,942,059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1,009,818.1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1,119,527.8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r>
    </w:tbl>
    <w:p>
      <w:pPr>
        <w:spacing w:before="49"/>
        <w:ind w:left="152" w:right="6434"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w:t>
      </w:r>
    </w:p>
    <w:p>
      <w:pPr>
        <w:pStyle w:val="BodyText"/>
        <w:spacing w:line="312" w:lineRule="exact" w:before="97"/>
        <w:ind w:right="98" w:firstLine="434"/>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日，本公司第一届董事会十五次会议审议通过了《关于设立全资子公司的议 </w:t>
      </w:r>
      <w:r>
        <w:rPr>
          <w:spacing w:val="-6"/>
        </w:rPr>
        <w:t>案》。根据协议、章程的规定，拟设全资子公司隆泰稀土注册资本为人民币</w:t>
      </w:r>
      <w:r>
        <w:rPr>
          <w:rFonts w:ascii="Times New Roman" w:hAnsi="Times New Roman" w:cs="Times New Roman" w:eastAsia="Times New Roman" w:hint="default"/>
          <w:spacing w:val="-6"/>
        </w:rPr>
        <w:t>1,000</w:t>
      </w:r>
      <w:r>
        <w:rPr>
          <w:spacing w:val="-6"/>
        </w:rPr>
        <w:t>万元，于</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45"/>
        </w:rPr>
        <w:t> </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8</w:t>
      </w:r>
      <w:r>
        <w:rPr>
          <w:spacing w:val="-3"/>
        </w:rPr>
        <w:t>日前由本公司一次缴足。截至</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8</w:t>
      </w:r>
      <w:r>
        <w:rPr>
          <w:spacing w:val="-3"/>
        </w:rPr>
        <w:t>日止，公司已向隆泰稀土货币出资</w:t>
      </w:r>
      <w:r>
        <w:rPr>
          <w:rFonts w:ascii="Times New Roman" w:hAnsi="Times New Roman" w:cs="Times New Roman" w:eastAsia="Times New Roman" w:hint="default"/>
          <w:spacing w:val="-3"/>
        </w:rPr>
        <w:t>1,000</w:t>
      </w:r>
      <w:r>
        <w:rPr>
          <w:spacing w:val="-3"/>
        </w:rPr>
        <w:t>万元。</w:t>
      </w:r>
      <w:r>
        <w:rPr/>
        <w:t>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日，隆泰稀土取得了重庆市武隆县工商行政管理局颁发的企业法人营业执照。</w:t>
      </w:r>
    </w:p>
    <w:p>
      <w:pPr>
        <w:pStyle w:val="BodyText"/>
        <w:spacing w:line="312" w:lineRule="exact"/>
        <w:ind w:right="228" w:firstLine="434"/>
        <w:jc w:val="both"/>
      </w:pP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10</w:t>
      </w:r>
      <w:r>
        <w:rPr>
          <w:spacing w:val="-1"/>
        </w:rPr>
        <w:t>日，本公司</w:t>
      </w:r>
      <w:r>
        <w:rPr>
          <w:rFonts w:ascii="Times New Roman" w:hAnsi="Times New Roman" w:cs="Times New Roman" w:eastAsia="Times New Roman" w:hint="default"/>
          <w:spacing w:val="-1"/>
        </w:rPr>
        <w:t>2011</w:t>
      </w:r>
      <w:r>
        <w:rPr>
          <w:spacing w:val="-1"/>
        </w:rPr>
        <w:t>年第一次临时股东大会审议通过了《关于使用部分超募资金</w:t>
      </w:r>
      <w:r>
        <w:rPr/>
        <w:t> </w:t>
      </w:r>
      <w:r>
        <w:rPr>
          <w:spacing w:val="2"/>
        </w:rPr>
        <w:t>对全资子公司增资以实施年产</w:t>
      </w:r>
      <w:r>
        <w:rPr>
          <w:rFonts w:ascii="Times New Roman" w:hAnsi="Times New Roman" w:cs="Times New Roman" w:eastAsia="Times New Roman" w:hint="default"/>
          <w:spacing w:val="2"/>
        </w:rPr>
        <w:t>6</w:t>
      </w:r>
      <w:r>
        <w:rPr>
          <w:spacing w:val="2"/>
        </w:rPr>
        <w:t>万吨高铁</w:t>
      </w:r>
      <w:r>
        <w:rPr>
          <w:rFonts w:ascii="Times New Roman" w:hAnsi="Times New Roman" w:cs="Times New Roman" w:eastAsia="Times New Roman" w:hint="default"/>
          <w:spacing w:val="2"/>
        </w:rPr>
        <w:t>PC</w:t>
      </w:r>
      <w:r>
        <w:rPr>
          <w:spacing w:val="2"/>
        </w:rPr>
        <w:t>制品项目的议案》，决定对隆泰稀土以货币增资</w:t>
      </w:r>
      <w:r>
        <w:rPr>
          <w:spacing w:val="-117"/>
        </w:rPr>
        <w:t> </w:t>
      </w:r>
      <w:r>
        <w:rPr>
          <w:spacing w:val="-117"/>
        </w:rPr>
      </w:r>
      <w:r>
        <w:rPr>
          <w:spacing w:val="-2"/>
        </w:rPr>
        <w:t>人民币</w:t>
      </w:r>
      <w:r>
        <w:rPr>
          <w:rFonts w:ascii="Times New Roman" w:hAnsi="Times New Roman" w:cs="Times New Roman" w:eastAsia="Times New Roman" w:hint="default"/>
          <w:spacing w:val="-2"/>
        </w:rPr>
        <w:t>4,000</w:t>
      </w:r>
      <w:r>
        <w:rPr>
          <w:spacing w:val="-2"/>
        </w:rPr>
        <w:t>万元。截至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22</w:t>
      </w:r>
      <w:r>
        <w:rPr>
          <w:spacing w:val="-2"/>
        </w:rPr>
        <w:t>日止，公司向隆泰稀土货币增资</w:t>
      </w:r>
      <w:r>
        <w:rPr>
          <w:rFonts w:ascii="Times New Roman" w:hAnsi="Times New Roman" w:cs="Times New Roman" w:eastAsia="Times New Roman" w:hint="default"/>
          <w:spacing w:val="-2"/>
        </w:rPr>
        <w:t>4,000</w:t>
      </w:r>
      <w:r>
        <w:rPr>
          <w:spacing w:val="-2"/>
        </w:rPr>
        <w:t>万元。</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19</w:t>
      </w:r>
      <w:r>
        <w:rPr>
          <w:rFonts w:ascii="Times New Roman" w:hAnsi="Times New Roman" w:cs="Times New Roman" w:eastAsia="Times New Roman" w:hint="default"/>
          <w:spacing w:val="-36"/>
        </w:rPr>
        <w:t> </w:t>
      </w:r>
      <w:r>
        <w:rPr/>
        <w:t>日取得增资后的营业执照。</w:t>
      </w:r>
    </w:p>
    <w:p>
      <w:pPr>
        <w:spacing w:line="240" w:lineRule="auto" w:before="5"/>
        <w:rPr>
          <w:rFonts w:ascii="宋体" w:hAnsi="宋体" w:cs="宋体" w:eastAsia="宋体" w:hint="default"/>
          <w:sz w:val="28"/>
          <w:szCs w:val="28"/>
        </w:rPr>
      </w:pPr>
    </w:p>
    <w:p>
      <w:pPr>
        <w:spacing w:before="0"/>
        <w:ind w:left="152" w:right="6434"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2" w:right="75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64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、非募集资金投资的重大项目情况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公司报告期无非募集资金投资的重大项目。</w:t>
      </w:r>
    </w:p>
    <w:p>
      <w:pPr>
        <w:spacing w:line="240" w:lineRule="auto" w:before="6"/>
        <w:rPr>
          <w:rFonts w:ascii="宋体" w:hAnsi="宋体" w:cs="宋体" w:eastAsia="宋体" w:hint="default"/>
          <w:sz w:val="19"/>
          <w:szCs w:val="19"/>
        </w:rPr>
      </w:pPr>
    </w:p>
    <w:p>
      <w:pPr>
        <w:pStyle w:val="Heading3"/>
        <w:spacing w:line="240" w:lineRule="auto"/>
        <w:ind w:right="98"/>
        <w:jc w:val="left"/>
        <w:rPr>
          <w:b w:val="0"/>
          <w:bCs w:val="0"/>
        </w:rPr>
      </w:pPr>
      <w:r>
        <w:rPr/>
        <w:t>七、公司控制的特殊目的主体情况</w:t>
      </w:r>
      <w:r>
        <w:rPr>
          <w:b w:val="0"/>
          <w:bCs w:val="0"/>
        </w:rPr>
      </w:r>
    </w:p>
    <w:p>
      <w:pPr>
        <w:spacing w:line="240" w:lineRule="auto" w:before="7"/>
        <w:rPr>
          <w:rFonts w:ascii="宋体" w:hAnsi="宋体" w:cs="宋体" w:eastAsia="宋体" w:hint="default"/>
          <w:b/>
          <w:bCs/>
          <w:sz w:val="26"/>
          <w:szCs w:val="26"/>
        </w:rPr>
      </w:pPr>
    </w:p>
    <w:p>
      <w:pPr>
        <w:spacing w:before="0"/>
        <w:ind w:left="152" w:right="75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900"/>
        </w:sectPr>
      </w:pPr>
    </w:p>
    <w:p>
      <w:pPr>
        <w:spacing w:line="240" w:lineRule="auto" w:before="8"/>
        <w:rPr>
          <w:rFonts w:ascii="宋体" w:hAnsi="宋体" w:cs="宋体" w:eastAsia="宋体" w:hint="default"/>
          <w:sz w:val="23"/>
          <w:szCs w:val="23"/>
        </w:rPr>
      </w:pPr>
    </w:p>
    <w:p>
      <w:pPr>
        <w:pStyle w:val="Heading3"/>
        <w:spacing w:line="240" w:lineRule="auto" w:before="26"/>
        <w:ind w:right="0"/>
        <w:jc w:val="both"/>
        <w:rPr>
          <w:b w:val="0"/>
          <w:bCs w:val="0"/>
        </w:rPr>
      </w:pPr>
      <w:r>
        <w:rPr/>
        <w:t>八、公司未来发展的展望</w:t>
      </w:r>
      <w:r>
        <w:rPr>
          <w:b w:val="0"/>
          <w:bCs w:val="0"/>
        </w:rPr>
      </w:r>
    </w:p>
    <w:p>
      <w:pPr>
        <w:spacing w:line="240" w:lineRule="auto" w:before="12"/>
        <w:rPr>
          <w:rFonts w:ascii="宋体" w:hAnsi="宋体" w:cs="宋体" w:eastAsia="宋体" w:hint="default"/>
          <w:b/>
          <w:bCs/>
          <w:sz w:val="24"/>
          <w:szCs w:val="24"/>
        </w:rPr>
      </w:pPr>
    </w:p>
    <w:p>
      <w:pPr>
        <w:spacing w:before="0"/>
        <w:ind w:left="573" w:right="14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、行业所处的发展趋势及面临的市场竞争格局</w:t>
      </w:r>
    </w:p>
    <w:p>
      <w:pPr>
        <w:spacing w:line="256" w:lineRule="auto" w:before="21"/>
        <w:ind w:left="657" w:right="144" w:hanging="84"/>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）稀土镀层钢丝、钢绞线产品</w:t>
      </w:r>
      <w:r>
        <w:rPr>
          <w:rFonts w:ascii="宋体" w:hAnsi="宋体" w:cs="宋体" w:eastAsia="宋体" w:hint="default"/>
          <w:w w:val="100"/>
          <w:sz w:val="21"/>
          <w:szCs w:val="21"/>
        </w:rPr>
        <w:t> </w:t>
      </w:r>
      <w:r>
        <w:rPr>
          <w:rFonts w:ascii="宋体" w:hAnsi="宋体" w:cs="宋体" w:eastAsia="宋体" w:hint="default"/>
          <w:sz w:val="21"/>
          <w:szCs w:val="21"/>
        </w:rPr>
        <w:t>公司依靠核心技术稀土镀层技术研发的稀土镀层钢丝、钢绞线产品已经占据了一定的市场份额，产</w:t>
      </w:r>
    </w:p>
    <w:p>
      <w:pPr>
        <w:spacing w:line="264" w:lineRule="auto" w:before="22"/>
        <w:ind w:left="152" w:right="147" w:firstLine="0"/>
        <w:jc w:val="both"/>
        <w:rPr>
          <w:rFonts w:ascii="宋体" w:hAnsi="宋体" w:cs="宋体" w:eastAsia="宋体" w:hint="default"/>
          <w:sz w:val="21"/>
          <w:szCs w:val="21"/>
        </w:rPr>
      </w:pPr>
      <w:r>
        <w:rPr>
          <w:rFonts w:ascii="宋体" w:hAnsi="宋体" w:cs="宋体" w:eastAsia="宋体" w:hint="default"/>
          <w:spacing w:val="-4"/>
          <w:sz w:val="21"/>
          <w:szCs w:val="21"/>
        </w:rPr>
        <w:t>品主要销售对象为国家电网用于国内电网建设。国家</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十二五</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规划中指出：</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适应大规模跨区输电和新能源</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2"/>
          <w:sz w:val="21"/>
          <w:szCs w:val="21"/>
        </w:rPr>
        <w:t>发电并网的要求，加快现代电网体系建设，进一步扩大西电东送规模，完善区域主干电网，发展特高压等</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大容量、高效率、远距离先进输电技术，依托信息、控制和储能等先进技术，推进智能电网建设，切实加</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强城乡电网建设与改造，增强电网优化配置电力能力和供电可靠性</w:t>
      </w:r>
      <w:r>
        <w:rPr>
          <w:rFonts w:ascii="Times New Roman" w:hAnsi="Times New Roman" w:cs="Times New Roman" w:eastAsia="Times New Roman" w:hint="default"/>
          <w:sz w:val="21"/>
          <w:szCs w:val="21"/>
        </w:rPr>
        <w:t>”</w:t>
      </w:r>
      <w:r>
        <w:rPr>
          <w:rFonts w:ascii="宋体" w:hAnsi="宋体" w:cs="宋体" w:eastAsia="宋体" w:hint="default"/>
          <w:sz w:val="21"/>
          <w:szCs w:val="21"/>
        </w:rPr>
        <w:t>。由此可见，特高压和智能电网建设</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pacing w:val="-2"/>
          <w:sz w:val="21"/>
          <w:szCs w:val="21"/>
        </w:rPr>
        <w:t>将是</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十二五</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期间国家电网建设的重点。</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十二五</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期间，国家电网公司预计投资超过</w:t>
      </w:r>
      <w:r>
        <w:rPr>
          <w:rFonts w:ascii="Times New Roman" w:hAnsi="Times New Roman" w:cs="Times New Roman" w:eastAsia="Times New Roman" w:hint="default"/>
          <w:spacing w:val="-2"/>
          <w:sz w:val="21"/>
          <w:szCs w:val="21"/>
        </w:rPr>
        <w:t>1.7</w:t>
      </w:r>
      <w:r>
        <w:rPr>
          <w:rFonts w:ascii="宋体" w:hAnsi="宋体" w:cs="宋体" w:eastAsia="宋体" w:hint="default"/>
          <w:spacing w:val="-2"/>
          <w:sz w:val="21"/>
          <w:szCs w:val="21"/>
        </w:rPr>
        <w:t>万亿元用于建设以</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sz w:val="21"/>
          <w:szCs w:val="21"/>
        </w:rPr>
        <w:t>特高压电网为骨干网架、各级电网协调发展，具有信息化、自动化、互动化特征的自主创新、国际领先的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智能电网。</w:t>
      </w:r>
    </w:p>
    <w:p>
      <w:pPr>
        <w:spacing w:line="273" w:lineRule="auto" w:before="16"/>
        <w:ind w:left="152" w:right="146" w:firstLine="420"/>
        <w:jc w:val="both"/>
        <w:rPr>
          <w:rFonts w:ascii="宋体" w:hAnsi="宋体" w:cs="宋体" w:eastAsia="宋体" w:hint="default"/>
          <w:sz w:val="21"/>
          <w:szCs w:val="21"/>
        </w:rPr>
      </w:pPr>
      <w:r>
        <w:rPr>
          <w:rFonts w:ascii="宋体" w:hAnsi="宋体" w:cs="宋体" w:eastAsia="宋体" w:hint="default"/>
          <w:spacing w:val="-2"/>
          <w:sz w:val="21"/>
          <w:szCs w:val="21"/>
        </w:rPr>
        <w:t>从国家电网的投资规划中可以看出特高压和智能电网投资力度将是未来国家电网投资重点，我公司产</w:t>
      </w:r>
      <w:r>
        <w:rPr>
          <w:rFonts w:ascii="宋体" w:hAnsi="宋体" w:cs="宋体" w:eastAsia="宋体" w:hint="default"/>
          <w:w w:val="100"/>
          <w:sz w:val="21"/>
          <w:szCs w:val="21"/>
        </w:rPr>
        <w:t> </w:t>
      </w:r>
      <w:r>
        <w:rPr>
          <w:rFonts w:ascii="宋体" w:hAnsi="宋体" w:cs="宋体" w:eastAsia="宋体" w:hint="default"/>
          <w:spacing w:val="-2"/>
          <w:sz w:val="21"/>
          <w:szCs w:val="21"/>
        </w:rPr>
        <w:t>品曾多次在特高压和智能电网重点示范工程中标，产品技术水平和质量获得广泛认可。并且随着全国性城</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镇化建设、农网改造规划全面开展，也将给公司产品带来新的发展机遇。</w:t>
      </w:r>
    </w:p>
    <w:p>
      <w:pPr>
        <w:spacing w:line="256" w:lineRule="auto" w:before="7"/>
        <w:ind w:left="573" w:right="14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PC</w:t>
      </w:r>
      <w:r>
        <w:rPr>
          <w:rFonts w:ascii="宋体" w:hAnsi="宋体" w:cs="宋体" w:eastAsia="宋体" w:hint="default"/>
          <w:sz w:val="21"/>
          <w:szCs w:val="21"/>
        </w:rPr>
        <w:t>钢绞线产品</w:t>
      </w:r>
      <w:r>
        <w:rPr>
          <w:rFonts w:ascii="宋体" w:hAnsi="宋体" w:cs="宋体" w:eastAsia="宋体" w:hint="default"/>
          <w:w w:val="100"/>
          <w:sz w:val="21"/>
          <w:szCs w:val="21"/>
        </w:rPr>
        <w:t> </w:t>
      </w:r>
      <w:r>
        <w:rPr>
          <w:rFonts w:ascii="宋体" w:hAnsi="宋体" w:cs="宋体" w:eastAsia="宋体" w:hint="default"/>
          <w:spacing w:val="-1"/>
          <w:sz w:val="21"/>
          <w:szCs w:val="21"/>
        </w:rPr>
        <w:t>公司</w:t>
      </w: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年度上马的新产品</w:t>
      </w:r>
      <w:r>
        <w:rPr>
          <w:rFonts w:ascii="Times New Roman" w:hAnsi="Times New Roman" w:cs="Times New Roman" w:eastAsia="Times New Roman" w:hint="default"/>
          <w:spacing w:val="-1"/>
          <w:sz w:val="21"/>
          <w:szCs w:val="21"/>
        </w:rPr>
        <w:t>PC</w:t>
      </w:r>
      <w:r>
        <w:rPr>
          <w:rFonts w:ascii="宋体" w:hAnsi="宋体" w:cs="宋体" w:eastAsia="宋体" w:hint="default"/>
          <w:spacing w:val="-1"/>
          <w:sz w:val="21"/>
          <w:szCs w:val="21"/>
        </w:rPr>
        <w:t>钢绞线主要应用于水利、铁路、桥梁、地铁、机场等基础建设。</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十二</w:t>
      </w:r>
    </w:p>
    <w:p>
      <w:pPr>
        <w:spacing w:line="264" w:lineRule="auto" w:before="5"/>
        <w:ind w:left="152" w:right="146" w:firstLine="0"/>
        <w:jc w:val="both"/>
        <w:rPr>
          <w:rFonts w:ascii="宋体" w:hAnsi="宋体" w:cs="宋体" w:eastAsia="宋体"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w:t>
      </w:r>
      <w:r>
        <w:rPr>
          <w:rFonts w:ascii="宋体" w:hAnsi="宋体" w:cs="宋体" w:eastAsia="宋体" w:hint="default"/>
          <w:sz w:val="21"/>
          <w:szCs w:val="21"/>
        </w:rPr>
        <w:t>期间，全社会固定资产投资规模预计仍将较快增长，包括铁路、公路、交通、能源、电网等国家建设</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2"/>
          <w:sz w:val="21"/>
          <w:szCs w:val="21"/>
        </w:rPr>
        <w:t>项目和地方建设项目仍然是主要投资方向，此外，产业结构调整和增长方式转变以及战略性新兴产业的快</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速发展、西部大开发、</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一带一路</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建设等国家战略的进一步实施，必将为公司所处的金属制品行业创造良</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2"/>
          <w:sz w:val="21"/>
          <w:szCs w:val="21"/>
        </w:rPr>
        <w:t>好的宏观经济环境，尤其是国家为了保持经济的稳定性，将重点加快铁路建设尤其是西部铁路的建设，这</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些机遇将使公司新产品</w:t>
      </w:r>
      <w:r>
        <w:rPr>
          <w:rFonts w:ascii="Times New Roman" w:hAnsi="Times New Roman" w:cs="Times New Roman" w:eastAsia="Times New Roman" w:hint="default"/>
          <w:sz w:val="21"/>
          <w:szCs w:val="21"/>
        </w:rPr>
        <w:t>PC</w:t>
      </w:r>
      <w:r>
        <w:rPr>
          <w:rFonts w:ascii="宋体" w:hAnsi="宋体" w:cs="宋体" w:eastAsia="宋体" w:hint="default"/>
          <w:sz w:val="21"/>
          <w:szCs w:val="21"/>
        </w:rPr>
        <w:t>钢绞线随之受益。</w:t>
      </w:r>
    </w:p>
    <w:p>
      <w:pPr>
        <w:spacing w:line="240" w:lineRule="auto" w:before="9"/>
        <w:rPr>
          <w:rFonts w:ascii="宋体" w:hAnsi="宋体" w:cs="宋体" w:eastAsia="宋体" w:hint="default"/>
          <w:sz w:val="23"/>
          <w:szCs w:val="23"/>
        </w:rPr>
      </w:pPr>
    </w:p>
    <w:p>
      <w:pPr>
        <w:spacing w:line="256" w:lineRule="auto" w:before="0"/>
        <w:ind w:left="573" w:right="14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、发展战略</w:t>
      </w:r>
      <w:r>
        <w:rPr>
          <w:rFonts w:ascii="宋体" w:hAnsi="宋体" w:cs="宋体" w:eastAsia="宋体" w:hint="default"/>
          <w:w w:val="100"/>
          <w:sz w:val="21"/>
          <w:szCs w:val="21"/>
        </w:rPr>
        <w:t> </w:t>
      </w:r>
      <w:r>
        <w:rPr>
          <w:rFonts w:ascii="宋体" w:hAnsi="宋体" w:cs="宋体" w:eastAsia="宋体" w:hint="default"/>
          <w:spacing w:val="-2"/>
          <w:sz w:val="21"/>
          <w:szCs w:val="21"/>
        </w:rPr>
        <w:t>在未来的经营中，公司将紧紧围绕电力行业和基建行业</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十二五规划</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为金属制品行业带来的机遇，继</w:t>
      </w:r>
    </w:p>
    <w:p>
      <w:pPr>
        <w:spacing w:line="273" w:lineRule="auto" w:before="5"/>
        <w:ind w:left="152" w:right="146" w:firstLine="0"/>
        <w:jc w:val="both"/>
        <w:rPr>
          <w:rFonts w:ascii="宋体" w:hAnsi="宋体" w:cs="宋体" w:eastAsia="宋体" w:hint="default"/>
          <w:sz w:val="21"/>
          <w:szCs w:val="21"/>
        </w:rPr>
      </w:pPr>
      <w:r>
        <w:rPr>
          <w:rFonts w:ascii="宋体" w:hAnsi="宋体" w:cs="宋体" w:eastAsia="宋体" w:hint="default"/>
          <w:spacing w:val="-2"/>
          <w:sz w:val="21"/>
          <w:szCs w:val="21"/>
        </w:rPr>
        <w:t>续稳固国内市场地位，大力实施国际化战略，扩大产能和销量，不断扩大公司在国内和国际上的影响力和</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占有率，将公司做大做强。</w:t>
      </w:r>
    </w:p>
    <w:p>
      <w:pPr>
        <w:spacing w:line="273" w:lineRule="auto" w:before="7"/>
        <w:ind w:left="152" w:right="124" w:firstLine="420"/>
        <w:jc w:val="both"/>
        <w:rPr>
          <w:rFonts w:ascii="宋体" w:hAnsi="宋体" w:cs="宋体" w:eastAsia="宋体" w:hint="default"/>
          <w:sz w:val="21"/>
          <w:szCs w:val="21"/>
        </w:rPr>
      </w:pPr>
      <w:r>
        <w:rPr>
          <w:rFonts w:ascii="宋体" w:hAnsi="宋体" w:cs="宋体" w:eastAsia="宋体" w:hint="default"/>
          <w:spacing w:val="-2"/>
          <w:sz w:val="21"/>
          <w:szCs w:val="21"/>
        </w:rPr>
        <w:t>同时公司作为国家级高新技术企业，将继续加大研发投入和市场调研，以现有稀土镀层技术为核心，</w:t>
      </w:r>
      <w:r>
        <w:rPr>
          <w:rFonts w:ascii="宋体" w:hAnsi="宋体" w:cs="宋体" w:eastAsia="宋体" w:hint="default"/>
          <w:w w:val="100"/>
          <w:sz w:val="21"/>
          <w:szCs w:val="21"/>
        </w:rPr>
        <w:t> </w:t>
      </w:r>
      <w:r>
        <w:rPr>
          <w:rFonts w:ascii="宋体" w:hAnsi="宋体" w:cs="宋体" w:eastAsia="宋体" w:hint="default"/>
          <w:sz w:val="21"/>
          <w:szCs w:val="21"/>
        </w:rPr>
        <w:t>抓住市场机遇，拓宽应用领域，不断取得更好更快的发展。</w:t>
      </w:r>
    </w:p>
    <w:p>
      <w:pPr>
        <w:spacing w:line="240" w:lineRule="auto" w:before="6"/>
        <w:rPr>
          <w:rFonts w:ascii="宋体" w:hAnsi="宋体" w:cs="宋体" w:eastAsia="宋体" w:hint="default"/>
          <w:sz w:val="24"/>
          <w:szCs w:val="24"/>
        </w:rPr>
      </w:pPr>
    </w:p>
    <w:p>
      <w:pPr>
        <w:spacing w:line="259" w:lineRule="auto" w:before="0"/>
        <w:ind w:left="573" w:right="14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2015</w:t>
      </w:r>
      <w:r>
        <w:rPr>
          <w:rFonts w:ascii="宋体" w:hAnsi="宋体" w:cs="宋体" w:eastAsia="宋体" w:hint="default"/>
          <w:sz w:val="21"/>
          <w:szCs w:val="21"/>
        </w:rPr>
        <w:t>年公司经营计划</w:t>
      </w:r>
      <w:r>
        <w:rPr>
          <w:rFonts w:ascii="宋体" w:hAnsi="宋体" w:cs="宋体" w:eastAsia="宋体" w:hint="default"/>
          <w:w w:val="100"/>
          <w:sz w:val="21"/>
          <w:szCs w:val="21"/>
        </w:rPr>
        <w:t> </w:t>
      </w:r>
      <w:r>
        <w:rPr>
          <w:rFonts w:ascii="宋体" w:hAnsi="宋体" w:cs="宋体" w:eastAsia="宋体" w:hint="default"/>
          <w:spacing w:val="-3"/>
          <w:sz w:val="21"/>
          <w:szCs w:val="21"/>
        </w:rPr>
        <w:t>公司将继续稳中求进，聚集核心竞争力，提升经济增长的质量和效益，稳健投资决策和发展步伐，坚</w:t>
      </w:r>
    </w:p>
    <w:p>
      <w:pPr>
        <w:spacing w:before="20"/>
        <w:ind w:left="152" w:right="0" w:firstLine="0"/>
        <w:jc w:val="both"/>
        <w:rPr>
          <w:rFonts w:ascii="宋体" w:hAnsi="宋体" w:cs="宋体" w:eastAsia="宋体" w:hint="default"/>
          <w:sz w:val="21"/>
          <w:szCs w:val="21"/>
        </w:rPr>
      </w:pPr>
      <w:r>
        <w:rPr>
          <w:rFonts w:ascii="宋体" w:hAnsi="宋体" w:cs="宋体" w:eastAsia="宋体" w:hint="default"/>
          <w:sz w:val="21"/>
          <w:szCs w:val="21"/>
        </w:rPr>
        <w:t>持创新理念，提高公司发展的全面性、协调性和可持续性。</w:t>
      </w:r>
    </w:p>
    <w:p>
      <w:pPr>
        <w:spacing w:line="273" w:lineRule="auto" w:before="37"/>
        <w:ind w:left="573" w:right="144" w:firstLine="0"/>
        <w:jc w:val="left"/>
        <w:rPr>
          <w:rFonts w:ascii="宋体" w:hAnsi="宋体" w:cs="宋体" w:eastAsia="宋体" w:hint="default"/>
          <w:sz w:val="21"/>
          <w:szCs w:val="21"/>
        </w:rPr>
      </w:pPr>
      <w:r>
        <w:rPr>
          <w:rFonts w:ascii="宋体" w:hAnsi="宋体" w:cs="宋体" w:eastAsia="宋体" w:hint="default"/>
          <w:sz w:val="21"/>
          <w:szCs w:val="21"/>
        </w:rPr>
        <w:t>①立足主业，巩固优势，促进转型升级</w:t>
      </w:r>
      <w:r>
        <w:rPr>
          <w:rFonts w:ascii="宋体" w:hAnsi="宋体" w:cs="宋体" w:eastAsia="宋体" w:hint="default"/>
          <w:w w:val="100"/>
          <w:sz w:val="21"/>
          <w:szCs w:val="21"/>
        </w:rPr>
        <w:t> </w:t>
      </w:r>
      <w:r>
        <w:rPr>
          <w:rFonts w:ascii="宋体" w:hAnsi="宋体" w:cs="宋体" w:eastAsia="宋体" w:hint="default"/>
          <w:spacing w:val="-2"/>
          <w:sz w:val="21"/>
          <w:szCs w:val="21"/>
        </w:rPr>
        <w:t>公司在</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年的基础上，要重点抓好产能的发挥，做精做优金属制品主业，巩固现有优势，促进产品</w:t>
      </w:r>
    </w:p>
    <w:p>
      <w:pPr>
        <w:spacing w:line="261" w:lineRule="exact" w:before="0"/>
        <w:ind w:left="152" w:right="0" w:firstLine="0"/>
        <w:jc w:val="both"/>
        <w:rPr>
          <w:rFonts w:ascii="宋体" w:hAnsi="宋体" w:cs="宋体" w:eastAsia="宋体" w:hint="default"/>
          <w:sz w:val="21"/>
          <w:szCs w:val="21"/>
        </w:rPr>
      </w:pPr>
      <w:r>
        <w:rPr>
          <w:rFonts w:ascii="宋体" w:hAnsi="宋体" w:cs="宋体" w:eastAsia="宋体" w:hint="default"/>
          <w:sz w:val="21"/>
          <w:szCs w:val="21"/>
        </w:rPr>
        <w:t>转型升级，推进公司健康发展。</w:t>
      </w:r>
    </w:p>
    <w:p>
      <w:pPr>
        <w:spacing w:line="273" w:lineRule="auto" w:before="37"/>
        <w:ind w:left="573" w:right="144" w:firstLine="0"/>
        <w:jc w:val="left"/>
        <w:rPr>
          <w:rFonts w:ascii="宋体" w:hAnsi="宋体" w:cs="宋体" w:eastAsia="宋体" w:hint="default"/>
          <w:sz w:val="21"/>
          <w:szCs w:val="21"/>
        </w:rPr>
      </w:pPr>
      <w:r>
        <w:rPr>
          <w:rFonts w:ascii="宋体" w:hAnsi="宋体" w:cs="宋体" w:eastAsia="宋体" w:hint="default"/>
          <w:sz w:val="21"/>
          <w:szCs w:val="21"/>
        </w:rPr>
        <w:t>②推进技术进步，增强创新能力</w:t>
      </w:r>
      <w:r>
        <w:rPr>
          <w:rFonts w:ascii="宋体" w:hAnsi="宋体" w:cs="宋体" w:eastAsia="宋体" w:hint="default"/>
          <w:w w:val="100"/>
          <w:sz w:val="21"/>
          <w:szCs w:val="21"/>
        </w:rPr>
        <w:t> </w:t>
      </w:r>
      <w:r>
        <w:rPr>
          <w:rFonts w:ascii="宋体" w:hAnsi="宋体" w:cs="宋体" w:eastAsia="宋体" w:hint="default"/>
          <w:spacing w:val="-2"/>
          <w:sz w:val="21"/>
          <w:szCs w:val="21"/>
        </w:rPr>
        <w:t>公司仍然要坚持科技创新的发展战略定位，突出核心技术的形成和非核心技术的改进提升。</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年要</w:t>
      </w:r>
    </w:p>
    <w:p>
      <w:pPr>
        <w:spacing w:line="273" w:lineRule="auto" w:before="0"/>
        <w:ind w:left="152" w:right="146" w:firstLine="0"/>
        <w:jc w:val="both"/>
        <w:rPr>
          <w:rFonts w:ascii="宋体" w:hAnsi="宋体" w:cs="宋体" w:eastAsia="宋体" w:hint="default"/>
          <w:sz w:val="21"/>
          <w:szCs w:val="21"/>
        </w:rPr>
      </w:pPr>
      <w:r>
        <w:rPr>
          <w:rFonts w:ascii="宋体" w:hAnsi="宋体" w:cs="宋体" w:eastAsia="宋体" w:hint="default"/>
          <w:spacing w:val="-2"/>
          <w:sz w:val="21"/>
          <w:szCs w:val="21"/>
        </w:rPr>
        <w:t>积极推进科技创新服务于公司产品结构的能力，进一步加强生产运营过程工艺优化和成本优化，加大技改</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投入，提升产品市场竞争力，提高经济运行质量。</w:t>
      </w:r>
    </w:p>
    <w:p>
      <w:pPr>
        <w:spacing w:line="273" w:lineRule="auto" w:before="7"/>
        <w:ind w:left="573" w:right="144" w:firstLine="0"/>
        <w:jc w:val="left"/>
        <w:rPr>
          <w:rFonts w:ascii="宋体" w:hAnsi="宋体" w:cs="宋体" w:eastAsia="宋体" w:hint="default"/>
          <w:sz w:val="21"/>
          <w:szCs w:val="21"/>
        </w:rPr>
      </w:pPr>
      <w:r>
        <w:rPr>
          <w:rFonts w:ascii="宋体" w:hAnsi="宋体" w:cs="宋体" w:eastAsia="宋体" w:hint="default"/>
          <w:sz w:val="21"/>
          <w:szCs w:val="21"/>
        </w:rPr>
        <w:t>③拓宽市场销售渠道，加大营销力度</w:t>
      </w:r>
      <w:r>
        <w:rPr>
          <w:rFonts w:ascii="宋体" w:hAnsi="宋体" w:cs="宋体" w:eastAsia="宋体" w:hint="default"/>
          <w:w w:val="100"/>
          <w:sz w:val="21"/>
          <w:szCs w:val="21"/>
        </w:rPr>
        <w:t> </w:t>
      </w:r>
      <w:r>
        <w:rPr>
          <w:rFonts w:ascii="宋体" w:hAnsi="宋体" w:cs="宋体" w:eastAsia="宋体" w:hint="default"/>
          <w:spacing w:val="-2"/>
          <w:sz w:val="21"/>
          <w:szCs w:val="21"/>
        </w:rPr>
        <w:t>面对严峻的市场形势，把握市场行情，抓住机遇，及时调整营销策略，整合资源，增强渠道控制力，</w:t>
      </w:r>
    </w:p>
    <w:p>
      <w:pPr>
        <w:spacing w:line="273" w:lineRule="auto" w:before="7"/>
        <w:ind w:left="152" w:right="149" w:firstLine="0"/>
        <w:jc w:val="both"/>
        <w:rPr>
          <w:rFonts w:ascii="宋体" w:hAnsi="宋体" w:cs="宋体" w:eastAsia="宋体" w:hint="default"/>
          <w:sz w:val="21"/>
          <w:szCs w:val="21"/>
        </w:rPr>
      </w:pPr>
      <w:r>
        <w:rPr>
          <w:rFonts w:ascii="宋体" w:hAnsi="宋体" w:cs="宋体" w:eastAsia="宋体" w:hint="default"/>
          <w:spacing w:val="-2"/>
          <w:sz w:val="21"/>
          <w:szCs w:val="21"/>
        </w:rPr>
        <w:t>提高产品销量。公司将结合国家加大重点电网建设、城镇化建设、农网改造建设等发展契机，以及外贸市</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场的发展需要，稳步提高公司的销售市场，扩大产品的销售领域。</w:t>
      </w:r>
    </w:p>
    <w:p>
      <w:pPr>
        <w:spacing w:after="0" w:line="273" w:lineRule="auto"/>
        <w:jc w:val="both"/>
        <w:rPr>
          <w:rFonts w:ascii="宋体" w:hAnsi="宋体" w:cs="宋体" w:eastAsia="宋体" w:hint="default"/>
          <w:sz w:val="21"/>
          <w:szCs w:val="21"/>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line="273" w:lineRule="auto" w:before="36"/>
        <w:ind w:left="573" w:right="0" w:firstLine="0"/>
        <w:jc w:val="left"/>
        <w:rPr>
          <w:rFonts w:ascii="宋体" w:hAnsi="宋体" w:cs="宋体" w:eastAsia="宋体" w:hint="default"/>
          <w:sz w:val="21"/>
          <w:szCs w:val="21"/>
        </w:rPr>
      </w:pPr>
      <w:r>
        <w:rPr>
          <w:rFonts w:ascii="宋体" w:hAnsi="宋体" w:cs="宋体" w:eastAsia="宋体" w:hint="default"/>
          <w:sz w:val="21"/>
          <w:szCs w:val="21"/>
        </w:rPr>
        <w:t>④落实内控制度，提高管理效益</w:t>
      </w:r>
      <w:r>
        <w:rPr>
          <w:rFonts w:ascii="宋体" w:hAnsi="宋体" w:cs="宋体" w:eastAsia="宋体" w:hint="default"/>
          <w:w w:val="100"/>
          <w:sz w:val="21"/>
          <w:szCs w:val="21"/>
        </w:rPr>
        <w:t> </w:t>
      </w:r>
      <w:r>
        <w:rPr>
          <w:rFonts w:ascii="宋体" w:hAnsi="宋体" w:cs="宋体" w:eastAsia="宋体" w:hint="default"/>
          <w:spacing w:val="-2"/>
          <w:sz w:val="21"/>
          <w:szCs w:val="21"/>
        </w:rPr>
        <w:t>继续积极稳妥推进以源头治理和过程控制为核心的企业内控体系，健全和完善公司管控制度，全面提</w:t>
      </w:r>
    </w:p>
    <w:p>
      <w:pPr>
        <w:spacing w:before="7"/>
        <w:ind w:left="152" w:right="0" w:firstLine="0"/>
        <w:jc w:val="left"/>
        <w:rPr>
          <w:rFonts w:ascii="宋体" w:hAnsi="宋体" w:cs="宋体" w:eastAsia="宋体" w:hint="default"/>
          <w:sz w:val="21"/>
          <w:szCs w:val="21"/>
        </w:rPr>
      </w:pPr>
      <w:r>
        <w:rPr>
          <w:rFonts w:ascii="宋体" w:hAnsi="宋体" w:cs="宋体" w:eastAsia="宋体" w:hint="default"/>
          <w:sz w:val="21"/>
          <w:szCs w:val="21"/>
        </w:rPr>
        <w:t>升公司管理水平，强化风险防范能力，促进战略发展目标的实现。</w:t>
      </w:r>
    </w:p>
    <w:p>
      <w:pPr>
        <w:spacing w:line="273" w:lineRule="auto" w:before="37"/>
        <w:ind w:left="573" w:right="0" w:firstLine="0"/>
        <w:jc w:val="left"/>
        <w:rPr>
          <w:rFonts w:ascii="宋体" w:hAnsi="宋体" w:cs="宋体" w:eastAsia="宋体" w:hint="default"/>
          <w:sz w:val="21"/>
          <w:szCs w:val="21"/>
        </w:rPr>
      </w:pPr>
      <w:r>
        <w:rPr>
          <w:rFonts w:ascii="宋体" w:hAnsi="宋体" w:cs="宋体" w:eastAsia="宋体" w:hint="default"/>
          <w:sz w:val="21"/>
          <w:szCs w:val="21"/>
        </w:rPr>
        <w:t>⑤继续抓好员工队伍建设，强调技能员工的重要性</w:t>
      </w:r>
      <w:r>
        <w:rPr>
          <w:rFonts w:ascii="宋体" w:hAnsi="宋体" w:cs="宋体" w:eastAsia="宋体" w:hint="default"/>
          <w:w w:val="100"/>
          <w:sz w:val="21"/>
          <w:szCs w:val="21"/>
        </w:rPr>
        <w:t> </w:t>
      </w:r>
      <w:r>
        <w:rPr>
          <w:rFonts w:ascii="宋体" w:hAnsi="宋体" w:cs="宋体" w:eastAsia="宋体" w:hint="default"/>
          <w:spacing w:val="-2"/>
          <w:sz w:val="21"/>
          <w:szCs w:val="21"/>
        </w:rPr>
        <w:t>队伍建设向来是公司管理工作的重点。</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年，要继续稳定员工队伍，坚持以人为本，坚定不移地走</w:t>
      </w:r>
    </w:p>
    <w:p>
      <w:pPr>
        <w:spacing w:line="273" w:lineRule="auto" w:before="0"/>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人才强企之路，持续推进经营管理人才、专业技术人才队伍建设，尤其加强管理队伍、研发队伍和生产骨</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5"/>
          <w:sz w:val="21"/>
          <w:szCs w:val="21"/>
        </w:rPr>
        <w:t>干队伍的建设。推进岗位技能培训和员工转岗培训，建立改善职工生活、生产环境和劳动强度的长效机制。</w:t>
      </w:r>
    </w:p>
    <w:p>
      <w:pPr>
        <w:spacing w:line="240" w:lineRule="auto" w:before="6"/>
        <w:rPr>
          <w:rFonts w:ascii="宋体" w:hAnsi="宋体" w:cs="宋体" w:eastAsia="宋体" w:hint="default"/>
          <w:sz w:val="24"/>
          <w:szCs w:val="24"/>
        </w:rPr>
      </w:pPr>
    </w:p>
    <w:p>
      <w:pPr>
        <w:spacing w:line="256" w:lineRule="auto" w:before="0"/>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、可能面对的风险</w:t>
      </w:r>
      <w:r>
        <w:rPr>
          <w:rFonts w:ascii="宋体" w:hAnsi="宋体" w:cs="宋体" w:eastAsia="宋体" w:hint="default"/>
          <w:w w:val="100"/>
          <w:sz w:val="21"/>
          <w:szCs w:val="21"/>
        </w:rPr>
        <w:t> </w:t>
      </w:r>
      <w:r>
        <w:rPr>
          <w:rFonts w:ascii="宋体" w:hAnsi="宋体" w:cs="宋体" w:eastAsia="宋体" w:hint="default"/>
          <w:spacing w:val="-2"/>
          <w:sz w:val="21"/>
          <w:szCs w:val="21"/>
        </w:rPr>
        <w:t>公司面对的业务风险，包括日常业务过程中的政策风险、经营风险、汇率风险、财务风险。</w:t>
      </w:r>
    </w:p>
    <w:p>
      <w:pPr>
        <w:spacing w:line="273" w:lineRule="auto" w:before="23"/>
        <w:ind w:left="152" w:right="206" w:firstLine="420"/>
        <w:jc w:val="both"/>
        <w:rPr>
          <w:rFonts w:ascii="宋体" w:hAnsi="宋体" w:cs="宋体" w:eastAsia="宋体" w:hint="default"/>
          <w:sz w:val="21"/>
          <w:szCs w:val="21"/>
        </w:rPr>
      </w:pPr>
      <w:r>
        <w:rPr>
          <w:rFonts w:ascii="宋体" w:hAnsi="宋体" w:cs="宋体" w:eastAsia="宋体" w:hint="default"/>
          <w:spacing w:val="-2"/>
          <w:sz w:val="21"/>
          <w:szCs w:val="21"/>
        </w:rPr>
        <w:t>①政策风险：由于公司最终客户主要是国家电网，虽然近年国家电网投资逐年加大，但仍存在投资政</w:t>
      </w:r>
      <w:r>
        <w:rPr>
          <w:rFonts w:ascii="宋体" w:hAnsi="宋体" w:cs="宋体" w:eastAsia="宋体" w:hint="default"/>
          <w:w w:val="100"/>
          <w:sz w:val="21"/>
          <w:szCs w:val="21"/>
        </w:rPr>
        <w:t> </w:t>
      </w:r>
      <w:r>
        <w:rPr>
          <w:rFonts w:ascii="宋体" w:hAnsi="宋体" w:cs="宋体" w:eastAsia="宋体" w:hint="default"/>
          <w:sz w:val="21"/>
          <w:szCs w:val="21"/>
        </w:rPr>
        <w:t>策变动风险。</w:t>
      </w:r>
    </w:p>
    <w:p>
      <w:pPr>
        <w:spacing w:before="7"/>
        <w:ind w:left="573" w:right="0" w:firstLine="0"/>
        <w:jc w:val="left"/>
        <w:rPr>
          <w:rFonts w:ascii="宋体" w:hAnsi="宋体" w:cs="宋体" w:eastAsia="宋体" w:hint="default"/>
          <w:sz w:val="21"/>
          <w:szCs w:val="21"/>
        </w:rPr>
      </w:pPr>
      <w:r>
        <w:rPr>
          <w:rFonts w:ascii="宋体" w:hAnsi="宋体" w:cs="宋体" w:eastAsia="宋体" w:hint="default"/>
          <w:spacing w:val="-5"/>
          <w:sz w:val="21"/>
          <w:szCs w:val="21"/>
        </w:rPr>
        <w:t>②经营风险：公司产品受市场原材料价格波动影响，从而导致对成本的准确控制存在一定的经营风险。</w:t>
      </w:r>
    </w:p>
    <w:p>
      <w:pPr>
        <w:spacing w:line="273" w:lineRule="auto" w:before="37"/>
        <w:ind w:left="152" w:right="206" w:firstLine="420"/>
        <w:jc w:val="both"/>
        <w:rPr>
          <w:rFonts w:ascii="宋体" w:hAnsi="宋体" w:cs="宋体" w:eastAsia="宋体" w:hint="default"/>
          <w:sz w:val="21"/>
          <w:szCs w:val="21"/>
        </w:rPr>
      </w:pPr>
      <w:r>
        <w:rPr>
          <w:rFonts w:ascii="宋体" w:hAnsi="宋体" w:cs="宋体" w:eastAsia="宋体" w:hint="default"/>
          <w:spacing w:val="-2"/>
          <w:sz w:val="21"/>
          <w:szCs w:val="21"/>
        </w:rPr>
        <w:t>③汇率风险：公司自营进出口业务，公司出口产品交易结算货币主要为美元、欧元。公司的记账本位</w:t>
      </w:r>
      <w:r>
        <w:rPr>
          <w:rFonts w:ascii="宋体" w:hAnsi="宋体" w:cs="宋体" w:eastAsia="宋体" w:hint="default"/>
          <w:w w:val="100"/>
          <w:sz w:val="21"/>
          <w:szCs w:val="21"/>
        </w:rPr>
        <w:t> </w:t>
      </w:r>
      <w:r>
        <w:rPr>
          <w:rFonts w:ascii="宋体" w:hAnsi="宋体" w:cs="宋体" w:eastAsia="宋体" w:hint="default"/>
          <w:spacing w:val="-2"/>
          <w:sz w:val="21"/>
          <w:szCs w:val="21"/>
        </w:rPr>
        <w:t>币为人民币，随着公司海外业务规模不断扩大，外汇收入增加，如果国家的外汇政策发生变化，或人民币</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汇率水平发生较大波动，将会对公司的收入构成影响。但在公司主要业务集中在国内的情况下，汇率风险</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对公司影响有限。</w:t>
      </w:r>
    </w:p>
    <w:p>
      <w:pPr>
        <w:spacing w:before="7"/>
        <w:ind w:left="573" w:right="0" w:firstLine="0"/>
        <w:jc w:val="left"/>
        <w:rPr>
          <w:rFonts w:ascii="宋体" w:hAnsi="宋体" w:cs="宋体" w:eastAsia="宋体" w:hint="default"/>
          <w:sz w:val="21"/>
          <w:szCs w:val="21"/>
        </w:rPr>
      </w:pPr>
      <w:r>
        <w:rPr>
          <w:rFonts w:ascii="宋体" w:hAnsi="宋体" w:cs="宋体" w:eastAsia="宋体" w:hint="default"/>
          <w:sz w:val="21"/>
          <w:szCs w:val="21"/>
        </w:rPr>
        <w:t>④财务风险：客户延迟付款可能影响公司的营运资金和现金流量。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51"/>
        <w:ind w:right="0"/>
        <w:jc w:val="left"/>
        <w:rPr>
          <w:b w:val="0"/>
          <w:bCs w:val="0"/>
        </w:rPr>
      </w:pPr>
      <w:r>
        <w:rPr/>
        <w:t>九、董事会、监事会对会计师事务所本报告期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十、与上年度财务报告相比，会计政策、会计估计和核算方法发生变化的情况说明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4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公司报告期无会计政策、会计估计和核算方法发生变化的情况。</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t>十一、报告期内发生重大会计差错更正需追溯重述的情况说明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spacing w:line="340" w:lineRule="auto" w:before="0"/>
        <w:ind w:left="152" w:right="5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十二、与上年度财务报告相比，合并报表范围发生变化的情况说明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2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公司报告期无合并报表范围发生变化的情况。</w:t>
      </w:r>
    </w:p>
    <w:p>
      <w:pPr>
        <w:spacing w:line="240" w:lineRule="auto" w:before="7"/>
        <w:rPr>
          <w:rFonts w:ascii="宋体" w:hAnsi="宋体" w:cs="宋体" w:eastAsia="宋体" w:hint="default"/>
          <w:sz w:val="19"/>
          <w:szCs w:val="19"/>
        </w:rPr>
      </w:pPr>
    </w:p>
    <w:p>
      <w:pPr>
        <w:pStyle w:val="Heading3"/>
        <w:spacing w:line="240" w:lineRule="auto"/>
        <w:ind w:right="0"/>
        <w:jc w:val="left"/>
        <w:rPr>
          <w:b w:val="0"/>
          <w:bCs w:val="0"/>
        </w:rPr>
      </w:pPr>
      <w:r>
        <w:rPr/>
        <w:t>十三、公司利润分配及分红派息情况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报告期内利润分配政策的制定、执行或调整情况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spacing w:line="256" w:lineRule="auto" w:before="36"/>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、公司于</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13</w:t>
      </w:r>
      <w:r>
        <w:rPr>
          <w:rFonts w:ascii="宋体" w:hAnsi="宋体" w:cs="宋体" w:eastAsia="宋体" w:hint="default"/>
          <w:spacing w:val="-2"/>
          <w:sz w:val="21"/>
          <w:szCs w:val="21"/>
        </w:rPr>
        <w:t>日召开了</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年度股东大会，审议通过了《关于</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年度利润预案的议案》具体内</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3"/>
          <w:sz w:val="21"/>
          <w:szCs w:val="21"/>
        </w:rPr>
        <w:t>容为：公司以</w:t>
      </w:r>
      <w:r>
        <w:rPr>
          <w:rFonts w:ascii="Times New Roman" w:hAnsi="Times New Roman" w:cs="Times New Roman" w:eastAsia="Times New Roman" w:hint="default"/>
          <w:spacing w:val="-3"/>
          <w:sz w:val="21"/>
          <w:szCs w:val="21"/>
        </w:rPr>
        <w:t>2013</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31</w:t>
      </w:r>
      <w:r>
        <w:rPr>
          <w:rFonts w:ascii="宋体" w:hAnsi="宋体" w:cs="宋体" w:eastAsia="宋体" w:hint="default"/>
          <w:spacing w:val="-3"/>
          <w:sz w:val="21"/>
          <w:szCs w:val="21"/>
        </w:rPr>
        <w:t>日的股本总数</w:t>
      </w:r>
      <w:r>
        <w:rPr>
          <w:rFonts w:ascii="Times New Roman" w:hAnsi="Times New Roman" w:cs="Times New Roman" w:eastAsia="Times New Roman" w:hint="default"/>
          <w:spacing w:val="-3"/>
          <w:sz w:val="21"/>
          <w:szCs w:val="21"/>
        </w:rPr>
        <w:t>77,830,780</w:t>
      </w:r>
      <w:r>
        <w:rPr>
          <w:rFonts w:ascii="宋体" w:hAnsi="宋体" w:cs="宋体" w:eastAsia="宋体" w:hint="default"/>
          <w:spacing w:val="-3"/>
          <w:sz w:val="21"/>
          <w:szCs w:val="21"/>
        </w:rPr>
        <w:t>为基数，按每</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股派发现金红利</w:t>
      </w:r>
      <w:r>
        <w:rPr>
          <w:rFonts w:ascii="Times New Roman" w:hAnsi="Times New Roman" w:cs="Times New Roman" w:eastAsia="Times New Roman" w:hint="default"/>
          <w:spacing w:val="-3"/>
          <w:sz w:val="21"/>
          <w:szCs w:val="21"/>
        </w:rPr>
        <w:t>1.00</w:t>
      </w:r>
      <w:r>
        <w:rPr>
          <w:rFonts w:ascii="宋体" w:hAnsi="宋体" w:cs="宋体" w:eastAsia="宋体" w:hint="default"/>
          <w:spacing w:val="-3"/>
          <w:sz w:val="21"/>
          <w:szCs w:val="21"/>
        </w:rPr>
        <w:t>元（含税），共分</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配现金股利人民币</w:t>
      </w:r>
      <w:r>
        <w:rPr>
          <w:rFonts w:ascii="Times New Roman" w:hAnsi="Times New Roman" w:cs="Times New Roman" w:eastAsia="Times New Roman" w:hint="default"/>
          <w:spacing w:val="-2"/>
          <w:sz w:val="21"/>
          <w:szCs w:val="21"/>
        </w:rPr>
        <w:t>7,783,078</w:t>
      </w:r>
      <w:r>
        <w:rPr>
          <w:rFonts w:ascii="宋体" w:hAnsi="宋体" w:cs="宋体" w:eastAsia="宋体" w:hint="default"/>
          <w:spacing w:val="-2"/>
          <w:sz w:val="21"/>
          <w:szCs w:val="21"/>
        </w:rPr>
        <w:t>元，剩余未分配利润结转以后年度分配，本年度不进行公积金转增股本、不送</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红股。该利润分配方案已于</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日实施完毕。</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、公司于</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日召开了</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年第二次临时股东大会，审议通过了《关于</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年半年度利润预案的</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3"/>
          <w:sz w:val="21"/>
          <w:szCs w:val="21"/>
        </w:rPr>
        <w:t>议案》具体内容为：公司以首次公开发行后总股本</w:t>
      </w:r>
      <w:r>
        <w:rPr>
          <w:rFonts w:ascii="Times New Roman" w:hAnsi="Times New Roman" w:cs="Times New Roman" w:eastAsia="Times New Roman" w:hint="default"/>
          <w:spacing w:val="-3"/>
          <w:sz w:val="21"/>
          <w:szCs w:val="21"/>
        </w:rPr>
        <w:t>77,830,780</w:t>
      </w:r>
      <w:r>
        <w:rPr>
          <w:rFonts w:ascii="宋体" w:hAnsi="宋体" w:cs="宋体" w:eastAsia="宋体" w:hint="default"/>
          <w:spacing w:val="-3"/>
          <w:sz w:val="21"/>
          <w:szCs w:val="21"/>
        </w:rPr>
        <w:t>股为基数，按每</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股派发现金红利</w:t>
      </w:r>
      <w:r>
        <w:rPr>
          <w:rFonts w:ascii="Times New Roman" w:hAnsi="Times New Roman" w:cs="Times New Roman" w:eastAsia="Times New Roman" w:hint="default"/>
          <w:spacing w:val="-3"/>
          <w:sz w:val="21"/>
          <w:szCs w:val="21"/>
        </w:rPr>
        <w:t>3.00</w:t>
      </w:r>
      <w:r>
        <w:rPr>
          <w:rFonts w:ascii="宋体" w:hAnsi="宋体" w:cs="宋体" w:eastAsia="宋体" w:hint="default"/>
          <w:spacing w:val="-3"/>
          <w:sz w:val="21"/>
          <w:szCs w:val="21"/>
        </w:rPr>
        <w:t>元（含</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税），共分配现金股利人民币</w:t>
      </w:r>
      <w:r>
        <w:rPr>
          <w:rFonts w:ascii="Times New Roman" w:hAnsi="Times New Roman" w:cs="Times New Roman" w:eastAsia="Times New Roman" w:hint="default"/>
          <w:spacing w:val="-2"/>
          <w:sz w:val="21"/>
          <w:szCs w:val="21"/>
        </w:rPr>
        <w:t>23,349,234.00</w:t>
      </w:r>
      <w:r>
        <w:rPr>
          <w:rFonts w:ascii="宋体" w:hAnsi="宋体" w:cs="宋体" w:eastAsia="宋体" w:hint="default"/>
          <w:spacing w:val="-2"/>
          <w:sz w:val="21"/>
          <w:szCs w:val="21"/>
        </w:rPr>
        <w:t>元，剩余未分配利润结转以后年度分配，本次不进行公积金转</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增股本、不送红股。该利润分配方案已于</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日实施完毕。</w:t>
      </w:r>
    </w:p>
    <w:p>
      <w:pPr>
        <w:spacing w:line="240" w:lineRule="auto" w:before="2"/>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9"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年（含报告期）的利润分配预案或方案及资本公积金转增股本预案或方案情况</w:t>
      </w:r>
    </w:p>
    <w:p>
      <w:pPr>
        <w:spacing w:line="264" w:lineRule="auto" w:before="8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年半年度利润分配方案：以公司现有总股本</w:t>
      </w:r>
      <w:r>
        <w:rPr>
          <w:rFonts w:ascii="Times New Roman" w:hAnsi="Times New Roman" w:cs="Times New Roman" w:eastAsia="Times New Roman" w:hint="default"/>
          <w:spacing w:val="-3"/>
          <w:sz w:val="21"/>
          <w:szCs w:val="21"/>
        </w:rPr>
        <w:t>77,830,780</w:t>
      </w:r>
      <w:r>
        <w:rPr>
          <w:rFonts w:ascii="宋体" w:hAnsi="宋体" w:cs="宋体" w:eastAsia="宋体" w:hint="default"/>
          <w:spacing w:val="-3"/>
          <w:sz w:val="21"/>
          <w:szCs w:val="21"/>
        </w:rPr>
        <w:t>股为基数，向全体股东每</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股派</w:t>
      </w:r>
      <w:r>
        <w:rPr>
          <w:rFonts w:ascii="Times New Roman" w:hAnsi="Times New Roman" w:cs="Times New Roman" w:eastAsia="Times New Roman" w:hint="default"/>
          <w:spacing w:val="-3"/>
          <w:sz w:val="21"/>
          <w:szCs w:val="21"/>
        </w:rPr>
        <w:t>2.5</w:t>
      </w:r>
      <w:r>
        <w:rPr>
          <w:rFonts w:ascii="宋体" w:hAnsi="宋体" w:cs="宋体" w:eastAsia="宋体" w:hint="default"/>
          <w:spacing w:val="-3"/>
          <w:sz w:val="21"/>
          <w:szCs w:val="21"/>
        </w:rPr>
        <w:t>元人民币</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现金（含税）；本次不进行公积金转增股本，不送红股。已实施完毕。</w:t>
      </w:r>
      <w:r>
        <w:rPr>
          <w:rFonts w:ascii="宋体" w:hAnsi="宋体" w:cs="宋体" w:eastAsia="宋体" w:hint="default"/>
          <w:w w:val="100"/>
          <w:sz w:val="21"/>
          <w:szCs w:val="21"/>
        </w:rPr>
        <w:t> </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年度利润分配方案：以公司现有总股本</w:t>
      </w:r>
      <w:r>
        <w:rPr>
          <w:rFonts w:ascii="Times New Roman" w:hAnsi="Times New Roman" w:cs="Times New Roman" w:eastAsia="Times New Roman" w:hint="default"/>
          <w:spacing w:val="-3"/>
          <w:sz w:val="21"/>
          <w:szCs w:val="21"/>
        </w:rPr>
        <w:t>77,830,780</w:t>
      </w:r>
      <w:r>
        <w:rPr>
          <w:rFonts w:ascii="宋体" w:hAnsi="宋体" w:cs="宋体" w:eastAsia="宋体" w:hint="default"/>
          <w:spacing w:val="-3"/>
          <w:sz w:val="21"/>
          <w:szCs w:val="21"/>
        </w:rPr>
        <w:t>股为基数，向全体股东每</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股派</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元人民币现金</w:t>
      </w:r>
    </w:p>
    <w:p>
      <w:pPr>
        <w:spacing w:line="273" w:lineRule="exact" w:before="0"/>
        <w:ind w:left="152" w:right="144" w:firstLine="0"/>
        <w:jc w:val="left"/>
        <w:rPr>
          <w:rFonts w:ascii="宋体" w:hAnsi="宋体" w:cs="宋体" w:eastAsia="宋体" w:hint="default"/>
          <w:sz w:val="21"/>
          <w:szCs w:val="21"/>
        </w:rPr>
      </w:pPr>
      <w:r>
        <w:rPr>
          <w:rFonts w:ascii="宋体" w:hAnsi="宋体" w:cs="宋体" w:eastAsia="宋体" w:hint="default"/>
          <w:sz w:val="21"/>
          <w:szCs w:val="21"/>
        </w:rPr>
        <w:t>（含税）；本次不进行公积金转增股本，不送红股。已实施完毕。</w:t>
      </w:r>
    </w:p>
    <w:p>
      <w:pPr>
        <w:spacing w:line="256" w:lineRule="auto" w:before="7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2013</w:t>
      </w:r>
      <w:r>
        <w:rPr>
          <w:rFonts w:ascii="宋体" w:hAnsi="宋体" w:cs="宋体" w:eastAsia="宋体" w:hint="default"/>
          <w:spacing w:val="-3"/>
          <w:sz w:val="21"/>
          <w:szCs w:val="21"/>
        </w:rPr>
        <w:t>年半年度利润分配方案：以公司现有总股本</w:t>
      </w:r>
      <w:r>
        <w:rPr>
          <w:rFonts w:ascii="Times New Roman" w:hAnsi="Times New Roman" w:cs="Times New Roman" w:eastAsia="Times New Roman" w:hint="default"/>
          <w:spacing w:val="-3"/>
          <w:sz w:val="21"/>
          <w:szCs w:val="21"/>
        </w:rPr>
        <w:t>77,830,780</w:t>
      </w:r>
      <w:r>
        <w:rPr>
          <w:rFonts w:ascii="宋体" w:hAnsi="宋体" w:cs="宋体" w:eastAsia="宋体" w:hint="default"/>
          <w:spacing w:val="-3"/>
          <w:sz w:val="21"/>
          <w:szCs w:val="21"/>
        </w:rPr>
        <w:t>股为基数，向全体股东每</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股派</w:t>
      </w:r>
      <w:r>
        <w:rPr>
          <w:rFonts w:ascii="Times New Roman" w:hAnsi="Times New Roman" w:cs="Times New Roman" w:eastAsia="Times New Roman" w:hint="default"/>
          <w:spacing w:val="-3"/>
          <w:sz w:val="21"/>
          <w:szCs w:val="21"/>
        </w:rPr>
        <w:t>2.5</w:t>
      </w:r>
      <w:r>
        <w:rPr>
          <w:rFonts w:ascii="宋体" w:hAnsi="宋体" w:cs="宋体" w:eastAsia="宋体" w:hint="default"/>
          <w:spacing w:val="-3"/>
          <w:sz w:val="21"/>
          <w:szCs w:val="21"/>
        </w:rPr>
        <w:t>元人民币</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现金（含税）；本次不进行公积金转增股本，不送红股。已实施完毕。</w:t>
      </w:r>
    </w:p>
    <w:p>
      <w:pPr>
        <w:spacing w:before="61"/>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2013</w:t>
      </w:r>
      <w:r>
        <w:rPr>
          <w:rFonts w:ascii="宋体" w:hAnsi="宋体" w:cs="宋体" w:eastAsia="宋体" w:hint="default"/>
          <w:spacing w:val="-3"/>
          <w:sz w:val="21"/>
          <w:szCs w:val="21"/>
        </w:rPr>
        <w:t>年度利润分配预案：以公司现有总股本</w:t>
      </w:r>
      <w:r>
        <w:rPr>
          <w:rFonts w:ascii="Times New Roman" w:hAnsi="Times New Roman" w:cs="Times New Roman" w:eastAsia="Times New Roman" w:hint="default"/>
          <w:spacing w:val="-3"/>
          <w:sz w:val="21"/>
          <w:szCs w:val="21"/>
        </w:rPr>
        <w:t>77,830,780</w:t>
      </w:r>
      <w:r>
        <w:rPr>
          <w:rFonts w:ascii="宋体" w:hAnsi="宋体" w:cs="宋体" w:eastAsia="宋体" w:hint="default"/>
          <w:spacing w:val="-3"/>
          <w:sz w:val="21"/>
          <w:szCs w:val="21"/>
        </w:rPr>
        <w:t>股为基数，向全体股东每</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股派</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元人民币现金</w:t>
      </w:r>
    </w:p>
    <w:p>
      <w:pPr>
        <w:spacing w:before="21"/>
        <w:ind w:left="152" w:right="144" w:firstLine="0"/>
        <w:jc w:val="left"/>
        <w:rPr>
          <w:rFonts w:ascii="宋体" w:hAnsi="宋体" w:cs="宋体" w:eastAsia="宋体" w:hint="default"/>
          <w:sz w:val="21"/>
          <w:szCs w:val="21"/>
        </w:rPr>
      </w:pPr>
      <w:r>
        <w:rPr>
          <w:rFonts w:ascii="宋体" w:hAnsi="宋体" w:cs="宋体" w:eastAsia="宋体" w:hint="default"/>
          <w:sz w:val="21"/>
          <w:szCs w:val="21"/>
        </w:rPr>
        <w:t>（含税）；本次不进行公积金转增股本，不送红股。已实施完毕。</w:t>
      </w:r>
    </w:p>
    <w:p>
      <w:pPr>
        <w:spacing w:line="259" w:lineRule="auto" w:before="7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2014</w:t>
      </w:r>
      <w:r>
        <w:rPr>
          <w:rFonts w:ascii="宋体" w:hAnsi="宋体" w:cs="宋体" w:eastAsia="宋体" w:hint="default"/>
          <w:spacing w:val="-3"/>
          <w:sz w:val="21"/>
          <w:szCs w:val="21"/>
        </w:rPr>
        <w:t>年半年度利润分配预案：以公司现有总股本</w:t>
      </w:r>
      <w:r>
        <w:rPr>
          <w:rFonts w:ascii="Times New Roman" w:hAnsi="Times New Roman" w:cs="Times New Roman" w:eastAsia="Times New Roman" w:hint="default"/>
          <w:spacing w:val="-3"/>
          <w:sz w:val="21"/>
          <w:szCs w:val="21"/>
        </w:rPr>
        <w:t>77,830,780</w:t>
      </w:r>
      <w:r>
        <w:rPr>
          <w:rFonts w:ascii="宋体" w:hAnsi="宋体" w:cs="宋体" w:eastAsia="宋体" w:hint="default"/>
          <w:spacing w:val="-3"/>
          <w:sz w:val="21"/>
          <w:szCs w:val="21"/>
        </w:rPr>
        <w:t>股为基数，向全体股东每</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股派</w:t>
      </w:r>
      <w:r>
        <w:rPr>
          <w:rFonts w:ascii="Times New Roman" w:hAnsi="Times New Roman" w:cs="Times New Roman" w:eastAsia="Times New Roman" w:hint="default"/>
          <w:spacing w:val="-3"/>
          <w:sz w:val="21"/>
          <w:szCs w:val="21"/>
        </w:rPr>
        <w:t>3.0</w:t>
      </w:r>
      <w:r>
        <w:rPr>
          <w:rFonts w:ascii="宋体" w:hAnsi="宋体" w:cs="宋体" w:eastAsia="宋体" w:hint="default"/>
          <w:spacing w:val="-3"/>
          <w:sz w:val="21"/>
          <w:szCs w:val="21"/>
        </w:rPr>
        <w:t>元人民币</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现金（含税）；本次不进行公积金转增股本，不送红股。已实施完毕。</w:t>
      </w:r>
    </w:p>
    <w:p>
      <w:pPr>
        <w:spacing w:line="256" w:lineRule="auto" w:before="61"/>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6</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年度利润分配预案：以公司现有总股本</w:t>
      </w:r>
      <w:r>
        <w:rPr>
          <w:rFonts w:ascii="Times New Roman" w:hAnsi="Times New Roman" w:cs="Times New Roman" w:eastAsia="Times New Roman" w:hint="default"/>
          <w:spacing w:val="-1"/>
          <w:sz w:val="21"/>
          <w:szCs w:val="21"/>
        </w:rPr>
        <w:t>77,830,780</w:t>
      </w:r>
      <w:r>
        <w:rPr>
          <w:rFonts w:ascii="宋体" w:hAnsi="宋体" w:cs="宋体" w:eastAsia="宋体" w:hint="default"/>
          <w:spacing w:val="-1"/>
          <w:sz w:val="21"/>
          <w:szCs w:val="21"/>
        </w:rPr>
        <w:t>股为基数，</w:t>
      </w:r>
      <w:r>
        <w:rPr>
          <w:rFonts w:ascii="宋体" w:hAnsi="宋体" w:cs="宋体" w:eastAsia="宋体" w:hint="default"/>
          <w:spacing w:val="-1"/>
          <w:sz w:val="18"/>
          <w:szCs w:val="18"/>
        </w:rPr>
        <w:t>以资本公积金向全体股东每</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股转增</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股；</w:t>
      </w:r>
      <w:r>
        <w:rPr>
          <w:rFonts w:ascii="宋体" w:hAnsi="宋体" w:cs="宋体" w:eastAsia="宋体" w:hint="default"/>
          <w:spacing w:val="-43"/>
          <w:sz w:val="18"/>
          <w:szCs w:val="18"/>
        </w:rPr>
        <w:t> </w:t>
      </w:r>
      <w:r>
        <w:rPr>
          <w:rFonts w:ascii="宋体" w:hAnsi="宋体" w:cs="宋体" w:eastAsia="宋体" w:hint="default"/>
          <w:sz w:val="18"/>
          <w:szCs w:val="18"/>
        </w:rPr>
        <w:t>本次</w:t>
      </w:r>
      <w:r>
        <w:rPr>
          <w:rFonts w:ascii="宋体" w:hAnsi="宋体" w:cs="宋体" w:eastAsia="宋体" w:hint="default"/>
          <w:sz w:val="21"/>
          <w:szCs w:val="21"/>
        </w:rPr>
        <w:t>不派发现金红利、不送红股。此预案需经公司股东大会审议通过。</w:t>
      </w:r>
    </w:p>
    <w:p>
      <w:pPr>
        <w:spacing w:before="81"/>
        <w:ind w:left="152" w:right="144"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2"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23,349,234.00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24,124,414.93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96.79%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27,240,773.00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40,280,988.95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27,240,773.00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47,785,243.97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before="44"/>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44"/>
        <w:jc w:val="left"/>
        <w:rPr>
          <w:b w:val="0"/>
          <w:bCs w:val="0"/>
        </w:rPr>
      </w:pPr>
      <w:r>
        <w:rPr/>
        <w:t>十四、本报告期利润分配及资本公积金转增股本预案</w:t>
      </w:r>
      <w:r>
        <w:rPr>
          <w:b w:val="0"/>
          <w:bCs w:val="0"/>
        </w:rPr>
      </w:r>
    </w:p>
    <w:p>
      <w:pPr>
        <w:spacing w:line="240" w:lineRule="auto" w:before="6"/>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3"/>
        <w:gridCol w:w="5865"/>
      </w:tblGrid>
      <w:tr>
        <w:trPr>
          <w:trHeight w:val="403"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77,830,780</w:t>
            </w:r>
          </w:p>
        </w:tc>
      </w:tr>
      <w:tr>
        <w:trPr>
          <w:trHeight w:val="404"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34,993,698.50</w:t>
            </w:r>
          </w:p>
        </w:tc>
      </w:tr>
      <w:tr>
        <w:trPr>
          <w:trHeight w:val="403"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8"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经瑞华会计师事务所（特殊普通合伙）审计确认，公司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年实现净利润为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24,124,414.93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元，加上年初未分配利润</w:t>
            </w:r>
          </w:p>
          <w:p>
            <w:pPr>
              <w:pStyle w:val="TableParagraph"/>
              <w:spacing w:line="240" w:lineRule="auto" w:before="6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44,166,188.55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元，根据《公司章程》有关规定，提取盈余公积</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4,072,271.73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元，减去已分配红利</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31,132,312.00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元，可供分</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配的利润为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33,086,019.75 </w:t>
            </w:r>
            <w:r>
              <w:rPr>
                <w:rFonts w:ascii="宋体" w:hAnsi="宋体" w:cs="宋体" w:eastAsia="宋体" w:hint="default"/>
                <w:sz w:val="18"/>
                <w:szCs w:val="18"/>
              </w:rPr>
              <w:t>元。公司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日资本公积为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579,996,139.78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line="240" w:lineRule="auto" w:before="1"/>
        <w:rPr>
          <w:rFonts w:ascii="宋体" w:hAnsi="宋体" w:cs="宋体" w:eastAsia="宋体" w:hint="default"/>
          <w:sz w:val="18"/>
          <w:szCs w:val="18"/>
        </w:rPr>
      </w:pPr>
    </w:p>
    <w:p>
      <w:pPr>
        <w:pStyle w:val="Heading3"/>
        <w:spacing w:line="240" w:lineRule="auto" w:before="26"/>
        <w:ind w:right="144"/>
        <w:jc w:val="left"/>
        <w:rPr>
          <w:b w:val="0"/>
          <w:bCs w:val="0"/>
        </w:rPr>
      </w:pPr>
      <w:r>
        <w:rPr/>
        <w:t>十五、社会责任情况</w:t>
      </w:r>
      <w:r>
        <w:rPr>
          <w:b w:val="0"/>
          <w:bCs w:val="0"/>
        </w:rPr>
      </w:r>
    </w:p>
    <w:p>
      <w:pPr>
        <w:spacing w:line="240" w:lineRule="auto" w:before="4"/>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44"/>
        <w:jc w:val="left"/>
        <w:rPr>
          <w:b w:val="0"/>
          <w:bCs w:val="0"/>
        </w:rPr>
      </w:pPr>
      <w:r>
        <w:rPr/>
        <w:t>十六、报告期内接待调研、沟通、采访等活动登记表</w:t>
      </w:r>
      <w:r>
        <w:rPr>
          <w:b w:val="0"/>
          <w:bCs w:val="0"/>
        </w:rPr>
      </w:r>
    </w:p>
    <w:p>
      <w:pPr>
        <w:spacing w:line="240" w:lineRule="auto" w:before="6"/>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59" w:right="47"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询问公司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年度业绩情 况</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询问公司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年度业绩情 况</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询问公司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半年度业绩 及利润分配情况</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询问公司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半年报披露 时间</w:t>
            </w:r>
          </w:p>
        </w:tc>
      </w:tr>
      <w:tr>
        <w:trPr>
          <w:trHeight w:val="71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询问公司生产经营及股价 情况</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国金证券倪文祎、</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询问公司生产经营及研发</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363" w:hRule="exact"/>
        </w:trPr>
        <w:tc>
          <w:tcPr>
            <w:tcW w:w="14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陈炳辉</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情况</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2059"/>
        <w:jc w:val="center"/>
        <w:rPr>
          <w:b w:val="0"/>
          <w:bCs w:val="0"/>
        </w:rPr>
      </w:pPr>
      <w:bookmarkStart w:name="_TOC_250007"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44"/>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本报告期公司无重大诉讼、仲裁事项。</w:t>
      </w:r>
    </w:p>
    <w:p>
      <w:pPr>
        <w:spacing w:line="240" w:lineRule="auto" w:before="4"/>
        <w:rPr>
          <w:rFonts w:ascii="宋体" w:hAnsi="宋体" w:cs="宋体" w:eastAsia="宋体" w:hint="default"/>
          <w:sz w:val="19"/>
          <w:szCs w:val="19"/>
        </w:rPr>
      </w:pPr>
    </w:p>
    <w:p>
      <w:pPr>
        <w:pStyle w:val="Heading3"/>
        <w:spacing w:line="240" w:lineRule="auto"/>
        <w:ind w:right="144"/>
        <w:jc w:val="left"/>
        <w:rPr>
          <w:b w:val="0"/>
          <w:bCs w:val="0"/>
        </w:rPr>
      </w:pPr>
      <w:r>
        <w:rPr/>
        <w:t>二、媒体质疑情况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本报告期公司无媒体普遍质疑事项。</w:t>
      </w:r>
    </w:p>
    <w:p>
      <w:pPr>
        <w:spacing w:line="240" w:lineRule="auto" w:before="6"/>
        <w:rPr>
          <w:rFonts w:ascii="宋体" w:hAnsi="宋体" w:cs="宋体" w:eastAsia="宋体" w:hint="default"/>
          <w:sz w:val="19"/>
          <w:szCs w:val="19"/>
        </w:rPr>
      </w:pPr>
    </w:p>
    <w:p>
      <w:pPr>
        <w:pStyle w:val="Heading3"/>
        <w:spacing w:line="240" w:lineRule="auto"/>
        <w:ind w:right="144"/>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40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3"/>
        <w:spacing w:line="240" w:lineRule="auto"/>
        <w:ind w:right="144"/>
        <w:jc w:val="left"/>
        <w:rPr>
          <w:b w:val="0"/>
          <w:bCs w:val="0"/>
        </w:rPr>
      </w:pPr>
      <w:r>
        <w:rPr/>
        <w:t>四、破产重整相关事项</w:t>
      </w:r>
      <w:r>
        <w:rPr>
          <w:b w:val="0"/>
          <w:bCs w:val="0"/>
        </w:rPr>
      </w:r>
    </w:p>
    <w:p>
      <w:pPr>
        <w:spacing w:line="240" w:lineRule="auto" w:before="7"/>
        <w:rPr>
          <w:rFonts w:ascii="宋体" w:hAnsi="宋体" w:cs="宋体" w:eastAsia="宋体" w:hint="default"/>
          <w:b/>
          <w:bCs/>
          <w:sz w:val="26"/>
          <w:szCs w:val="26"/>
        </w:rPr>
      </w:pPr>
    </w:p>
    <w:p>
      <w:pPr>
        <w:spacing w:line="338"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8"/>
        <w:rPr>
          <w:rFonts w:ascii="宋体" w:hAnsi="宋体" w:cs="宋体" w:eastAsia="宋体" w:hint="default"/>
          <w:sz w:val="19"/>
          <w:szCs w:val="19"/>
        </w:rPr>
      </w:pPr>
    </w:p>
    <w:p>
      <w:pPr>
        <w:pStyle w:val="Heading3"/>
        <w:spacing w:line="240" w:lineRule="auto"/>
        <w:ind w:right="144"/>
        <w:jc w:val="left"/>
        <w:rPr>
          <w:b w:val="0"/>
          <w:bCs w:val="0"/>
        </w:rPr>
      </w:pPr>
      <w:r>
        <w:rPr/>
        <w:t>五、资产交易事项</w:t>
      </w:r>
      <w:r>
        <w:rPr>
          <w:b w:val="0"/>
          <w:bCs w:val="0"/>
        </w:rPr>
      </w:r>
    </w:p>
    <w:p>
      <w:pPr>
        <w:spacing w:line="240" w:lineRule="auto" w:before="12"/>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、收购资产情况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7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公司报告期未收购资产。</w:t>
      </w:r>
    </w:p>
    <w:p>
      <w:pPr>
        <w:spacing w:line="240" w:lineRule="auto" w:before="6"/>
        <w:rPr>
          <w:rFonts w:ascii="宋体" w:hAnsi="宋体" w:cs="宋体" w:eastAsia="宋体" w:hint="default"/>
          <w:sz w:val="21"/>
          <w:szCs w:val="21"/>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、出售资产情况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7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公司报告期未出售资产。</w:t>
      </w:r>
    </w:p>
    <w:p>
      <w:pPr>
        <w:spacing w:line="240" w:lineRule="auto" w:before="7"/>
        <w:rPr>
          <w:rFonts w:ascii="宋体" w:hAnsi="宋体" w:cs="宋体" w:eastAsia="宋体" w:hint="default"/>
          <w:sz w:val="21"/>
          <w:szCs w:val="21"/>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、企业合并情况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公司报告期未发生企业合并情况。</w:t>
      </w:r>
    </w:p>
    <w:p>
      <w:pPr>
        <w:spacing w:line="240" w:lineRule="auto" w:before="4"/>
        <w:rPr>
          <w:rFonts w:ascii="宋体" w:hAnsi="宋体" w:cs="宋体" w:eastAsia="宋体" w:hint="default"/>
          <w:sz w:val="19"/>
          <w:szCs w:val="19"/>
        </w:rPr>
      </w:pPr>
    </w:p>
    <w:p>
      <w:pPr>
        <w:pStyle w:val="Heading3"/>
        <w:spacing w:line="240" w:lineRule="auto"/>
        <w:ind w:right="144"/>
        <w:jc w:val="left"/>
        <w:rPr>
          <w:b w:val="0"/>
          <w:bCs w:val="0"/>
        </w:rPr>
      </w:pPr>
      <w:r>
        <w:rPr/>
        <w:t>六、公司股权激励的实施情况及其影响</w:t>
      </w:r>
      <w:r>
        <w:rPr>
          <w:b w:val="0"/>
          <w:bCs w:val="0"/>
        </w:rPr>
      </w:r>
    </w:p>
    <w:p>
      <w:pPr>
        <w:spacing w:line="240" w:lineRule="auto" w:before="6"/>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before="44"/>
        <w:ind w:left="152" w:right="144" w:firstLine="0"/>
        <w:jc w:val="left"/>
        <w:rPr>
          <w:rFonts w:ascii="宋体" w:hAnsi="宋体" w:cs="宋体" w:eastAsia="宋体" w:hint="default"/>
          <w:sz w:val="18"/>
          <w:szCs w:val="18"/>
        </w:rPr>
      </w:pPr>
      <w:r>
        <w:rPr>
          <w:rFonts w:ascii="宋体" w:hAnsi="宋体" w:cs="宋体" w:eastAsia="宋体" w:hint="default"/>
          <w:sz w:val="18"/>
          <w:szCs w:val="18"/>
        </w:rPr>
        <w:t>公司报告期无股权激励计划及其实施情况。</w:t>
      </w:r>
    </w:p>
    <w:p>
      <w:pPr>
        <w:spacing w:line="240" w:lineRule="auto" w:before="3"/>
        <w:rPr>
          <w:rFonts w:ascii="宋体" w:hAnsi="宋体" w:cs="宋体" w:eastAsia="宋体" w:hint="default"/>
          <w:sz w:val="25"/>
          <w:szCs w:val="25"/>
        </w:rPr>
      </w:pPr>
    </w:p>
    <w:p>
      <w:pPr>
        <w:pStyle w:val="Heading3"/>
        <w:spacing w:line="240" w:lineRule="auto"/>
        <w:ind w:right="144"/>
        <w:jc w:val="left"/>
        <w:rPr>
          <w:b w:val="0"/>
          <w:bCs w:val="0"/>
        </w:rPr>
      </w:pPr>
      <w:r>
        <w:rPr/>
        <w:t>七、重大关联交易</w:t>
      </w:r>
      <w:r>
        <w:rPr>
          <w:b w:val="0"/>
          <w:bCs w:val="0"/>
        </w:rPr>
      </w:r>
    </w:p>
    <w:p>
      <w:pPr>
        <w:spacing w:line="240" w:lineRule="auto" w:before="12"/>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line="240" w:lineRule="auto" w:before="3"/>
        <w:rPr>
          <w:rFonts w:ascii="宋体" w:hAnsi="宋体" w:cs="宋体" w:eastAsia="宋体" w:hint="default"/>
          <w:sz w:val="21"/>
          <w:szCs w:val="21"/>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、资产收购、出售发生的关联交易</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40" w:lineRule="auto" w:before="0"/>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公司报告期未发生资产收购、出售的关联交易。</w:t>
      </w:r>
    </w:p>
    <w:p>
      <w:pPr>
        <w:spacing w:line="240" w:lineRule="auto" w:before="5"/>
        <w:rPr>
          <w:rFonts w:ascii="宋体" w:hAnsi="宋体" w:cs="宋体" w:eastAsia="宋体" w:hint="default"/>
          <w:sz w:val="21"/>
          <w:szCs w:val="21"/>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5"/>
        <w:rPr>
          <w:rFonts w:ascii="宋体" w:hAnsi="宋体" w:cs="宋体" w:eastAsia="宋体" w:hint="default"/>
          <w:sz w:val="21"/>
          <w:szCs w:val="21"/>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38"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7"/>
        <w:rPr>
          <w:rFonts w:ascii="宋体" w:hAnsi="宋体" w:cs="宋体" w:eastAsia="宋体" w:hint="default"/>
          <w:sz w:val="21"/>
          <w:szCs w:val="21"/>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公司报告期无其他关联交易。</w:t>
      </w:r>
    </w:p>
    <w:p>
      <w:pPr>
        <w:spacing w:line="240" w:lineRule="auto" w:before="4"/>
        <w:rPr>
          <w:rFonts w:ascii="宋体" w:hAnsi="宋体" w:cs="宋体" w:eastAsia="宋体" w:hint="default"/>
          <w:sz w:val="19"/>
          <w:szCs w:val="19"/>
        </w:rPr>
      </w:pPr>
    </w:p>
    <w:p>
      <w:pPr>
        <w:pStyle w:val="Heading3"/>
        <w:spacing w:line="240" w:lineRule="auto"/>
        <w:ind w:right="144"/>
        <w:jc w:val="left"/>
        <w:rPr>
          <w:b w:val="0"/>
          <w:bCs w:val="0"/>
        </w:rPr>
      </w:pPr>
      <w:r>
        <w:rPr/>
        <w:t>八、重大合同及其履行情况</w:t>
      </w:r>
      <w:r>
        <w:rPr>
          <w:b w:val="0"/>
          <w:bCs w:val="0"/>
        </w:rPr>
      </w:r>
    </w:p>
    <w:p>
      <w:pPr>
        <w:spacing w:line="240" w:lineRule="auto" w:before="12"/>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5"/>
        <w:rPr>
          <w:rFonts w:ascii="宋体" w:hAnsi="宋体" w:cs="宋体" w:eastAsia="宋体" w:hint="default"/>
          <w:sz w:val="21"/>
          <w:szCs w:val="21"/>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after="0" w:line="3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line="240" w:lineRule="auto" w:before="7"/>
        <w:rPr>
          <w:rFonts w:ascii="宋体" w:hAnsi="宋体" w:cs="宋体" w:eastAsia="宋体" w:hint="default"/>
          <w:sz w:val="21"/>
          <w:szCs w:val="21"/>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公司报告期不存在担保情况。</w:t>
      </w:r>
    </w:p>
    <w:p>
      <w:pPr>
        <w:spacing w:line="240" w:lineRule="auto" w:before="8"/>
        <w:rPr>
          <w:rFonts w:ascii="宋体" w:hAnsi="宋体" w:cs="宋体" w:eastAsia="宋体" w:hint="default"/>
          <w:sz w:val="21"/>
          <w:szCs w:val="21"/>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3"/>
        <w:rPr>
          <w:rFonts w:ascii="宋体" w:hAnsi="宋体" w:cs="宋体" w:eastAsia="宋体" w:hint="default"/>
          <w:sz w:val="21"/>
          <w:szCs w:val="21"/>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公司报告期不存在其他重大交易。</w:t>
      </w:r>
    </w:p>
    <w:p>
      <w:pPr>
        <w:spacing w:line="240" w:lineRule="auto" w:before="4"/>
        <w:rPr>
          <w:rFonts w:ascii="宋体" w:hAnsi="宋体" w:cs="宋体" w:eastAsia="宋体" w:hint="default"/>
          <w:sz w:val="19"/>
          <w:szCs w:val="19"/>
        </w:rPr>
      </w:pPr>
    </w:p>
    <w:p>
      <w:pPr>
        <w:pStyle w:val="Heading3"/>
        <w:spacing w:line="240" w:lineRule="auto"/>
        <w:ind w:right="144"/>
        <w:jc w:val="left"/>
        <w:rPr>
          <w:b w:val="0"/>
          <w:bCs w:val="0"/>
        </w:rPr>
      </w:pPr>
      <w:r>
        <w:rPr/>
        <w:t>九、承诺事项履行情况</w:t>
      </w:r>
      <w:r>
        <w:rPr>
          <w:b w:val="0"/>
          <w:bCs w:val="0"/>
        </w:rPr>
      </w:r>
    </w:p>
    <w:p>
      <w:pPr>
        <w:spacing w:line="240" w:lineRule="auto" w:before="12"/>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、公司或持股</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以上股东在报告期内发生或以前期间发生但持续到报告期内的承诺事项</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205"/>
        <w:gridCol w:w="1286"/>
        <w:gridCol w:w="1265"/>
        <w:gridCol w:w="1277"/>
        <w:gridCol w:w="1275"/>
        <w:gridCol w:w="1260"/>
      </w:tblGrid>
      <w:tr>
        <w:trPr>
          <w:trHeight w:val="401" w:hRule="exact"/>
        </w:trPr>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1"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4"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86" w:type="dxa"/>
            <w:tcBorders>
              <w:top w:val="single" w:sz="4" w:space="0" w:color="000000"/>
              <w:left w:val="single" w:sz="9" w:space="0" w:color="D2D2D2"/>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0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86" w:type="dxa"/>
            <w:tcBorders>
              <w:top w:val="single" w:sz="4" w:space="0" w:color="000000"/>
              <w:left w:val="single" w:sz="9" w:space="0" w:color="D2D2D2"/>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86" w:type="dxa"/>
            <w:tcBorders>
              <w:top w:val="single" w:sz="4" w:space="0" w:color="000000"/>
              <w:left w:val="single" w:sz="9" w:space="0" w:color="D2D2D2"/>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1855" w:hRule="exact"/>
        </w:trPr>
        <w:tc>
          <w:tcPr>
            <w:tcW w:w="32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6" w:type="dxa"/>
            <w:vMerge w:val="restart"/>
            <w:tcBorders>
              <w:top w:val="single" w:sz="4" w:space="0" w:color="000000"/>
              <w:left w:val="single" w:sz="9" w:space="0" w:color="D2D2D2"/>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16" w:lineRule="auto"/>
              <w:ind w:left="17" w:right="-20"/>
              <w:jc w:val="left"/>
              <w:rPr>
                <w:rFonts w:ascii="宋体" w:hAnsi="宋体" w:cs="宋体" w:eastAsia="宋体" w:hint="default"/>
                <w:sz w:val="18"/>
                <w:szCs w:val="18"/>
              </w:rPr>
            </w:pPr>
            <w:r>
              <w:rPr>
                <w:rFonts w:ascii="宋体" w:hAnsi="宋体" w:cs="宋体" w:eastAsia="宋体" w:hint="default"/>
                <w:sz w:val="18"/>
                <w:szCs w:val="18"/>
              </w:rPr>
              <w:t>刘冀鲁、刘凌 </w:t>
            </w:r>
            <w:r>
              <w:rPr>
                <w:rFonts w:ascii="宋体" w:hAnsi="宋体" w:cs="宋体" w:eastAsia="宋体" w:hint="default"/>
                <w:spacing w:val="-7"/>
                <w:sz w:val="18"/>
                <w:szCs w:val="18"/>
              </w:rPr>
              <w:t>云、喻琴、宫为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平、黄学春、唐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成宽、吴翠华、 袁福祥、赵明、 史志民、章大 林、陆江</w:t>
            </w:r>
          </w:p>
        </w:tc>
        <w:tc>
          <w:tcPr>
            <w:tcW w:w="1265" w:type="dxa"/>
            <w:vMerge w:val="restart"/>
            <w:tcBorders>
              <w:top w:val="single" w:sz="4" w:space="0" w:color="000000"/>
              <w:left w:val="single" w:sz="13" w:space="0" w:color="FFFFFF"/>
              <w:right w:val="single" w:sz="4" w:space="0" w:color="000000"/>
            </w:tcBorders>
          </w:tcPr>
          <w:p>
            <w:pPr>
              <w:pStyle w:val="TableParagraph"/>
              <w:spacing w:line="316" w:lineRule="auto" w:before="49"/>
              <w:ind w:right="22"/>
              <w:jc w:val="left"/>
              <w:rPr>
                <w:rFonts w:ascii="宋体" w:hAnsi="宋体" w:cs="宋体" w:eastAsia="宋体" w:hint="default"/>
                <w:sz w:val="18"/>
                <w:szCs w:val="18"/>
              </w:rPr>
            </w:pPr>
            <w:r>
              <w:rPr>
                <w:rFonts w:ascii="宋体" w:hAnsi="宋体" w:cs="宋体" w:eastAsia="宋体" w:hint="default"/>
                <w:sz w:val="18"/>
                <w:szCs w:val="18"/>
              </w:rPr>
              <w:t>自本承诺函出 </w:t>
            </w:r>
            <w:r>
              <w:rPr>
                <w:rFonts w:ascii="宋体" w:hAnsi="宋体" w:cs="宋体" w:eastAsia="宋体" w:hint="default"/>
                <w:spacing w:val="-6"/>
                <w:sz w:val="18"/>
                <w:szCs w:val="18"/>
              </w:rPr>
              <w:t>具之日起，不以</w:t>
            </w:r>
            <w:r>
              <w:rPr>
                <w:rFonts w:ascii="宋体" w:hAnsi="宋体" w:cs="宋体" w:eastAsia="宋体" w:hint="default"/>
                <w:sz w:val="18"/>
                <w:szCs w:val="18"/>
              </w:rPr>
              <w:t> 任何方式直接 或间接地从事 与股份公司主 营业务构成或 可能构成竞争 </w:t>
            </w:r>
            <w:r>
              <w:rPr>
                <w:rFonts w:ascii="宋体" w:hAnsi="宋体" w:cs="宋体" w:eastAsia="宋体" w:hint="default"/>
                <w:spacing w:val="-6"/>
                <w:sz w:val="18"/>
                <w:szCs w:val="18"/>
              </w:rPr>
              <w:t>的业务，不以任</w:t>
            </w:r>
            <w:r>
              <w:rPr>
                <w:rFonts w:ascii="宋体" w:hAnsi="宋体" w:cs="宋体" w:eastAsia="宋体" w:hint="default"/>
                <w:sz w:val="18"/>
                <w:szCs w:val="18"/>
              </w:rPr>
              <w:t> 何方式从事或 参与生产任何 与股份公司产 </w:t>
            </w:r>
            <w:r>
              <w:rPr>
                <w:rFonts w:ascii="宋体" w:hAnsi="宋体" w:cs="宋体" w:eastAsia="宋体" w:hint="default"/>
                <w:spacing w:val="-6"/>
                <w:sz w:val="18"/>
                <w:szCs w:val="18"/>
              </w:rPr>
              <w:t>品相同、相似或</w:t>
            </w:r>
            <w:r>
              <w:rPr>
                <w:rFonts w:ascii="宋体" w:hAnsi="宋体" w:cs="宋体" w:eastAsia="宋体" w:hint="default"/>
                <w:sz w:val="18"/>
                <w:szCs w:val="18"/>
              </w:rPr>
              <w:t> 可以取代股份</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9999-12-31</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94" w:hRule="exact"/>
        </w:trPr>
        <w:tc>
          <w:tcPr>
            <w:tcW w:w="32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86" w:type="dxa"/>
            <w:vMerge/>
            <w:tcBorders>
              <w:left w:val="single" w:sz="9" w:space="0" w:color="D2D2D2"/>
              <w:right w:val="single" w:sz="13" w:space="0" w:color="FFFFFF"/>
            </w:tcBorders>
          </w:tcPr>
          <w:p>
            <w:pPr/>
          </w:p>
        </w:tc>
        <w:tc>
          <w:tcPr>
            <w:tcW w:w="1265" w:type="dxa"/>
            <w:vMerge/>
            <w:tcBorders>
              <w:left w:val="single" w:sz="13" w:space="0" w:color="FFFFFF"/>
              <w:right w:val="single" w:sz="4" w:space="0" w:color="000000"/>
            </w:tcBorders>
          </w:tcPr>
          <w:p>
            <w:pPr/>
          </w:p>
        </w:tc>
        <w:tc>
          <w:tcPr>
            <w:tcW w:w="1277"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1858" w:hRule="exact"/>
        </w:trPr>
        <w:tc>
          <w:tcPr>
            <w:tcW w:w="32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6" w:type="dxa"/>
            <w:vMerge/>
            <w:tcBorders>
              <w:left w:val="single" w:sz="9" w:space="0" w:color="D2D2D2"/>
              <w:bottom w:val="single" w:sz="4" w:space="0" w:color="000000"/>
              <w:right w:val="single" w:sz="13" w:space="0" w:color="FFFFFF"/>
            </w:tcBorders>
          </w:tcPr>
          <w:p>
            <w:pPr/>
          </w:p>
        </w:tc>
        <w:tc>
          <w:tcPr>
            <w:tcW w:w="1265" w:type="dxa"/>
            <w:vMerge/>
            <w:tcBorders>
              <w:left w:val="single" w:sz="13" w:space="0" w:color="FFFFFF"/>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04"/>
        <w:gridCol w:w="1286"/>
        <w:gridCol w:w="1265"/>
        <w:gridCol w:w="1277"/>
        <w:gridCol w:w="1275"/>
        <w:gridCol w:w="1260"/>
      </w:tblGrid>
      <w:tr>
        <w:trPr>
          <w:trHeight w:val="2235"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2" w:right="-17"/>
              <w:jc w:val="left"/>
              <w:rPr>
                <w:rFonts w:ascii="宋体" w:hAnsi="宋体" w:cs="宋体" w:eastAsia="宋体" w:hint="default"/>
                <w:sz w:val="18"/>
                <w:szCs w:val="18"/>
              </w:rPr>
            </w:pPr>
            <w:r>
              <w:rPr>
                <w:rFonts w:ascii="宋体" w:hAnsi="宋体" w:cs="宋体" w:eastAsia="宋体" w:hint="default"/>
                <w:sz w:val="18"/>
                <w:szCs w:val="18"/>
              </w:rPr>
              <w:t>公司产品的业 </w:t>
            </w:r>
            <w:r>
              <w:rPr>
                <w:rFonts w:ascii="宋体" w:hAnsi="宋体" w:cs="宋体" w:eastAsia="宋体" w:hint="default"/>
                <w:spacing w:val="-6"/>
                <w:sz w:val="18"/>
                <w:szCs w:val="18"/>
              </w:rPr>
              <w:t>务或活动，不损</w:t>
            </w:r>
            <w:r>
              <w:rPr>
                <w:rFonts w:ascii="宋体" w:hAnsi="宋体" w:cs="宋体" w:eastAsia="宋体" w:hint="default"/>
                <w:sz w:val="18"/>
                <w:szCs w:val="18"/>
              </w:rPr>
              <w:t> 害股份公司和 其他股东的合 </w:t>
            </w:r>
            <w:r>
              <w:rPr>
                <w:rFonts w:ascii="宋体" w:hAnsi="宋体" w:cs="宋体" w:eastAsia="宋体" w:hint="default"/>
                <w:spacing w:val="-6"/>
                <w:sz w:val="18"/>
                <w:szCs w:val="18"/>
              </w:rPr>
              <w:t>法权益，不在股</w:t>
            </w:r>
            <w:r>
              <w:rPr>
                <w:rFonts w:ascii="宋体" w:hAnsi="宋体" w:cs="宋体" w:eastAsia="宋体" w:hint="default"/>
                <w:sz w:val="18"/>
                <w:szCs w:val="18"/>
              </w:rPr>
              <w:t> 份公司谋取任 何不正当利益。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8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刘冀鲁、刘凌 </w:t>
            </w:r>
            <w:r>
              <w:rPr>
                <w:rFonts w:ascii="宋体" w:hAnsi="宋体" w:cs="宋体" w:eastAsia="宋体" w:hint="default"/>
                <w:spacing w:val="-7"/>
                <w:sz w:val="18"/>
                <w:szCs w:val="18"/>
              </w:rPr>
              <w:t>云、宫为平、黄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学春、唐成宽、 吴翠华、袁福 </w:t>
            </w:r>
            <w:r>
              <w:rPr>
                <w:rFonts w:ascii="宋体" w:hAnsi="宋体" w:cs="宋体" w:eastAsia="宋体" w:hint="default"/>
                <w:spacing w:val="-7"/>
                <w:sz w:val="18"/>
                <w:szCs w:val="18"/>
              </w:rPr>
              <w:t>祥、赵明、史志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民、章大林、陆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江</w:t>
            </w:r>
          </w:p>
        </w:tc>
        <w:tc>
          <w:tcPr>
            <w:tcW w:w="1265"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49"/>
              <w:ind w:right="-17"/>
              <w:jc w:val="left"/>
              <w:rPr>
                <w:rFonts w:ascii="宋体" w:hAnsi="宋体" w:cs="宋体" w:eastAsia="宋体" w:hint="default"/>
                <w:sz w:val="18"/>
                <w:szCs w:val="18"/>
              </w:rPr>
            </w:pPr>
            <w:r>
              <w:rPr>
                <w:rFonts w:ascii="宋体" w:hAnsi="宋体" w:cs="宋体" w:eastAsia="宋体" w:hint="default"/>
                <w:sz w:val="18"/>
                <w:szCs w:val="18"/>
              </w:rPr>
              <w:t>三年锁定期限 </w:t>
            </w:r>
            <w:r>
              <w:rPr>
                <w:rFonts w:ascii="宋体" w:hAnsi="宋体" w:cs="宋体" w:eastAsia="宋体" w:hint="default"/>
                <w:spacing w:val="-6"/>
                <w:sz w:val="18"/>
                <w:szCs w:val="18"/>
              </w:rPr>
              <w:t>届满后，在其任</w:t>
            </w:r>
            <w:r>
              <w:rPr>
                <w:rFonts w:ascii="宋体" w:hAnsi="宋体" w:cs="宋体" w:eastAsia="宋体" w:hint="default"/>
                <w:sz w:val="18"/>
                <w:szCs w:val="18"/>
              </w:rPr>
              <w:t> 职期间每年转 让的股份不超 过其所持有本 公司股份总数 的百分之二十； 离职以后三年 </w:t>
            </w:r>
            <w:r>
              <w:rPr>
                <w:rFonts w:ascii="宋体" w:hAnsi="宋体" w:cs="宋体" w:eastAsia="宋体" w:hint="default"/>
                <w:spacing w:val="-6"/>
                <w:sz w:val="18"/>
                <w:szCs w:val="18"/>
              </w:rPr>
              <w:t>内，不转让其所</w:t>
            </w:r>
            <w:r>
              <w:rPr>
                <w:rFonts w:ascii="宋体" w:hAnsi="宋体" w:cs="宋体" w:eastAsia="宋体" w:hint="default"/>
                <w:sz w:val="18"/>
                <w:szCs w:val="18"/>
              </w:rPr>
              <w:t> 持有的本公司 </w:t>
            </w:r>
            <w:r>
              <w:rPr>
                <w:rFonts w:ascii="宋体" w:hAnsi="宋体" w:cs="宋体" w:eastAsia="宋体" w:hint="default"/>
                <w:spacing w:val="-6"/>
                <w:sz w:val="18"/>
                <w:szCs w:val="18"/>
              </w:rPr>
              <w:t>股份，且三年后</w:t>
            </w:r>
            <w:r>
              <w:rPr>
                <w:rFonts w:ascii="宋体" w:hAnsi="宋体" w:cs="宋体" w:eastAsia="宋体" w:hint="default"/>
                <w:sz w:val="18"/>
                <w:szCs w:val="18"/>
              </w:rPr>
              <w:t> 每年转让的股 份不超过其所 持有公司股份 总数的百分之 二十。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2014-12-31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403"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spacing w:line="259" w:lineRule="auto" w:before="36"/>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44"/>
        <w:jc w:val="left"/>
        <w:rPr>
          <w:b w:val="0"/>
          <w:bCs w:val="0"/>
        </w:rPr>
      </w:pPr>
      <w:r>
        <w:rPr/>
        <w:t>十、聘任、解聘会计师事务所情况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5"/>
        <w:gridCol w:w="5684"/>
      </w:tblGrid>
      <w:tr>
        <w:trPr>
          <w:trHeight w:val="403"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1"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r>
      <w:tr>
        <w:trPr>
          <w:trHeight w:val="404"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郑龙兴、李梅</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before="117"/>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before="44"/>
        <w:ind w:left="152" w:right="144" w:firstLine="0"/>
        <w:jc w:val="left"/>
        <w:rPr>
          <w:rFonts w:ascii="宋体" w:hAnsi="宋体" w:cs="宋体" w:eastAsia="宋体" w:hint="default"/>
          <w:sz w:val="18"/>
          <w:szCs w:val="18"/>
        </w:rPr>
      </w:pPr>
      <w:r>
        <w:rPr>
          <w:rFonts w:ascii="宋体" w:hAnsi="宋体" w:cs="宋体" w:eastAsia="宋体" w:hint="default"/>
          <w:sz w:val="18"/>
          <w:szCs w:val="18"/>
        </w:rPr>
        <w:t>聘请内部控制审计会计师事务所、财务顾问或保荐人情况</w:t>
      </w:r>
    </w:p>
    <w:p>
      <w:pPr>
        <w:spacing w:before="117"/>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44"/>
        <w:jc w:val="left"/>
        <w:rPr>
          <w:b w:val="0"/>
          <w:bCs w:val="0"/>
        </w:rPr>
      </w:pP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44"/>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8"/>
        <w:rPr>
          <w:rFonts w:ascii="宋体" w:hAnsi="宋体" w:cs="宋体" w:eastAsia="宋体" w:hint="default"/>
          <w:sz w:val="19"/>
          <w:szCs w:val="19"/>
        </w:rPr>
      </w:pPr>
    </w:p>
    <w:p>
      <w:pPr>
        <w:pStyle w:val="Heading3"/>
        <w:spacing w:line="240" w:lineRule="auto"/>
        <w:ind w:right="144"/>
        <w:jc w:val="left"/>
        <w:rPr>
          <w:b w:val="0"/>
          <w:bCs w:val="0"/>
        </w:rPr>
      </w:pPr>
      <w:r>
        <w:rPr/>
        <w:t>十三、年度报告披露后面临暂停上市和终止上市情况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44"/>
        <w:jc w:val="left"/>
        <w:rPr>
          <w:b w:val="0"/>
          <w:bCs w:val="0"/>
        </w:rPr>
      </w:pPr>
      <w:r>
        <w:rPr/>
        <w:t>十四、其他重大事项的说明</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公司报告期不存在需要说明的其他重大事项。</w:t>
      </w:r>
    </w:p>
    <w:p>
      <w:pPr>
        <w:spacing w:line="240" w:lineRule="auto" w:before="7"/>
        <w:rPr>
          <w:rFonts w:ascii="宋体" w:hAnsi="宋体" w:cs="宋体" w:eastAsia="宋体" w:hint="default"/>
          <w:sz w:val="19"/>
          <w:szCs w:val="19"/>
        </w:rPr>
      </w:pPr>
    </w:p>
    <w:p>
      <w:pPr>
        <w:pStyle w:val="Heading3"/>
        <w:spacing w:line="240" w:lineRule="auto"/>
        <w:ind w:right="144"/>
        <w:jc w:val="left"/>
        <w:rPr>
          <w:b w:val="0"/>
          <w:bCs w:val="0"/>
        </w:rPr>
      </w:pPr>
      <w:r>
        <w:rPr/>
        <w:t>十五、公司子公司重要事项</w:t>
      </w:r>
      <w:r>
        <w:rPr>
          <w:b w:val="0"/>
          <w:bCs w:val="0"/>
        </w:rPr>
      </w:r>
    </w:p>
    <w:p>
      <w:pPr>
        <w:spacing w:line="240" w:lineRule="auto" w:before="6"/>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44"/>
        <w:jc w:val="left"/>
        <w:rPr>
          <w:b w:val="0"/>
          <w:bCs w:val="0"/>
        </w:rPr>
      </w:pPr>
      <w:r>
        <w:rPr/>
        <w:t>十六、公司发行公司债券的情况</w:t>
      </w:r>
      <w:r>
        <w:rPr>
          <w:b w:val="0"/>
          <w:bCs w:val="0"/>
        </w:rPr>
      </w:r>
    </w:p>
    <w:p>
      <w:pPr>
        <w:spacing w:line="240" w:lineRule="auto" w:before="6"/>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144"/>
        <w:jc w:val="left"/>
        <w:rPr>
          <w:b w:val="0"/>
          <w:bCs w:val="0"/>
        </w:rPr>
      </w:pPr>
      <w:bookmarkStart w:name="_TOC_250006"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44"/>
        <w:jc w:val="left"/>
        <w:rPr>
          <w:b w:val="0"/>
          <w:bCs w:val="0"/>
        </w:rPr>
      </w:pPr>
      <w:r>
        <w:rPr/>
        <w:t>一、股份变动情况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21"/>
        <w:gridCol w:w="843"/>
        <w:gridCol w:w="842"/>
        <w:gridCol w:w="842"/>
        <w:gridCol w:w="843"/>
        <w:gridCol w:w="842"/>
        <w:gridCol w:w="842"/>
        <w:gridCol w:w="845"/>
        <w:gridCol w:w="814"/>
        <w:gridCol w:w="818"/>
      </w:tblGrid>
      <w:tr>
        <w:trPr>
          <w:trHeight w:val="40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1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43,314,74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55.65%</w:t>
            </w:r>
          </w:p>
        </w:tc>
        <w:tc>
          <w:tcPr>
            <w:tcW w:w="842"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-3,876,265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-3,876,265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39,438,47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50.67%</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3"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43,314,74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55.65%</w:t>
            </w:r>
          </w:p>
        </w:tc>
        <w:tc>
          <w:tcPr>
            <w:tcW w:w="842"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-3,876,265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-3,876,265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39,438,47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50.67%</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3"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43,314,74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55.65%</w:t>
            </w:r>
          </w:p>
        </w:tc>
        <w:tc>
          <w:tcPr>
            <w:tcW w:w="842"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-3,876,265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-3,876,265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39,438,47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50.67%</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3"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34,516,03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44.35%</w:t>
            </w:r>
          </w:p>
        </w:tc>
        <w:tc>
          <w:tcPr>
            <w:tcW w:w="842"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3,876,265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3,876,265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38,392,30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49.33%</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3"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34,516,03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44.35%</w:t>
            </w:r>
          </w:p>
        </w:tc>
        <w:tc>
          <w:tcPr>
            <w:tcW w:w="842"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3,876,265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3,876,265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38,392,30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49.33%</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3"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77,830,78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100.00%</w:t>
            </w:r>
          </w:p>
        </w:tc>
        <w:tc>
          <w:tcPr>
            <w:tcW w:w="842"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77,830,78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3"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295" w:lineRule="auto" w:before="115"/>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宋体" w:hAnsi="宋体" w:cs="宋体" w:eastAsia="宋体" w:hint="default"/>
          <w:spacing w:val="-2"/>
          <w:sz w:val="21"/>
          <w:szCs w:val="21"/>
        </w:rPr>
        <w:t>根据上市时的相关承诺，担任公司董事、监事或高级管理人员的股东在首次公开发行股票前已持有的限售</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sz w:val="21"/>
          <w:szCs w:val="21"/>
        </w:rPr>
        <w:t>股份，将分</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年每年按首次公开发行股票前所持有限售股份的</w:t>
      </w:r>
      <w:r>
        <w:rPr>
          <w:rFonts w:ascii="Times New Roman" w:hAnsi="Times New Roman" w:cs="Times New Roman" w:eastAsia="Times New Roman" w:hint="default"/>
          <w:spacing w:val="-4"/>
          <w:sz w:val="21"/>
          <w:szCs w:val="21"/>
        </w:rPr>
        <w:t>20%</w:t>
      </w:r>
      <w:r>
        <w:rPr>
          <w:rFonts w:ascii="宋体" w:hAnsi="宋体" w:cs="宋体" w:eastAsia="宋体" w:hint="default"/>
          <w:spacing w:val="-4"/>
          <w:sz w:val="21"/>
          <w:szCs w:val="21"/>
        </w:rPr>
        <w:t>申请解除限售，再根据相关规定转变为高</w:t>
      </w:r>
    </w:p>
    <w:p>
      <w:pPr>
        <w:spacing w:line="259" w:lineRule="exact" w:before="0"/>
        <w:ind w:left="152" w:right="144" w:firstLine="0"/>
        <w:jc w:val="left"/>
        <w:rPr>
          <w:rFonts w:ascii="宋体" w:hAnsi="宋体" w:cs="宋体" w:eastAsia="宋体" w:hint="default"/>
          <w:sz w:val="21"/>
          <w:szCs w:val="21"/>
        </w:rPr>
      </w:pPr>
      <w:r>
        <w:rPr>
          <w:rFonts w:ascii="宋体" w:hAnsi="宋体" w:cs="宋体" w:eastAsia="宋体" w:hint="default"/>
          <w:sz w:val="21"/>
          <w:szCs w:val="21"/>
        </w:rPr>
        <w:t>管锁定股或无限售条件股份。本次转变为无限售条件股份数量为</w:t>
      </w:r>
      <w:r>
        <w:rPr>
          <w:rFonts w:ascii="Times New Roman" w:hAnsi="Times New Roman" w:cs="Times New Roman" w:eastAsia="Times New Roman" w:hint="default"/>
          <w:sz w:val="21"/>
          <w:szCs w:val="21"/>
        </w:rPr>
        <w:t>3,876,265</w:t>
      </w:r>
      <w:r>
        <w:rPr>
          <w:rFonts w:ascii="宋体" w:hAnsi="宋体" w:cs="宋体" w:eastAsia="宋体" w:hint="default"/>
          <w:sz w:val="21"/>
          <w:szCs w:val="21"/>
        </w:rPr>
        <w:t>股。</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spacing w:before="0"/>
        <w:ind w:left="152" w:right="144"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40" w:lineRule="auto" w:before="115"/>
        <w:ind w:left="152" w:right="8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股份变动的过户情况</w:t>
      </w:r>
    </w:p>
    <w:p>
      <w:pPr>
        <w:spacing w:line="338" w:lineRule="auto" w:before="41"/>
        <w:ind w:left="152" w:right="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40" w:lineRule="auto" w:before="43"/>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公司认为必要或证券监管机构要求披露的其他内容</w:t>
      </w:r>
    </w:p>
    <w:p>
      <w:pPr>
        <w:spacing w:before="39"/>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144"/>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、报告期末近三年历次证券发行情况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6"/>
          <w:szCs w:val="26"/>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44"/>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4"/>
        <w:gridCol w:w="233"/>
        <w:gridCol w:w="1133"/>
        <w:gridCol w:w="475"/>
        <w:gridCol w:w="389"/>
        <w:gridCol w:w="797"/>
        <w:gridCol w:w="383"/>
        <w:gridCol w:w="414"/>
        <w:gridCol w:w="797"/>
        <w:gridCol w:w="408"/>
        <w:gridCol w:w="444"/>
        <w:gridCol w:w="1127"/>
        <w:gridCol w:w="241"/>
        <w:gridCol w:w="1366"/>
      </w:tblGrid>
      <w:tr>
        <w:trPr>
          <w:trHeight w:val="161" w:hRule="exact"/>
        </w:trPr>
        <w:tc>
          <w:tcPr>
            <w:tcW w:w="1596" w:type="dxa"/>
            <w:gridSpan w:val="2"/>
            <w:vMerge w:val="restart"/>
            <w:tcBorders>
              <w:top w:val="single" w:sz="4" w:space="0" w:color="000000"/>
              <w:left w:val="single" w:sz="4" w:space="0" w:color="000000"/>
              <w:right w:val="single" w:sz="4" w:space="0" w:color="000000"/>
            </w:tcBorders>
            <w:shd w:val="clear" w:color="auto" w:fill="D2D2D2"/>
          </w:tcPr>
          <w:p>
            <w:pPr/>
          </w:p>
        </w:tc>
        <w:tc>
          <w:tcPr>
            <w:tcW w:w="1609"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9,244</w:t>
            </w:r>
          </w:p>
        </w:tc>
        <w:tc>
          <w:tcPr>
            <w:tcW w:w="1568"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619" w:type="dxa"/>
            <w:gridSpan w:val="3"/>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7,454</w:t>
            </w:r>
          </w:p>
        </w:tc>
        <w:tc>
          <w:tcPr>
            <w:tcW w:w="157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1" w:right="20"/>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1"/>
                <w:sz w:val="18"/>
                <w:szCs w:val="18"/>
              </w:rPr>
              <w:t>数（如有）（参见注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7" w:type="dxa"/>
            <w:gridSpan w:val="2"/>
            <w:vMerge w:val="restart"/>
            <w:tcBorders>
              <w:top w:val="single" w:sz="4" w:space="0" w:color="000000"/>
              <w:left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596" w:type="dxa"/>
            <w:gridSpan w:val="2"/>
            <w:vMerge/>
            <w:tcBorders>
              <w:left w:val="single" w:sz="4" w:space="0" w:color="000000"/>
              <w:bottom w:val="nil" w:sz="6" w:space="0" w:color="auto"/>
              <w:right w:val="single" w:sz="4" w:space="0" w:color="000000"/>
            </w:tcBorders>
            <w:shd w:val="clear" w:color="auto" w:fill="D2D2D2"/>
          </w:tcPr>
          <w:p>
            <w:pPr/>
          </w:p>
        </w:tc>
        <w:tc>
          <w:tcPr>
            <w:tcW w:w="1609" w:type="dxa"/>
            <w:gridSpan w:val="2"/>
            <w:vMerge/>
            <w:tcBorders>
              <w:left w:val="single" w:sz="10" w:space="0" w:color="D2D2D2"/>
              <w:right w:val="single" w:sz="10" w:space="0" w:color="D2D2D2"/>
            </w:tcBorders>
          </w:tcPr>
          <w:p>
            <w:pPr/>
          </w:p>
        </w:tc>
        <w:tc>
          <w:tcPr>
            <w:tcW w:w="1568"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09" w:lineRule="auto" w:before="49"/>
              <w:ind w:left="11" w:right="102"/>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619" w:type="dxa"/>
            <w:gridSpan w:val="3"/>
            <w:vMerge/>
            <w:tcBorders>
              <w:left w:val="single" w:sz="10" w:space="0" w:color="D2D2D2"/>
              <w:right w:val="single" w:sz="10" w:space="0" w:color="D2D2D2"/>
            </w:tcBorders>
          </w:tcPr>
          <w:p>
            <w:pPr/>
          </w:p>
        </w:tc>
        <w:tc>
          <w:tcPr>
            <w:tcW w:w="1571"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2" w:space="0" w:color="D2D2D2"/>
              <w:right w:val="single" w:sz="4" w:space="0" w:color="000000"/>
            </w:tcBorders>
          </w:tcPr>
          <w:p>
            <w:pPr/>
          </w:p>
        </w:tc>
      </w:tr>
      <w:tr>
        <w:trPr>
          <w:trHeight w:val="704" w:hRule="exact"/>
        </w:trPr>
        <w:tc>
          <w:tcPr>
            <w:tcW w:w="159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609" w:type="dxa"/>
            <w:gridSpan w:val="2"/>
            <w:vMerge/>
            <w:tcBorders>
              <w:left w:val="single" w:sz="10" w:space="0" w:color="D2D2D2"/>
              <w:right w:val="single" w:sz="10" w:space="0" w:color="D2D2D2"/>
            </w:tcBorders>
          </w:tcPr>
          <w:p>
            <w:pPr/>
          </w:p>
        </w:tc>
        <w:tc>
          <w:tcPr>
            <w:tcW w:w="1568" w:type="dxa"/>
            <w:gridSpan w:val="3"/>
            <w:vMerge/>
            <w:tcBorders>
              <w:left w:val="single" w:sz="4" w:space="0" w:color="000000"/>
              <w:right w:val="single" w:sz="4" w:space="0" w:color="000000"/>
            </w:tcBorders>
            <w:shd w:val="clear" w:color="auto" w:fill="D2D2D2"/>
          </w:tcPr>
          <w:p>
            <w:pPr/>
          </w:p>
        </w:tc>
        <w:tc>
          <w:tcPr>
            <w:tcW w:w="1619" w:type="dxa"/>
            <w:gridSpan w:val="3"/>
            <w:vMerge/>
            <w:tcBorders>
              <w:left w:val="single" w:sz="10" w:space="0" w:color="D2D2D2"/>
              <w:right w:val="single" w:sz="10" w:space="0" w:color="D2D2D2"/>
            </w:tcBorders>
          </w:tcPr>
          <w:p>
            <w:pPr/>
          </w:p>
        </w:tc>
        <w:tc>
          <w:tcPr>
            <w:tcW w:w="1571"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2" w:space="0" w:color="D2D2D2"/>
              <w:right w:val="single" w:sz="4" w:space="0" w:color="000000"/>
            </w:tcBorders>
          </w:tcPr>
          <w:p>
            <w:pPr/>
          </w:p>
        </w:tc>
      </w:tr>
      <w:tr>
        <w:trPr>
          <w:trHeight w:val="156" w:hRule="exact"/>
        </w:trPr>
        <w:tc>
          <w:tcPr>
            <w:tcW w:w="1596" w:type="dxa"/>
            <w:gridSpan w:val="2"/>
            <w:vMerge w:val="restart"/>
            <w:tcBorders>
              <w:top w:val="nil" w:sz="6" w:space="0" w:color="auto"/>
              <w:left w:val="single" w:sz="4" w:space="0" w:color="000000"/>
              <w:right w:val="single" w:sz="4" w:space="0" w:color="000000"/>
            </w:tcBorders>
            <w:shd w:val="clear" w:color="auto" w:fill="D2D2D2"/>
          </w:tcPr>
          <w:p>
            <w:pPr/>
          </w:p>
        </w:tc>
        <w:tc>
          <w:tcPr>
            <w:tcW w:w="1609" w:type="dxa"/>
            <w:gridSpan w:val="2"/>
            <w:vMerge/>
            <w:tcBorders>
              <w:left w:val="single" w:sz="10" w:space="0" w:color="D2D2D2"/>
              <w:right w:val="single" w:sz="10" w:space="0" w:color="D2D2D2"/>
            </w:tcBorders>
          </w:tcPr>
          <w:p>
            <w:pPr/>
          </w:p>
        </w:tc>
        <w:tc>
          <w:tcPr>
            <w:tcW w:w="1568" w:type="dxa"/>
            <w:gridSpan w:val="3"/>
            <w:vMerge/>
            <w:tcBorders>
              <w:left w:val="single" w:sz="4" w:space="0" w:color="000000"/>
              <w:bottom w:val="nil" w:sz="6" w:space="0" w:color="auto"/>
              <w:right w:val="single" w:sz="4" w:space="0" w:color="000000"/>
            </w:tcBorders>
            <w:shd w:val="clear" w:color="auto" w:fill="D2D2D2"/>
          </w:tcPr>
          <w:p>
            <w:pPr/>
          </w:p>
        </w:tc>
        <w:tc>
          <w:tcPr>
            <w:tcW w:w="1619" w:type="dxa"/>
            <w:gridSpan w:val="3"/>
            <w:vMerge/>
            <w:tcBorders>
              <w:left w:val="single" w:sz="10" w:space="0" w:color="D2D2D2"/>
              <w:right w:val="single" w:sz="10" w:space="0" w:color="D2D2D2"/>
            </w:tcBorders>
          </w:tcPr>
          <w:p>
            <w:pPr/>
          </w:p>
        </w:tc>
        <w:tc>
          <w:tcPr>
            <w:tcW w:w="1571"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2" w:space="0" w:color="D2D2D2"/>
              <w:right w:val="single" w:sz="4" w:space="0" w:color="000000"/>
            </w:tcBorders>
          </w:tcPr>
          <w:p>
            <w:pPr/>
          </w:p>
        </w:tc>
      </w:tr>
      <w:tr>
        <w:trPr>
          <w:trHeight w:val="168" w:hRule="exact"/>
        </w:trPr>
        <w:tc>
          <w:tcPr>
            <w:tcW w:w="1596" w:type="dxa"/>
            <w:gridSpan w:val="2"/>
            <w:vMerge/>
            <w:tcBorders>
              <w:left w:val="single" w:sz="4" w:space="0" w:color="000000"/>
              <w:bottom w:val="single" w:sz="4" w:space="0" w:color="000000"/>
              <w:right w:val="single" w:sz="4" w:space="0" w:color="000000"/>
            </w:tcBorders>
            <w:shd w:val="clear" w:color="auto" w:fill="D2D2D2"/>
          </w:tcPr>
          <w:p>
            <w:pPr/>
          </w:p>
        </w:tc>
        <w:tc>
          <w:tcPr>
            <w:tcW w:w="1609" w:type="dxa"/>
            <w:gridSpan w:val="2"/>
            <w:vMerge/>
            <w:tcBorders>
              <w:left w:val="single" w:sz="10" w:space="0" w:color="D2D2D2"/>
              <w:bottom w:val="single" w:sz="4" w:space="0" w:color="000000"/>
              <w:right w:val="single" w:sz="10" w:space="0" w:color="D2D2D2"/>
            </w:tcBorders>
          </w:tcPr>
          <w:p>
            <w:pPr/>
          </w:p>
        </w:tc>
        <w:tc>
          <w:tcPr>
            <w:tcW w:w="1568"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619" w:type="dxa"/>
            <w:gridSpan w:val="3"/>
            <w:vMerge/>
            <w:tcBorders>
              <w:left w:val="single" w:sz="10" w:space="0" w:color="D2D2D2"/>
              <w:bottom w:val="single" w:sz="4" w:space="0" w:color="000000"/>
              <w:right w:val="single" w:sz="10" w:space="0" w:color="D2D2D2"/>
            </w:tcBorders>
          </w:tcPr>
          <w:p>
            <w:pPr/>
          </w:p>
        </w:tc>
        <w:tc>
          <w:tcPr>
            <w:tcW w:w="1571"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12" w:space="0" w:color="D2D2D2"/>
              <w:bottom w:val="single" w:sz="4" w:space="0" w:color="000000"/>
              <w:right w:val="single" w:sz="4" w:space="0" w:color="000000"/>
            </w:tcBorders>
          </w:tcPr>
          <w:p>
            <w:pPr/>
          </w:p>
        </w:tc>
      </w:tr>
      <w:tr>
        <w:trPr>
          <w:trHeight w:val="391" w:hRule="exact"/>
        </w:trPr>
        <w:tc>
          <w:tcPr>
            <w:tcW w:w="9571"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364" w:type="dxa"/>
            <w:vMerge w:val="restart"/>
            <w:tcBorders>
              <w:top w:val="single" w:sz="4" w:space="0" w:color="000000"/>
              <w:left w:val="single" w:sz="4" w:space="0" w:color="000000"/>
              <w:right w:val="single" w:sz="4" w:space="0" w:color="000000"/>
            </w:tcBorders>
            <w:shd w:val="clear" w:color="auto" w:fill="D2D2D2"/>
          </w:tcPr>
          <w:p>
            <w:pPr/>
          </w:p>
        </w:tc>
        <w:tc>
          <w:tcPr>
            <w:tcW w:w="1366" w:type="dxa"/>
            <w:gridSpan w:val="2"/>
            <w:vMerge w:val="restart"/>
            <w:tcBorders>
              <w:top w:val="single" w:sz="4" w:space="0" w:color="000000"/>
              <w:left w:val="single" w:sz="4" w:space="0" w:color="000000"/>
              <w:right w:val="single" w:sz="4" w:space="0" w:color="000000"/>
            </w:tcBorders>
            <w:shd w:val="clear" w:color="auto" w:fill="D2D2D2"/>
          </w:tcPr>
          <w:p>
            <w:pPr/>
          </w:p>
        </w:tc>
        <w:tc>
          <w:tcPr>
            <w:tcW w:w="864" w:type="dxa"/>
            <w:gridSpan w:val="2"/>
            <w:vMerge w:val="restart"/>
            <w:tcBorders>
              <w:top w:val="single" w:sz="4" w:space="0" w:color="000000"/>
              <w:left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3" w:right="33"/>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3" w:right="3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59" w:right="60"/>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3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3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64" w:type="dxa"/>
            <w:vMerge/>
            <w:tcBorders>
              <w:left w:val="single" w:sz="4" w:space="0" w:color="000000"/>
              <w:bottom w:val="nil" w:sz="6" w:space="0" w:color="auto"/>
              <w:right w:val="single" w:sz="4" w:space="0" w:color="000000"/>
            </w:tcBorders>
            <w:shd w:val="clear" w:color="auto" w:fill="D2D2D2"/>
          </w:tcPr>
          <w:p>
            <w:pPr/>
          </w:p>
        </w:tc>
        <w:tc>
          <w:tcPr>
            <w:tcW w:w="1366" w:type="dxa"/>
            <w:gridSpan w:val="2"/>
            <w:vMerge/>
            <w:tcBorders>
              <w:left w:val="single" w:sz="4" w:space="0" w:color="000000"/>
              <w:bottom w:val="nil" w:sz="6" w:space="0" w:color="auto"/>
              <w:right w:val="single" w:sz="4" w:space="0" w:color="000000"/>
            </w:tcBorders>
            <w:shd w:val="clear" w:color="auto" w:fill="D2D2D2"/>
          </w:tcPr>
          <w:p>
            <w:pPr/>
          </w:p>
        </w:tc>
        <w:tc>
          <w:tcPr>
            <w:tcW w:w="864" w:type="dxa"/>
            <w:gridSpan w:val="2"/>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2734" w:type="dxa"/>
            <w:gridSpan w:val="3"/>
            <w:vMerge/>
            <w:tcBorders>
              <w:left w:val="single" w:sz="4" w:space="0" w:color="000000"/>
              <w:right w:val="single" w:sz="4" w:space="0" w:color="000000"/>
            </w:tcBorders>
            <w:shd w:val="clear" w:color="auto" w:fill="D2D2D2"/>
          </w:tcPr>
          <w:p>
            <w:pPr/>
          </w:p>
        </w:tc>
      </w:tr>
      <w:tr>
        <w:trPr>
          <w:trHeight w:val="140" w:hRule="exact"/>
        </w:trPr>
        <w:tc>
          <w:tcPr>
            <w:tcW w:w="13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97" w:type="dxa"/>
            <w:vMerge/>
            <w:tcBorders>
              <w:left w:val="single" w:sz="4" w:space="0" w:color="000000"/>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2734"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364" w:type="dxa"/>
            <w:vMerge/>
            <w:tcBorders>
              <w:left w:val="single" w:sz="4" w:space="0" w:color="000000"/>
              <w:bottom w:val="nil" w:sz="6" w:space="0" w:color="auto"/>
              <w:right w:val="single" w:sz="4" w:space="0" w:color="000000"/>
            </w:tcBorders>
            <w:shd w:val="clear" w:color="auto" w:fill="D2D2D2"/>
          </w:tcPr>
          <w:p>
            <w:pPr/>
          </w:p>
        </w:tc>
        <w:tc>
          <w:tcPr>
            <w:tcW w:w="1366" w:type="dxa"/>
            <w:gridSpan w:val="2"/>
            <w:vMerge/>
            <w:tcBorders>
              <w:left w:val="single" w:sz="4" w:space="0" w:color="000000"/>
              <w:bottom w:val="nil" w:sz="6" w:space="0" w:color="auto"/>
              <w:right w:val="single" w:sz="4" w:space="0" w:color="000000"/>
            </w:tcBorders>
            <w:shd w:val="clear" w:color="auto" w:fill="D2D2D2"/>
          </w:tcPr>
          <w:p>
            <w:pPr/>
          </w:p>
        </w:tc>
        <w:tc>
          <w:tcPr>
            <w:tcW w:w="864" w:type="dxa"/>
            <w:gridSpan w:val="2"/>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13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64" w:type="dxa"/>
            <w:vMerge w:val="restart"/>
            <w:tcBorders>
              <w:top w:val="nil" w:sz="6" w:space="0" w:color="auto"/>
              <w:left w:val="single" w:sz="4" w:space="0" w:color="000000"/>
              <w:right w:val="single" w:sz="4" w:space="0" w:color="000000"/>
            </w:tcBorders>
            <w:shd w:val="clear" w:color="auto" w:fill="D2D2D2"/>
          </w:tcPr>
          <w:p>
            <w:pPr/>
          </w:p>
        </w:tc>
        <w:tc>
          <w:tcPr>
            <w:tcW w:w="1366" w:type="dxa"/>
            <w:gridSpan w:val="2"/>
            <w:vMerge w:val="restart"/>
            <w:tcBorders>
              <w:top w:val="nil" w:sz="6" w:space="0" w:color="auto"/>
              <w:left w:val="single" w:sz="4" w:space="0" w:color="000000"/>
              <w:right w:val="single" w:sz="4" w:space="0" w:color="000000"/>
            </w:tcBorders>
            <w:shd w:val="clear" w:color="auto" w:fill="D2D2D2"/>
          </w:tcPr>
          <w:p>
            <w:pPr/>
          </w:p>
        </w:tc>
        <w:tc>
          <w:tcPr>
            <w:tcW w:w="864" w:type="dxa"/>
            <w:gridSpan w:val="2"/>
            <w:vMerge w:val="restart"/>
            <w:tcBorders>
              <w:top w:val="nil" w:sz="6" w:space="0" w:color="auto"/>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1369" w:type="dxa"/>
            <w:gridSpan w:val="2"/>
            <w:vMerge/>
            <w:tcBorders>
              <w:left w:val="single" w:sz="4" w:space="0" w:color="000000"/>
              <w:right w:val="single" w:sz="4" w:space="0" w:color="000000"/>
            </w:tcBorders>
            <w:shd w:val="clear" w:color="auto" w:fill="D2D2D2"/>
          </w:tcPr>
          <w:p>
            <w:pPr/>
          </w:p>
        </w:tc>
        <w:tc>
          <w:tcPr>
            <w:tcW w:w="1366" w:type="dxa"/>
            <w:vMerge/>
            <w:tcBorders>
              <w:left w:val="single" w:sz="4" w:space="0" w:color="000000"/>
              <w:right w:val="single" w:sz="4" w:space="0" w:color="000000"/>
            </w:tcBorders>
            <w:shd w:val="clear" w:color="auto" w:fill="D2D2D2"/>
          </w:tcPr>
          <w:p>
            <w:pPr/>
          </w:p>
        </w:tc>
      </w:tr>
      <w:tr>
        <w:trPr>
          <w:trHeight w:val="161" w:hRule="exact"/>
        </w:trPr>
        <w:tc>
          <w:tcPr>
            <w:tcW w:w="1364" w:type="dxa"/>
            <w:vMerge/>
            <w:tcBorders>
              <w:left w:val="single" w:sz="4" w:space="0" w:color="000000"/>
              <w:bottom w:val="single" w:sz="4" w:space="0" w:color="000000"/>
              <w:right w:val="single" w:sz="4" w:space="0" w:color="000000"/>
            </w:tcBorders>
            <w:shd w:val="clear" w:color="auto" w:fill="D2D2D2"/>
          </w:tcPr>
          <w:p>
            <w:pPr/>
          </w:p>
        </w:tc>
        <w:tc>
          <w:tcPr>
            <w:tcW w:w="1366" w:type="dxa"/>
            <w:gridSpan w:val="2"/>
            <w:vMerge/>
            <w:tcBorders>
              <w:left w:val="single" w:sz="4" w:space="0" w:color="000000"/>
              <w:bottom w:val="single" w:sz="4" w:space="0" w:color="000000"/>
              <w:right w:val="single" w:sz="4" w:space="0" w:color="000000"/>
            </w:tcBorders>
            <w:shd w:val="clear" w:color="auto" w:fill="D2D2D2"/>
          </w:tcPr>
          <w:p>
            <w:pPr/>
          </w:p>
        </w:tc>
        <w:tc>
          <w:tcPr>
            <w:tcW w:w="864" w:type="dxa"/>
            <w:gridSpan w:val="2"/>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52" w:type="dxa"/>
            <w:gridSpan w:val="2"/>
            <w:vMerge/>
            <w:tcBorders>
              <w:left w:val="single" w:sz="4" w:space="0" w:color="000000"/>
              <w:bottom w:val="single" w:sz="4" w:space="0" w:color="000000"/>
              <w:right w:val="single" w:sz="4" w:space="0" w:color="000000"/>
            </w:tcBorders>
            <w:shd w:val="clear" w:color="auto" w:fill="D2D2D2"/>
          </w:tcPr>
          <w:p>
            <w:pPr/>
          </w:p>
        </w:tc>
        <w:tc>
          <w:tcPr>
            <w:tcW w:w="1369"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刘冀鲁</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5" w:right="0"/>
              <w:jc w:val="left"/>
              <w:rPr>
                <w:rFonts w:ascii="Times New Roman" w:hAnsi="Times New Roman" w:cs="Times New Roman" w:eastAsia="Times New Roman" w:hint="default"/>
                <w:sz w:val="18"/>
                <w:szCs w:val="18"/>
              </w:rPr>
            </w:pPr>
            <w:r>
              <w:rPr>
                <w:rFonts w:ascii="Times New Roman"/>
                <w:sz w:val="18"/>
              </w:rPr>
              <w:t>45.88%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35,708,11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26,931,08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8,777,028</w:t>
            </w:r>
          </w:p>
        </w:tc>
        <w:tc>
          <w:tcPr>
            <w:tcW w:w="1369"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6"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5,000,000</w:t>
            </w: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刘凌云</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7.68%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5,978,235</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-1,450,00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5,571,176</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407,059</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宫为平</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4" w:right="0"/>
              <w:jc w:val="left"/>
              <w:rPr>
                <w:rFonts w:ascii="Times New Roman" w:hAnsi="Times New Roman" w:cs="Times New Roman" w:eastAsia="Times New Roman" w:hint="default"/>
                <w:sz w:val="18"/>
                <w:szCs w:val="18"/>
              </w:rPr>
            </w:pPr>
            <w:r>
              <w:rPr>
                <w:rFonts w:ascii="Times New Roman"/>
                <w:sz w:val="18"/>
              </w:rPr>
              <w:t>2.80%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2,176,856</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-544,214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2,040,802</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2" w:right="0"/>
              <w:jc w:val="left"/>
              <w:rPr>
                <w:rFonts w:ascii="Times New Roman" w:hAnsi="Times New Roman" w:cs="Times New Roman" w:eastAsia="Times New Roman" w:hint="default"/>
                <w:sz w:val="18"/>
                <w:szCs w:val="18"/>
              </w:rPr>
            </w:pPr>
            <w:r>
              <w:rPr>
                <w:rFonts w:ascii="Times New Roman"/>
                <w:sz w:val="18"/>
              </w:rPr>
              <w:t>136,054</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黄学春</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4" w:right="0"/>
              <w:jc w:val="left"/>
              <w:rPr>
                <w:rFonts w:ascii="Times New Roman" w:hAnsi="Times New Roman" w:cs="Times New Roman" w:eastAsia="Times New Roman" w:hint="default"/>
                <w:sz w:val="18"/>
                <w:szCs w:val="18"/>
              </w:rPr>
            </w:pPr>
            <w:r>
              <w:rPr>
                <w:rFonts w:ascii="Times New Roman"/>
                <w:sz w:val="18"/>
              </w:rPr>
              <w:t>2.61%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2,031,705</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-507,100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1,904,104</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2" w:right="0"/>
              <w:jc w:val="left"/>
              <w:rPr>
                <w:rFonts w:ascii="Times New Roman" w:hAnsi="Times New Roman" w:cs="Times New Roman" w:eastAsia="Times New Roman" w:hint="default"/>
                <w:sz w:val="18"/>
                <w:szCs w:val="18"/>
              </w:rPr>
            </w:pPr>
            <w:r>
              <w:rPr>
                <w:rFonts w:ascii="Times New Roman"/>
                <w:sz w:val="18"/>
              </w:rPr>
              <w:t>127,601</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4" w:right="65"/>
              <w:jc w:val="both"/>
              <w:rPr>
                <w:rFonts w:ascii="宋体" w:hAnsi="宋体" w:cs="宋体" w:eastAsia="宋体" w:hint="default"/>
                <w:sz w:val="18"/>
                <w:szCs w:val="18"/>
              </w:rPr>
            </w:pPr>
            <w:r>
              <w:rPr>
                <w:rFonts w:ascii="宋体" w:hAnsi="宋体" w:cs="宋体" w:eastAsia="宋体" w:hint="default"/>
                <w:sz w:val="18"/>
                <w:szCs w:val="18"/>
              </w:rPr>
              <w:t>云南国际信托有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睿金</w:t>
            </w:r>
            <w:r>
              <w:rPr>
                <w:rFonts w:ascii="Times New Roman" w:hAnsi="Times New Roman" w:cs="Times New Roman" w:eastAsia="Times New Roman" w:hint="default"/>
                <w:sz w:val="18"/>
                <w:szCs w:val="18"/>
              </w:rPr>
              <w:t>— </w:t>
            </w:r>
            <w:r>
              <w:rPr>
                <w:rFonts w:ascii="宋体" w:hAnsi="宋体" w:cs="宋体" w:eastAsia="宋体" w:hint="default"/>
                <w:sz w:val="18"/>
                <w:szCs w:val="18"/>
              </w:rPr>
              <w:t>汇赢通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 资金信托</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1.90%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1,475,567</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1,475,567</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唐成宽</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4" w:right="0"/>
              <w:jc w:val="left"/>
              <w:rPr>
                <w:rFonts w:ascii="Times New Roman" w:hAnsi="Times New Roman" w:cs="Times New Roman" w:eastAsia="Times New Roman" w:hint="default"/>
                <w:sz w:val="18"/>
                <w:szCs w:val="18"/>
              </w:rPr>
            </w:pPr>
            <w:r>
              <w:rPr>
                <w:rFonts w:ascii="Times New Roman"/>
                <w:sz w:val="18"/>
              </w:rPr>
              <w:t>1.75%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1,360,428</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1,020,321</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2" w:right="0"/>
              <w:jc w:val="left"/>
              <w:rPr>
                <w:rFonts w:ascii="Times New Roman" w:hAnsi="Times New Roman" w:cs="Times New Roman" w:eastAsia="Times New Roman" w:hint="default"/>
                <w:sz w:val="18"/>
                <w:szCs w:val="18"/>
              </w:rPr>
            </w:pPr>
            <w:r>
              <w:rPr>
                <w:rFonts w:ascii="Times New Roman"/>
                <w:sz w:val="18"/>
              </w:rPr>
              <w:t>340,107</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陆金华</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64" w:right="0"/>
              <w:jc w:val="left"/>
              <w:rPr>
                <w:rFonts w:ascii="Times New Roman" w:hAnsi="Times New Roman" w:cs="Times New Roman" w:eastAsia="Times New Roman" w:hint="default"/>
                <w:sz w:val="18"/>
                <w:szCs w:val="18"/>
              </w:rPr>
            </w:pPr>
            <w:r>
              <w:rPr>
                <w:rFonts w:ascii="Times New Roman"/>
                <w:sz w:val="18"/>
              </w:rPr>
              <w:t>1.49%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1,159,336</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8" w:right="0"/>
              <w:jc w:val="left"/>
              <w:rPr>
                <w:rFonts w:ascii="Times New Roman" w:hAnsi="Times New Roman" w:cs="Times New Roman" w:eastAsia="Times New Roman" w:hint="default"/>
                <w:sz w:val="18"/>
                <w:szCs w:val="18"/>
              </w:rPr>
            </w:pPr>
            <w:r>
              <w:rPr>
                <w:rFonts w:ascii="Times New Roman"/>
                <w:sz w:val="18"/>
              </w:rPr>
              <w:t>1,159,336</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吴翠华</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4"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775,990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-74,277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637,700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2" w:right="0"/>
              <w:jc w:val="left"/>
              <w:rPr>
                <w:rFonts w:ascii="Times New Roman" w:hAnsi="Times New Roman" w:cs="Times New Roman" w:eastAsia="Times New Roman" w:hint="default"/>
                <w:sz w:val="18"/>
                <w:szCs w:val="18"/>
              </w:rPr>
            </w:pPr>
            <w:r>
              <w:rPr>
                <w:rFonts w:ascii="Times New Roman"/>
                <w:sz w:val="18"/>
              </w:rPr>
              <w:t>138,290</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华宝信托有限责</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4" w:right="0"/>
              <w:jc w:val="left"/>
              <w:rPr>
                <w:rFonts w:ascii="Times New Roman" w:hAnsi="Times New Roman" w:cs="Times New Roman" w:eastAsia="Times New Roman" w:hint="default"/>
                <w:sz w:val="18"/>
                <w:szCs w:val="18"/>
              </w:rPr>
            </w:pPr>
            <w:r>
              <w:rPr>
                <w:rFonts w:ascii="Times New Roman"/>
                <w:sz w:val="18"/>
              </w:rPr>
              <w:t>0.95%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740,035</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2" w:right="0"/>
              <w:jc w:val="left"/>
              <w:rPr>
                <w:rFonts w:ascii="Times New Roman" w:hAnsi="Times New Roman" w:cs="Times New Roman" w:eastAsia="Times New Roman" w:hint="default"/>
                <w:sz w:val="18"/>
                <w:szCs w:val="18"/>
              </w:rPr>
            </w:pPr>
            <w:r>
              <w:rPr>
                <w:rFonts w:ascii="Times New Roman"/>
                <w:sz w:val="18"/>
              </w:rPr>
              <w:t>740,035</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193.490005pt;margin-top:156.919983pt;width:340.4pt;height:20.8pt;mso-position-horizontal-relative:page;mso-position-vertical-relative:page;z-index:-716968" coordorigin="3870,3138" coordsize="6808,416">
            <v:group style="position:absolute;left:3881;top:3149;width:2;height:394" coordorigin="3881,3149" coordsize="2,394">
              <v:shape style="position:absolute;left:3881;top:3149;width:2;height:394" coordorigin="3881,3149" coordsize="0,394" path="m3881,3149l3881,3543e" filled="false" stroked="true" strokeweight="1.08pt" strokecolor="#ffffff">
                <v:path arrowok="t"/>
              </v:shape>
            </v:group>
            <v:group style="position:absolute;left:3891;top:3149;width:6786;height:394" coordorigin="3891,3149" coordsize="6786,394">
              <v:shape style="position:absolute;left:3891;top:3149;width:6786;height:394" coordorigin="3891,3149" coordsize="6786,394" path="m3891,3543l10677,3543,10677,3149,3891,3149,3891,3543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364"/>
        <w:gridCol w:w="1366"/>
        <w:gridCol w:w="864"/>
        <w:gridCol w:w="797"/>
        <w:gridCol w:w="797"/>
        <w:gridCol w:w="797"/>
        <w:gridCol w:w="852"/>
        <w:gridCol w:w="1369"/>
        <w:gridCol w:w="1366"/>
      </w:tblGrid>
      <w:tr>
        <w:trPr>
          <w:trHeight w:val="98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19"/>
              <w:jc w:val="both"/>
              <w:rPr>
                <w:rFonts w:ascii="宋体" w:hAnsi="宋体" w:cs="宋体" w:eastAsia="宋体" w:hint="default"/>
                <w:sz w:val="18"/>
                <w:szCs w:val="18"/>
              </w:rPr>
            </w:pPr>
            <w:r>
              <w:rPr>
                <w:rFonts w:ascii="宋体" w:hAnsi="宋体" w:cs="宋体" w:eastAsia="宋体" w:hint="default"/>
                <w:sz w:val="18"/>
                <w:szCs w:val="18"/>
              </w:rPr>
              <w:t>任公司－时节好 雨</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号集合资金 信托</w:t>
            </w:r>
          </w:p>
        </w:tc>
        <w:tc>
          <w:tcPr>
            <w:tcW w:w="136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袁福祥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4" w:right="0"/>
              <w:jc w:val="left"/>
              <w:rPr>
                <w:rFonts w:ascii="Times New Roman" w:hAnsi="Times New Roman" w:cs="Times New Roman" w:eastAsia="Times New Roman" w:hint="default"/>
                <w:sz w:val="18"/>
                <w:szCs w:val="18"/>
              </w:rPr>
            </w:pPr>
            <w:r>
              <w:rPr>
                <w:rFonts w:ascii="Times New Roman"/>
                <w:sz w:val="18"/>
              </w:rPr>
              <w:t>0.70%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9" w:right="0"/>
              <w:jc w:val="left"/>
              <w:rPr>
                <w:rFonts w:ascii="Times New Roman" w:hAnsi="Times New Roman" w:cs="Times New Roman" w:eastAsia="Times New Roman" w:hint="default"/>
                <w:sz w:val="18"/>
                <w:szCs w:val="18"/>
              </w:rPr>
            </w:pPr>
            <w:r>
              <w:rPr>
                <w:rFonts w:ascii="Times New Roman"/>
                <w:sz w:val="18"/>
              </w:rPr>
              <w:t>544,267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-136,000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9" w:right="0"/>
              <w:jc w:val="left"/>
              <w:rPr>
                <w:rFonts w:ascii="Times New Roman" w:hAnsi="Times New Roman" w:cs="Times New Roman" w:eastAsia="Times New Roman" w:hint="default"/>
                <w:sz w:val="18"/>
                <w:szCs w:val="18"/>
              </w:rPr>
            </w:pPr>
            <w:r>
              <w:rPr>
                <w:rFonts w:ascii="Times New Roman"/>
                <w:sz w:val="18"/>
              </w:rPr>
              <w:t>510,200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3" w:right="0"/>
              <w:jc w:val="left"/>
              <w:rPr>
                <w:rFonts w:ascii="Times New Roman" w:hAnsi="Times New Roman" w:cs="Times New Roman" w:eastAsia="Times New Roman" w:hint="default"/>
                <w:sz w:val="18"/>
                <w:szCs w:val="18"/>
              </w:rPr>
            </w:pPr>
            <w:r>
              <w:rPr>
                <w:rFonts w:ascii="Times New Roman"/>
                <w:sz w:val="18"/>
              </w:rPr>
              <w:t>34,067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510,160</w:t>
            </w:r>
          </w:p>
        </w:tc>
      </w:tr>
      <w:tr>
        <w:trPr>
          <w:trHeight w:val="1027"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名股东的情况（如有）</w:t>
            </w:r>
            <w:r>
              <w:rPr>
                <w:rFonts w:ascii="宋体" w:hAnsi="宋体" w:cs="宋体" w:eastAsia="宋体" w:hint="default"/>
                <w:sz w:val="18"/>
                <w:szCs w:val="18"/>
              </w:rPr>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4" w:type="dxa"/>
            <w:tcBorders>
              <w:top w:val="single" w:sz="4" w:space="0" w:color="000000"/>
              <w:left w:val="single" w:sz="9"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nil" w:sz="6" w:space="0" w:color="auto"/>
              <w:bottom w:val="single" w:sz="4" w:space="0" w:color="000000"/>
              <w:right w:val="nil" w:sz="6" w:space="0" w:color="auto"/>
            </w:tcBorders>
          </w:tcPr>
          <w:p>
            <w:pPr/>
          </w:p>
        </w:tc>
        <w:tc>
          <w:tcPr>
            <w:tcW w:w="797" w:type="dxa"/>
            <w:tcBorders>
              <w:top w:val="single" w:sz="4" w:space="0" w:color="000000"/>
              <w:left w:val="nil" w:sz="6" w:space="0" w:color="auto"/>
              <w:bottom w:val="single" w:sz="4" w:space="0" w:color="000000"/>
              <w:right w:val="nil" w:sz="6" w:space="0" w:color="auto"/>
            </w:tcBorders>
          </w:tcPr>
          <w:p>
            <w:pPr/>
          </w:p>
        </w:tc>
        <w:tc>
          <w:tcPr>
            <w:tcW w:w="797" w:type="dxa"/>
            <w:tcBorders>
              <w:top w:val="single" w:sz="4" w:space="0" w:color="000000"/>
              <w:left w:val="nil" w:sz="6" w:space="0" w:color="auto"/>
              <w:bottom w:val="single" w:sz="4" w:space="0" w:color="000000"/>
              <w:right w:val="nil" w:sz="6" w:space="0" w:color="auto"/>
            </w:tcBorders>
          </w:tcPr>
          <w:p>
            <w:pPr/>
          </w:p>
        </w:tc>
        <w:tc>
          <w:tcPr>
            <w:tcW w:w="852" w:type="dxa"/>
            <w:tcBorders>
              <w:top w:val="single" w:sz="4" w:space="0" w:color="000000"/>
              <w:left w:val="nil" w:sz="6" w:space="0" w:color="auto"/>
              <w:bottom w:val="single" w:sz="4" w:space="0" w:color="000000"/>
              <w:right w:val="nil" w:sz="6" w:space="0" w:color="auto"/>
            </w:tcBorders>
          </w:tcPr>
          <w:p>
            <w:pPr/>
          </w:p>
        </w:tc>
        <w:tc>
          <w:tcPr>
            <w:tcW w:w="1369" w:type="dxa"/>
            <w:tcBorders>
              <w:top w:val="single" w:sz="4" w:space="0" w:color="000000"/>
              <w:left w:val="nil" w:sz="6" w:space="0" w:color="auto"/>
              <w:bottom w:val="single" w:sz="4" w:space="0" w:color="000000"/>
              <w:right w:val="nil" w:sz="6" w:space="0" w:color="auto"/>
            </w:tcBorders>
          </w:tcPr>
          <w:p>
            <w:pPr/>
          </w:p>
        </w:tc>
        <w:tc>
          <w:tcPr>
            <w:tcW w:w="1366" w:type="dxa"/>
            <w:tcBorders>
              <w:top w:val="single" w:sz="4" w:space="0" w:color="000000"/>
              <w:left w:val="nil" w:sz="6" w:space="0" w:color="auto"/>
              <w:bottom w:val="single" w:sz="4" w:space="0" w:color="000000"/>
              <w:right w:val="single" w:sz="4" w:space="0" w:color="000000"/>
            </w:tcBorders>
          </w:tcPr>
          <w:p>
            <w:pPr/>
          </w:p>
        </w:tc>
      </w:tr>
      <w:tr>
        <w:trPr>
          <w:trHeight w:val="713"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7"/>
            <w:tcBorders>
              <w:top w:val="single" w:sz="4" w:space="0" w:color="000000"/>
              <w:left w:val="single" w:sz="9" w:space="0" w:color="D2D2D2"/>
              <w:bottom w:val="single" w:sz="4" w:space="0" w:color="000000"/>
              <w:right w:val="single" w:sz="4" w:space="0" w:color="000000"/>
            </w:tcBorders>
          </w:tcPr>
          <w:p>
            <w:pPr>
              <w:pStyle w:val="TableParagraph"/>
              <w:spacing w:line="316" w:lineRule="auto" w:before="49"/>
              <w:ind w:left="17" w:right="24"/>
              <w:jc w:val="left"/>
              <w:rPr>
                <w:rFonts w:ascii="宋体" w:hAnsi="宋体" w:cs="宋体" w:eastAsia="宋体" w:hint="default"/>
                <w:sz w:val="18"/>
                <w:szCs w:val="18"/>
              </w:rPr>
            </w:pPr>
            <w:r>
              <w:rPr>
                <w:rFonts w:ascii="宋体" w:hAnsi="宋体" w:cs="宋体" w:eastAsia="宋体" w:hint="default"/>
                <w:spacing w:val="-2"/>
                <w:sz w:val="18"/>
                <w:szCs w:val="18"/>
              </w:rPr>
              <w:t>公司董事长刘冀鲁与公司总经理刘凌云系父女关系，属于一致行动人；未知其他股东之</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间是否存在关联关系，是否属于一致行动人。</w:t>
            </w:r>
          </w:p>
        </w:tc>
      </w:tr>
      <w:tr>
        <w:trPr>
          <w:trHeight w:val="404"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73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07"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73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7"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730" w:type="dxa"/>
            <w:gridSpan w:val="2"/>
            <w:vMerge/>
            <w:tcBorders>
              <w:left w:val="single" w:sz="4" w:space="0" w:color="000000"/>
              <w:bottom w:val="nil" w:sz="6" w:space="0" w:color="auto"/>
              <w:right w:val="single" w:sz="4" w:space="0" w:color="000000"/>
            </w:tcBorders>
            <w:shd w:val="clear" w:color="auto" w:fill="D2D2D2"/>
          </w:tcPr>
          <w:p>
            <w:pPr/>
          </w:p>
        </w:tc>
        <w:tc>
          <w:tcPr>
            <w:tcW w:w="4107" w:type="dxa"/>
            <w:gridSpan w:val="5"/>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3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07"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刘冀鲁</w:t>
            </w:r>
          </w:p>
        </w:tc>
        <w:tc>
          <w:tcPr>
            <w:tcW w:w="4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8,777,028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8,777,028</w:t>
            </w:r>
          </w:p>
        </w:tc>
      </w:tr>
      <w:tr>
        <w:trPr>
          <w:trHeight w:val="715"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云南国际信托有限公司－睿金－ 汇赢通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号单一资金信托</w:t>
            </w:r>
          </w:p>
        </w:tc>
        <w:tc>
          <w:tcPr>
            <w:tcW w:w="4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1,475,567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1,475,567</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陆金华</w:t>
            </w:r>
          </w:p>
        </w:tc>
        <w:tc>
          <w:tcPr>
            <w:tcW w:w="4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1,159,336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1,159,336</w:t>
            </w:r>
          </w:p>
        </w:tc>
      </w:tr>
      <w:tr>
        <w:trPr>
          <w:trHeight w:val="716"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华宝信托有限责任公司－时节好 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w:t>
            </w:r>
          </w:p>
        </w:tc>
        <w:tc>
          <w:tcPr>
            <w:tcW w:w="4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740,035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740,035</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罗青梅</w:t>
            </w:r>
          </w:p>
        </w:tc>
        <w:tc>
          <w:tcPr>
            <w:tcW w:w="4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513,000</w:t>
            </w:r>
          </w:p>
        </w:tc>
      </w:tr>
      <w:tr>
        <w:trPr>
          <w:trHeight w:val="403"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刘凌云</w:t>
            </w:r>
          </w:p>
        </w:tc>
        <w:tc>
          <w:tcPr>
            <w:tcW w:w="4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407,059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407,059</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唐成宽</w:t>
            </w:r>
          </w:p>
        </w:tc>
        <w:tc>
          <w:tcPr>
            <w:tcW w:w="4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340,107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340,107</w:t>
            </w:r>
          </w:p>
        </w:tc>
      </w:tr>
      <w:tr>
        <w:trPr>
          <w:trHeight w:val="403"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郝丽芬</w:t>
            </w:r>
          </w:p>
        </w:tc>
        <w:tc>
          <w:tcPr>
            <w:tcW w:w="4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267,785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267,785</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应光亮</w:t>
            </w:r>
          </w:p>
        </w:tc>
        <w:tc>
          <w:tcPr>
            <w:tcW w:w="4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229,400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229,400</w:t>
            </w:r>
          </w:p>
        </w:tc>
      </w:tr>
      <w:tr>
        <w:trPr>
          <w:trHeight w:val="403"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李亮</w:t>
            </w:r>
          </w:p>
        </w:tc>
        <w:tc>
          <w:tcPr>
            <w:tcW w:w="4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200,086</w:t>
            </w:r>
          </w:p>
        </w:tc>
      </w:tr>
      <w:tr>
        <w:trPr>
          <w:trHeight w:val="1337"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24" w:right="8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684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24"/>
              <w:jc w:val="left"/>
              <w:rPr>
                <w:rFonts w:ascii="宋体" w:hAnsi="宋体" w:cs="宋体" w:eastAsia="宋体" w:hint="default"/>
                <w:sz w:val="18"/>
                <w:szCs w:val="18"/>
              </w:rPr>
            </w:pPr>
            <w:r>
              <w:rPr>
                <w:rFonts w:ascii="宋体" w:hAnsi="宋体" w:cs="宋体" w:eastAsia="宋体" w:hint="default"/>
                <w:spacing w:val="-2"/>
                <w:sz w:val="18"/>
                <w:szCs w:val="18"/>
              </w:rPr>
              <w:t>公司董事长刘冀鲁与公司总经理刘凌云系父女关系，属于一致行动人；未知其他股东之</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间是否存在关联关系，是否属于一致行动人。</w:t>
            </w:r>
          </w:p>
        </w:tc>
      </w:tr>
      <w:tr>
        <w:trPr>
          <w:trHeight w:val="1339"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4" w:right="82"/>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 </w:t>
            </w:r>
            <w:r>
              <w:rPr>
                <w:rFonts w:ascii="宋体" w:hAnsi="宋体" w:cs="宋体" w:eastAsia="宋体" w:hint="default"/>
                <w:spacing w:val="-6"/>
                <w:sz w:val="18"/>
                <w:szCs w:val="18"/>
              </w:rPr>
              <w:t>业务股东情况说明（如有）（参见</w:t>
            </w:r>
            <w:r>
              <w:rPr>
                <w:rFonts w:ascii="宋体" w:hAnsi="宋体" w:cs="宋体" w:eastAsia="宋体" w:hint="default"/>
                <w:sz w:val="18"/>
                <w:szCs w:val="18"/>
              </w:rPr>
              <w:t> 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41"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前十大股东中</w:t>
            </w:r>
            <w:r>
              <w:rPr>
                <w:rFonts w:ascii="Times New Roman" w:hAnsi="Times New Roman" w:cs="Times New Roman" w:eastAsia="Times New Roman" w:hint="default"/>
                <w:sz w:val="18"/>
                <w:szCs w:val="18"/>
              </w:rPr>
              <w:t>“</w:t>
            </w:r>
            <w:r>
              <w:rPr>
                <w:rFonts w:ascii="宋体" w:hAnsi="宋体" w:cs="宋体" w:eastAsia="宋体" w:hint="default"/>
                <w:sz w:val="18"/>
                <w:szCs w:val="18"/>
              </w:rPr>
              <w:t>陆金华</w:t>
            </w:r>
            <w:r>
              <w:rPr>
                <w:rFonts w:ascii="Times New Roman" w:hAnsi="Times New Roman" w:cs="Times New Roman" w:eastAsia="Times New Roman" w:hint="default"/>
                <w:sz w:val="18"/>
                <w:szCs w:val="18"/>
              </w:rPr>
              <w:t>”</w:t>
            </w:r>
            <w:r>
              <w:rPr>
                <w:rFonts w:ascii="宋体" w:hAnsi="宋体" w:cs="宋体" w:eastAsia="宋体" w:hint="default"/>
                <w:sz w:val="18"/>
                <w:szCs w:val="18"/>
              </w:rPr>
              <w:t>通过</w:t>
            </w:r>
            <w:r>
              <w:rPr>
                <w:rFonts w:ascii="Times New Roman" w:hAnsi="Times New Roman" w:cs="Times New Roman" w:eastAsia="Times New Roman" w:hint="default"/>
                <w:sz w:val="18"/>
                <w:szCs w:val="18"/>
              </w:rPr>
              <w:t>“</w:t>
            </w:r>
            <w:r>
              <w:rPr>
                <w:rFonts w:ascii="宋体" w:hAnsi="宋体" w:cs="宋体" w:eastAsia="宋体" w:hint="default"/>
                <w:sz w:val="18"/>
                <w:szCs w:val="18"/>
              </w:rPr>
              <w:t>海通证券股份有限公司客户信用交易担保证券账户</w:t>
            </w:r>
            <w:r>
              <w:rPr>
                <w:rFonts w:ascii="Times New Roman" w:hAnsi="Times New Roman" w:cs="Times New Roman" w:eastAsia="Times New Roman" w:hint="default"/>
                <w:sz w:val="18"/>
                <w:szCs w:val="18"/>
              </w:rPr>
              <w:t>"</w:t>
            </w:r>
            <w:r>
              <w:rPr>
                <w:rFonts w:ascii="宋体" w:hAnsi="宋体" w:cs="宋体" w:eastAsia="宋体" w:hint="default"/>
                <w:sz w:val="18"/>
                <w:szCs w:val="18"/>
              </w:rPr>
              <w:t>持有 公司股票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1,159,336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股，占公司总股本的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1.49%</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罗青梅</w:t>
            </w:r>
            <w:r>
              <w:rPr>
                <w:rFonts w:ascii="Times New Roman" w:hAnsi="Times New Roman" w:cs="Times New Roman" w:eastAsia="Times New Roman" w:hint="default"/>
                <w:sz w:val="18"/>
                <w:szCs w:val="18"/>
              </w:rPr>
              <w:t>”</w:t>
            </w:r>
            <w:r>
              <w:rPr>
                <w:rFonts w:ascii="宋体" w:hAnsi="宋体" w:cs="宋体" w:eastAsia="宋体" w:hint="default"/>
                <w:sz w:val="18"/>
                <w:szCs w:val="18"/>
              </w:rPr>
              <w:t>通过</w:t>
            </w:r>
            <w:r>
              <w:rPr>
                <w:rFonts w:ascii="Times New Roman" w:hAnsi="Times New Roman" w:cs="Times New Roman" w:eastAsia="Times New Roman" w:hint="default"/>
                <w:sz w:val="18"/>
                <w:szCs w:val="18"/>
              </w:rPr>
              <w:t>“</w:t>
            </w:r>
            <w:r>
              <w:rPr>
                <w:rFonts w:ascii="宋体" w:hAnsi="宋体" w:cs="宋体" w:eastAsia="宋体" w:hint="default"/>
                <w:sz w:val="18"/>
                <w:szCs w:val="18"/>
              </w:rPr>
              <w:t>招商证券股份有限公司 </w:t>
            </w:r>
            <w:r>
              <w:rPr>
                <w:rFonts w:ascii="宋体" w:hAnsi="宋体" w:cs="宋体" w:eastAsia="宋体" w:hint="default"/>
                <w:w w:val="99"/>
                <w:sz w:val="18"/>
                <w:szCs w:val="18"/>
              </w:rPr>
              <w:t>客户信用交易担保证券账户</w:t>
            </w:r>
            <w:r>
              <w:rPr>
                <w:rFonts w:ascii="Times New Roman" w:hAnsi="Times New Roman" w:cs="Times New Roman" w:eastAsia="Times New Roman" w:hint="default"/>
                <w:w w:val="99"/>
                <w:sz w:val="18"/>
                <w:szCs w:val="18"/>
              </w:rPr>
              <w:t>"</w:t>
            </w:r>
            <w:r>
              <w:rPr>
                <w:rFonts w:ascii="宋体" w:hAnsi="宋体" w:cs="宋体" w:eastAsia="宋体" w:hint="default"/>
                <w:w w:val="99"/>
                <w:sz w:val="18"/>
                <w:szCs w:val="18"/>
              </w:rPr>
              <w:t>持有公司股票</w:t>
            </w:r>
            <w:r>
              <w:rPr>
                <w:rFonts w:ascii="宋体" w:hAnsi="宋体" w:cs="宋体" w:eastAsia="宋体" w:hint="default"/>
                <w:spacing w:val="-40"/>
                <w:w w:val="99"/>
                <w:sz w:val="18"/>
                <w:szCs w:val="18"/>
              </w:rPr>
              <w:t> </w:t>
            </w:r>
            <w:r>
              <w:rPr>
                <w:rFonts w:ascii="Times New Roman" w:hAnsi="Times New Roman" w:cs="Times New Roman" w:eastAsia="Times New Roman" w:hint="default"/>
                <w:spacing w:val="-1"/>
                <w:sz w:val="18"/>
                <w:szCs w:val="18"/>
              </w:rPr>
              <w:t>400,000</w:t>
            </w:r>
            <w:r>
              <w:rPr>
                <w:rFonts w:ascii="Times New Roman" w:hAnsi="Times New Roman" w:cs="Times New Roman" w:eastAsia="Times New Roman" w:hint="default"/>
                <w:spacing w:val="7"/>
                <w:sz w:val="18"/>
                <w:szCs w:val="18"/>
              </w:rPr>
              <w:t> </w:t>
            </w:r>
            <w:r>
              <w:rPr>
                <w:rFonts w:ascii="宋体" w:hAnsi="宋体" w:cs="宋体" w:eastAsia="宋体" w:hint="default"/>
                <w:spacing w:val="-6"/>
                <w:sz w:val="18"/>
                <w:szCs w:val="18"/>
              </w:rPr>
              <w:t>股，通过普通证券账户持有公司股票</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113,000 </w:t>
            </w:r>
            <w:r>
              <w:rPr>
                <w:rFonts w:ascii="宋体" w:hAnsi="宋体" w:cs="宋体" w:eastAsia="宋体" w:hint="default"/>
                <w:sz w:val="18"/>
                <w:szCs w:val="18"/>
              </w:rPr>
              <w:t>股，合计持有公司股份占公司总股本的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1.34%</w:t>
            </w:r>
            <w:r>
              <w:rPr>
                <w:rFonts w:ascii="宋体" w:hAnsi="宋体" w:cs="宋体" w:eastAsia="宋体" w:hint="default"/>
                <w:sz w:val="18"/>
                <w:szCs w:val="18"/>
              </w:rPr>
              <w:t>；</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名无限售条件普通股股东在报告期内是否进行约定购回交易</w:t>
      </w:r>
    </w:p>
    <w:p>
      <w:pPr>
        <w:spacing w:before="101"/>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2" w:right="14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名无限售条件普通股股东在报告期内未进行约定购回交易。</w:t>
      </w:r>
    </w:p>
    <w:p>
      <w:pPr>
        <w:spacing w:line="240" w:lineRule="auto" w:before="2"/>
        <w:rPr>
          <w:rFonts w:ascii="宋体" w:hAnsi="宋体" w:cs="宋体" w:eastAsia="宋体" w:hint="default"/>
          <w:sz w:val="26"/>
          <w:szCs w:val="26"/>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37"/>
        <w:gridCol w:w="2057"/>
        <w:gridCol w:w="4177"/>
      </w:tblGrid>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刘冀鲁</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近五年来，刘冀鲁先生一直担任公司董事长、党委书记</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5"/>
        <w:rPr>
          <w:rFonts w:ascii="宋体" w:hAnsi="宋体" w:cs="宋体" w:eastAsia="宋体" w:hint="default"/>
          <w:sz w:val="21"/>
          <w:szCs w:val="21"/>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19"/>
        <w:gridCol w:w="2031"/>
        <w:gridCol w:w="4119"/>
      </w:tblGrid>
      <w:tr>
        <w:trPr>
          <w:trHeight w:val="402"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刘冀鲁</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近五年来，刘冀鲁先生一直担任公司董事长、党委书记</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1"/>
        <w:rPr>
          <w:rFonts w:ascii="宋体" w:hAnsi="宋体" w:cs="宋体" w:eastAsia="宋体" w:hint="default"/>
          <w:sz w:val="17"/>
          <w:szCs w:val="17"/>
        </w:rPr>
      </w:pPr>
    </w:p>
    <w:p>
      <w:pPr>
        <w:spacing w:line="3960" w:lineRule="exact"/>
        <w:ind w:left="1355" w:right="0" w:firstLine="0"/>
        <w:rPr>
          <w:rFonts w:ascii="宋体" w:hAnsi="宋体" w:cs="宋体" w:eastAsia="宋体" w:hint="default"/>
          <w:sz w:val="20"/>
          <w:szCs w:val="20"/>
        </w:rPr>
      </w:pPr>
      <w:r>
        <w:rPr>
          <w:rFonts w:ascii="宋体" w:hAnsi="宋体" w:cs="宋体" w:eastAsia="宋体" w:hint="default"/>
          <w:position w:val="-78"/>
          <w:sz w:val="20"/>
          <w:szCs w:val="20"/>
        </w:rPr>
        <w:drawing>
          <wp:inline distT="0" distB="0" distL="0" distR="0">
            <wp:extent cx="4591271" cy="25146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4591271" cy="2514600"/>
                    </a:xfrm>
                    <a:prstGeom prst="rect">
                      <a:avLst/>
                    </a:prstGeom>
                  </pic:spPr>
                </pic:pic>
              </a:graphicData>
            </a:graphic>
          </wp:inline>
        </w:drawing>
      </w:r>
      <w:r>
        <w:rPr>
          <w:rFonts w:ascii="宋体" w:hAnsi="宋体" w:cs="宋体" w:eastAsia="宋体" w:hint="default"/>
          <w:position w:val="-78"/>
          <w:sz w:val="20"/>
          <w:szCs w:val="20"/>
        </w:rPr>
      </w:r>
    </w:p>
    <w:p>
      <w:pPr>
        <w:spacing w:line="240" w:lineRule="auto" w:before="4"/>
        <w:rPr>
          <w:rFonts w:ascii="宋体" w:hAnsi="宋体" w:cs="宋体" w:eastAsia="宋体" w:hint="default"/>
          <w:sz w:val="16"/>
          <w:szCs w:val="16"/>
        </w:rPr>
      </w:pPr>
    </w:p>
    <w:p>
      <w:pPr>
        <w:pStyle w:val="BodyText"/>
        <w:spacing w:line="240" w:lineRule="auto"/>
        <w:ind w:right="144"/>
        <w:jc w:val="left"/>
      </w:pPr>
      <w:r>
        <w:rPr/>
        <w:t>实际控制人通过信托或其他资产管理方式控制公司</w:t>
      </w:r>
    </w:p>
    <w:p>
      <w:pPr>
        <w:spacing w:line="240" w:lineRule="auto" w:before="8"/>
        <w:rPr>
          <w:rFonts w:ascii="宋体" w:hAnsi="宋体" w:cs="宋体" w:eastAsia="宋体" w:hint="default"/>
          <w:sz w:val="18"/>
          <w:szCs w:val="18"/>
        </w:rPr>
      </w:pPr>
    </w:p>
    <w:p>
      <w:pPr>
        <w:spacing w:before="0"/>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144"/>
        <w:jc w:val="left"/>
        <w:rPr>
          <w:b w:val="0"/>
          <w:bCs w:val="0"/>
        </w:rPr>
      </w:pPr>
      <w:r>
        <w:rPr/>
        <w:t>四、公司股东及其一致行动人在报告期提出或实施股份增持计划的情况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2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在公司所知的范围内，没有公司股东及其一致行动人在报告期提出或实施股份增持计划。</w:t>
      </w:r>
    </w:p>
    <w:p>
      <w:pPr>
        <w:spacing w:after="0" w:line="338"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44"/>
        <w:jc w:val="left"/>
        <w:rPr>
          <w:b w:val="0"/>
          <w:bCs w:val="0"/>
        </w:rPr>
      </w:pPr>
      <w:bookmarkStart w:name="_TOC_250005" w:id="7"/>
      <w:r>
        <w:rPr/>
        <w:t>第七节</w:t>
      </w:r>
      <w:r>
        <w:rPr>
          <w:spacing w:val="-6"/>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7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44"/>
        <w:jc w:val="left"/>
        <w:rPr>
          <w:b w:val="0"/>
          <w:bCs w:val="0"/>
        </w:rPr>
      </w:pPr>
      <w:bookmarkStart w:name="_TOC_250004" w:id="8"/>
      <w:r>
        <w:rPr/>
        <w:t>第八节</w:t>
      </w:r>
      <w:r>
        <w:rPr>
          <w:spacing w:val="-8"/>
        </w:rPr>
        <w:t> </w:t>
      </w:r>
      <w:r>
        <w:rPr/>
        <w:t>董事、监事、高级管理人员和员工情况</w:t>
      </w:r>
      <w:bookmarkEnd w:id="8"/>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44"/>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69"/>
        <w:gridCol w:w="871"/>
        <w:gridCol w:w="869"/>
        <w:gridCol w:w="872"/>
        <w:gridCol w:w="869"/>
        <w:gridCol w:w="871"/>
      </w:tblGrid>
      <w:tr>
        <w:trPr>
          <w:trHeight w:val="102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7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刘冀鲁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35,908,113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35,708,113</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赵颖坤</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胡卫红</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陈炬</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吴韬</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王景</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方伦赞</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赵增祺</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戴新民</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戴卫星</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齐跃进</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刘钊</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马作民</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刘凌云</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7,428,235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5,978,235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69"/>
        <w:gridCol w:w="871"/>
        <w:gridCol w:w="869"/>
        <w:gridCol w:w="872"/>
        <w:gridCol w:w="869"/>
        <w:gridCol w:w="871"/>
      </w:tblGrid>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宫为平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2,721,070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544,214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2,176,856</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黄学春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3"/>
              <w:jc w:val="left"/>
              <w:rPr>
                <w:rFonts w:ascii="宋体" w:hAnsi="宋体" w:cs="宋体" w:eastAsia="宋体" w:hint="default"/>
                <w:sz w:val="18"/>
                <w:szCs w:val="18"/>
              </w:rPr>
            </w:pPr>
            <w:r>
              <w:rPr>
                <w:rFonts w:ascii="宋体" w:hAnsi="宋体" w:cs="宋体" w:eastAsia="宋体" w:hint="default"/>
                <w:spacing w:val="-18"/>
                <w:sz w:val="18"/>
                <w:szCs w:val="18"/>
              </w:rPr>
              <w:t>董秘、副总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2,538,805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507,100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2,031,705</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唐成宽</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1,360,428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1,360,428</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吴翠华</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850,267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74,277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775,990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袁福祥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680,267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544,267</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章大林</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陆江</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史志民</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51,877,185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2,959,591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48,917,594</w:t>
            </w:r>
          </w:p>
        </w:tc>
      </w:tr>
    </w:tbl>
    <w:p>
      <w:pPr>
        <w:spacing w:line="240" w:lineRule="auto" w:before="1"/>
        <w:rPr>
          <w:rFonts w:ascii="宋体" w:hAnsi="宋体" w:cs="宋体" w:eastAsia="宋体" w:hint="default"/>
          <w:b/>
          <w:bCs/>
          <w:sz w:val="18"/>
          <w:szCs w:val="18"/>
        </w:rPr>
      </w:pPr>
    </w:p>
    <w:p>
      <w:pPr>
        <w:pStyle w:val="Heading3"/>
        <w:spacing w:line="240" w:lineRule="auto" w:before="26"/>
        <w:ind w:right="94"/>
        <w:jc w:val="left"/>
        <w:rPr>
          <w:b w:val="0"/>
          <w:bCs w:val="0"/>
        </w:rPr>
      </w:pPr>
      <w:r>
        <w:rPr/>
        <w:t>二、任职情况</w:t>
      </w:r>
      <w:r>
        <w:rPr>
          <w:b w:val="0"/>
          <w:bCs w:val="0"/>
        </w:rPr>
      </w:r>
    </w:p>
    <w:p>
      <w:pPr>
        <w:spacing w:line="240" w:lineRule="auto" w:before="6"/>
        <w:rPr>
          <w:rFonts w:ascii="宋体" w:hAnsi="宋体" w:cs="宋体" w:eastAsia="宋体" w:hint="default"/>
          <w:b/>
          <w:bCs/>
          <w:sz w:val="26"/>
          <w:szCs w:val="26"/>
        </w:rPr>
      </w:pPr>
    </w:p>
    <w:p>
      <w:pPr>
        <w:spacing w:before="0"/>
        <w:ind w:left="152" w:right="94"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spacing w:before="80"/>
        <w:ind w:left="152" w:right="9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、董事</w:t>
      </w:r>
    </w:p>
    <w:p>
      <w:pPr>
        <w:spacing w:line="268" w:lineRule="auto" w:before="21"/>
        <w:ind w:left="152" w:right="186" w:firstLine="480"/>
        <w:jc w:val="both"/>
        <w:rPr>
          <w:rFonts w:ascii="宋体" w:hAnsi="宋体" w:cs="宋体" w:eastAsia="宋体" w:hint="default"/>
          <w:sz w:val="21"/>
          <w:szCs w:val="21"/>
        </w:rPr>
      </w:pPr>
      <w:r>
        <w:rPr>
          <w:rFonts w:ascii="宋体" w:hAnsi="宋体" w:cs="宋体" w:eastAsia="宋体" w:hint="default"/>
          <w:spacing w:val="-1"/>
          <w:sz w:val="21"/>
          <w:szCs w:val="21"/>
        </w:rPr>
        <w:t>刘冀鲁先生，中国国籍，无境外永久居留权。</w:t>
      </w:r>
      <w:r>
        <w:rPr>
          <w:rFonts w:ascii="Times New Roman" w:hAnsi="Times New Roman" w:cs="Times New Roman" w:eastAsia="Times New Roman" w:hint="default"/>
          <w:spacing w:val="-1"/>
          <w:sz w:val="21"/>
          <w:szCs w:val="21"/>
        </w:rPr>
        <w:t>1947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月出生，中共党员，大学学历，工程师，安徽</w:t>
      </w:r>
      <w:r>
        <w:rPr>
          <w:rFonts w:ascii="宋体" w:hAnsi="宋体" w:cs="宋体" w:eastAsia="宋体" w:hint="default"/>
          <w:w w:val="100"/>
          <w:sz w:val="21"/>
          <w:szCs w:val="21"/>
        </w:rPr>
        <w:t> </w:t>
      </w:r>
      <w:r>
        <w:rPr>
          <w:rFonts w:ascii="宋体" w:hAnsi="宋体" w:cs="宋体" w:eastAsia="宋体" w:hint="default"/>
          <w:spacing w:val="-2"/>
          <w:sz w:val="21"/>
          <w:szCs w:val="21"/>
        </w:rPr>
        <w:t>省优秀民营企业家，马鞍山市老科协副会长，安徽省冶金协会副会长，马鞍山市企业家联合会副会长，马</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鞍山工经联常务副会长，当涂县人大代表。历任马鞍山市鼎泰金属制品公司总经理，马鞍山市鼎泰科技有</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限责任公司董事长兼总经理，马鞍山鼎泰稀土新材料股份有限公司董事长、总经理、党委书记；现任本公</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司董事长、党委书记。</w:t>
      </w:r>
    </w:p>
    <w:p>
      <w:pPr>
        <w:spacing w:line="256" w:lineRule="auto" w:before="12"/>
        <w:ind w:left="152" w:right="150" w:firstLine="540"/>
        <w:jc w:val="both"/>
        <w:rPr>
          <w:rFonts w:ascii="宋体" w:hAnsi="宋体" w:cs="宋体" w:eastAsia="宋体" w:hint="default"/>
          <w:sz w:val="21"/>
          <w:szCs w:val="21"/>
        </w:rPr>
      </w:pPr>
      <w:r>
        <w:rPr>
          <w:rFonts w:ascii="宋体" w:hAnsi="宋体" w:cs="宋体" w:eastAsia="宋体" w:hint="default"/>
          <w:spacing w:val="-2"/>
          <w:sz w:val="21"/>
          <w:szCs w:val="21"/>
        </w:rPr>
        <w:t>赵颖坤先生，男，中国国籍，无境外永久居留权。</w:t>
      </w:r>
      <w:r>
        <w:rPr>
          <w:rFonts w:ascii="Times New Roman" w:hAnsi="Times New Roman" w:cs="Times New Roman" w:eastAsia="Times New Roman" w:hint="default"/>
          <w:spacing w:val="-2"/>
          <w:sz w:val="21"/>
          <w:szCs w:val="21"/>
        </w:rPr>
        <w:t>1974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月出生，中共党员，北京大学法学博士、</w:t>
      </w:r>
      <w:r>
        <w:rPr>
          <w:rFonts w:ascii="宋体" w:hAnsi="宋体" w:cs="宋体" w:eastAsia="宋体" w:hint="default"/>
          <w:w w:val="100"/>
          <w:sz w:val="21"/>
          <w:szCs w:val="21"/>
        </w:rPr>
        <w:t> </w:t>
      </w:r>
      <w:r>
        <w:rPr>
          <w:rFonts w:ascii="宋体" w:hAnsi="宋体" w:cs="宋体" w:eastAsia="宋体" w:hint="default"/>
          <w:spacing w:val="-2"/>
          <w:sz w:val="21"/>
          <w:szCs w:val="21"/>
        </w:rPr>
        <w:t>北京大学光华管理学院博士后、牛津大学</w:t>
      </w:r>
      <w:r>
        <w:rPr>
          <w:rFonts w:ascii="Times New Roman" w:hAnsi="Times New Roman" w:cs="Times New Roman" w:eastAsia="Times New Roman" w:hint="default"/>
          <w:spacing w:val="-2"/>
          <w:sz w:val="21"/>
          <w:szCs w:val="21"/>
        </w:rPr>
        <w:t>M.Juris</w:t>
      </w:r>
      <w:r>
        <w:rPr>
          <w:rFonts w:ascii="宋体" w:hAnsi="宋体" w:cs="宋体" w:eastAsia="宋体" w:hint="default"/>
          <w:spacing w:val="-2"/>
          <w:sz w:val="21"/>
          <w:szCs w:val="21"/>
        </w:rPr>
        <w:t>。曾任安徽省绩溪县人民政府副县长；现任教于华中科技</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大学法学院，本公司董事。</w:t>
      </w:r>
    </w:p>
    <w:p>
      <w:pPr>
        <w:spacing w:line="264" w:lineRule="auto" w:before="22"/>
        <w:ind w:left="152" w:right="186" w:firstLine="480"/>
        <w:jc w:val="both"/>
        <w:rPr>
          <w:rFonts w:ascii="宋体" w:hAnsi="宋体" w:cs="宋体" w:eastAsia="宋体" w:hint="default"/>
          <w:sz w:val="21"/>
          <w:szCs w:val="21"/>
        </w:rPr>
      </w:pPr>
      <w:r>
        <w:rPr>
          <w:rFonts w:ascii="宋体" w:hAnsi="宋体" w:cs="宋体" w:eastAsia="宋体" w:hint="default"/>
          <w:spacing w:val="-1"/>
          <w:sz w:val="21"/>
          <w:szCs w:val="21"/>
        </w:rPr>
        <w:t>陈炬先生，中国国籍，无境外永久居留权。</w:t>
      </w:r>
      <w:r>
        <w:rPr>
          <w:rFonts w:ascii="Times New Roman" w:hAnsi="Times New Roman" w:cs="Times New Roman" w:eastAsia="Times New Roman" w:hint="default"/>
          <w:spacing w:val="-1"/>
          <w:sz w:val="21"/>
          <w:szCs w:val="21"/>
        </w:rPr>
        <w:t>1956</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月出生，大专学历。历担马鞍山市鼎泰金属制品</w:t>
      </w:r>
      <w:r>
        <w:rPr>
          <w:rFonts w:ascii="宋体" w:hAnsi="宋体" w:cs="宋体" w:eastAsia="宋体" w:hint="default"/>
          <w:w w:val="100"/>
          <w:sz w:val="21"/>
          <w:szCs w:val="21"/>
        </w:rPr>
        <w:t> </w:t>
      </w:r>
      <w:r>
        <w:rPr>
          <w:rFonts w:ascii="宋体" w:hAnsi="宋体" w:cs="宋体" w:eastAsia="宋体" w:hint="default"/>
          <w:spacing w:val="-2"/>
          <w:sz w:val="21"/>
          <w:szCs w:val="21"/>
        </w:rPr>
        <w:t>公司销售主管、重庆市渝神科技有限责任公司生产总调度、马鞍山鼎泰稀土新材料股份有限公司生产总调</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度；现任重庆市隆泰稀土新材料有限责任公司副总经理，本公司董事。</w:t>
      </w:r>
    </w:p>
    <w:p>
      <w:pPr>
        <w:spacing w:line="256" w:lineRule="auto" w:before="16"/>
        <w:ind w:left="152" w:right="104" w:firstLine="480"/>
        <w:jc w:val="both"/>
        <w:rPr>
          <w:rFonts w:ascii="宋体" w:hAnsi="宋体" w:cs="宋体" w:eastAsia="宋体" w:hint="default"/>
          <w:sz w:val="21"/>
          <w:szCs w:val="21"/>
        </w:rPr>
      </w:pPr>
      <w:r>
        <w:rPr>
          <w:rFonts w:ascii="宋体" w:hAnsi="宋体" w:cs="宋体" w:eastAsia="宋体" w:hint="default"/>
          <w:spacing w:val="-2"/>
          <w:sz w:val="21"/>
          <w:szCs w:val="21"/>
        </w:rPr>
        <w:t>胡卫红女士，中国国籍，无境外永久居留权。</w:t>
      </w:r>
      <w:r>
        <w:rPr>
          <w:rFonts w:ascii="Times New Roman" w:hAnsi="Times New Roman" w:cs="Times New Roman" w:eastAsia="Times New Roman" w:hint="default"/>
          <w:spacing w:val="-2"/>
          <w:sz w:val="21"/>
          <w:szCs w:val="21"/>
        </w:rPr>
        <w:t>1968</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月出生，大专学历。曾任本公司销售部部长，</w:t>
      </w:r>
      <w:r>
        <w:rPr>
          <w:rFonts w:ascii="宋体" w:hAnsi="宋体" w:cs="宋体" w:eastAsia="宋体" w:hint="default"/>
          <w:w w:val="100"/>
          <w:sz w:val="21"/>
          <w:szCs w:val="21"/>
        </w:rPr>
        <w:t> </w:t>
      </w:r>
      <w:r>
        <w:rPr>
          <w:rFonts w:ascii="宋体" w:hAnsi="宋体" w:cs="宋体" w:eastAsia="宋体" w:hint="default"/>
          <w:sz w:val="21"/>
          <w:szCs w:val="21"/>
        </w:rPr>
        <w:t>现任本公司董事、合同部部长。</w:t>
      </w:r>
    </w:p>
    <w:p>
      <w:pPr>
        <w:spacing w:line="266" w:lineRule="auto" w:before="22"/>
        <w:ind w:left="152" w:right="186" w:firstLine="480"/>
        <w:jc w:val="both"/>
        <w:rPr>
          <w:rFonts w:ascii="宋体" w:hAnsi="宋体" w:cs="宋体" w:eastAsia="宋体" w:hint="default"/>
          <w:sz w:val="21"/>
          <w:szCs w:val="21"/>
        </w:rPr>
      </w:pPr>
      <w:r>
        <w:rPr>
          <w:rFonts w:ascii="宋体" w:hAnsi="宋体" w:cs="宋体" w:eastAsia="宋体" w:hint="default"/>
          <w:spacing w:val="-4"/>
          <w:sz w:val="21"/>
          <w:szCs w:val="21"/>
        </w:rPr>
        <w:t>吴韬先生，中国国籍，无境外永久居留权。</w:t>
      </w:r>
      <w:r>
        <w:rPr>
          <w:rFonts w:ascii="Times New Roman" w:hAnsi="Times New Roman" w:cs="Times New Roman" w:eastAsia="Times New Roman" w:hint="default"/>
          <w:spacing w:val="-4"/>
          <w:sz w:val="21"/>
          <w:szCs w:val="21"/>
        </w:rPr>
        <w:t>1971</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12</w:t>
      </w:r>
      <w:r>
        <w:rPr>
          <w:rFonts w:ascii="宋体" w:hAnsi="宋体" w:cs="宋体" w:eastAsia="宋体" w:hint="default"/>
          <w:spacing w:val="-4"/>
          <w:sz w:val="21"/>
          <w:szCs w:val="21"/>
        </w:rPr>
        <w:t>月出生，法学博士，副教授。现任中央财经大学</w:t>
      </w:r>
      <w:r>
        <w:rPr>
          <w:rFonts w:ascii="宋体" w:hAnsi="宋体" w:cs="宋体" w:eastAsia="宋体" w:hint="default"/>
          <w:w w:val="100"/>
          <w:sz w:val="21"/>
          <w:szCs w:val="21"/>
        </w:rPr>
        <w:t> </w:t>
      </w:r>
      <w:r>
        <w:rPr>
          <w:rFonts w:ascii="宋体" w:hAnsi="宋体" w:cs="宋体" w:eastAsia="宋体" w:hint="default"/>
          <w:spacing w:val="-2"/>
          <w:sz w:val="21"/>
          <w:szCs w:val="21"/>
        </w:rPr>
        <w:t>法学院副院长、副教授，中国证券法学研究会常务理事、副秘书长。吴韬先生担任本公司第三届董事会独</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立董事。</w:t>
      </w:r>
    </w:p>
    <w:p>
      <w:pPr>
        <w:spacing w:before="14"/>
        <w:ind w:left="633" w:right="94" w:firstLine="0"/>
        <w:jc w:val="left"/>
        <w:rPr>
          <w:rFonts w:ascii="宋体" w:hAnsi="宋体" w:cs="宋体" w:eastAsia="宋体" w:hint="default"/>
          <w:sz w:val="21"/>
          <w:szCs w:val="21"/>
        </w:rPr>
      </w:pPr>
      <w:r>
        <w:rPr>
          <w:rFonts w:ascii="宋体" w:hAnsi="宋体" w:cs="宋体" w:eastAsia="宋体" w:hint="default"/>
          <w:spacing w:val="-4"/>
          <w:sz w:val="21"/>
          <w:szCs w:val="21"/>
        </w:rPr>
        <w:t>张力先生，中国国籍，无境外永久居留权。</w:t>
      </w:r>
      <w:r>
        <w:rPr>
          <w:rFonts w:ascii="Times New Roman" w:hAnsi="Times New Roman" w:cs="Times New Roman" w:eastAsia="Times New Roman" w:hint="default"/>
          <w:spacing w:val="-4"/>
          <w:sz w:val="21"/>
          <w:szCs w:val="21"/>
        </w:rPr>
        <w:t>1969</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10</w:t>
      </w:r>
      <w:r>
        <w:rPr>
          <w:rFonts w:ascii="宋体" w:hAnsi="宋体" w:cs="宋体" w:eastAsia="宋体" w:hint="default"/>
          <w:spacing w:val="-4"/>
          <w:sz w:val="21"/>
          <w:szCs w:val="21"/>
        </w:rPr>
        <w:t>月出生，会计学博士，注册会计师，教授。现任</w:t>
      </w:r>
    </w:p>
    <w:p>
      <w:pPr>
        <w:spacing w:after="0"/>
        <w:jc w:val="left"/>
        <w:rPr>
          <w:rFonts w:ascii="宋体" w:hAnsi="宋体" w:cs="宋体" w:eastAsia="宋体" w:hint="default"/>
          <w:sz w:val="21"/>
          <w:szCs w:val="21"/>
        </w:rPr>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spacing w:line="273" w:lineRule="auto" w:before="36"/>
        <w:ind w:left="633" w:right="0" w:hanging="481"/>
        <w:jc w:val="left"/>
        <w:rPr>
          <w:rFonts w:ascii="宋体" w:hAnsi="宋体" w:cs="宋体" w:eastAsia="宋体" w:hint="default"/>
          <w:sz w:val="21"/>
          <w:szCs w:val="21"/>
        </w:rPr>
      </w:pPr>
      <w:r>
        <w:rPr>
          <w:rFonts w:ascii="宋体" w:hAnsi="宋体" w:cs="宋体" w:eastAsia="宋体" w:hint="default"/>
          <w:sz w:val="21"/>
          <w:szCs w:val="21"/>
        </w:rPr>
        <w:t>安徽工业大学商学院会计系主任。张力先生担任本公司第三届董事会独立董事。</w:t>
      </w:r>
      <w:r>
        <w:rPr>
          <w:rFonts w:ascii="宋体" w:hAnsi="宋体" w:cs="宋体" w:eastAsia="宋体" w:hint="default"/>
          <w:w w:val="100"/>
          <w:sz w:val="21"/>
          <w:szCs w:val="21"/>
        </w:rPr>
        <w:t> </w:t>
      </w:r>
      <w:r>
        <w:rPr>
          <w:rFonts w:ascii="宋体" w:hAnsi="宋体" w:cs="宋体" w:eastAsia="宋体" w:hint="default"/>
          <w:spacing w:val="-1"/>
          <w:sz w:val="21"/>
          <w:szCs w:val="21"/>
        </w:rPr>
        <w:t>王景先生，中国国籍，无境外永久居留权。</w:t>
      </w:r>
      <w:r>
        <w:rPr>
          <w:rFonts w:ascii="Times New Roman" w:hAnsi="Times New Roman" w:cs="Times New Roman" w:eastAsia="Times New Roman" w:hint="default"/>
          <w:spacing w:val="-1"/>
          <w:sz w:val="21"/>
          <w:szCs w:val="21"/>
        </w:rPr>
        <w:t>1975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月出生，研究生学历。现任英国诺顿罗氏律师事</w:t>
      </w:r>
    </w:p>
    <w:p>
      <w:pPr>
        <w:spacing w:line="264" w:lineRule="exact" w:before="0"/>
        <w:ind w:left="152" w:right="0" w:firstLine="0"/>
        <w:jc w:val="left"/>
        <w:rPr>
          <w:rFonts w:ascii="宋体" w:hAnsi="宋体" w:cs="宋体" w:eastAsia="宋体" w:hint="default"/>
          <w:sz w:val="21"/>
          <w:szCs w:val="21"/>
        </w:rPr>
      </w:pPr>
      <w:r>
        <w:rPr>
          <w:rFonts w:ascii="宋体" w:hAnsi="宋体" w:cs="宋体" w:eastAsia="宋体" w:hint="default"/>
          <w:spacing w:val="-5"/>
          <w:sz w:val="21"/>
          <w:szCs w:val="21"/>
        </w:rPr>
        <w:t>务所北京代表处合伙人，曾任本公司第一届董事会独立董事。王景先生担任本公司第三届董事会独立董事。</w:t>
      </w:r>
    </w:p>
    <w:p>
      <w:pPr>
        <w:spacing w:before="37"/>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、监事</w:t>
      </w:r>
    </w:p>
    <w:p>
      <w:pPr>
        <w:spacing w:line="256" w:lineRule="auto" w:before="21"/>
        <w:ind w:left="152" w:right="209" w:firstLine="480"/>
        <w:jc w:val="both"/>
        <w:rPr>
          <w:rFonts w:ascii="宋体" w:hAnsi="宋体" w:cs="宋体" w:eastAsia="宋体" w:hint="default"/>
          <w:sz w:val="21"/>
          <w:szCs w:val="21"/>
        </w:rPr>
      </w:pPr>
      <w:r>
        <w:rPr>
          <w:rFonts w:ascii="宋体" w:hAnsi="宋体" w:cs="宋体" w:eastAsia="宋体" w:hint="default"/>
          <w:spacing w:val="-1"/>
          <w:sz w:val="21"/>
          <w:szCs w:val="21"/>
        </w:rPr>
        <w:t>戴卫星先生，中国国籍，无境外永久居留权。</w:t>
      </w:r>
      <w:r>
        <w:rPr>
          <w:rFonts w:ascii="Times New Roman" w:hAnsi="Times New Roman" w:cs="Times New Roman" w:eastAsia="Times New Roman" w:hint="default"/>
          <w:spacing w:val="-1"/>
          <w:sz w:val="21"/>
          <w:szCs w:val="21"/>
        </w:rPr>
        <w:t>1956</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月出生，大学学历，工程师。曾在马鞍山钢铁</w:t>
      </w:r>
      <w:r>
        <w:rPr>
          <w:rFonts w:ascii="宋体" w:hAnsi="宋体" w:cs="宋体" w:eastAsia="宋体" w:hint="default"/>
          <w:w w:val="100"/>
          <w:sz w:val="21"/>
          <w:szCs w:val="21"/>
        </w:rPr>
        <w:t> </w:t>
      </w:r>
      <w:r>
        <w:rPr>
          <w:rFonts w:ascii="宋体" w:hAnsi="宋体" w:cs="宋体" w:eastAsia="宋体" w:hint="default"/>
          <w:sz w:val="21"/>
          <w:szCs w:val="21"/>
        </w:rPr>
        <w:t>公司初轧厂及生产计划部工作；现任海南物博贸易公司副总经理，本公司监事。</w:t>
      </w:r>
    </w:p>
    <w:p>
      <w:pPr>
        <w:spacing w:line="256" w:lineRule="auto" w:before="22"/>
        <w:ind w:left="152" w:right="209" w:firstLine="480"/>
        <w:jc w:val="both"/>
        <w:rPr>
          <w:rFonts w:ascii="宋体" w:hAnsi="宋体" w:cs="宋体" w:eastAsia="宋体" w:hint="default"/>
          <w:sz w:val="21"/>
          <w:szCs w:val="21"/>
        </w:rPr>
      </w:pPr>
      <w:r>
        <w:rPr>
          <w:rFonts w:ascii="宋体" w:hAnsi="宋体" w:cs="宋体" w:eastAsia="宋体" w:hint="default"/>
          <w:spacing w:val="-1"/>
          <w:sz w:val="21"/>
          <w:szCs w:val="21"/>
        </w:rPr>
        <w:t>齐跃进先生，中国国籍，无境外永久居留权。</w:t>
      </w:r>
      <w:r>
        <w:rPr>
          <w:rFonts w:ascii="Times New Roman" w:hAnsi="Times New Roman" w:cs="Times New Roman" w:eastAsia="Times New Roman" w:hint="default"/>
          <w:spacing w:val="-1"/>
          <w:sz w:val="21"/>
          <w:szCs w:val="21"/>
        </w:rPr>
        <w:t>1965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月出生，大专学历。历任马鞍山鼎泰科技有限</w:t>
      </w:r>
      <w:r>
        <w:rPr>
          <w:rFonts w:ascii="宋体" w:hAnsi="宋体" w:cs="宋体" w:eastAsia="宋体" w:hint="default"/>
          <w:w w:val="100"/>
          <w:sz w:val="21"/>
          <w:szCs w:val="21"/>
        </w:rPr>
        <w:t> </w:t>
      </w:r>
      <w:r>
        <w:rPr>
          <w:rFonts w:ascii="宋体" w:hAnsi="宋体" w:cs="宋体" w:eastAsia="宋体" w:hint="default"/>
          <w:sz w:val="21"/>
          <w:szCs w:val="21"/>
        </w:rPr>
        <w:t>责任公司品质部部长，本公司销售部副部长、生产部部长、副总经理；现任本公司监事。</w:t>
      </w:r>
    </w:p>
    <w:p>
      <w:pPr>
        <w:spacing w:line="266" w:lineRule="auto" w:before="22"/>
        <w:ind w:left="152" w:right="0" w:firstLine="420"/>
        <w:jc w:val="left"/>
        <w:rPr>
          <w:rFonts w:ascii="宋体" w:hAnsi="宋体" w:cs="宋体" w:eastAsia="宋体" w:hint="default"/>
          <w:sz w:val="21"/>
          <w:szCs w:val="21"/>
        </w:rPr>
      </w:pPr>
      <w:r>
        <w:rPr>
          <w:rFonts w:ascii="宋体" w:hAnsi="宋体" w:cs="宋体" w:eastAsia="宋体" w:hint="default"/>
          <w:sz w:val="21"/>
          <w:szCs w:val="21"/>
        </w:rPr>
        <w:t>刘钊先生，中国国籍，无境外永久居留权。</w:t>
      </w:r>
      <w:r>
        <w:rPr>
          <w:rFonts w:ascii="Times New Roman" w:hAnsi="Times New Roman" w:cs="Times New Roman" w:eastAsia="Times New Roman" w:hint="default"/>
          <w:sz w:val="21"/>
          <w:szCs w:val="21"/>
        </w:rPr>
        <w:t>1974</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月出生，中共党员，大专学历。曾任职于公司生</w:t>
      </w:r>
      <w:r>
        <w:rPr>
          <w:rFonts w:ascii="宋体" w:hAnsi="宋体" w:cs="宋体" w:eastAsia="宋体" w:hint="default"/>
          <w:w w:val="100"/>
          <w:sz w:val="21"/>
          <w:szCs w:val="21"/>
        </w:rPr>
        <w:t> </w:t>
      </w:r>
      <w:r>
        <w:rPr>
          <w:rFonts w:ascii="宋体" w:hAnsi="宋体" w:cs="宋体" w:eastAsia="宋体" w:hint="default"/>
          <w:sz w:val="21"/>
          <w:szCs w:val="21"/>
        </w:rPr>
        <w:t>产部车间主任，现任本公司广海分公司副总经理。刘钊先生担任本公司第三届监事会职工代表监事。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、高级管理人员</w:t>
      </w:r>
    </w:p>
    <w:p>
      <w:pPr>
        <w:spacing w:line="256" w:lineRule="auto" w:before="0"/>
        <w:ind w:left="152" w:right="211" w:firstLine="420"/>
        <w:jc w:val="both"/>
        <w:rPr>
          <w:rFonts w:ascii="宋体" w:hAnsi="宋体" w:cs="宋体" w:eastAsia="宋体" w:hint="default"/>
          <w:sz w:val="21"/>
          <w:szCs w:val="21"/>
        </w:rPr>
      </w:pPr>
      <w:r>
        <w:rPr>
          <w:rFonts w:ascii="宋体" w:hAnsi="宋体" w:cs="宋体" w:eastAsia="宋体" w:hint="default"/>
          <w:sz w:val="21"/>
          <w:szCs w:val="21"/>
        </w:rPr>
        <w:t>刘凌云女士，中国国籍，无境外永久居留权。</w:t>
      </w:r>
      <w:r>
        <w:rPr>
          <w:rFonts w:ascii="Times New Roman" w:hAnsi="Times New Roman" w:cs="Times New Roman" w:eastAsia="Times New Roman" w:hint="default"/>
          <w:sz w:val="21"/>
          <w:szCs w:val="21"/>
        </w:rPr>
        <w:t>1976</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月出生，研究生学历。历任马鞍山市鼎泰科技</w:t>
      </w:r>
      <w:r>
        <w:rPr>
          <w:rFonts w:ascii="宋体" w:hAnsi="宋体" w:cs="宋体" w:eastAsia="宋体" w:hint="default"/>
          <w:w w:val="100"/>
          <w:sz w:val="21"/>
          <w:szCs w:val="21"/>
        </w:rPr>
        <w:t> </w:t>
      </w:r>
      <w:r>
        <w:rPr>
          <w:rFonts w:ascii="宋体" w:hAnsi="宋体" w:cs="宋体" w:eastAsia="宋体" w:hint="default"/>
          <w:sz w:val="21"/>
          <w:szCs w:val="21"/>
        </w:rPr>
        <w:t>有限责任公司副总经理，本公司副总经理兼董事会秘书，现任本公司总经理。</w:t>
      </w:r>
    </w:p>
    <w:p>
      <w:pPr>
        <w:spacing w:line="256" w:lineRule="auto" w:before="22"/>
        <w:ind w:left="152" w:right="208" w:firstLine="384"/>
        <w:jc w:val="both"/>
        <w:rPr>
          <w:rFonts w:ascii="宋体" w:hAnsi="宋体" w:cs="宋体" w:eastAsia="宋体" w:hint="default"/>
          <w:sz w:val="21"/>
          <w:szCs w:val="21"/>
        </w:rPr>
      </w:pPr>
      <w:r>
        <w:rPr>
          <w:rFonts w:ascii="宋体" w:hAnsi="宋体" w:cs="宋体" w:eastAsia="宋体" w:hint="default"/>
          <w:spacing w:val="-4"/>
          <w:sz w:val="21"/>
          <w:szCs w:val="21"/>
        </w:rPr>
        <w:t>黄学春先生，中国国籍，无境外永久居留权。</w:t>
      </w:r>
      <w:r>
        <w:rPr>
          <w:rFonts w:ascii="Times New Roman" w:hAnsi="Times New Roman" w:cs="Times New Roman" w:eastAsia="Times New Roman" w:hint="default"/>
          <w:spacing w:val="-4"/>
          <w:sz w:val="21"/>
          <w:szCs w:val="21"/>
        </w:rPr>
        <w:t>1967</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6</w:t>
      </w:r>
      <w:r>
        <w:rPr>
          <w:rFonts w:ascii="宋体" w:hAnsi="宋体" w:cs="宋体" w:eastAsia="宋体" w:hint="default"/>
          <w:spacing w:val="-4"/>
          <w:sz w:val="21"/>
          <w:szCs w:val="21"/>
        </w:rPr>
        <w:t>月出生，中共党员，大学学历，会计师。曾任马</w:t>
      </w:r>
      <w:r>
        <w:rPr>
          <w:rFonts w:ascii="宋体" w:hAnsi="宋体" w:cs="宋体" w:eastAsia="宋体" w:hint="default"/>
          <w:w w:val="100"/>
          <w:sz w:val="21"/>
          <w:szCs w:val="21"/>
        </w:rPr>
        <w:t> </w:t>
      </w:r>
      <w:r>
        <w:rPr>
          <w:rFonts w:ascii="宋体" w:hAnsi="宋体" w:cs="宋体" w:eastAsia="宋体" w:hint="default"/>
          <w:sz w:val="21"/>
          <w:szCs w:val="21"/>
        </w:rPr>
        <w:t>鞍山市鼎泰科技有限责任公司财务主办会计，现任本公司董事会秘书、副总经理、财务总监。</w:t>
      </w:r>
    </w:p>
    <w:p>
      <w:pPr>
        <w:spacing w:line="256" w:lineRule="auto" w:before="22"/>
        <w:ind w:left="152" w:right="208" w:firstLine="384"/>
        <w:jc w:val="both"/>
        <w:rPr>
          <w:rFonts w:ascii="宋体" w:hAnsi="宋体" w:cs="宋体" w:eastAsia="宋体" w:hint="default"/>
          <w:sz w:val="21"/>
          <w:szCs w:val="21"/>
        </w:rPr>
      </w:pPr>
      <w:r>
        <w:rPr>
          <w:rFonts w:ascii="宋体" w:hAnsi="宋体" w:cs="宋体" w:eastAsia="宋体" w:hint="default"/>
          <w:spacing w:val="-1"/>
          <w:sz w:val="21"/>
          <w:szCs w:val="21"/>
        </w:rPr>
        <w:t>宫为平先生，中国国籍，无境外永久居留权。</w:t>
      </w:r>
      <w:r>
        <w:rPr>
          <w:rFonts w:ascii="Times New Roman" w:hAnsi="Times New Roman" w:cs="Times New Roman" w:eastAsia="Times New Roman" w:hint="default"/>
          <w:spacing w:val="-1"/>
          <w:sz w:val="21"/>
          <w:szCs w:val="21"/>
        </w:rPr>
        <w:t>1963</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月出生，中共党员，大专学历。曾任马鞍山市</w:t>
      </w:r>
      <w:r>
        <w:rPr>
          <w:rFonts w:ascii="宋体" w:hAnsi="宋体" w:cs="宋体" w:eastAsia="宋体" w:hint="default"/>
          <w:w w:val="100"/>
          <w:sz w:val="21"/>
          <w:szCs w:val="21"/>
        </w:rPr>
        <w:t> </w:t>
      </w:r>
      <w:r>
        <w:rPr>
          <w:rFonts w:ascii="宋体" w:hAnsi="宋体" w:cs="宋体" w:eastAsia="宋体" w:hint="default"/>
          <w:sz w:val="21"/>
          <w:szCs w:val="21"/>
        </w:rPr>
        <w:t>鼎泰金属制品公司办公室主任，马鞍山市鼎泰科技有限责任公司经营副总经理，现任本公司副总经理。</w:t>
      </w:r>
    </w:p>
    <w:p>
      <w:pPr>
        <w:spacing w:line="256" w:lineRule="auto" w:before="22"/>
        <w:ind w:left="152" w:right="208" w:firstLine="384"/>
        <w:jc w:val="both"/>
        <w:rPr>
          <w:rFonts w:ascii="宋体" w:hAnsi="宋体" w:cs="宋体" w:eastAsia="宋体" w:hint="default"/>
          <w:sz w:val="21"/>
          <w:szCs w:val="21"/>
        </w:rPr>
      </w:pPr>
      <w:r>
        <w:rPr>
          <w:rFonts w:ascii="宋体" w:hAnsi="宋体" w:cs="宋体" w:eastAsia="宋体" w:hint="default"/>
          <w:spacing w:val="-4"/>
          <w:sz w:val="21"/>
          <w:szCs w:val="21"/>
        </w:rPr>
        <w:t>唐成宽先生，中国国籍，无境外永久居留权。</w:t>
      </w:r>
      <w:r>
        <w:rPr>
          <w:rFonts w:ascii="Times New Roman" w:hAnsi="Times New Roman" w:cs="Times New Roman" w:eastAsia="Times New Roman" w:hint="default"/>
          <w:spacing w:val="-4"/>
          <w:sz w:val="21"/>
          <w:szCs w:val="21"/>
        </w:rPr>
        <w:t>1957</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月出生，中共党员，大学学历，工程师。曾任马</w:t>
      </w:r>
      <w:r>
        <w:rPr>
          <w:rFonts w:ascii="宋体" w:hAnsi="宋体" w:cs="宋体" w:eastAsia="宋体" w:hint="default"/>
          <w:w w:val="100"/>
          <w:sz w:val="21"/>
          <w:szCs w:val="21"/>
        </w:rPr>
        <w:t> </w:t>
      </w:r>
      <w:r>
        <w:rPr>
          <w:rFonts w:ascii="宋体" w:hAnsi="宋体" w:cs="宋体" w:eastAsia="宋体" w:hint="default"/>
          <w:sz w:val="21"/>
          <w:szCs w:val="21"/>
        </w:rPr>
        <w:t>鞍山市鼎泰科技有限责任公司副总经理，本公司董事，现任本公司副总经理。</w:t>
      </w:r>
    </w:p>
    <w:p>
      <w:pPr>
        <w:spacing w:line="266" w:lineRule="auto" w:before="22"/>
        <w:ind w:left="152" w:right="206" w:firstLine="384"/>
        <w:jc w:val="both"/>
        <w:rPr>
          <w:rFonts w:ascii="宋体" w:hAnsi="宋体" w:cs="宋体" w:eastAsia="宋体" w:hint="default"/>
          <w:sz w:val="21"/>
          <w:szCs w:val="21"/>
        </w:rPr>
      </w:pPr>
      <w:r>
        <w:rPr>
          <w:rFonts w:ascii="宋体" w:hAnsi="宋体" w:cs="宋体" w:eastAsia="宋体" w:hint="default"/>
          <w:spacing w:val="-1"/>
          <w:sz w:val="21"/>
          <w:szCs w:val="21"/>
        </w:rPr>
        <w:t>吴翠华女士，中国国籍，无境外永久居留权。</w:t>
      </w:r>
      <w:r>
        <w:rPr>
          <w:rFonts w:ascii="Times New Roman" w:hAnsi="Times New Roman" w:cs="Times New Roman" w:eastAsia="Times New Roman" w:hint="default"/>
          <w:spacing w:val="-1"/>
          <w:sz w:val="21"/>
          <w:szCs w:val="21"/>
        </w:rPr>
        <w:t>1955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月出生，中共党员，中专学历。曾担任马鞍山</w:t>
      </w:r>
      <w:r>
        <w:rPr>
          <w:rFonts w:ascii="宋体" w:hAnsi="宋体" w:cs="宋体" w:eastAsia="宋体" w:hint="default"/>
          <w:w w:val="100"/>
          <w:sz w:val="21"/>
          <w:szCs w:val="21"/>
        </w:rPr>
        <w:t> </w:t>
      </w:r>
      <w:r>
        <w:rPr>
          <w:rFonts w:ascii="宋体" w:hAnsi="宋体" w:cs="宋体" w:eastAsia="宋体" w:hint="default"/>
          <w:spacing w:val="-2"/>
          <w:sz w:val="21"/>
          <w:szCs w:val="21"/>
        </w:rPr>
        <w:t>市鼎泰金属制品公司财务主管，马鞍山鼎泰科技有限责任公司工会主席兼重庆子公司副经理，本公司董事</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兼全资子公司重庆市隆泰稀土新材料有限责任公司总经理，现任本公司副总经理。</w:t>
      </w:r>
    </w:p>
    <w:p>
      <w:pPr>
        <w:spacing w:line="256" w:lineRule="auto" w:before="14"/>
        <w:ind w:left="152" w:right="208" w:firstLine="384"/>
        <w:jc w:val="both"/>
        <w:rPr>
          <w:rFonts w:ascii="宋体" w:hAnsi="宋体" w:cs="宋体" w:eastAsia="宋体" w:hint="default"/>
          <w:sz w:val="21"/>
          <w:szCs w:val="21"/>
        </w:rPr>
      </w:pPr>
      <w:r>
        <w:rPr>
          <w:rFonts w:ascii="宋体" w:hAnsi="宋体" w:cs="宋体" w:eastAsia="宋体" w:hint="default"/>
          <w:spacing w:val="-1"/>
          <w:sz w:val="21"/>
          <w:szCs w:val="21"/>
        </w:rPr>
        <w:t>袁福祥先生，中国国籍，无境外永久居留权。</w:t>
      </w:r>
      <w:r>
        <w:rPr>
          <w:rFonts w:ascii="Times New Roman" w:hAnsi="Times New Roman" w:cs="Times New Roman" w:eastAsia="Times New Roman" w:hint="default"/>
          <w:spacing w:val="-1"/>
          <w:sz w:val="21"/>
          <w:szCs w:val="21"/>
        </w:rPr>
        <w:t>1964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月出生，大学学历，工程师。曾任马鞍山市鼎</w:t>
      </w:r>
      <w:r>
        <w:rPr>
          <w:rFonts w:ascii="宋体" w:hAnsi="宋体" w:cs="宋体" w:eastAsia="宋体" w:hint="default"/>
          <w:w w:val="100"/>
          <w:sz w:val="21"/>
          <w:szCs w:val="21"/>
        </w:rPr>
        <w:t> </w:t>
      </w:r>
      <w:r>
        <w:rPr>
          <w:rFonts w:ascii="宋体" w:hAnsi="宋体" w:cs="宋体" w:eastAsia="宋体" w:hint="default"/>
          <w:sz w:val="21"/>
          <w:szCs w:val="21"/>
        </w:rPr>
        <w:t>泰金属制品公司经理助理，本公司监事，现任本公司副总经理。</w:t>
      </w:r>
    </w:p>
    <w:p>
      <w:pPr>
        <w:spacing w:line="256" w:lineRule="auto" w:before="22"/>
        <w:ind w:left="152" w:right="208" w:firstLine="384"/>
        <w:jc w:val="both"/>
        <w:rPr>
          <w:rFonts w:ascii="宋体" w:hAnsi="宋体" w:cs="宋体" w:eastAsia="宋体" w:hint="default"/>
          <w:sz w:val="21"/>
          <w:szCs w:val="21"/>
        </w:rPr>
      </w:pPr>
      <w:r>
        <w:rPr>
          <w:rFonts w:ascii="宋体" w:hAnsi="宋体" w:cs="宋体" w:eastAsia="宋体" w:hint="default"/>
          <w:spacing w:val="-4"/>
          <w:sz w:val="21"/>
          <w:szCs w:val="21"/>
        </w:rPr>
        <w:t>章大林先生，中国国籍，无境外永久居留权。</w:t>
      </w:r>
      <w:r>
        <w:rPr>
          <w:rFonts w:ascii="Times New Roman" w:hAnsi="Times New Roman" w:cs="Times New Roman" w:eastAsia="Times New Roman" w:hint="default"/>
          <w:spacing w:val="-4"/>
          <w:sz w:val="21"/>
          <w:szCs w:val="21"/>
        </w:rPr>
        <w:t>1971</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9</w:t>
      </w:r>
      <w:r>
        <w:rPr>
          <w:rFonts w:ascii="宋体" w:hAnsi="宋体" w:cs="宋体" w:eastAsia="宋体" w:hint="default"/>
          <w:spacing w:val="-4"/>
          <w:sz w:val="21"/>
          <w:szCs w:val="21"/>
        </w:rPr>
        <w:t>月出生，中共党员，大专学历。曾任马鞍山市鼎</w:t>
      </w:r>
      <w:r>
        <w:rPr>
          <w:rFonts w:ascii="宋体" w:hAnsi="宋体" w:cs="宋体" w:eastAsia="宋体" w:hint="default"/>
          <w:w w:val="100"/>
          <w:sz w:val="21"/>
          <w:szCs w:val="21"/>
        </w:rPr>
        <w:t> </w:t>
      </w:r>
      <w:r>
        <w:rPr>
          <w:rFonts w:ascii="宋体" w:hAnsi="宋体" w:cs="宋体" w:eastAsia="宋体" w:hint="default"/>
          <w:sz w:val="21"/>
          <w:szCs w:val="21"/>
        </w:rPr>
        <w:t>泰科技有限责任公司生产副总经理，现任本公司副总经理。</w:t>
      </w:r>
    </w:p>
    <w:p>
      <w:pPr>
        <w:spacing w:line="256" w:lineRule="auto" w:before="22"/>
        <w:ind w:left="152" w:right="206" w:firstLine="384"/>
        <w:jc w:val="both"/>
        <w:rPr>
          <w:rFonts w:ascii="宋体" w:hAnsi="宋体" w:cs="宋体" w:eastAsia="宋体" w:hint="default"/>
          <w:sz w:val="21"/>
          <w:szCs w:val="21"/>
        </w:rPr>
      </w:pPr>
      <w:r>
        <w:rPr>
          <w:rFonts w:ascii="宋体" w:hAnsi="宋体" w:cs="宋体" w:eastAsia="宋体" w:hint="default"/>
          <w:spacing w:val="-4"/>
          <w:sz w:val="21"/>
          <w:szCs w:val="21"/>
        </w:rPr>
        <w:t>陆江先生，中国国籍，无境外永久居留权。</w:t>
      </w:r>
      <w:r>
        <w:rPr>
          <w:rFonts w:ascii="Times New Roman" w:hAnsi="Times New Roman" w:cs="Times New Roman" w:eastAsia="Times New Roman" w:hint="default"/>
          <w:spacing w:val="-4"/>
          <w:sz w:val="21"/>
          <w:szCs w:val="21"/>
        </w:rPr>
        <w:t>1955</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月出生，中共党员，大专学历，工程师。</w:t>
      </w:r>
      <w:r>
        <w:rPr>
          <w:rFonts w:ascii="Times New Roman" w:hAnsi="Times New Roman" w:cs="Times New Roman" w:eastAsia="Times New Roman" w:hint="default"/>
          <w:spacing w:val="-4"/>
          <w:sz w:val="21"/>
          <w:szCs w:val="21"/>
        </w:rPr>
        <w:t>1972</w:t>
      </w:r>
      <w:r>
        <w:rPr>
          <w:rFonts w:ascii="宋体" w:hAnsi="宋体" w:cs="宋体" w:eastAsia="宋体" w:hint="default"/>
          <w:spacing w:val="-4"/>
          <w:sz w:val="21"/>
          <w:szCs w:val="21"/>
        </w:rPr>
        <w:t>年至</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1998</w:t>
      </w:r>
      <w:r>
        <w:rPr>
          <w:rFonts w:ascii="宋体" w:hAnsi="宋体" w:cs="宋体" w:eastAsia="宋体" w:hint="default"/>
          <w:sz w:val="21"/>
          <w:szCs w:val="21"/>
        </w:rPr>
        <w:t>年在天津钢丝厂任生产部部长，</w:t>
      </w:r>
      <w:r>
        <w:rPr>
          <w:rFonts w:ascii="Times New Roman" w:hAnsi="Times New Roman" w:cs="Times New Roman" w:eastAsia="Times New Roman" w:hint="default"/>
          <w:sz w:val="21"/>
          <w:szCs w:val="21"/>
        </w:rPr>
        <w:t>1998</w:t>
      </w:r>
      <w:r>
        <w:rPr>
          <w:rFonts w:ascii="宋体" w:hAnsi="宋体" w:cs="宋体" w:eastAsia="宋体" w:hint="default"/>
          <w:sz w:val="21"/>
          <w:szCs w:val="21"/>
        </w:rPr>
        <w:t>年至</w:t>
      </w: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月在天津燎原钢绞线厂任经营部部长，曾任马鞍山</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市鼎泰科技有限责任公司工艺设备副总经理，现任本公司副总经理。</w:t>
      </w:r>
    </w:p>
    <w:p>
      <w:pPr>
        <w:spacing w:line="256" w:lineRule="auto" w:before="22"/>
        <w:ind w:left="152" w:right="208" w:firstLine="384"/>
        <w:jc w:val="both"/>
        <w:rPr>
          <w:rFonts w:ascii="宋体" w:hAnsi="宋体" w:cs="宋体" w:eastAsia="宋体" w:hint="default"/>
          <w:sz w:val="21"/>
          <w:szCs w:val="21"/>
        </w:rPr>
      </w:pPr>
      <w:r>
        <w:rPr>
          <w:rFonts w:ascii="宋体" w:hAnsi="宋体" w:cs="宋体" w:eastAsia="宋体" w:hint="default"/>
          <w:spacing w:val="-4"/>
          <w:sz w:val="21"/>
          <w:szCs w:val="21"/>
        </w:rPr>
        <w:t>史志民先生，中国国籍，无境外永久居留权。</w:t>
      </w:r>
      <w:r>
        <w:rPr>
          <w:rFonts w:ascii="Times New Roman" w:hAnsi="Times New Roman" w:cs="Times New Roman" w:eastAsia="Times New Roman" w:hint="default"/>
          <w:spacing w:val="-4"/>
          <w:sz w:val="21"/>
          <w:szCs w:val="21"/>
        </w:rPr>
        <w:t>1954</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月出生，中共党员，大学学历，教授级高级工程</w:t>
      </w:r>
      <w:r>
        <w:rPr>
          <w:rFonts w:ascii="宋体" w:hAnsi="宋体" w:cs="宋体" w:eastAsia="宋体" w:hint="default"/>
          <w:w w:val="100"/>
          <w:sz w:val="21"/>
          <w:szCs w:val="21"/>
        </w:rPr>
        <w:t> </w:t>
      </w:r>
      <w:r>
        <w:rPr>
          <w:rFonts w:ascii="宋体" w:hAnsi="宋体" w:cs="宋体" w:eastAsia="宋体" w:hint="default"/>
          <w:sz w:val="21"/>
          <w:szCs w:val="21"/>
        </w:rPr>
        <w:t>师。</w:t>
      </w:r>
      <w:r>
        <w:rPr>
          <w:rFonts w:ascii="Times New Roman" w:hAnsi="Times New Roman" w:cs="Times New Roman" w:eastAsia="Times New Roman" w:hint="default"/>
          <w:sz w:val="21"/>
          <w:szCs w:val="21"/>
        </w:rPr>
        <w:t>1977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月至</w:t>
      </w:r>
      <w:r>
        <w:rPr>
          <w:rFonts w:ascii="Times New Roman" w:hAnsi="Times New Roman" w:cs="Times New Roman" w:eastAsia="Times New Roman" w:hint="default"/>
          <w:sz w:val="21"/>
          <w:szCs w:val="21"/>
        </w:rPr>
        <w:t>1996</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月先后在马鞍山市锅炉厂任技术工人、焊接技术员、焊接工程师，总厂全质办</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副主任，曾任马鞍山市鼎泰科技有限责任公司总工程师，本公司总工程师，现任本公司副总经理。</w:t>
      </w:r>
    </w:p>
    <w:p>
      <w:pPr>
        <w:spacing w:line="256" w:lineRule="auto" w:before="22"/>
        <w:ind w:left="152" w:right="208" w:firstLine="384"/>
        <w:jc w:val="both"/>
        <w:rPr>
          <w:rFonts w:ascii="宋体" w:hAnsi="宋体" w:cs="宋体" w:eastAsia="宋体" w:hint="default"/>
          <w:sz w:val="21"/>
          <w:szCs w:val="21"/>
        </w:rPr>
      </w:pPr>
      <w:r>
        <w:rPr>
          <w:rFonts w:ascii="宋体" w:hAnsi="宋体" w:cs="宋体" w:eastAsia="宋体" w:hint="default"/>
          <w:spacing w:val="-5"/>
          <w:sz w:val="21"/>
          <w:szCs w:val="21"/>
        </w:rPr>
        <w:t>张彦女士，中国国籍，无境外永久居留权。</w:t>
      </w:r>
      <w:r>
        <w:rPr>
          <w:rFonts w:ascii="Times New Roman" w:hAnsi="Times New Roman" w:cs="Times New Roman" w:eastAsia="Times New Roman" w:hint="default"/>
          <w:spacing w:val="-5"/>
          <w:sz w:val="21"/>
          <w:szCs w:val="21"/>
        </w:rPr>
        <w:t>1985</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月出生，本科学历，统计学专业。</w:t>
      </w:r>
      <w:r>
        <w:rPr>
          <w:rFonts w:ascii="Times New Roman" w:hAnsi="Times New Roman" w:cs="Times New Roman" w:eastAsia="Times New Roman" w:hint="default"/>
          <w:spacing w:val="-5"/>
          <w:sz w:val="21"/>
          <w:szCs w:val="21"/>
        </w:rPr>
        <w:t>2012</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月至</w:t>
      </w:r>
      <w:r>
        <w:rPr>
          <w:rFonts w:ascii="Times New Roman" w:hAnsi="Times New Roman" w:cs="Times New Roman" w:eastAsia="Times New Roman" w:hint="default"/>
          <w:spacing w:val="-5"/>
          <w:sz w:val="21"/>
          <w:szCs w:val="21"/>
        </w:rPr>
        <w:t>2014</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月在公司财务部任职，</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月任公司内审部负责人，</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月起任公司财务总监。</w:t>
      </w:r>
    </w:p>
    <w:p>
      <w:pPr>
        <w:spacing w:before="66"/>
        <w:ind w:left="15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重庆市隆泰稀土新材料有限责任公司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刘凌云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重庆市隆泰稀土新材料有限责任公司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黄学春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重庆市隆泰稀土新材料有限责任公司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363"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吴翠华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重庆市隆泰稀土新材料有限责任公司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马作民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重庆市隆泰稀土新材料有限责任公司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齐跃进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重庆市隆泰稀土新材料有限责任公司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重庆市隆泰稀土新材料有限责任公司系公司全资子公司。</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5"/>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赵颖坤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华中科技大学法学院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中央财经大学法学院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副院长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安徽工业大学商学院会计系</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英国诺顿罗氏律师事务所北京代表处</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戴卫星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海南物博贸易公司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以上董监高任职单位与公司无关联关系。</w:t>
            </w:r>
          </w:p>
        </w:tc>
      </w:tr>
    </w:tbl>
    <w:p>
      <w:pPr>
        <w:spacing w:line="240" w:lineRule="auto" w:before="1"/>
        <w:rPr>
          <w:rFonts w:ascii="宋体" w:hAnsi="宋体" w:cs="宋体" w:eastAsia="宋体" w:hint="default"/>
          <w:sz w:val="18"/>
          <w:szCs w:val="18"/>
        </w:rPr>
      </w:pPr>
    </w:p>
    <w:p>
      <w:pPr>
        <w:pStyle w:val="Heading3"/>
        <w:spacing w:line="240" w:lineRule="auto" w:before="26"/>
        <w:ind w:right="144"/>
        <w:jc w:val="left"/>
        <w:rPr>
          <w:b w:val="0"/>
          <w:bCs w:val="0"/>
        </w:rPr>
      </w:pPr>
      <w:r>
        <w:rPr/>
        <w:t>三、董事、监事、高级管理人员报酬情况</w:t>
      </w:r>
      <w:r>
        <w:rPr>
          <w:b w:val="0"/>
          <w:bCs w:val="0"/>
        </w:rPr>
      </w:r>
    </w:p>
    <w:p>
      <w:pPr>
        <w:spacing w:line="240" w:lineRule="auto" w:before="4"/>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w:t>
      </w:r>
    </w:p>
    <w:p>
      <w:pPr>
        <w:spacing w:line="300" w:lineRule="auto" w:before="117"/>
        <w:ind w:left="453" w:right="144" w:hanging="3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、董事、监事、高级管理人员报酬的决策程序 </w:t>
      </w:r>
      <w:r>
        <w:rPr>
          <w:rFonts w:ascii="宋体" w:hAnsi="宋体" w:cs="宋体" w:eastAsia="宋体" w:hint="default"/>
          <w:spacing w:val="-1"/>
          <w:sz w:val="18"/>
          <w:szCs w:val="18"/>
        </w:rPr>
        <w:t>由公司董事会薪酬与考核委员会研究制订公司董事、监事和高级管理人员的薪酬政策、方案，股东大会审议董事、监事</w:t>
      </w:r>
    </w:p>
    <w:p>
      <w:pPr>
        <w:spacing w:line="316" w:lineRule="auto" w:before="31"/>
        <w:ind w:left="152" w:right="144" w:firstLine="0"/>
        <w:jc w:val="left"/>
        <w:rPr>
          <w:rFonts w:ascii="宋体" w:hAnsi="宋体" w:cs="宋体" w:eastAsia="宋体" w:hint="default"/>
          <w:sz w:val="18"/>
          <w:szCs w:val="18"/>
        </w:rPr>
      </w:pPr>
      <w:r>
        <w:rPr>
          <w:rFonts w:ascii="宋体" w:hAnsi="宋体" w:cs="宋体" w:eastAsia="宋体" w:hint="default"/>
          <w:spacing w:val="-2"/>
          <w:sz w:val="18"/>
          <w:szCs w:val="18"/>
        </w:rPr>
        <w:t>薪酬，董事会审议高级管理人员薪酬，公司人力资源部、财务部配合董事会薪酬与考核委员会进行公司董事、高级管理人员</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薪酬方案的具体实施。</w:t>
      </w:r>
    </w:p>
    <w:p>
      <w:pPr>
        <w:spacing w:line="240" w:lineRule="auto" w:before="4"/>
        <w:rPr>
          <w:rFonts w:ascii="宋体" w:hAnsi="宋体" w:cs="宋体" w:eastAsia="宋体" w:hint="default"/>
          <w:sz w:val="25"/>
          <w:szCs w:val="25"/>
        </w:rPr>
      </w:pPr>
    </w:p>
    <w:p>
      <w:pPr>
        <w:spacing w:line="340" w:lineRule="auto" w:before="0"/>
        <w:ind w:left="513" w:right="144"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、董事、监事、高级管理人员报酬的确立依据 </w:t>
      </w:r>
      <w:r>
        <w:rPr>
          <w:rFonts w:ascii="宋体" w:hAnsi="宋体" w:cs="宋体" w:eastAsia="宋体" w:hint="default"/>
          <w:spacing w:val="-2"/>
          <w:sz w:val="18"/>
          <w:szCs w:val="18"/>
        </w:rPr>
        <w:t>根据公司内部董事、内部监事与高级管理人员所承担的责任、风险、压力等，确定不同的基本年薪标准，基本年薪不浮</w:t>
      </w:r>
    </w:p>
    <w:p>
      <w:pPr>
        <w:spacing w:line="234" w:lineRule="exact" w:before="0"/>
        <w:ind w:left="152" w:right="144" w:firstLine="0"/>
        <w:jc w:val="left"/>
        <w:rPr>
          <w:rFonts w:ascii="宋体" w:hAnsi="宋体" w:cs="宋体" w:eastAsia="宋体" w:hint="default"/>
          <w:sz w:val="18"/>
          <w:szCs w:val="18"/>
        </w:rPr>
      </w:pPr>
      <w:r>
        <w:rPr>
          <w:rFonts w:ascii="宋体" w:hAnsi="宋体" w:cs="宋体" w:eastAsia="宋体" w:hint="default"/>
          <w:sz w:val="18"/>
          <w:szCs w:val="18"/>
        </w:rPr>
        <w:t>动，按月平均发放。外部董事、独立董事、外部监事津贴数额由公司股东大会审议决定。</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152" w:right="144"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刘冀鲁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赵颖坤</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胡卫红</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6.07</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陈炬</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吴韬</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王景</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方伦赞</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赵增祺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戴新民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戴卫星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齐跃进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刘钊</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8.59</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马作民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w w:val="95"/>
                <w:sz w:val="18"/>
              </w:rPr>
              <w:t>2.11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w:t>
            </w:r>
          </w:p>
        </w:tc>
      </w:tr>
      <w:tr>
        <w:trPr>
          <w:trHeight w:val="40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刘凌云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6.25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6.25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宫为平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黄学春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董秘、副总经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唐成宽</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吴翠华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8.54</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袁福祥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章大林</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5.03</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史志民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14.47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117.38</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5"/>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44"/>
        <w:jc w:val="left"/>
        <w:rPr>
          <w:b w:val="0"/>
          <w:bCs w:val="0"/>
        </w:rPr>
      </w:pPr>
      <w:r>
        <w:rPr/>
        <w:t>四、公司董事、监事、高级管理人员变动情况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1"/>
          <w:szCs w:val="21"/>
        </w:rPr>
      </w:pPr>
    </w:p>
    <w:p>
      <w:pPr>
        <w:spacing w:before="66"/>
        <w:ind w:left="0" w:right="161" w:firstLine="0"/>
        <w:jc w:val="right"/>
        <w:rPr>
          <w:rFonts w:ascii="宋体" w:hAnsi="宋体" w:cs="宋体" w:eastAsia="宋体" w:hint="default"/>
          <w:sz w:val="18"/>
          <w:szCs w:val="18"/>
        </w:rPr>
      </w:pPr>
      <w:r>
        <w:rPr/>
        <w:pict>
          <v:shape style="position:absolute;margin-left:56.400002pt;margin-top:-36.368317pt;width:479.15pt;height:56.3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0"/>
                    <w:gridCol w:w="1330"/>
                    <w:gridCol w:w="1332"/>
                    <w:gridCol w:w="1330"/>
                    <w:gridCol w:w="4246"/>
                  </w:tblGrid>
                  <w:tr>
                    <w:trPr>
                      <w:trHeight w:val="404"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刘冀鲁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8"/>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日，公司召开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 </w:t>
                        </w:r>
                        <w:r>
                          <w:rPr>
                            <w:rFonts w:ascii="宋体" w:hAnsi="宋体" w:cs="宋体" w:eastAsia="宋体" w:hint="default"/>
                            <w:spacing w:val="-10"/>
                            <w:sz w:val="18"/>
                            <w:szCs w:val="18"/>
                          </w:rPr>
                          <w:t>大会，审议通过了《关于公司董事会换届选举的议案》</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6"/>
          <w:szCs w:val="26"/>
        </w:rPr>
      </w:pPr>
    </w:p>
    <w:p>
      <w:pPr>
        <w:spacing w:line="314" w:lineRule="auto" w:before="44"/>
        <w:ind w:left="5503" w:right="148" w:firstLine="0"/>
        <w:jc w:val="left"/>
        <w:rPr>
          <w:rFonts w:ascii="宋体" w:hAnsi="宋体" w:cs="宋体" w:eastAsia="宋体" w:hint="default"/>
          <w:sz w:val="18"/>
          <w:szCs w:val="18"/>
        </w:rPr>
      </w:pPr>
      <w:r>
        <w:rPr>
          <w:rFonts w:ascii="宋体" w:hAnsi="宋体" w:cs="宋体" w:eastAsia="宋体" w:hint="default"/>
          <w:sz w:val="18"/>
          <w:szCs w:val="18"/>
        </w:rPr>
        <w:t>刘冀鲁先生当选为公司第三届董事会非独立董事；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日，公司召开第三届董事会第一次会议，</w:t>
      </w:r>
      <w:r>
        <w:rPr>
          <w:rFonts w:ascii="宋体" w:hAnsi="宋体" w:cs="宋体" w:eastAsia="宋体" w:hint="default"/>
          <w:sz w:val="18"/>
          <w:szCs w:val="18"/>
        </w:rPr>
        <w:t> 审议通过了《关于选举公司第三届董事会董事长的议 </w:t>
      </w:r>
      <w:r>
        <w:rPr>
          <w:rFonts w:ascii="宋体" w:hAnsi="宋体" w:cs="宋体" w:eastAsia="宋体" w:hint="default"/>
          <w:spacing w:val="-4"/>
          <w:sz w:val="18"/>
          <w:szCs w:val="18"/>
        </w:rPr>
        <w:t>案》，同意选举刘冀鲁先生为公司第三届董事会董事</w:t>
      </w:r>
      <w:r>
        <w:rPr>
          <w:rFonts w:ascii="宋体" w:hAnsi="宋体" w:cs="宋体" w:eastAsia="宋体" w:hint="default"/>
          <w:sz w:val="18"/>
          <w:szCs w:val="18"/>
        </w:rPr>
        <w:t> 长，任期三年。</w:t>
      </w:r>
    </w:p>
    <w:p>
      <w:pPr>
        <w:spacing w:after="0" w:line="314"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tabs>
          <w:tab w:pos="1511" w:val="left" w:leader="none"/>
          <w:tab w:pos="2841" w:val="left" w:leader="none"/>
        </w:tabs>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赵颖坤</w:t>
        <w:tab/>
        <w:t>董事</w:t>
        <w:tab/>
        <w:t>被选举</w:t>
      </w:r>
    </w:p>
    <w:p>
      <w:pPr>
        <w:spacing w:line="240" w:lineRule="auto" w:before="6"/>
        <w:rPr>
          <w:rFonts w:ascii="宋体" w:hAnsi="宋体" w:cs="宋体" w:eastAsia="宋体" w:hint="default"/>
          <w:sz w:val="20"/>
          <w:szCs w:val="20"/>
        </w:rPr>
      </w:pPr>
      <w:r>
        <w:rPr/>
        <w:br w:type="column"/>
      </w:r>
      <w:r>
        <w:rPr>
          <w:rFonts w:ascii="宋体"/>
          <w:sz w:val="20"/>
        </w:rPr>
      </w:r>
    </w:p>
    <w:p>
      <w:pPr>
        <w:spacing w:before="0"/>
        <w:ind w:left="181" w:right="-13"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spacing w:before="63"/>
        <w:ind w:left="181" w:right="-13" w:firstLine="0"/>
        <w:jc w:val="left"/>
        <w:rPr>
          <w:rFonts w:ascii="宋体" w:hAnsi="宋体" w:cs="宋体" w:eastAsia="宋体" w:hint="default"/>
          <w:sz w:val="18"/>
          <w:szCs w:val="18"/>
        </w:rPr>
      </w:pPr>
      <w:r>
        <w:rPr>
          <w:rFonts w:ascii="宋体" w:hAnsi="宋体" w:cs="宋体" w:eastAsia="宋体" w:hint="default"/>
          <w:sz w:val="18"/>
          <w:szCs w:val="18"/>
        </w:rPr>
        <w:t>日</w:t>
      </w:r>
    </w:p>
    <w:p>
      <w:pPr>
        <w:spacing w:line="309" w:lineRule="auto" w:before="112"/>
        <w:ind w:left="29" w:right="148"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日，公司召开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 </w:t>
      </w:r>
      <w:r>
        <w:rPr>
          <w:rFonts w:ascii="宋体" w:hAnsi="宋体" w:cs="宋体" w:eastAsia="宋体" w:hint="default"/>
          <w:spacing w:val="-9"/>
          <w:sz w:val="18"/>
          <w:szCs w:val="18"/>
        </w:rPr>
        <w:t>大会，审议通过了《关于公司董事会换届选举的议案》，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赵颖坤先生当选为公司第三届董事会非独立董事。</w:t>
      </w:r>
    </w:p>
    <w:p>
      <w:pPr>
        <w:spacing w:after="0" w:line="309" w:lineRule="auto"/>
        <w:jc w:val="left"/>
        <w:rPr>
          <w:rFonts w:ascii="宋体" w:hAnsi="宋体" w:cs="宋体" w:eastAsia="宋体" w:hint="default"/>
          <w:sz w:val="18"/>
          <w:szCs w:val="18"/>
        </w:rPr>
        <w:sectPr>
          <w:type w:val="continuous"/>
          <w:pgSz w:w="11910" w:h="16840"/>
          <w:pgMar w:top="1060" w:bottom="1160" w:left="980" w:right="980"/>
          <w:cols w:num="3" w:equalWidth="0">
            <w:col w:w="3382" w:space="610"/>
            <w:col w:w="1443" w:space="40"/>
            <w:col w:w="4475"/>
          </w:cols>
        </w:sect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tabs>
          <w:tab w:pos="1511" w:val="left" w:leader="none"/>
          <w:tab w:pos="2841" w:val="left" w:leader="none"/>
        </w:tabs>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胡卫红</w:t>
        <w:tab/>
        <w:t>董事</w:t>
        <w:tab/>
        <w:t>被选举</w:t>
      </w:r>
    </w:p>
    <w:p>
      <w:pPr>
        <w:spacing w:line="240" w:lineRule="auto" w:before="7"/>
        <w:rPr>
          <w:rFonts w:ascii="宋体" w:hAnsi="宋体" w:cs="宋体" w:eastAsia="宋体" w:hint="default"/>
          <w:sz w:val="20"/>
          <w:szCs w:val="20"/>
        </w:rPr>
      </w:pPr>
      <w:r>
        <w:rPr/>
        <w:br w:type="column"/>
      </w:r>
      <w:r>
        <w:rPr>
          <w:rFonts w:ascii="宋体"/>
          <w:sz w:val="20"/>
        </w:rPr>
      </w:r>
    </w:p>
    <w:p>
      <w:pPr>
        <w:spacing w:before="0"/>
        <w:ind w:left="181" w:right="-13"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spacing w:before="63"/>
        <w:ind w:left="181" w:right="-13" w:firstLine="0"/>
        <w:jc w:val="left"/>
        <w:rPr>
          <w:rFonts w:ascii="宋体" w:hAnsi="宋体" w:cs="宋体" w:eastAsia="宋体" w:hint="default"/>
          <w:sz w:val="18"/>
          <w:szCs w:val="18"/>
        </w:rPr>
      </w:pPr>
      <w:r>
        <w:rPr>
          <w:rFonts w:ascii="宋体" w:hAnsi="宋体" w:cs="宋体" w:eastAsia="宋体" w:hint="default"/>
          <w:sz w:val="18"/>
          <w:szCs w:val="18"/>
        </w:rPr>
        <w:t>日</w:t>
      </w:r>
    </w:p>
    <w:p>
      <w:pPr>
        <w:spacing w:line="309" w:lineRule="auto" w:before="113"/>
        <w:ind w:left="29" w:right="148"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日，公司召开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 </w:t>
      </w:r>
      <w:r>
        <w:rPr>
          <w:rFonts w:ascii="宋体" w:hAnsi="宋体" w:cs="宋体" w:eastAsia="宋体" w:hint="default"/>
          <w:spacing w:val="-9"/>
          <w:sz w:val="18"/>
          <w:szCs w:val="18"/>
        </w:rPr>
        <w:t>大会，审议通过了《关于公司董事会换届选举的议案》，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胡卫红女士当选为公司第三届董事会非独立董事。</w:t>
      </w:r>
    </w:p>
    <w:p>
      <w:pPr>
        <w:spacing w:after="0" w:line="309" w:lineRule="auto"/>
        <w:jc w:val="left"/>
        <w:rPr>
          <w:rFonts w:ascii="宋体" w:hAnsi="宋体" w:cs="宋体" w:eastAsia="宋体" w:hint="default"/>
          <w:sz w:val="18"/>
          <w:szCs w:val="18"/>
        </w:rPr>
        <w:sectPr>
          <w:type w:val="continuous"/>
          <w:pgSz w:w="11910" w:h="16840"/>
          <w:pgMar w:top="1060" w:bottom="1160" w:left="980" w:right="980"/>
          <w:cols w:num="3" w:equalWidth="0">
            <w:col w:w="3382" w:space="610"/>
            <w:col w:w="1443" w:space="40"/>
            <w:col w:w="4475"/>
          </w:cols>
        </w:sect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tabs>
          <w:tab w:pos="1511" w:val="left" w:leader="none"/>
          <w:tab w:pos="2841" w:val="left" w:leader="none"/>
        </w:tabs>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陈炬</w:t>
        <w:tab/>
        <w:t>董事</w:t>
        <w:tab/>
        <w:t>被选举</w:t>
      </w:r>
    </w:p>
    <w:p>
      <w:pPr>
        <w:spacing w:line="240" w:lineRule="auto" w:before="10"/>
        <w:rPr>
          <w:rFonts w:ascii="宋体" w:hAnsi="宋体" w:cs="宋体" w:eastAsia="宋体" w:hint="default"/>
          <w:sz w:val="20"/>
          <w:szCs w:val="20"/>
        </w:rPr>
      </w:pPr>
      <w:r>
        <w:rPr/>
        <w:br w:type="column"/>
      </w:r>
      <w:r>
        <w:rPr>
          <w:rFonts w:ascii="宋体"/>
          <w:sz w:val="20"/>
        </w:rPr>
      </w:r>
    </w:p>
    <w:p>
      <w:pPr>
        <w:spacing w:before="0"/>
        <w:ind w:left="181" w:right="-13"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spacing w:before="63"/>
        <w:ind w:left="181" w:right="-13" w:firstLine="0"/>
        <w:jc w:val="left"/>
        <w:rPr>
          <w:rFonts w:ascii="宋体" w:hAnsi="宋体" w:cs="宋体" w:eastAsia="宋体" w:hint="default"/>
          <w:sz w:val="18"/>
          <w:szCs w:val="18"/>
        </w:rPr>
      </w:pPr>
      <w:r>
        <w:rPr>
          <w:rFonts w:ascii="宋体" w:hAnsi="宋体" w:cs="宋体" w:eastAsia="宋体" w:hint="default"/>
          <w:sz w:val="18"/>
          <w:szCs w:val="18"/>
        </w:rPr>
        <w:t>日</w:t>
      </w:r>
    </w:p>
    <w:p>
      <w:pPr>
        <w:spacing w:line="309" w:lineRule="auto" w:before="115"/>
        <w:ind w:left="29" w:right="148"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日，公司召开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 </w:t>
      </w:r>
      <w:r>
        <w:rPr>
          <w:rFonts w:ascii="宋体" w:hAnsi="宋体" w:cs="宋体" w:eastAsia="宋体" w:hint="default"/>
          <w:spacing w:val="-9"/>
          <w:sz w:val="18"/>
          <w:szCs w:val="18"/>
        </w:rPr>
        <w:t>大会，审议通过了《关于公司董事会换届选举的议案》，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陈炬先生当选为公司第三届董事会非独立董事。</w:t>
      </w:r>
    </w:p>
    <w:p>
      <w:pPr>
        <w:spacing w:after="0" w:line="309" w:lineRule="auto"/>
        <w:jc w:val="left"/>
        <w:rPr>
          <w:rFonts w:ascii="宋体" w:hAnsi="宋体" w:cs="宋体" w:eastAsia="宋体" w:hint="default"/>
          <w:sz w:val="18"/>
          <w:szCs w:val="18"/>
        </w:rPr>
        <w:sectPr>
          <w:type w:val="continuous"/>
          <w:pgSz w:w="11910" w:h="16840"/>
          <w:pgMar w:top="1060" w:bottom="1160" w:left="980" w:right="980"/>
          <w:cols w:num="3" w:equalWidth="0">
            <w:col w:w="3382" w:space="610"/>
            <w:col w:w="1443" w:space="40"/>
            <w:col w:w="4475"/>
          </w:cols>
        </w:sect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tabs>
          <w:tab w:pos="1511" w:val="left" w:leader="none"/>
          <w:tab w:pos="2841" w:val="left" w:leader="none"/>
        </w:tabs>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吴韬</w:t>
        <w:tab/>
        <w:t>独立董事</w:t>
        <w:tab/>
        <w:t>被选举</w:t>
      </w:r>
    </w:p>
    <w:p>
      <w:pPr>
        <w:spacing w:line="240" w:lineRule="auto" w:before="7"/>
        <w:rPr>
          <w:rFonts w:ascii="宋体" w:hAnsi="宋体" w:cs="宋体" w:eastAsia="宋体" w:hint="default"/>
          <w:sz w:val="20"/>
          <w:szCs w:val="20"/>
        </w:rPr>
      </w:pPr>
      <w:r>
        <w:rPr/>
        <w:br w:type="column"/>
      </w:r>
      <w:r>
        <w:rPr>
          <w:rFonts w:ascii="宋体"/>
          <w:sz w:val="20"/>
        </w:rPr>
      </w:r>
    </w:p>
    <w:p>
      <w:pPr>
        <w:spacing w:before="0"/>
        <w:ind w:left="181" w:right="-13"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spacing w:before="63"/>
        <w:ind w:left="181" w:right="-13" w:firstLine="0"/>
        <w:jc w:val="left"/>
        <w:rPr>
          <w:rFonts w:ascii="宋体" w:hAnsi="宋体" w:cs="宋体" w:eastAsia="宋体" w:hint="default"/>
          <w:sz w:val="18"/>
          <w:szCs w:val="18"/>
        </w:rPr>
      </w:pPr>
      <w:r>
        <w:rPr>
          <w:rFonts w:ascii="宋体" w:hAnsi="宋体" w:cs="宋体" w:eastAsia="宋体" w:hint="default"/>
          <w:sz w:val="18"/>
          <w:szCs w:val="18"/>
        </w:rPr>
        <w:t>日</w:t>
      </w:r>
    </w:p>
    <w:p>
      <w:pPr>
        <w:spacing w:line="309" w:lineRule="auto" w:before="113"/>
        <w:ind w:left="29" w:right="148"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日，公司召开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 </w:t>
      </w:r>
      <w:r>
        <w:rPr>
          <w:rFonts w:ascii="宋体" w:hAnsi="宋体" w:cs="宋体" w:eastAsia="宋体" w:hint="default"/>
          <w:spacing w:val="-9"/>
          <w:sz w:val="18"/>
          <w:szCs w:val="18"/>
        </w:rPr>
        <w:t>大会，审议通过了《关于公司董事会换届选举的议案》，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吴韬先生当选为公司第三届董事会独立董事。</w:t>
      </w:r>
    </w:p>
    <w:p>
      <w:pPr>
        <w:spacing w:after="0" w:line="309" w:lineRule="auto"/>
        <w:jc w:val="left"/>
        <w:rPr>
          <w:rFonts w:ascii="宋体" w:hAnsi="宋体" w:cs="宋体" w:eastAsia="宋体" w:hint="default"/>
          <w:sz w:val="18"/>
          <w:szCs w:val="18"/>
        </w:rPr>
        <w:sectPr>
          <w:type w:val="continuous"/>
          <w:pgSz w:w="11910" w:h="16840"/>
          <w:pgMar w:top="1060" w:bottom="1160" w:left="980" w:right="980"/>
          <w:cols w:num="3" w:equalWidth="0">
            <w:col w:w="3382" w:space="610"/>
            <w:col w:w="1443" w:space="40"/>
            <w:col w:w="4475"/>
          </w:cols>
        </w:sect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tabs>
          <w:tab w:pos="1511" w:val="left" w:leader="none"/>
          <w:tab w:pos="2841" w:val="left" w:leader="none"/>
        </w:tabs>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张力</w:t>
        <w:tab/>
        <w:t>独立董事</w:t>
        <w:tab/>
        <w:t>被选举</w:t>
      </w:r>
    </w:p>
    <w:p>
      <w:pPr>
        <w:spacing w:line="240" w:lineRule="auto" w:before="10"/>
        <w:rPr>
          <w:rFonts w:ascii="宋体" w:hAnsi="宋体" w:cs="宋体" w:eastAsia="宋体" w:hint="default"/>
          <w:sz w:val="20"/>
          <w:szCs w:val="20"/>
        </w:rPr>
      </w:pPr>
      <w:r>
        <w:rPr/>
        <w:br w:type="column"/>
      </w:r>
      <w:r>
        <w:rPr>
          <w:rFonts w:ascii="宋体"/>
          <w:sz w:val="20"/>
        </w:rPr>
      </w:r>
    </w:p>
    <w:p>
      <w:pPr>
        <w:spacing w:before="0"/>
        <w:ind w:left="181" w:right="-13"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spacing w:before="63"/>
        <w:ind w:left="181" w:right="-13" w:firstLine="0"/>
        <w:jc w:val="left"/>
        <w:rPr>
          <w:rFonts w:ascii="宋体" w:hAnsi="宋体" w:cs="宋体" w:eastAsia="宋体" w:hint="default"/>
          <w:sz w:val="18"/>
          <w:szCs w:val="18"/>
        </w:rPr>
      </w:pPr>
      <w:r>
        <w:rPr>
          <w:rFonts w:ascii="宋体" w:hAnsi="宋体" w:cs="宋体" w:eastAsia="宋体" w:hint="default"/>
          <w:sz w:val="18"/>
          <w:szCs w:val="18"/>
        </w:rPr>
        <w:t>日</w:t>
      </w:r>
    </w:p>
    <w:p>
      <w:pPr>
        <w:spacing w:line="309" w:lineRule="auto" w:before="115"/>
        <w:ind w:left="29" w:right="148"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日，公司召开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 </w:t>
      </w:r>
      <w:r>
        <w:rPr>
          <w:rFonts w:ascii="宋体" w:hAnsi="宋体" w:cs="宋体" w:eastAsia="宋体" w:hint="default"/>
          <w:spacing w:val="-9"/>
          <w:sz w:val="18"/>
          <w:szCs w:val="18"/>
        </w:rPr>
        <w:t>大会，审议通过了《关于公司董事会换届选举的议案》，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张力先生当选为公司第三届董事会独立董事。</w:t>
      </w:r>
    </w:p>
    <w:p>
      <w:pPr>
        <w:spacing w:after="0" w:line="309" w:lineRule="auto"/>
        <w:jc w:val="left"/>
        <w:rPr>
          <w:rFonts w:ascii="宋体" w:hAnsi="宋体" w:cs="宋体" w:eastAsia="宋体" w:hint="default"/>
          <w:sz w:val="18"/>
          <w:szCs w:val="18"/>
        </w:rPr>
        <w:sectPr>
          <w:type w:val="continuous"/>
          <w:pgSz w:w="11910" w:h="16840"/>
          <w:pgMar w:top="1060" w:bottom="1160" w:left="980" w:right="980"/>
          <w:cols w:num="3" w:equalWidth="0">
            <w:col w:w="3382" w:space="610"/>
            <w:col w:w="1443" w:space="40"/>
            <w:col w:w="4475"/>
          </w:cols>
        </w:sect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tabs>
          <w:tab w:pos="1511" w:val="left" w:leader="none"/>
          <w:tab w:pos="2841" w:val="left" w:leader="none"/>
        </w:tabs>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王景</w:t>
        <w:tab/>
        <w:t>独立董事</w:t>
        <w:tab/>
        <w:t>被选举</w:t>
      </w:r>
    </w:p>
    <w:p>
      <w:pPr>
        <w:spacing w:line="240" w:lineRule="auto" w:before="7"/>
        <w:rPr>
          <w:rFonts w:ascii="宋体" w:hAnsi="宋体" w:cs="宋体" w:eastAsia="宋体" w:hint="default"/>
          <w:sz w:val="20"/>
          <w:szCs w:val="20"/>
        </w:rPr>
      </w:pPr>
      <w:r>
        <w:rPr/>
        <w:br w:type="column"/>
      </w:r>
      <w:r>
        <w:rPr>
          <w:rFonts w:ascii="宋体"/>
          <w:sz w:val="20"/>
        </w:rPr>
      </w:r>
    </w:p>
    <w:p>
      <w:pPr>
        <w:spacing w:before="0"/>
        <w:ind w:left="181" w:right="-13"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spacing w:before="63"/>
        <w:ind w:left="181" w:right="-13" w:firstLine="0"/>
        <w:jc w:val="left"/>
        <w:rPr>
          <w:rFonts w:ascii="宋体" w:hAnsi="宋体" w:cs="宋体" w:eastAsia="宋体" w:hint="default"/>
          <w:sz w:val="18"/>
          <w:szCs w:val="18"/>
        </w:rPr>
      </w:pPr>
      <w:r>
        <w:rPr>
          <w:rFonts w:ascii="宋体" w:hAnsi="宋体" w:cs="宋体" w:eastAsia="宋体" w:hint="default"/>
          <w:sz w:val="18"/>
          <w:szCs w:val="18"/>
        </w:rPr>
        <w:t>日</w:t>
      </w:r>
    </w:p>
    <w:p>
      <w:pPr>
        <w:spacing w:line="309" w:lineRule="auto" w:before="113"/>
        <w:ind w:left="29" w:right="148"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日，公司召开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 </w:t>
      </w:r>
      <w:r>
        <w:rPr>
          <w:rFonts w:ascii="宋体" w:hAnsi="宋体" w:cs="宋体" w:eastAsia="宋体" w:hint="default"/>
          <w:spacing w:val="-9"/>
          <w:sz w:val="18"/>
          <w:szCs w:val="18"/>
        </w:rPr>
        <w:t>大会，审议通过了《关于公司董事会换届选举的议案》，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王景先生当选为公司第三届董事会独立董事。</w:t>
      </w:r>
    </w:p>
    <w:p>
      <w:pPr>
        <w:spacing w:after="0" w:line="309" w:lineRule="auto"/>
        <w:jc w:val="left"/>
        <w:rPr>
          <w:rFonts w:ascii="宋体" w:hAnsi="宋体" w:cs="宋体" w:eastAsia="宋体" w:hint="default"/>
          <w:sz w:val="18"/>
          <w:szCs w:val="18"/>
        </w:rPr>
        <w:sectPr>
          <w:type w:val="continuous"/>
          <w:pgSz w:w="11910" w:h="16840"/>
          <w:pgMar w:top="1060" w:bottom="1160" w:left="980" w:right="980"/>
          <w:cols w:num="3" w:equalWidth="0">
            <w:col w:w="3382" w:space="610"/>
            <w:col w:w="1443" w:space="40"/>
            <w:col w:w="4475"/>
          </w:cols>
        </w:sect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tabs>
          <w:tab w:pos="1511" w:val="left" w:leader="none"/>
          <w:tab w:pos="2841" w:val="left" w:leader="none"/>
        </w:tabs>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方伦赞</w:t>
        <w:tab/>
        <w:t>独立董事</w:t>
        <w:tab/>
        <w:t>任期满离任</w:t>
      </w:r>
    </w:p>
    <w:p>
      <w:pPr>
        <w:spacing w:line="240" w:lineRule="auto" w:before="10"/>
        <w:rPr>
          <w:rFonts w:ascii="宋体" w:hAnsi="宋体" w:cs="宋体" w:eastAsia="宋体" w:hint="default"/>
          <w:sz w:val="20"/>
          <w:szCs w:val="20"/>
        </w:rPr>
      </w:pPr>
      <w:r>
        <w:rPr/>
        <w:br w:type="column"/>
      </w:r>
      <w:r>
        <w:rPr>
          <w:rFonts w:ascii="宋体"/>
          <w:sz w:val="20"/>
        </w:rPr>
      </w:r>
    </w:p>
    <w:p>
      <w:pPr>
        <w:spacing w:before="0"/>
        <w:ind w:left="181" w:right="-13"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spacing w:before="63"/>
        <w:ind w:left="181" w:right="-13" w:firstLine="0"/>
        <w:jc w:val="left"/>
        <w:rPr>
          <w:rFonts w:ascii="宋体" w:hAnsi="宋体" w:cs="宋体" w:eastAsia="宋体" w:hint="default"/>
          <w:sz w:val="18"/>
          <w:szCs w:val="18"/>
        </w:rPr>
      </w:pPr>
      <w:r>
        <w:rPr>
          <w:rFonts w:ascii="宋体" w:hAnsi="宋体" w:cs="宋体" w:eastAsia="宋体" w:hint="default"/>
          <w:sz w:val="18"/>
          <w:szCs w:val="18"/>
        </w:rPr>
        <w:t>日</w:t>
      </w:r>
    </w:p>
    <w:p>
      <w:pPr>
        <w:spacing w:line="309" w:lineRule="auto" w:before="115"/>
        <w:ind w:left="29" w:right="148"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日，公司召开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 </w:t>
      </w:r>
      <w:r>
        <w:rPr>
          <w:rFonts w:ascii="宋体" w:hAnsi="宋体" w:cs="宋体" w:eastAsia="宋体" w:hint="default"/>
          <w:spacing w:val="-9"/>
          <w:sz w:val="18"/>
          <w:szCs w:val="18"/>
        </w:rPr>
        <w:t>大会，审议通过了《关于公司董事会换届选举的议案》，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方伦赞先生任期满离任。</w:t>
      </w:r>
    </w:p>
    <w:p>
      <w:pPr>
        <w:spacing w:after="0" w:line="309" w:lineRule="auto"/>
        <w:jc w:val="left"/>
        <w:rPr>
          <w:rFonts w:ascii="宋体" w:hAnsi="宋体" w:cs="宋体" w:eastAsia="宋体" w:hint="default"/>
          <w:sz w:val="18"/>
          <w:szCs w:val="18"/>
        </w:rPr>
        <w:sectPr>
          <w:type w:val="continuous"/>
          <w:pgSz w:w="11910" w:h="16840"/>
          <w:pgMar w:top="1060" w:bottom="1160" w:left="980" w:right="980"/>
          <w:cols w:num="3" w:equalWidth="0">
            <w:col w:w="3742" w:space="250"/>
            <w:col w:w="1443" w:space="40"/>
            <w:col w:w="4475"/>
          </w:cols>
        </w:sect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tabs>
          <w:tab w:pos="1511" w:val="left" w:leader="none"/>
          <w:tab w:pos="2841" w:val="left" w:leader="none"/>
        </w:tabs>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赵增祺</w:t>
        <w:tab/>
        <w:t>独立董事</w:t>
        <w:tab/>
        <w:t>任期满离任</w:t>
      </w:r>
    </w:p>
    <w:p>
      <w:pPr>
        <w:spacing w:line="240" w:lineRule="auto" w:before="7"/>
        <w:rPr>
          <w:rFonts w:ascii="宋体" w:hAnsi="宋体" w:cs="宋体" w:eastAsia="宋体" w:hint="default"/>
          <w:sz w:val="20"/>
          <w:szCs w:val="20"/>
        </w:rPr>
      </w:pPr>
      <w:r>
        <w:rPr/>
        <w:br w:type="column"/>
      </w:r>
      <w:r>
        <w:rPr>
          <w:rFonts w:ascii="宋体"/>
          <w:sz w:val="20"/>
        </w:rPr>
      </w:r>
    </w:p>
    <w:p>
      <w:pPr>
        <w:spacing w:before="0"/>
        <w:ind w:left="181" w:right="-13"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spacing w:before="63"/>
        <w:ind w:left="181" w:right="-13" w:firstLine="0"/>
        <w:jc w:val="left"/>
        <w:rPr>
          <w:rFonts w:ascii="宋体" w:hAnsi="宋体" w:cs="宋体" w:eastAsia="宋体" w:hint="default"/>
          <w:sz w:val="18"/>
          <w:szCs w:val="18"/>
        </w:rPr>
      </w:pPr>
      <w:r>
        <w:rPr>
          <w:rFonts w:ascii="宋体" w:hAnsi="宋体" w:cs="宋体" w:eastAsia="宋体" w:hint="default"/>
          <w:sz w:val="18"/>
          <w:szCs w:val="18"/>
        </w:rPr>
        <w:t>日</w:t>
      </w:r>
    </w:p>
    <w:p>
      <w:pPr>
        <w:spacing w:line="309" w:lineRule="auto" w:before="113"/>
        <w:ind w:left="29" w:right="148"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日，公司召开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 </w:t>
      </w:r>
      <w:r>
        <w:rPr>
          <w:rFonts w:ascii="宋体" w:hAnsi="宋体" w:cs="宋体" w:eastAsia="宋体" w:hint="default"/>
          <w:spacing w:val="-9"/>
          <w:sz w:val="18"/>
          <w:szCs w:val="18"/>
        </w:rPr>
        <w:t>大会，审议通过了《关于公司董事会换届选举的议案》，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赵增祺先生任期满离任。</w:t>
      </w:r>
    </w:p>
    <w:p>
      <w:pPr>
        <w:spacing w:after="0" w:line="309" w:lineRule="auto"/>
        <w:jc w:val="left"/>
        <w:rPr>
          <w:rFonts w:ascii="宋体" w:hAnsi="宋体" w:cs="宋体" w:eastAsia="宋体" w:hint="default"/>
          <w:sz w:val="18"/>
          <w:szCs w:val="18"/>
        </w:rPr>
        <w:sectPr>
          <w:type w:val="continuous"/>
          <w:pgSz w:w="11910" w:h="16840"/>
          <w:pgMar w:top="1060" w:bottom="1160" w:left="980" w:right="980"/>
          <w:cols w:num="3" w:equalWidth="0">
            <w:col w:w="3742" w:space="250"/>
            <w:col w:w="1443" w:space="40"/>
            <w:col w:w="4475"/>
          </w:cols>
        </w:sect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tabs>
          <w:tab w:pos="1511" w:val="left" w:leader="none"/>
          <w:tab w:pos="2841" w:val="left" w:leader="none"/>
        </w:tabs>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戴新民</w:t>
        <w:tab/>
        <w:t>独立董事</w:t>
        <w:tab/>
        <w:t>任期满离任</w:t>
      </w:r>
    </w:p>
    <w:p>
      <w:pPr>
        <w:spacing w:line="240" w:lineRule="auto" w:before="10"/>
        <w:rPr>
          <w:rFonts w:ascii="宋体" w:hAnsi="宋体" w:cs="宋体" w:eastAsia="宋体" w:hint="default"/>
          <w:sz w:val="20"/>
          <w:szCs w:val="20"/>
        </w:rPr>
      </w:pPr>
      <w:r>
        <w:rPr/>
        <w:br w:type="column"/>
      </w:r>
      <w:r>
        <w:rPr>
          <w:rFonts w:ascii="宋体"/>
          <w:sz w:val="20"/>
        </w:rPr>
      </w:r>
    </w:p>
    <w:p>
      <w:pPr>
        <w:spacing w:before="0"/>
        <w:ind w:left="181" w:right="-13"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spacing w:before="63"/>
        <w:ind w:left="181" w:right="-13" w:firstLine="0"/>
        <w:jc w:val="left"/>
        <w:rPr>
          <w:rFonts w:ascii="宋体" w:hAnsi="宋体" w:cs="宋体" w:eastAsia="宋体" w:hint="default"/>
          <w:sz w:val="18"/>
          <w:szCs w:val="18"/>
        </w:rPr>
      </w:pPr>
      <w:r>
        <w:rPr>
          <w:rFonts w:ascii="宋体" w:hAnsi="宋体" w:cs="宋体" w:eastAsia="宋体" w:hint="default"/>
          <w:sz w:val="18"/>
          <w:szCs w:val="18"/>
        </w:rPr>
        <w:t>日</w:t>
      </w:r>
    </w:p>
    <w:p>
      <w:pPr>
        <w:spacing w:line="309" w:lineRule="auto" w:before="115"/>
        <w:ind w:left="29" w:right="148"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日，公司召开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 </w:t>
      </w:r>
      <w:r>
        <w:rPr>
          <w:rFonts w:ascii="宋体" w:hAnsi="宋体" w:cs="宋体" w:eastAsia="宋体" w:hint="default"/>
          <w:spacing w:val="-9"/>
          <w:sz w:val="18"/>
          <w:szCs w:val="18"/>
        </w:rPr>
        <w:t>大会，审议通过了《关于公司董事会换届选举的议案》，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戴新民先生任期满离任。</w:t>
      </w:r>
    </w:p>
    <w:p>
      <w:pPr>
        <w:spacing w:after="0" w:line="309" w:lineRule="auto"/>
        <w:jc w:val="left"/>
        <w:rPr>
          <w:rFonts w:ascii="宋体" w:hAnsi="宋体" w:cs="宋体" w:eastAsia="宋体" w:hint="default"/>
          <w:sz w:val="18"/>
          <w:szCs w:val="18"/>
        </w:rPr>
        <w:sectPr>
          <w:type w:val="continuous"/>
          <w:pgSz w:w="11910" w:h="16840"/>
          <w:pgMar w:top="1060" w:bottom="1160" w:left="980" w:right="980"/>
          <w:cols w:num="3" w:equalWidth="0">
            <w:col w:w="3742" w:space="250"/>
            <w:col w:w="1443" w:space="40"/>
            <w:col w:w="4475"/>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tabs>
          <w:tab w:pos="1511" w:val="left" w:leader="none"/>
          <w:tab w:pos="2841" w:val="left" w:leader="none"/>
        </w:tabs>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戴卫星</w:t>
        <w:tab/>
        <w:t>监事会主席</w:t>
        <w:tab/>
        <w:t>被选举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before="0"/>
        <w:ind w:left="181" w:right="-13"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spacing w:before="63"/>
        <w:ind w:left="181" w:right="-13" w:firstLine="0"/>
        <w:jc w:val="left"/>
        <w:rPr>
          <w:rFonts w:ascii="宋体" w:hAnsi="宋体" w:cs="宋体" w:eastAsia="宋体" w:hint="default"/>
          <w:sz w:val="18"/>
          <w:szCs w:val="18"/>
        </w:rPr>
      </w:pPr>
      <w:r>
        <w:rPr>
          <w:rFonts w:ascii="宋体" w:hAnsi="宋体" w:cs="宋体" w:eastAsia="宋体" w:hint="default"/>
          <w:sz w:val="18"/>
          <w:szCs w:val="18"/>
        </w:rPr>
        <w:t>日</w:t>
      </w:r>
    </w:p>
    <w:p>
      <w:pPr>
        <w:spacing w:line="312" w:lineRule="auto" w:before="113"/>
        <w:ind w:left="29" w:right="148"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日，公司召开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 </w:t>
      </w:r>
      <w:r>
        <w:rPr>
          <w:rFonts w:ascii="宋体" w:hAnsi="宋体" w:cs="宋体" w:eastAsia="宋体" w:hint="default"/>
          <w:spacing w:val="-9"/>
          <w:sz w:val="18"/>
          <w:szCs w:val="18"/>
        </w:rPr>
        <w:t>大会，审议通过了《关于公司监事会换届选举的议案》，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戴卫星先生当选为公司第三届监事会非职工监事；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日，公司召开第三届监事会第一次会议，</w:t>
      </w:r>
      <w:r>
        <w:rPr>
          <w:rFonts w:ascii="宋体" w:hAnsi="宋体" w:cs="宋体" w:eastAsia="宋体" w:hint="default"/>
          <w:sz w:val="18"/>
          <w:szCs w:val="18"/>
        </w:rPr>
        <w:t> 审议通过了《关于选举公司第三届监事会主席的议 </w:t>
      </w:r>
      <w:r>
        <w:rPr>
          <w:rFonts w:ascii="宋体" w:hAnsi="宋体" w:cs="宋体" w:eastAsia="宋体" w:hint="default"/>
          <w:spacing w:val="-4"/>
          <w:sz w:val="18"/>
          <w:szCs w:val="18"/>
        </w:rPr>
        <w:t>案》，同意选举戴卫星先生为公司第三届监事会主席，</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任期三年。</w:t>
      </w:r>
    </w:p>
    <w:p>
      <w:pPr>
        <w:spacing w:after="0" w:line="312" w:lineRule="auto"/>
        <w:jc w:val="left"/>
        <w:rPr>
          <w:rFonts w:ascii="宋体" w:hAnsi="宋体" w:cs="宋体" w:eastAsia="宋体" w:hint="default"/>
          <w:sz w:val="18"/>
          <w:szCs w:val="18"/>
        </w:rPr>
        <w:sectPr>
          <w:type w:val="continuous"/>
          <w:pgSz w:w="11910" w:h="16840"/>
          <w:pgMar w:top="1060" w:bottom="1160" w:left="980" w:right="980"/>
          <w:cols w:num="3" w:equalWidth="0">
            <w:col w:w="3382" w:space="610"/>
            <w:col w:w="1443" w:space="40"/>
            <w:col w:w="4475"/>
          </w:cols>
        </w:sectPr>
      </w:pPr>
    </w:p>
    <w:p>
      <w:pPr>
        <w:spacing w:line="240" w:lineRule="auto" w:before="8"/>
        <w:rPr>
          <w:rFonts w:ascii="宋体" w:hAnsi="宋体" w:cs="宋体" w:eastAsia="宋体" w:hint="default"/>
          <w:sz w:val="20"/>
          <w:szCs w:val="20"/>
        </w:rPr>
      </w:pPr>
    </w:p>
    <w:p>
      <w:pPr>
        <w:tabs>
          <w:tab w:pos="1511" w:val="left" w:leader="none"/>
          <w:tab w:pos="2841" w:val="left" w:leader="none"/>
        </w:tabs>
        <w:spacing w:line="212" w:lineRule="exact"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齐跃进</w:t>
        <w:tab/>
        <w:t>监事</w:t>
        <w:tab/>
        <w:t>任免</w:t>
      </w:r>
    </w:p>
    <w:p>
      <w:pPr>
        <w:spacing w:before="113"/>
        <w:ind w:left="181"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position w:val="2"/>
          <w:sz w:val="18"/>
          <w:szCs w:val="18"/>
        </w:rPr>
        <w:t>2014</w:t>
      </w:r>
      <w:r>
        <w:rPr>
          <w:rFonts w:ascii="Times New Roman" w:hAnsi="Times New Roman" w:cs="Times New Roman" w:eastAsia="Times New Roman" w:hint="default"/>
          <w:spacing w:val="1"/>
          <w:position w:val="2"/>
          <w:sz w:val="18"/>
          <w:szCs w:val="18"/>
        </w:rPr>
        <w:t> </w:t>
      </w:r>
      <w:r>
        <w:rPr>
          <w:rFonts w:ascii="宋体" w:hAnsi="宋体" w:cs="宋体" w:eastAsia="宋体" w:hint="default"/>
          <w:position w:val="2"/>
          <w:sz w:val="18"/>
          <w:szCs w:val="18"/>
        </w:rPr>
        <w:t>年</w:t>
      </w:r>
      <w:r>
        <w:rPr>
          <w:rFonts w:ascii="宋体" w:hAnsi="宋体" w:cs="宋体" w:eastAsia="宋体" w:hint="default"/>
          <w:spacing w:val="-48"/>
          <w:position w:val="2"/>
          <w:sz w:val="18"/>
          <w:szCs w:val="18"/>
        </w:rPr>
        <w:t> </w:t>
      </w:r>
      <w:r>
        <w:rPr>
          <w:rFonts w:ascii="Times New Roman" w:hAnsi="Times New Roman" w:cs="Times New Roman" w:eastAsia="Times New Roman" w:hint="default"/>
          <w:position w:val="2"/>
          <w:sz w:val="18"/>
          <w:szCs w:val="18"/>
        </w:rPr>
        <w:t>03 </w:t>
      </w:r>
      <w:r>
        <w:rPr>
          <w:rFonts w:ascii="宋体" w:hAnsi="宋体" w:cs="宋体" w:eastAsia="宋体" w:hint="default"/>
          <w:position w:val="2"/>
          <w:sz w:val="18"/>
          <w:szCs w:val="18"/>
        </w:rPr>
        <w:t>月</w:t>
      </w:r>
      <w:r>
        <w:rPr>
          <w:rFonts w:ascii="宋体" w:hAnsi="宋体" w:cs="宋体" w:eastAsia="宋体" w:hint="default"/>
          <w:spacing w:val="-45"/>
          <w:position w:val="2"/>
          <w:sz w:val="18"/>
          <w:szCs w:val="18"/>
        </w:rPr>
        <w:t> </w:t>
      </w:r>
      <w:r>
        <w:rPr>
          <w:rFonts w:ascii="Times New Roman" w:hAnsi="Times New Roman" w:cs="Times New Roman" w:eastAsia="Times New Roman" w:hint="default"/>
          <w:position w:val="2"/>
          <w:sz w:val="18"/>
          <w:szCs w:val="18"/>
        </w:rPr>
        <w:t>27</w:t>
      </w:r>
      <w:r>
        <w:rPr>
          <w:rFonts w:ascii="Times New Roman" w:hAnsi="Times New Roman" w:cs="Times New Roman" w:eastAsia="Times New Roman" w:hint="default"/>
          <w:spacing w:val="21"/>
          <w:position w:val="2"/>
          <w:sz w:val="18"/>
          <w:szCs w:val="18"/>
        </w:rPr>
        <w:t> </w:t>
      </w:r>
      <w:r>
        <w:rPr>
          <w:rFonts w:ascii="宋体" w:hAnsi="宋体" w:cs="宋体" w:eastAsia="宋体" w:hint="default"/>
          <w:sz w:val="18"/>
          <w:szCs w:val="18"/>
        </w:rPr>
        <w:t>齐跃进先生于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月开始担任公司副总经理；</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202" w:space="790"/>
            <w:col w:w="5958"/>
          </w:cols>
        </w:sectPr>
      </w:pPr>
    </w:p>
    <w:p>
      <w:pPr>
        <w:tabs>
          <w:tab w:pos="5503" w:val="left" w:leader="none"/>
        </w:tabs>
        <w:spacing w:line="213" w:lineRule="exact" w:before="0"/>
        <w:ind w:left="4173" w:right="144" w:firstLine="0"/>
        <w:jc w:val="left"/>
        <w:rPr>
          <w:rFonts w:ascii="宋体" w:hAnsi="宋体" w:cs="宋体" w:eastAsia="宋体" w:hint="default"/>
          <w:sz w:val="18"/>
          <w:szCs w:val="18"/>
        </w:rPr>
      </w:pPr>
      <w:r>
        <w:rPr/>
        <w:pict>
          <v:group style="position:absolute;margin-left:56.400002pt;margin-top:71.759964pt;width:478.9pt;height:692.65pt;mso-position-horizontal-relative:page;mso-position-vertical-relative:page;z-index:-716920" coordorigin="1128,1435" coordsize="9578,13853">
            <v:group style="position:absolute;left:1138;top:1445;width:1321;height:2" coordorigin="1138,1445" coordsize="1321,2">
              <v:shape style="position:absolute;left:1138;top:1445;width:1321;height:2" coordorigin="1138,1445" coordsize="1321,0" path="m1138,1445l2458,1445e" filled="false" stroked="true" strokeweight=".48pt" strokecolor="#000000">
                <v:path arrowok="t"/>
              </v:shape>
            </v:group>
            <v:group style="position:absolute;left:2468;top:1445;width:1321;height:2" coordorigin="2468,1445" coordsize="1321,2">
              <v:shape style="position:absolute;left:2468;top:1445;width:1321;height:2" coordorigin="2468,1445" coordsize="1321,0" path="m2468,1445l3788,1445e" filled="false" stroked="true" strokeweight=".48pt" strokecolor="#000000">
                <v:path arrowok="t"/>
              </v:shape>
            </v:group>
            <v:group style="position:absolute;left:3798;top:1445;width:1323;height:2" coordorigin="3798,1445" coordsize="1323,2">
              <v:shape style="position:absolute;left:3798;top:1445;width:1323;height:2" coordorigin="3798,1445" coordsize="1323,0" path="m3798,1445l5120,1445e" filled="false" stroked="true" strokeweight=".48pt" strokecolor="#000000">
                <v:path arrowok="t"/>
              </v:shape>
            </v:group>
            <v:group style="position:absolute;left:5130;top:1445;width:1321;height:2" coordorigin="5130,1445" coordsize="1321,2">
              <v:shape style="position:absolute;left:5130;top:1445;width:1321;height:2" coordorigin="5130,1445" coordsize="1321,0" path="m5130,1445l6450,1445e" filled="false" stroked="true" strokeweight=".48pt" strokecolor="#000000">
                <v:path arrowok="t"/>
              </v:shape>
            </v:group>
            <v:group style="position:absolute;left:6460;top:1445;width:4237;height:2" coordorigin="6460,1445" coordsize="4237,2">
              <v:shape style="position:absolute;left:6460;top:1445;width:4237;height:2" coordorigin="6460,1445" coordsize="4237,0" path="m6460,1445l10696,1445e" filled="false" stroked="true" strokeweight=".48pt" strokecolor="#000000">
                <v:path arrowok="t"/>
              </v:shape>
            </v:group>
            <v:group style="position:absolute;left:1138;top:3056;width:1321;height:2" coordorigin="1138,3056" coordsize="1321,2">
              <v:shape style="position:absolute;left:1138;top:3056;width:1321;height:2" coordorigin="1138,3056" coordsize="1321,0" path="m1138,3056l2458,3056e" filled="false" stroked="true" strokeweight=".48pt" strokecolor="#000000">
                <v:path arrowok="t"/>
              </v:shape>
            </v:group>
            <v:group style="position:absolute;left:2468;top:3056;width:1321;height:2" coordorigin="2468,3056" coordsize="1321,2">
              <v:shape style="position:absolute;left:2468;top:3056;width:1321;height:2" coordorigin="2468,3056" coordsize="1321,0" path="m2468,3056l3788,3056e" filled="false" stroked="true" strokeweight=".48pt" strokecolor="#000000">
                <v:path arrowok="t"/>
              </v:shape>
            </v:group>
            <v:group style="position:absolute;left:3798;top:3056;width:1323;height:2" coordorigin="3798,3056" coordsize="1323,2">
              <v:shape style="position:absolute;left:3798;top:3056;width:1323;height:2" coordorigin="3798,3056" coordsize="1323,0" path="m3798,3056l5120,3056e" filled="false" stroked="true" strokeweight=".48pt" strokecolor="#000000">
                <v:path arrowok="t"/>
              </v:shape>
            </v:group>
            <v:group style="position:absolute;left:5130;top:3056;width:1321;height:2" coordorigin="5130,3056" coordsize="1321,2">
              <v:shape style="position:absolute;left:5130;top:3056;width:1321;height:2" coordorigin="5130,3056" coordsize="1321,0" path="m5130,3056l6450,3056e" filled="false" stroked="true" strokeweight=".48pt" strokecolor="#000000">
                <v:path arrowok="t"/>
              </v:shape>
            </v:group>
            <v:group style="position:absolute;left:6460;top:3056;width:4237;height:2" coordorigin="6460,3056" coordsize="4237,2">
              <v:shape style="position:absolute;left:6460;top:3056;width:4237;height:2" coordorigin="6460,3056" coordsize="4237,0" path="m6460,3056l10696,3056e" filled="false" stroked="true" strokeweight=".48pt" strokecolor="#000000">
                <v:path arrowok="t"/>
              </v:shape>
            </v:group>
            <v:group style="position:absolute;left:1138;top:4080;width:1321;height:2" coordorigin="1138,4080" coordsize="1321,2">
              <v:shape style="position:absolute;left:1138;top:4080;width:1321;height:2" coordorigin="1138,4080" coordsize="1321,0" path="m1138,4080l2458,4080e" filled="false" stroked="true" strokeweight=".48001pt" strokecolor="#000000">
                <v:path arrowok="t"/>
              </v:shape>
            </v:group>
            <v:group style="position:absolute;left:2468;top:4080;width:1321;height:2" coordorigin="2468,4080" coordsize="1321,2">
              <v:shape style="position:absolute;left:2468;top:4080;width:1321;height:2" coordorigin="2468,4080" coordsize="1321,0" path="m2468,4080l3788,4080e" filled="false" stroked="true" strokeweight=".48001pt" strokecolor="#000000">
                <v:path arrowok="t"/>
              </v:shape>
            </v:group>
            <v:group style="position:absolute;left:3798;top:4080;width:1323;height:2" coordorigin="3798,4080" coordsize="1323,2">
              <v:shape style="position:absolute;left:3798;top:4080;width:1323;height:2" coordorigin="3798,4080" coordsize="1323,0" path="m3798,4080l5120,4080e" filled="false" stroked="true" strokeweight=".48001pt" strokecolor="#000000">
                <v:path arrowok="t"/>
              </v:shape>
            </v:group>
            <v:group style="position:absolute;left:5130;top:4080;width:1321;height:2" coordorigin="5130,4080" coordsize="1321,2">
              <v:shape style="position:absolute;left:5130;top:4080;width:1321;height:2" coordorigin="5130,4080" coordsize="1321,0" path="m5130,4080l6450,4080e" filled="false" stroked="true" strokeweight=".48001pt" strokecolor="#000000">
                <v:path arrowok="t"/>
              </v:shape>
            </v:group>
            <v:group style="position:absolute;left:6460;top:4080;width:4237;height:2" coordorigin="6460,4080" coordsize="4237,2">
              <v:shape style="position:absolute;left:6460;top:4080;width:4237;height:2" coordorigin="6460,4080" coordsize="4237,0" path="m6460,4080l10696,4080e" filled="false" stroked="true" strokeweight=".48001pt" strokecolor="#000000">
                <v:path arrowok="t"/>
              </v:shape>
            </v:group>
            <v:group style="position:absolute;left:1138;top:5108;width:1321;height:2" coordorigin="1138,5108" coordsize="1321,2">
              <v:shape style="position:absolute;left:1138;top:5108;width:1321;height:2" coordorigin="1138,5108" coordsize="1321,0" path="m1138,5108l2458,5108e" filled="false" stroked="true" strokeweight=".48pt" strokecolor="#000000">
                <v:path arrowok="t"/>
              </v:shape>
            </v:group>
            <v:group style="position:absolute;left:2468;top:5108;width:1321;height:2" coordorigin="2468,5108" coordsize="1321,2">
              <v:shape style="position:absolute;left:2468;top:5108;width:1321;height:2" coordorigin="2468,5108" coordsize="1321,0" path="m2468,5108l3788,5108e" filled="false" stroked="true" strokeweight=".48pt" strokecolor="#000000">
                <v:path arrowok="t"/>
              </v:shape>
            </v:group>
            <v:group style="position:absolute;left:3798;top:5108;width:1323;height:2" coordorigin="3798,5108" coordsize="1323,2">
              <v:shape style="position:absolute;left:3798;top:5108;width:1323;height:2" coordorigin="3798,5108" coordsize="1323,0" path="m3798,5108l5120,5108e" filled="false" stroked="true" strokeweight=".48pt" strokecolor="#000000">
                <v:path arrowok="t"/>
              </v:shape>
            </v:group>
            <v:group style="position:absolute;left:5130;top:5108;width:1321;height:2" coordorigin="5130,5108" coordsize="1321,2">
              <v:shape style="position:absolute;left:5130;top:5108;width:1321;height:2" coordorigin="5130,5108" coordsize="1321,0" path="m5130,5108l6450,5108e" filled="false" stroked="true" strokeweight=".48pt" strokecolor="#000000">
                <v:path arrowok="t"/>
              </v:shape>
            </v:group>
            <v:group style="position:absolute;left:6460;top:5108;width:4237;height:2" coordorigin="6460,5108" coordsize="4237,2">
              <v:shape style="position:absolute;left:6460;top:5108;width:4237;height:2" coordorigin="6460,5108" coordsize="4237,0" path="m6460,5108l10696,5108e" filled="false" stroked="true" strokeweight=".48pt" strokecolor="#000000">
                <v:path arrowok="t"/>
              </v:shape>
            </v:group>
            <v:group style="position:absolute;left:1138;top:6133;width:1321;height:2" coordorigin="1138,6133" coordsize="1321,2">
              <v:shape style="position:absolute;left:1138;top:6133;width:1321;height:2" coordorigin="1138,6133" coordsize="1321,0" path="m1138,6133l2458,6133e" filled="false" stroked="true" strokeweight=".48001pt" strokecolor="#000000">
                <v:path arrowok="t"/>
              </v:shape>
            </v:group>
            <v:group style="position:absolute;left:2468;top:6133;width:1321;height:2" coordorigin="2468,6133" coordsize="1321,2">
              <v:shape style="position:absolute;left:2468;top:6133;width:1321;height:2" coordorigin="2468,6133" coordsize="1321,0" path="m2468,6133l3788,6133e" filled="false" stroked="true" strokeweight=".48001pt" strokecolor="#000000">
                <v:path arrowok="t"/>
              </v:shape>
            </v:group>
            <v:group style="position:absolute;left:3798;top:6133;width:1323;height:2" coordorigin="3798,6133" coordsize="1323,2">
              <v:shape style="position:absolute;left:3798;top:6133;width:1323;height:2" coordorigin="3798,6133" coordsize="1323,0" path="m3798,6133l5120,6133e" filled="false" stroked="true" strokeweight=".48001pt" strokecolor="#000000">
                <v:path arrowok="t"/>
              </v:shape>
            </v:group>
            <v:group style="position:absolute;left:5130;top:6133;width:1321;height:2" coordorigin="5130,6133" coordsize="1321,2">
              <v:shape style="position:absolute;left:5130;top:6133;width:1321;height:2" coordorigin="5130,6133" coordsize="1321,0" path="m5130,6133l6450,6133e" filled="false" stroked="true" strokeweight=".48001pt" strokecolor="#000000">
                <v:path arrowok="t"/>
              </v:shape>
            </v:group>
            <v:group style="position:absolute;left:6460;top:6133;width:4237;height:2" coordorigin="6460,6133" coordsize="4237,2">
              <v:shape style="position:absolute;left:6460;top:6133;width:4237;height:2" coordorigin="6460,6133" coordsize="4237,0" path="m6460,6133l10696,6133e" filled="false" stroked="true" strokeweight=".48001pt" strokecolor="#000000">
                <v:path arrowok="t"/>
              </v:shape>
            </v:group>
            <v:group style="position:absolute;left:1138;top:7160;width:1321;height:2" coordorigin="1138,7160" coordsize="1321,2">
              <v:shape style="position:absolute;left:1138;top:7160;width:1321;height:2" coordorigin="1138,7160" coordsize="1321,0" path="m1138,7160l2458,7160e" filled="false" stroked="true" strokeweight=".48001pt" strokecolor="#000000">
                <v:path arrowok="t"/>
              </v:shape>
            </v:group>
            <v:group style="position:absolute;left:2468;top:7160;width:1321;height:2" coordorigin="2468,7160" coordsize="1321,2">
              <v:shape style="position:absolute;left:2468;top:7160;width:1321;height:2" coordorigin="2468,7160" coordsize="1321,0" path="m2468,7160l3788,7160e" filled="false" stroked="true" strokeweight=".48001pt" strokecolor="#000000">
                <v:path arrowok="t"/>
              </v:shape>
            </v:group>
            <v:group style="position:absolute;left:3798;top:7160;width:1323;height:2" coordorigin="3798,7160" coordsize="1323,2">
              <v:shape style="position:absolute;left:3798;top:7160;width:1323;height:2" coordorigin="3798,7160" coordsize="1323,0" path="m3798,7160l5120,7160e" filled="false" stroked="true" strokeweight=".48001pt" strokecolor="#000000">
                <v:path arrowok="t"/>
              </v:shape>
            </v:group>
            <v:group style="position:absolute;left:5130;top:7160;width:1321;height:2" coordorigin="5130,7160" coordsize="1321,2">
              <v:shape style="position:absolute;left:5130;top:7160;width:1321;height:2" coordorigin="5130,7160" coordsize="1321,0" path="m5130,7160l6450,7160e" filled="false" stroked="true" strokeweight=".48001pt" strokecolor="#000000">
                <v:path arrowok="t"/>
              </v:shape>
            </v:group>
            <v:group style="position:absolute;left:6460;top:7160;width:4237;height:2" coordorigin="6460,7160" coordsize="4237,2">
              <v:shape style="position:absolute;left:6460;top:7160;width:4237;height:2" coordorigin="6460,7160" coordsize="4237,0" path="m6460,7160l10696,7160e" filled="false" stroked="true" strokeweight=".48001pt" strokecolor="#000000">
                <v:path arrowok="t"/>
              </v:shape>
            </v:group>
            <v:group style="position:absolute;left:1138;top:8185;width:1321;height:2" coordorigin="1138,8185" coordsize="1321,2">
              <v:shape style="position:absolute;left:1138;top:8185;width:1321;height:2" coordorigin="1138,8185" coordsize="1321,0" path="m1138,8185l2458,8185e" filled="false" stroked="true" strokeweight=".47998pt" strokecolor="#000000">
                <v:path arrowok="t"/>
              </v:shape>
            </v:group>
            <v:group style="position:absolute;left:2468;top:8185;width:1321;height:2" coordorigin="2468,8185" coordsize="1321,2">
              <v:shape style="position:absolute;left:2468;top:8185;width:1321;height:2" coordorigin="2468,8185" coordsize="1321,0" path="m2468,8185l3788,8185e" filled="false" stroked="true" strokeweight=".47998pt" strokecolor="#000000">
                <v:path arrowok="t"/>
              </v:shape>
            </v:group>
            <v:group style="position:absolute;left:3798;top:8185;width:1323;height:2" coordorigin="3798,8185" coordsize="1323,2">
              <v:shape style="position:absolute;left:3798;top:8185;width:1323;height:2" coordorigin="3798,8185" coordsize="1323,0" path="m3798,8185l5120,8185e" filled="false" stroked="true" strokeweight=".47998pt" strokecolor="#000000">
                <v:path arrowok="t"/>
              </v:shape>
            </v:group>
            <v:group style="position:absolute;left:5130;top:8185;width:1321;height:2" coordorigin="5130,8185" coordsize="1321,2">
              <v:shape style="position:absolute;left:5130;top:8185;width:1321;height:2" coordorigin="5130,8185" coordsize="1321,0" path="m5130,8185l6450,8185e" filled="false" stroked="true" strokeweight=".47998pt" strokecolor="#000000">
                <v:path arrowok="t"/>
              </v:shape>
            </v:group>
            <v:group style="position:absolute;left:6460;top:8185;width:4237;height:2" coordorigin="6460,8185" coordsize="4237,2">
              <v:shape style="position:absolute;left:6460;top:8185;width:4237;height:2" coordorigin="6460,8185" coordsize="4237,0" path="m6460,8185l10696,8185e" filled="false" stroked="true" strokeweight=".47998pt" strokecolor="#000000">
                <v:path arrowok="t"/>
              </v:shape>
            </v:group>
            <v:group style="position:absolute;left:1138;top:9213;width:1321;height:2" coordorigin="1138,9213" coordsize="1321,2">
              <v:shape style="position:absolute;left:1138;top:9213;width:1321;height:2" coordorigin="1138,9213" coordsize="1321,0" path="m1138,9213l2458,9213e" filled="false" stroked="true" strokeweight=".48001pt" strokecolor="#000000">
                <v:path arrowok="t"/>
              </v:shape>
            </v:group>
            <v:group style="position:absolute;left:2468;top:9213;width:1321;height:2" coordorigin="2468,9213" coordsize="1321,2">
              <v:shape style="position:absolute;left:2468;top:9213;width:1321;height:2" coordorigin="2468,9213" coordsize="1321,0" path="m2468,9213l3788,9213e" filled="false" stroked="true" strokeweight=".48001pt" strokecolor="#000000">
                <v:path arrowok="t"/>
              </v:shape>
            </v:group>
            <v:group style="position:absolute;left:3798;top:9213;width:1323;height:2" coordorigin="3798,9213" coordsize="1323,2">
              <v:shape style="position:absolute;left:3798;top:9213;width:1323;height:2" coordorigin="3798,9213" coordsize="1323,0" path="m3798,9213l5120,9213e" filled="false" stroked="true" strokeweight=".48001pt" strokecolor="#000000">
                <v:path arrowok="t"/>
              </v:shape>
            </v:group>
            <v:group style="position:absolute;left:5130;top:9213;width:1321;height:2" coordorigin="5130,9213" coordsize="1321,2">
              <v:shape style="position:absolute;left:5130;top:9213;width:1321;height:2" coordorigin="5130,9213" coordsize="1321,0" path="m5130,9213l6450,9213e" filled="false" stroked="true" strokeweight=".48001pt" strokecolor="#000000">
                <v:path arrowok="t"/>
              </v:shape>
            </v:group>
            <v:group style="position:absolute;left:6460;top:9213;width:4237;height:2" coordorigin="6460,9213" coordsize="4237,2">
              <v:shape style="position:absolute;left:6460;top:9213;width:4237;height:2" coordorigin="6460,9213" coordsize="4237,0" path="m6460,9213l10696,9213e" filled="false" stroked="true" strokeweight=".48001pt" strokecolor="#000000">
                <v:path arrowok="t"/>
              </v:shape>
            </v:group>
            <v:group style="position:absolute;left:1138;top:10237;width:1321;height:2" coordorigin="1138,10237" coordsize="1321,2">
              <v:shape style="position:absolute;left:1138;top:10237;width:1321;height:2" coordorigin="1138,10237" coordsize="1321,0" path="m1138,10237l2458,10237e" filled="false" stroked="true" strokeweight=".47998pt" strokecolor="#000000">
                <v:path arrowok="t"/>
              </v:shape>
            </v:group>
            <v:group style="position:absolute;left:2468;top:10237;width:1321;height:2" coordorigin="2468,10237" coordsize="1321,2">
              <v:shape style="position:absolute;left:2468;top:10237;width:1321;height:2" coordorigin="2468,10237" coordsize="1321,0" path="m2468,10237l3788,10237e" filled="false" stroked="true" strokeweight=".47998pt" strokecolor="#000000">
                <v:path arrowok="t"/>
              </v:shape>
            </v:group>
            <v:group style="position:absolute;left:3798;top:10237;width:1323;height:2" coordorigin="3798,10237" coordsize="1323,2">
              <v:shape style="position:absolute;left:3798;top:10237;width:1323;height:2" coordorigin="3798,10237" coordsize="1323,0" path="m3798,10237l5120,10237e" filled="false" stroked="true" strokeweight=".47998pt" strokecolor="#000000">
                <v:path arrowok="t"/>
              </v:shape>
            </v:group>
            <v:group style="position:absolute;left:5130;top:10237;width:1321;height:2" coordorigin="5130,10237" coordsize="1321,2">
              <v:shape style="position:absolute;left:5130;top:10237;width:1321;height:2" coordorigin="5130,10237" coordsize="1321,0" path="m5130,10237l6450,10237e" filled="false" stroked="true" strokeweight=".47998pt" strokecolor="#000000">
                <v:path arrowok="t"/>
              </v:shape>
            </v:group>
            <v:group style="position:absolute;left:6460;top:10237;width:4237;height:2" coordorigin="6460,10237" coordsize="4237,2">
              <v:shape style="position:absolute;left:6460;top:10237;width:4237;height:2" coordorigin="6460,10237" coordsize="4237,0" path="m6460,10237l10696,10237e" filled="false" stroked="true" strokeweight=".47998pt" strokecolor="#000000">
                <v:path arrowok="t"/>
              </v:shape>
            </v:group>
            <v:group style="position:absolute;left:1138;top:11265;width:1321;height:2" coordorigin="1138,11265" coordsize="1321,2">
              <v:shape style="position:absolute;left:1138;top:11265;width:1321;height:2" coordorigin="1138,11265" coordsize="1321,0" path="m1138,11265l2458,11265e" filled="false" stroked="true" strokeweight=".48004pt" strokecolor="#000000">
                <v:path arrowok="t"/>
              </v:shape>
            </v:group>
            <v:group style="position:absolute;left:2468;top:11265;width:1321;height:2" coordorigin="2468,11265" coordsize="1321,2">
              <v:shape style="position:absolute;left:2468;top:11265;width:1321;height:2" coordorigin="2468,11265" coordsize="1321,0" path="m2468,11265l3788,11265e" filled="false" stroked="true" strokeweight=".48004pt" strokecolor="#000000">
                <v:path arrowok="t"/>
              </v:shape>
            </v:group>
            <v:group style="position:absolute;left:3798;top:11265;width:1323;height:2" coordorigin="3798,11265" coordsize="1323,2">
              <v:shape style="position:absolute;left:3798;top:11265;width:1323;height:2" coordorigin="3798,11265" coordsize="1323,0" path="m3798,11265l5120,11265e" filled="false" stroked="true" strokeweight=".48004pt" strokecolor="#000000">
                <v:path arrowok="t"/>
              </v:shape>
            </v:group>
            <v:group style="position:absolute;left:5130;top:11265;width:1321;height:2" coordorigin="5130,11265" coordsize="1321,2">
              <v:shape style="position:absolute;left:5130;top:11265;width:1321;height:2" coordorigin="5130,11265" coordsize="1321,0" path="m5130,11265l6450,11265e" filled="false" stroked="true" strokeweight=".48004pt" strokecolor="#000000">
                <v:path arrowok="t"/>
              </v:shape>
            </v:group>
            <v:group style="position:absolute;left:6460;top:11265;width:4237;height:2" coordorigin="6460,11265" coordsize="4237,2">
              <v:shape style="position:absolute;left:6460;top:11265;width:4237;height:2" coordorigin="6460,11265" coordsize="4237,0" path="m6460,11265l10696,11265e" filled="false" stroked="true" strokeweight=".48004pt" strokecolor="#000000">
                <v:path arrowok="t"/>
              </v:shape>
            </v:group>
            <v:group style="position:absolute;left:1138;top:12290;width:1321;height:2" coordorigin="1138,12290" coordsize="1321,2">
              <v:shape style="position:absolute;left:1138;top:12290;width:1321;height:2" coordorigin="1138,12290" coordsize="1321,0" path="m1138,12290l2458,12290e" filled="false" stroked="true" strokeweight=".48004pt" strokecolor="#000000">
                <v:path arrowok="t"/>
              </v:shape>
            </v:group>
            <v:group style="position:absolute;left:2468;top:12290;width:1321;height:2" coordorigin="2468,12290" coordsize="1321,2">
              <v:shape style="position:absolute;left:2468;top:12290;width:1321;height:2" coordorigin="2468,12290" coordsize="1321,0" path="m2468,12290l3788,12290e" filled="false" stroked="true" strokeweight=".48004pt" strokecolor="#000000">
                <v:path arrowok="t"/>
              </v:shape>
            </v:group>
            <v:group style="position:absolute;left:3798;top:12290;width:1323;height:2" coordorigin="3798,12290" coordsize="1323,2">
              <v:shape style="position:absolute;left:3798;top:12290;width:1323;height:2" coordorigin="3798,12290" coordsize="1323,0" path="m3798,12290l5120,12290e" filled="false" stroked="true" strokeweight=".48004pt" strokecolor="#000000">
                <v:path arrowok="t"/>
              </v:shape>
            </v:group>
            <v:group style="position:absolute;left:5130;top:12290;width:1321;height:2" coordorigin="5130,12290" coordsize="1321,2">
              <v:shape style="position:absolute;left:5130;top:12290;width:1321;height:2" coordorigin="5130,12290" coordsize="1321,0" path="m5130,12290l6450,12290e" filled="false" stroked="true" strokeweight=".48004pt" strokecolor="#000000">
                <v:path arrowok="t"/>
              </v:shape>
            </v:group>
            <v:group style="position:absolute;left:6460;top:12290;width:4237;height:2" coordorigin="6460,12290" coordsize="4237,2">
              <v:shape style="position:absolute;left:6460;top:12290;width:4237;height:2" coordorigin="6460,12290" coordsize="4237,0" path="m6460,12290l10696,12290e" filled="false" stroked="true" strokeweight=".48004pt" strokecolor="#000000">
                <v:path arrowok="t"/>
              </v:shape>
            </v:group>
            <v:group style="position:absolute;left:1138;top:14566;width:1321;height:2" coordorigin="1138,14566" coordsize="1321,2">
              <v:shape style="position:absolute;left:1138;top:14566;width:1321;height:2" coordorigin="1138,14566" coordsize="1321,0" path="m1138,14566l2458,14566e" filled="false" stroked="true" strokeweight=".48004pt" strokecolor="#000000">
                <v:path arrowok="t"/>
              </v:shape>
            </v:group>
            <v:group style="position:absolute;left:2468;top:14566;width:1321;height:2" coordorigin="2468,14566" coordsize="1321,2">
              <v:shape style="position:absolute;left:2468;top:14566;width:1321;height:2" coordorigin="2468,14566" coordsize="1321,0" path="m2468,14566l3788,14566e" filled="false" stroked="true" strokeweight=".48004pt" strokecolor="#000000">
                <v:path arrowok="t"/>
              </v:shape>
            </v:group>
            <v:group style="position:absolute;left:3798;top:14566;width:1323;height:2" coordorigin="3798,14566" coordsize="1323,2">
              <v:shape style="position:absolute;left:3798;top:14566;width:1323;height:2" coordorigin="3798,14566" coordsize="1323,0" path="m3798,14566l5120,14566e" filled="false" stroked="true" strokeweight=".48004pt" strokecolor="#000000">
                <v:path arrowok="t"/>
              </v:shape>
            </v:group>
            <v:group style="position:absolute;left:5130;top:14566;width:1321;height:2" coordorigin="5130,14566" coordsize="1321,2">
              <v:shape style="position:absolute;left:5130;top:14566;width:1321;height:2" coordorigin="5130,14566" coordsize="1321,0" path="m5130,14566l6450,14566e" filled="false" stroked="true" strokeweight=".48004pt" strokecolor="#000000">
                <v:path arrowok="t"/>
              </v:shape>
            </v:group>
            <v:group style="position:absolute;left:6460;top:14566;width:4237;height:2" coordorigin="6460,14566" coordsize="4237,2">
              <v:shape style="position:absolute;left:6460;top:14566;width:4237;height:2" coordorigin="6460,14566" coordsize="4237,0" path="m6460,14566l10696,14566e" filled="false" stroked="true" strokeweight=".48004pt" strokecolor="#000000">
                <v:path arrowok="t"/>
              </v:shape>
            </v:group>
            <v:group style="position:absolute;left:1133;top:1440;width:2;height:13844" coordorigin="1133,1440" coordsize="2,13844">
              <v:shape style="position:absolute;left:1133;top:1440;width:2;height:13844" coordorigin="1133,1440" coordsize="0,13844" path="m1133,1440l1133,15283e" filled="false" stroked="true" strokeweight=".48pt" strokecolor="#000000">
                <v:path arrowok="t"/>
              </v:shape>
            </v:group>
            <v:group style="position:absolute;left:1138;top:15278;width:1321;height:2" coordorigin="1138,15278" coordsize="1321,2">
              <v:shape style="position:absolute;left:1138;top:15278;width:1321;height:2" coordorigin="1138,15278" coordsize="1321,0" path="m1138,15278l2458,15278e" filled="false" stroked="true" strokeweight=".48004pt" strokecolor="#000000">
                <v:path arrowok="t"/>
              </v:shape>
            </v:group>
            <v:group style="position:absolute;left:2463;top:1440;width:2;height:13844" coordorigin="2463,1440" coordsize="2,13844">
              <v:shape style="position:absolute;left:2463;top:1440;width:2;height:13844" coordorigin="2463,1440" coordsize="0,13844" path="m2463,1440l2463,15283e" filled="false" stroked="true" strokeweight=".48pt" strokecolor="#000000">
                <v:path arrowok="t"/>
              </v:shape>
            </v:group>
            <v:group style="position:absolute;left:2468;top:15278;width:1321;height:2" coordorigin="2468,15278" coordsize="1321,2">
              <v:shape style="position:absolute;left:2468;top:15278;width:1321;height:2" coordorigin="2468,15278" coordsize="1321,0" path="m2468,15278l3788,15278e" filled="false" stroked="true" strokeweight=".48004pt" strokecolor="#000000">
                <v:path arrowok="t"/>
              </v:shape>
            </v:group>
            <v:group style="position:absolute;left:3793;top:1440;width:2;height:13844" coordorigin="3793,1440" coordsize="2,13844">
              <v:shape style="position:absolute;left:3793;top:1440;width:2;height:13844" coordorigin="3793,1440" coordsize="0,13844" path="m3793,1440l3793,15283e" filled="false" stroked="true" strokeweight=".48pt" strokecolor="#000000">
                <v:path arrowok="t"/>
              </v:shape>
            </v:group>
            <v:group style="position:absolute;left:3798;top:15278;width:1323;height:2" coordorigin="3798,15278" coordsize="1323,2">
              <v:shape style="position:absolute;left:3798;top:15278;width:1323;height:2" coordorigin="3798,15278" coordsize="1323,0" path="m3798,15278l5120,15278e" filled="false" stroked="true" strokeweight=".48004pt" strokecolor="#000000">
                <v:path arrowok="t"/>
              </v:shape>
            </v:group>
            <v:group style="position:absolute;left:5125;top:1440;width:2;height:13844" coordorigin="5125,1440" coordsize="2,13844">
              <v:shape style="position:absolute;left:5125;top:1440;width:2;height:13844" coordorigin="5125,1440" coordsize="0,13844" path="m5125,1440l5125,15283e" filled="false" stroked="true" strokeweight=".48001pt" strokecolor="#000000">
                <v:path arrowok="t"/>
              </v:shape>
            </v:group>
            <v:group style="position:absolute;left:5130;top:15278;width:1321;height:2" coordorigin="5130,15278" coordsize="1321,2">
              <v:shape style="position:absolute;left:5130;top:15278;width:1321;height:2" coordorigin="5130,15278" coordsize="1321,0" path="m5130,15278l6450,15278e" filled="false" stroked="true" strokeweight=".48004pt" strokecolor="#000000">
                <v:path arrowok="t"/>
              </v:shape>
            </v:group>
            <v:group style="position:absolute;left:6455;top:1440;width:2;height:13844" coordorigin="6455,1440" coordsize="2,13844">
              <v:shape style="position:absolute;left:6455;top:1440;width:2;height:13844" coordorigin="6455,1440" coordsize="0,13844" path="m6455,1440l6455,15283e" filled="false" stroked="true" strokeweight=".48001pt" strokecolor="#000000">
                <v:path arrowok="t"/>
              </v:shape>
            </v:group>
            <v:group style="position:absolute;left:6460;top:15278;width:4237;height:2" coordorigin="6460,15278" coordsize="4237,2">
              <v:shape style="position:absolute;left:6460;top:15278;width:4237;height:2" coordorigin="6460,15278" coordsize="4237,0" path="m6460,15278l10696,15278e" filled="false" stroked="true" strokeweight=".48004pt" strokecolor="#000000">
                <v:path arrowok="t"/>
              </v:shape>
            </v:group>
            <v:group style="position:absolute;left:10701;top:1440;width:2;height:13844" coordorigin="10701,1440" coordsize="2,13844">
              <v:shape style="position:absolute;left:10701;top:1440;width:2;height:13844" coordorigin="10701,1440" coordsize="0,13844" path="m10701,1440l10701,15283e" filled="false" stroked="true" strokeweight=".48004pt" strokecolor="#000000">
                <v:path arrowok="t"/>
              </v:shape>
            </v:group>
            <w10:wrap type="none"/>
          </v:group>
        </w:pict>
      </w:r>
      <w:r>
        <w:rPr>
          <w:rFonts w:ascii="宋体" w:hAnsi="宋体" w:cs="宋体" w:eastAsia="宋体" w:hint="default"/>
          <w:position w:val="2"/>
          <w:sz w:val="18"/>
          <w:szCs w:val="18"/>
        </w:rPr>
        <w:t>日</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日，公司召开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w:t>
      </w:r>
    </w:p>
    <w:p>
      <w:pPr>
        <w:spacing w:after="0" w:line="213" w:lineRule="exact"/>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6"/>
          <w:szCs w:val="26"/>
        </w:rPr>
      </w:pPr>
      <w:r>
        <w:rPr/>
        <w:pict>
          <v:shape style="position:absolute;margin-left:56.400002pt;margin-top:71.999985pt;width:479.15pt;height:687.75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0"/>
                    <w:gridCol w:w="1330"/>
                    <w:gridCol w:w="1332"/>
                    <w:gridCol w:w="1330"/>
                    <w:gridCol w:w="4246"/>
                  </w:tblGrid>
                  <w:tr>
                    <w:trPr>
                      <w:trHeight w:val="675"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1"/>
                          <w:jc w:val="left"/>
                          <w:rPr>
                            <w:rFonts w:ascii="宋体" w:hAnsi="宋体" w:cs="宋体" w:eastAsia="宋体" w:hint="default"/>
                            <w:sz w:val="18"/>
                            <w:szCs w:val="18"/>
                          </w:rPr>
                        </w:pPr>
                        <w:r>
                          <w:rPr>
                            <w:rFonts w:ascii="宋体" w:hAnsi="宋体" w:cs="宋体" w:eastAsia="宋体" w:hint="default"/>
                            <w:spacing w:val="-10"/>
                            <w:sz w:val="18"/>
                            <w:szCs w:val="18"/>
                          </w:rPr>
                          <w:t>大会，审议通过了《关于公司监事会换届选举的议案》</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齐跃进先生当选为公司第三届监事会非职工监事。</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刘钊</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日，公司召开了职工代表大会，选举刘</w:t>
                        </w:r>
                        <w:r>
                          <w:rPr>
                            <w:rFonts w:ascii="宋体" w:hAnsi="宋体" w:cs="宋体" w:eastAsia="宋体" w:hint="default"/>
                            <w:sz w:val="18"/>
                            <w:szCs w:val="18"/>
                          </w:rPr>
                          <w:t> 钊先生为公司第三届监事会职工代表监事，任期三年</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马作民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日，公司召开了职工代表大会，马作民</w:t>
                        </w:r>
                        <w:r>
                          <w:rPr>
                            <w:rFonts w:ascii="宋体" w:hAnsi="宋体" w:cs="宋体" w:eastAsia="宋体" w:hint="default"/>
                            <w:sz w:val="18"/>
                            <w:szCs w:val="18"/>
                          </w:rPr>
                          <w:t> 先生任期满离任。</w:t>
                        </w:r>
                      </w:p>
                    </w:tc>
                  </w:tr>
                  <w:tr>
                    <w:trPr>
                      <w:trHeight w:val="102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刘凌云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日，公司召开了第三届董事会第一次会 </w:t>
                        </w:r>
                        <w:r>
                          <w:rPr>
                            <w:rFonts w:ascii="宋体" w:hAnsi="宋体" w:cs="宋体" w:eastAsia="宋体" w:hint="default"/>
                            <w:spacing w:val="-6"/>
                            <w:sz w:val="18"/>
                            <w:szCs w:val="18"/>
                          </w:rPr>
                          <w:t>议，审议通过了《关于聘任公司总经理的议案》，同意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聘任刘凌云女士为公司总经理，任期三年。</w:t>
                        </w:r>
                      </w:p>
                    </w:tc>
                  </w:tr>
                  <w:tr>
                    <w:trPr>
                      <w:trHeight w:val="134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宫为平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日，公司召开了第三届董事会第一次会 议，审议通过了《关于聘任公司其他高级管理人员的 </w:t>
                        </w:r>
                        <w:r>
                          <w:rPr>
                            <w:rFonts w:ascii="宋体" w:hAnsi="宋体" w:cs="宋体" w:eastAsia="宋体" w:hint="default"/>
                            <w:spacing w:val="-6"/>
                            <w:sz w:val="18"/>
                            <w:szCs w:val="18"/>
                          </w:rPr>
                          <w:t>议案》，同意聘任宫为平先生为公司副总经理，任期三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年。</w:t>
                        </w:r>
                      </w:p>
                    </w:tc>
                  </w:tr>
                  <w:tr>
                    <w:trPr>
                      <w:trHeight w:val="196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黄学春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董秘、副总经理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日，公司召开了第三届董事会第一次会 议，审议通过了《关于聘任公司其他高级管理人员的 </w:t>
                        </w:r>
                        <w:r>
                          <w:rPr>
                            <w:rFonts w:ascii="宋体" w:hAnsi="宋体" w:cs="宋体" w:eastAsia="宋体" w:hint="default"/>
                            <w:spacing w:val="-6"/>
                            <w:sz w:val="18"/>
                            <w:szCs w:val="18"/>
                          </w:rPr>
                          <w:t>议案》和《关于聘任公司董事会秘书的议案》，同意聘</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任黄学春先生为公司副总经理、财务总监、董事会秘 </w:t>
                        </w:r>
                        <w:r>
                          <w:rPr>
                            <w:rFonts w:ascii="宋体" w:hAnsi="宋体" w:cs="宋体" w:eastAsia="宋体" w:hint="default"/>
                            <w:spacing w:val="-6"/>
                            <w:sz w:val="18"/>
                            <w:szCs w:val="18"/>
                          </w:rPr>
                          <w:t>书，任期三年。</w:t>
                        </w:r>
                        <w:r>
                          <w:rPr>
                            <w:rFonts w:ascii="Times New Roman" w:hAnsi="Times New Roman" w:cs="Times New Roman" w:eastAsia="Times New Roman" w:hint="default"/>
                            <w:spacing w:val="-6"/>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 </w:t>
                        </w:r>
                        <w:r>
                          <w:rPr>
                            <w:rFonts w:ascii="宋体" w:hAnsi="宋体" w:cs="宋体" w:eastAsia="宋体" w:hint="default"/>
                            <w:spacing w:val="-3"/>
                            <w:sz w:val="18"/>
                            <w:szCs w:val="18"/>
                          </w:rPr>
                          <w:t>日，黄学春辞去公司财</w:t>
                        </w:r>
                        <w:r>
                          <w:rPr>
                            <w:rFonts w:ascii="宋体" w:hAnsi="宋体" w:cs="宋体" w:eastAsia="宋体" w:hint="default"/>
                            <w:sz w:val="18"/>
                            <w:szCs w:val="18"/>
                          </w:rPr>
                          <w:t> 务总监职务，仍担任公司副总经理、董事会秘书。</w:t>
                        </w:r>
                      </w:p>
                    </w:tc>
                  </w:tr>
                  <w:tr>
                    <w:trPr>
                      <w:trHeight w:val="165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唐成宽</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pacing w:val="-3"/>
                            <w:sz w:val="18"/>
                            <w:szCs w:val="18"/>
                          </w:rPr>
                          <w:t>唐成宽先生为公司第二届董事会董事，于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312" w:lineRule="auto" w:before="63"/>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日任期满离任；</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日，公司召开了第三</w:t>
                        </w:r>
                        <w:r>
                          <w:rPr>
                            <w:rFonts w:ascii="宋体" w:hAnsi="宋体" w:cs="宋体" w:eastAsia="宋体" w:hint="default"/>
                            <w:sz w:val="18"/>
                            <w:szCs w:val="18"/>
                          </w:rPr>
                          <w:t> 届董事会第一次会议，审议通过了《关于聘任公司其 </w:t>
                        </w:r>
                        <w:r>
                          <w:rPr>
                            <w:rFonts w:ascii="宋体" w:hAnsi="宋体" w:cs="宋体" w:eastAsia="宋体" w:hint="default"/>
                            <w:spacing w:val="-6"/>
                            <w:sz w:val="18"/>
                            <w:szCs w:val="18"/>
                          </w:rPr>
                          <w:t>他高级管理人员的议案》，同意聘任唐成宽先生为公司</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副总经理，任期三年。</w:t>
                        </w:r>
                      </w:p>
                    </w:tc>
                  </w:tr>
                  <w:tr>
                    <w:trPr>
                      <w:trHeight w:val="164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吴翠华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pacing w:val="-3"/>
                            <w:sz w:val="18"/>
                            <w:szCs w:val="18"/>
                          </w:rPr>
                          <w:t>吴翠华女士为公司第二届董事会董事，于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312" w:lineRule="auto" w:before="63"/>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日任期满离任；</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日，公司召开了第三</w:t>
                        </w:r>
                        <w:r>
                          <w:rPr>
                            <w:rFonts w:ascii="宋体" w:hAnsi="宋体" w:cs="宋体" w:eastAsia="宋体" w:hint="default"/>
                            <w:sz w:val="18"/>
                            <w:szCs w:val="18"/>
                          </w:rPr>
                          <w:t> 届董事会第一次会议，审议通过了《关于聘任公司其 </w:t>
                        </w:r>
                        <w:r>
                          <w:rPr>
                            <w:rFonts w:ascii="宋体" w:hAnsi="宋体" w:cs="宋体" w:eastAsia="宋体" w:hint="default"/>
                            <w:spacing w:val="-6"/>
                            <w:sz w:val="18"/>
                            <w:szCs w:val="18"/>
                          </w:rPr>
                          <w:t>他高级管理人员的议案》，同意聘任吴翠华女士为公司</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副总经理，任期三年。</w:t>
                        </w:r>
                      </w:p>
                    </w:tc>
                  </w:tr>
                  <w:tr>
                    <w:trPr>
                      <w:trHeight w:val="165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袁福祥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pacing w:val="-3"/>
                            <w:sz w:val="18"/>
                            <w:szCs w:val="18"/>
                          </w:rPr>
                          <w:t>袁福祥先生为公司第二届监事会监事，于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312" w:lineRule="auto" w:before="63"/>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日任期满离任；</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日，公司召开了第三</w:t>
                        </w:r>
                        <w:r>
                          <w:rPr>
                            <w:rFonts w:ascii="宋体" w:hAnsi="宋体" w:cs="宋体" w:eastAsia="宋体" w:hint="default"/>
                            <w:sz w:val="18"/>
                            <w:szCs w:val="18"/>
                          </w:rPr>
                          <w:t> 届董事会第一次会议，审议通过了《关于聘任公司其 </w:t>
                        </w:r>
                        <w:r>
                          <w:rPr>
                            <w:rFonts w:ascii="宋体" w:hAnsi="宋体" w:cs="宋体" w:eastAsia="宋体" w:hint="default"/>
                            <w:spacing w:val="-6"/>
                            <w:sz w:val="18"/>
                            <w:szCs w:val="18"/>
                          </w:rPr>
                          <w:t>他高级管理人员的议案》，同意聘任袁福祥先生为公司</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副总经理，任期三年。</w:t>
                        </w:r>
                      </w:p>
                    </w:tc>
                  </w:tr>
                  <w:tr>
                    <w:trPr>
                      <w:trHeight w:val="133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章大林</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日，公司召开了第三届董事会第一次会 议，审议通过了《关于聘任公司其他高级管理人员的 </w:t>
                        </w:r>
                        <w:r>
                          <w:rPr>
                            <w:rFonts w:ascii="宋体" w:hAnsi="宋体" w:cs="宋体" w:eastAsia="宋体" w:hint="default"/>
                            <w:spacing w:val="-6"/>
                            <w:sz w:val="18"/>
                            <w:szCs w:val="18"/>
                          </w:rPr>
                          <w:t>议案》，同意聘任章大林先生为公司副总经理，任期三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年。</w:t>
                        </w:r>
                      </w:p>
                    </w:tc>
                  </w:tr>
                  <w:tr>
                    <w:trPr>
                      <w:trHeight w:val="102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陆江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日，公司召开了第三届董事会第一次会 议，审议通过了《关于聘任公司其他高级管理人员的 </w:t>
                        </w:r>
                        <w:r>
                          <w:rPr>
                            <w:rFonts w:ascii="宋体" w:hAnsi="宋体" w:cs="宋体" w:eastAsia="宋体" w:hint="default"/>
                            <w:spacing w:val="-10"/>
                            <w:sz w:val="18"/>
                            <w:szCs w:val="18"/>
                          </w:rPr>
                          <w:t>议案》，同意聘任陆江先生为公司副总经理，任期三年</w:t>
                        </w:r>
                      </w:p>
                    </w:tc>
                  </w:tr>
                </w:tbl>
                <w:p>
                  <w:pPr/>
                </w:p>
              </w:txbxContent>
            </v:textbox>
            <w10:wrap type="none"/>
          </v:shape>
        </w:pict>
      </w:r>
    </w:p>
    <w:p>
      <w:pPr>
        <w:spacing w:before="44"/>
        <w:ind w:left="0" w:right="16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before="44"/>
        <w:ind w:left="0" w:right="15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330"/>
        <w:gridCol w:w="4246"/>
      </w:tblGrid>
      <w:tr>
        <w:trPr>
          <w:trHeight w:val="133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史志民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日，公司召开了第三届董事会第一次会 议，审议通过了《关于聘任公司其他高级管理人员的 </w:t>
            </w:r>
            <w:r>
              <w:rPr>
                <w:rFonts w:ascii="宋体" w:hAnsi="宋体" w:cs="宋体" w:eastAsia="宋体" w:hint="default"/>
                <w:spacing w:val="-6"/>
                <w:sz w:val="18"/>
                <w:szCs w:val="18"/>
              </w:rPr>
              <w:t>议案》，同意聘任史志民先生为公司副总经理，任期三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年。</w:t>
            </w:r>
          </w:p>
        </w:tc>
      </w:tr>
      <w:tr>
        <w:trPr>
          <w:trHeight w:val="133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日，公司召开了第三届董事会第六次会</w:t>
            </w:r>
            <w:r>
              <w:rPr>
                <w:rFonts w:ascii="宋体" w:hAnsi="宋体" w:cs="宋体" w:eastAsia="宋体" w:hint="default"/>
                <w:sz w:val="18"/>
                <w:szCs w:val="18"/>
              </w:rPr>
              <w:t> </w:t>
            </w:r>
            <w:r>
              <w:rPr>
                <w:rFonts w:ascii="宋体" w:hAnsi="宋体" w:cs="宋体" w:eastAsia="宋体" w:hint="default"/>
                <w:spacing w:val="-6"/>
                <w:sz w:val="18"/>
                <w:szCs w:val="18"/>
              </w:rPr>
              <w:t>议，审议通过了《关于聘任公司财务总监的议案》，同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意聘任张彦女士为公司财务总监，任期同公司第三届 董事会。</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报告期内，公司核心技术团队及关键技术人员未发生变动。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t>六、公司员工情况</w:t>
      </w:r>
      <w:r>
        <w:rPr>
          <w:b w:val="0"/>
          <w:bCs w:val="0"/>
        </w:rPr>
      </w:r>
    </w:p>
    <w:p>
      <w:pPr>
        <w:spacing w:line="240" w:lineRule="auto" w:before="9"/>
        <w:rPr>
          <w:rFonts w:ascii="宋体" w:hAnsi="宋体" w:cs="宋体" w:eastAsia="宋体" w:hint="default"/>
          <w:b/>
          <w:bCs/>
          <w:sz w:val="24"/>
          <w:szCs w:val="24"/>
        </w:rPr>
      </w:pPr>
    </w:p>
    <w:p>
      <w:pPr>
        <w:spacing w:line="256" w:lineRule="auto" w:before="0"/>
        <w:ind w:left="152" w:right="0" w:firstLine="420"/>
        <w:jc w:val="left"/>
        <w:rPr>
          <w:rFonts w:ascii="宋体" w:hAnsi="宋体" w:cs="宋体" w:eastAsia="宋体" w:hint="default"/>
          <w:sz w:val="21"/>
          <w:szCs w:val="21"/>
        </w:rPr>
      </w:pPr>
      <w:r>
        <w:rPr>
          <w:rFonts w:ascii="宋体" w:hAnsi="宋体" w:cs="宋体" w:eastAsia="宋体" w:hint="default"/>
          <w:sz w:val="21"/>
          <w:szCs w:val="21"/>
        </w:rPr>
        <w:t>截至</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日，公司及全资子公司在职员工总数为</w:t>
      </w:r>
      <w:r>
        <w:rPr>
          <w:rFonts w:ascii="Times New Roman" w:hAnsi="Times New Roman" w:cs="Times New Roman" w:eastAsia="Times New Roman" w:hint="default"/>
          <w:sz w:val="21"/>
          <w:szCs w:val="21"/>
        </w:rPr>
        <w:t>796</w:t>
      </w:r>
      <w:r>
        <w:rPr>
          <w:rFonts w:ascii="宋体" w:hAnsi="宋体" w:cs="宋体" w:eastAsia="宋体" w:hint="default"/>
          <w:sz w:val="21"/>
          <w:szCs w:val="21"/>
        </w:rPr>
        <w:t>人，其中全资子公司重庆市隆泰稀土新</w:t>
      </w:r>
      <w:r>
        <w:rPr>
          <w:rFonts w:ascii="宋体" w:hAnsi="宋体" w:cs="宋体" w:eastAsia="宋体" w:hint="default"/>
          <w:w w:val="100"/>
          <w:sz w:val="21"/>
          <w:szCs w:val="21"/>
        </w:rPr>
        <w:t> </w:t>
      </w:r>
      <w:r>
        <w:rPr>
          <w:rFonts w:ascii="宋体" w:hAnsi="宋体" w:cs="宋体" w:eastAsia="宋体" w:hint="default"/>
          <w:sz w:val="21"/>
          <w:szCs w:val="21"/>
        </w:rPr>
        <w:t>材料有限责任公司</w:t>
      </w:r>
      <w:r>
        <w:rPr>
          <w:rFonts w:ascii="Times New Roman" w:hAnsi="Times New Roman" w:cs="Times New Roman" w:eastAsia="Times New Roman" w:hint="default"/>
          <w:sz w:val="21"/>
          <w:szCs w:val="21"/>
        </w:rPr>
        <w:t>219</w:t>
      </w:r>
      <w:r>
        <w:rPr>
          <w:rFonts w:ascii="宋体" w:hAnsi="宋体" w:cs="宋体" w:eastAsia="宋体" w:hint="default"/>
          <w:sz w:val="21"/>
          <w:szCs w:val="21"/>
        </w:rPr>
        <w:t>人，各类人员构成情况如下：</w:t>
      </w:r>
    </w:p>
    <w:p>
      <w:pPr>
        <w:spacing w:before="5"/>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、按学历划分</w:t>
      </w:r>
    </w:p>
    <w:p>
      <w:pPr>
        <w:spacing w:line="240" w:lineRule="auto" w:before="2"/>
        <w:rPr>
          <w:rFonts w:ascii="宋体" w:hAnsi="宋体" w:cs="宋体" w:eastAsia="宋体" w:hint="default"/>
          <w:sz w:val="11"/>
          <w:szCs w:val="11"/>
        </w:rPr>
      </w:pPr>
    </w:p>
    <w:p>
      <w:pPr>
        <w:spacing w:line="4455" w:lineRule="exact"/>
        <w:ind w:left="153" w:right="0" w:firstLine="0"/>
        <w:rPr>
          <w:rFonts w:ascii="宋体" w:hAnsi="宋体" w:cs="宋体" w:eastAsia="宋体" w:hint="default"/>
          <w:sz w:val="20"/>
          <w:szCs w:val="20"/>
        </w:rPr>
      </w:pPr>
      <w:r>
        <w:rPr>
          <w:rFonts w:ascii="宋体" w:hAnsi="宋体" w:cs="宋体" w:eastAsia="宋体" w:hint="default"/>
          <w:position w:val="-88"/>
          <w:sz w:val="20"/>
          <w:szCs w:val="20"/>
        </w:rPr>
        <w:drawing>
          <wp:inline distT="0" distB="0" distL="0" distR="0">
            <wp:extent cx="6554671" cy="282892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3" cstate="print"/>
                    <a:stretch>
                      <a:fillRect/>
                    </a:stretch>
                  </pic:blipFill>
                  <pic:spPr>
                    <a:xfrm>
                      <a:off x="0" y="0"/>
                      <a:ext cx="6554671" cy="2828925"/>
                    </a:xfrm>
                    <a:prstGeom prst="rect">
                      <a:avLst/>
                    </a:prstGeom>
                  </pic:spPr>
                </pic:pic>
              </a:graphicData>
            </a:graphic>
          </wp:inline>
        </w:drawing>
      </w:r>
      <w:r>
        <w:rPr>
          <w:rFonts w:ascii="宋体" w:hAnsi="宋体" w:cs="宋体" w:eastAsia="宋体" w:hint="default"/>
          <w:position w:val="-88"/>
          <w:sz w:val="20"/>
          <w:szCs w:val="20"/>
        </w:rPr>
      </w:r>
    </w:p>
    <w:p>
      <w:pPr>
        <w:spacing w:before="142"/>
        <w:ind w:left="7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、按职能划分</w:t>
      </w:r>
    </w:p>
    <w:p>
      <w:pPr>
        <w:spacing w:after="0"/>
        <w:jc w:val="left"/>
        <w:rPr>
          <w:rFonts w:ascii="宋体" w:hAnsi="宋体" w:cs="宋体" w:eastAsia="宋体" w:hint="default"/>
          <w:sz w:val="21"/>
          <w:szCs w:val="21"/>
        </w:rPr>
        <w:sectPr>
          <w:pgSz w:w="11910" w:h="16840"/>
          <w:pgMar w:header="745" w:footer="979" w:top="1060" w:bottom="1160" w:left="980" w:right="3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line="4485" w:lineRule="exact"/>
        <w:ind w:left="153" w:right="0" w:firstLine="0"/>
        <w:rPr>
          <w:rFonts w:ascii="宋体" w:hAnsi="宋体" w:cs="宋体" w:eastAsia="宋体" w:hint="default"/>
          <w:sz w:val="20"/>
          <w:szCs w:val="20"/>
        </w:rPr>
      </w:pPr>
      <w:r>
        <w:rPr>
          <w:rFonts w:ascii="宋体" w:hAnsi="宋体" w:cs="宋体" w:eastAsia="宋体" w:hint="default"/>
          <w:position w:val="-89"/>
          <w:sz w:val="20"/>
          <w:szCs w:val="20"/>
        </w:rPr>
        <w:drawing>
          <wp:inline distT="0" distB="0" distL="0" distR="0">
            <wp:extent cx="6542216" cy="284797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4" cstate="print"/>
                    <a:stretch>
                      <a:fillRect/>
                    </a:stretch>
                  </pic:blipFill>
                  <pic:spPr>
                    <a:xfrm>
                      <a:off x="0" y="0"/>
                      <a:ext cx="6542216" cy="2847975"/>
                    </a:xfrm>
                    <a:prstGeom prst="rect">
                      <a:avLst/>
                    </a:prstGeom>
                  </pic:spPr>
                </pic:pic>
              </a:graphicData>
            </a:graphic>
          </wp:inline>
        </w:drawing>
      </w:r>
      <w:r>
        <w:rPr>
          <w:rFonts w:ascii="宋体" w:hAnsi="宋体" w:cs="宋体" w:eastAsia="宋体" w:hint="default"/>
          <w:position w:val="-89"/>
          <w:sz w:val="20"/>
          <w:szCs w:val="20"/>
        </w:rPr>
      </w:r>
    </w:p>
    <w:p>
      <w:pPr>
        <w:spacing w:before="87"/>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、公司没有需要承担的离退休人员。</w:t>
      </w:r>
    </w:p>
    <w:p>
      <w:pPr>
        <w:spacing w:line="240" w:lineRule="auto" w:before="6"/>
        <w:rPr>
          <w:rFonts w:ascii="宋体" w:hAnsi="宋体" w:cs="宋体" w:eastAsia="宋体" w:hint="default"/>
          <w:sz w:val="25"/>
          <w:szCs w:val="25"/>
        </w:rPr>
      </w:pPr>
    </w:p>
    <w:p>
      <w:pPr>
        <w:spacing w:line="256" w:lineRule="auto" w:before="0"/>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、员工薪酬政策</w:t>
      </w:r>
      <w:r>
        <w:rPr>
          <w:rFonts w:ascii="宋体" w:hAnsi="宋体" w:cs="宋体" w:eastAsia="宋体" w:hint="default"/>
          <w:w w:val="100"/>
          <w:sz w:val="21"/>
          <w:szCs w:val="21"/>
        </w:rPr>
        <w:t> </w:t>
      </w:r>
      <w:r>
        <w:rPr>
          <w:rFonts w:ascii="宋体" w:hAnsi="宋体" w:cs="宋体" w:eastAsia="宋体" w:hint="default"/>
          <w:spacing w:val="-2"/>
          <w:sz w:val="21"/>
          <w:szCs w:val="21"/>
        </w:rPr>
        <w:t>公司严格按照《中华人民共和国劳动合同法》和有关劳动法律法规的规定，向员工提供稳定而具有竞</w:t>
      </w:r>
    </w:p>
    <w:p>
      <w:pPr>
        <w:spacing w:before="22"/>
        <w:ind w:left="152" w:right="0" w:firstLine="0"/>
        <w:jc w:val="left"/>
        <w:rPr>
          <w:rFonts w:ascii="宋体" w:hAnsi="宋体" w:cs="宋体" w:eastAsia="宋体" w:hint="default"/>
          <w:sz w:val="21"/>
          <w:szCs w:val="21"/>
        </w:rPr>
      </w:pPr>
      <w:r>
        <w:rPr>
          <w:rFonts w:ascii="宋体" w:hAnsi="宋体" w:cs="宋体" w:eastAsia="宋体" w:hint="default"/>
          <w:sz w:val="21"/>
          <w:szCs w:val="21"/>
        </w:rPr>
        <w:t>争力的薪酬，以充分调动员工的积极性和创造性。</w:t>
      </w:r>
    </w:p>
    <w:p>
      <w:pPr>
        <w:spacing w:line="240" w:lineRule="auto" w:before="9"/>
        <w:rPr>
          <w:rFonts w:ascii="宋体" w:hAnsi="宋体" w:cs="宋体" w:eastAsia="宋体" w:hint="default"/>
          <w:sz w:val="26"/>
          <w:szCs w:val="26"/>
        </w:rPr>
      </w:pPr>
    </w:p>
    <w:p>
      <w:pPr>
        <w:spacing w:line="256" w:lineRule="auto" w:before="0"/>
        <w:ind w:left="489" w:right="0" w:firstLine="84"/>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、员工培训计划</w:t>
      </w:r>
      <w:r>
        <w:rPr>
          <w:rFonts w:ascii="宋体" w:hAnsi="宋体" w:cs="宋体" w:eastAsia="宋体" w:hint="default"/>
          <w:w w:val="100"/>
          <w:sz w:val="21"/>
          <w:szCs w:val="21"/>
        </w:rPr>
        <w:t> </w:t>
      </w:r>
      <w:r>
        <w:rPr>
          <w:rFonts w:ascii="宋体" w:hAnsi="宋体" w:cs="宋体" w:eastAsia="宋体" w:hint="default"/>
          <w:sz w:val="21"/>
          <w:szCs w:val="21"/>
        </w:rPr>
        <w:t>公司把提高员工素质作为企业发展的重要前提和基础，采用内部培训与外派培训相结合的培训方式，</w:t>
      </w:r>
    </w:p>
    <w:p>
      <w:pPr>
        <w:spacing w:line="273" w:lineRule="auto" w:before="22"/>
        <w:ind w:left="152" w:right="0" w:firstLine="0"/>
        <w:jc w:val="left"/>
        <w:rPr>
          <w:rFonts w:ascii="宋体" w:hAnsi="宋体" w:cs="宋体" w:eastAsia="宋体" w:hint="default"/>
          <w:sz w:val="21"/>
          <w:szCs w:val="21"/>
        </w:rPr>
      </w:pPr>
      <w:r>
        <w:rPr>
          <w:rFonts w:ascii="宋体" w:hAnsi="宋体" w:cs="宋体" w:eastAsia="宋体" w:hint="default"/>
          <w:spacing w:val="-5"/>
          <w:sz w:val="21"/>
          <w:szCs w:val="21"/>
        </w:rPr>
        <w:t>以公司人力资源部统一培训与职能部门业务培训、员工岗位技能培训相结合的方式，提高公司的培训实效。</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pacing w:val="-2"/>
          <w:sz w:val="21"/>
          <w:szCs w:val="21"/>
        </w:rPr>
        <w:t>公司每年会根据员工需求以及公司发展目标，制定年度培训计划，从素质能力、工作技能、管理知识、企</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业文化、安全知识、环境保护等方面，对员工进行培训教育。</w:t>
      </w:r>
    </w:p>
    <w:p>
      <w:pPr>
        <w:spacing w:after="0" w:line="273" w:lineRule="auto"/>
        <w:jc w:val="left"/>
        <w:rPr>
          <w:rFonts w:ascii="宋体" w:hAnsi="宋体" w:cs="宋体" w:eastAsia="宋体" w:hint="default"/>
          <w:sz w:val="21"/>
          <w:szCs w:val="21"/>
        </w:rPr>
        <w:sectPr>
          <w:pgSz w:w="11910" w:h="16840"/>
          <w:pgMar w:header="745" w:footer="979" w:top="1060" w:bottom="1160" w:left="980" w:right="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0" w:right="3646"/>
        <w:jc w:val="center"/>
        <w:rPr>
          <w:b w:val="0"/>
          <w:bCs w:val="0"/>
        </w:rPr>
      </w:pPr>
      <w:bookmarkStart w:name="_TOC_250003" w:id="9"/>
      <w:r>
        <w:rPr/>
        <w:t>第九节</w:t>
      </w:r>
      <w:r>
        <w:rPr>
          <w:spacing w:val="-2"/>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0"/>
        <w:jc w:val="both"/>
        <w:rPr>
          <w:b w:val="0"/>
          <w:bCs w:val="0"/>
        </w:rPr>
      </w:pPr>
      <w:r>
        <w:rPr/>
        <w:t>一、公司治理的基本状况</w:t>
      </w:r>
      <w:r>
        <w:rPr>
          <w:b w:val="0"/>
          <w:bCs w:val="0"/>
        </w:rPr>
      </w:r>
    </w:p>
    <w:p>
      <w:pPr>
        <w:spacing w:line="240" w:lineRule="auto" w:before="12"/>
        <w:rPr>
          <w:rFonts w:ascii="宋体" w:hAnsi="宋体" w:cs="宋体" w:eastAsia="宋体" w:hint="default"/>
          <w:b/>
          <w:bCs/>
          <w:sz w:val="24"/>
          <w:szCs w:val="24"/>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pacing w:val="-5"/>
          <w:sz w:val="21"/>
          <w:szCs w:val="21"/>
        </w:rPr>
        <w:t>公司严格按照《公司法》、《证券法》、《上市公司治理准则》、《深圳证券交易所股票上市规则》、</w:t>
      </w:r>
    </w:p>
    <w:p>
      <w:pPr>
        <w:spacing w:line="273" w:lineRule="auto" w:before="37"/>
        <w:ind w:left="152" w:right="185" w:firstLine="0"/>
        <w:jc w:val="both"/>
        <w:rPr>
          <w:rFonts w:ascii="宋体" w:hAnsi="宋体" w:cs="宋体" w:eastAsia="宋体" w:hint="default"/>
          <w:sz w:val="21"/>
          <w:szCs w:val="21"/>
        </w:rPr>
      </w:pPr>
      <w:r>
        <w:rPr>
          <w:rFonts w:ascii="宋体" w:hAnsi="宋体" w:cs="宋体" w:eastAsia="宋体" w:hint="default"/>
          <w:spacing w:val="-2"/>
          <w:sz w:val="21"/>
          <w:szCs w:val="21"/>
        </w:rPr>
        <w:t>《中小企业板上市公司规范运作指引》和中国证监会及深圳证券交易所颁布的其他相关法律法规的要求，</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制定《公司章程》及其他内部控制规章制度，完善公司内部法人治理结构，健全内部管理制度，规范公司</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行为。公司的治理结构符合中国证监会关于上市公司治理的相关规范性文件。</w:t>
      </w:r>
    </w:p>
    <w:p>
      <w:pPr>
        <w:spacing w:line="256" w:lineRule="auto" w:before="8"/>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、关于股东、股东大会</w:t>
      </w:r>
      <w:r>
        <w:rPr>
          <w:rFonts w:ascii="宋体" w:hAnsi="宋体" w:cs="宋体" w:eastAsia="宋体" w:hint="default"/>
          <w:w w:val="100"/>
          <w:sz w:val="21"/>
          <w:szCs w:val="21"/>
        </w:rPr>
        <w:t> </w:t>
      </w:r>
      <w:r>
        <w:rPr>
          <w:rFonts w:ascii="宋体" w:hAnsi="宋体" w:cs="宋体" w:eastAsia="宋体" w:hint="default"/>
          <w:spacing w:val="-2"/>
          <w:sz w:val="21"/>
          <w:szCs w:val="21"/>
        </w:rPr>
        <w:t>报告期内，公司严格按照《证券法》、《公司法》等法律法规的要求及公司制定的《股东大会议事规</w:t>
      </w:r>
    </w:p>
    <w:p>
      <w:pPr>
        <w:spacing w:line="273" w:lineRule="auto" w:before="22"/>
        <w:ind w:left="152" w:right="206" w:firstLine="0"/>
        <w:jc w:val="both"/>
        <w:rPr>
          <w:rFonts w:ascii="宋体" w:hAnsi="宋体" w:cs="宋体" w:eastAsia="宋体" w:hint="default"/>
          <w:sz w:val="21"/>
          <w:szCs w:val="21"/>
        </w:rPr>
      </w:pPr>
      <w:r>
        <w:rPr>
          <w:rFonts w:ascii="宋体" w:hAnsi="宋体" w:cs="宋体" w:eastAsia="宋体" w:hint="default"/>
          <w:spacing w:val="-2"/>
          <w:sz w:val="21"/>
          <w:szCs w:val="21"/>
        </w:rPr>
        <w:t>则》，规范股东大会召集、召开、表决程序，切实保证中小股东的权益，平等对待所有投资者，使他们能</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够充分行使自己的权利。聘请律师列席股东大会并对股东大会的召开和表决程序出具法律意见书，充分尊</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重和维护全体股东的合法权益。</w:t>
      </w:r>
    </w:p>
    <w:p>
      <w:pPr>
        <w:spacing w:line="256" w:lineRule="auto" w:before="7"/>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、关于控股股东与公司</w:t>
      </w:r>
      <w:r>
        <w:rPr>
          <w:rFonts w:ascii="宋体" w:hAnsi="宋体" w:cs="宋体" w:eastAsia="宋体" w:hint="default"/>
          <w:w w:val="100"/>
          <w:sz w:val="21"/>
          <w:szCs w:val="21"/>
        </w:rPr>
        <w:t> </w:t>
      </w:r>
      <w:r>
        <w:rPr>
          <w:rFonts w:ascii="宋体" w:hAnsi="宋体" w:cs="宋体" w:eastAsia="宋体" w:hint="default"/>
          <w:spacing w:val="-2"/>
          <w:sz w:val="21"/>
          <w:szCs w:val="21"/>
        </w:rPr>
        <w:t>公司控股股东严格根据《上市公司治理准则》、《深圳证券交易所股票上市规则》、《公司章程》规</w:t>
      </w:r>
    </w:p>
    <w:p>
      <w:pPr>
        <w:spacing w:line="273" w:lineRule="auto" w:before="22"/>
        <w:ind w:left="152" w:right="206" w:firstLine="0"/>
        <w:jc w:val="both"/>
        <w:rPr>
          <w:rFonts w:ascii="宋体" w:hAnsi="宋体" w:cs="宋体" w:eastAsia="宋体" w:hint="default"/>
          <w:sz w:val="21"/>
          <w:szCs w:val="21"/>
        </w:rPr>
      </w:pPr>
      <w:r>
        <w:rPr>
          <w:rFonts w:ascii="宋体" w:hAnsi="宋体" w:cs="宋体" w:eastAsia="宋体" w:hint="default"/>
          <w:spacing w:val="-2"/>
          <w:sz w:val="21"/>
          <w:szCs w:val="21"/>
        </w:rPr>
        <w:t>范股东行为，通过股东大会行使股东权利，未发生超越股东大会及董事会而直接或间接干预公司经营与决</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策的行为。</w:t>
      </w:r>
    </w:p>
    <w:p>
      <w:pPr>
        <w:spacing w:line="256" w:lineRule="auto" w:before="7"/>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、关于董事与董事会</w:t>
      </w:r>
      <w:r>
        <w:rPr>
          <w:rFonts w:ascii="宋体" w:hAnsi="宋体" w:cs="宋体" w:eastAsia="宋体" w:hint="default"/>
          <w:w w:val="100"/>
          <w:sz w:val="21"/>
          <w:szCs w:val="21"/>
        </w:rPr>
        <w:t> </w:t>
      </w:r>
      <w:r>
        <w:rPr>
          <w:rFonts w:ascii="宋体" w:hAnsi="宋体" w:cs="宋体" w:eastAsia="宋体" w:hint="default"/>
          <w:spacing w:val="-2"/>
          <w:sz w:val="21"/>
          <w:szCs w:val="21"/>
        </w:rPr>
        <w:t>公司严格按照《公司法》、《公司章程》及《上市公司股东大会规范性意见》等相关法律法规选举产</w:t>
      </w:r>
    </w:p>
    <w:p>
      <w:pPr>
        <w:spacing w:line="273" w:lineRule="auto" w:before="22"/>
        <w:ind w:left="587" w:right="0" w:hanging="435"/>
        <w:jc w:val="left"/>
        <w:rPr>
          <w:rFonts w:ascii="宋体" w:hAnsi="宋体" w:cs="宋体" w:eastAsia="宋体" w:hint="default"/>
          <w:sz w:val="21"/>
          <w:szCs w:val="21"/>
        </w:rPr>
      </w:pPr>
      <w:r>
        <w:rPr>
          <w:rFonts w:ascii="宋体" w:hAnsi="宋体" w:cs="宋体" w:eastAsia="宋体" w:hint="default"/>
          <w:sz w:val="21"/>
          <w:szCs w:val="21"/>
        </w:rPr>
        <w:t>生董事人选，董事会人数及人员构成符合法律法规的要求。</w:t>
      </w:r>
      <w:r>
        <w:rPr>
          <w:rFonts w:ascii="宋体" w:hAnsi="宋体" w:cs="宋体" w:eastAsia="宋体" w:hint="default"/>
          <w:w w:val="100"/>
          <w:sz w:val="21"/>
          <w:szCs w:val="21"/>
        </w:rPr>
        <w:t> </w:t>
      </w:r>
      <w:r>
        <w:rPr>
          <w:rFonts w:ascii="宋体" w:hAnsi="宋体" w:cs="宋体" w:eastAsia="宋体" w:hint="default"/>
          <w:spacing w:val="-3"/>
          <w:sz w:val="21"/>
          <w:szCs w:val="21"/>
        </w:rPr>
        <w:t>公司董事会严格按照《公司章程》、《独立董事工作制度》及《董事会议事规则》、《深圳交易所中</w:t>
      </w:r>
    </w:p>
    <w:p>
      <w:pPr>
        <w:spacing w:line="273" w:lineRule="auto" w:before="7"/>
        <w:ind w:left="152" w:right="206" w:firstLine="0"/>
        <w:jc w:val="both"/>
        <w:rPr>
          <w:rFonts w:ascii="宋体" w:hAnsi="宋体" w:cs="宋体" w:eastAsia="宋体" w:hint="default"/>
          <w:sz w:val="21"/>
          <w:szCs w:val="21"/>
        </w:rPr>
      </w:pPr>
      <w:r>
        <w:rPr>
          <w:rFonts w:ascii="宋体" w:hAnsi="宋体" w:cs="宋体" w:eastAsia="宋体" w:hint="default"/>
          <w:spacing w:val="-2"/>
          <w:sz w:val="21"/>
          <w:szCs w:val="21"/>
        </w:rPr>
        <w:t>小企业板块上市公司董事行为指引》等相关规定召集召开董事会，各董事认真出席董事会，认真审议各项</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议案，履行职责，勤勉尽责。独立董事独立履行职责，维护公司整体利益，对重要及重大事项发表独立意</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见。</w:t>
      </w:r>
    </w:p>
    <w:p>
      <w:pPr>
        <w:spacing w:line="256" w:lineRule="auto" w:before="7"/>
        <w:ind w:left="657" w:right="0" w:hanging="7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、关于监事与监事会</w:t>
      </w:r>
      <w:r>
        <w:rPr>
          <w:rFonts w:ascii="宋体" w:hAnsi="宋体" w:cs="宋体" w:eastAsia="宋体" w:hint="default"/>
          <w:w w:val="100"/>
          <w:sz w:val="21"/>
          <w:szCs w:val="21"/>
        </w:rPr>
        <w:t> </w:t>
      </w:r>
      <w:r>
        <w:rPr>
          <w:rFonts w:ascii="宋体" w:hAnsi="宋体" w:cs="宋体" w:eastAsia="宋体" w:hint="default"/>
          <w:sz w:val="21"/>
          <w:szCs w:val="21"/>
        </w:rPr>
        <w:t>公司严格按照《公司法》、《公司章程》及《上市公司股东大会规范意见》等相关法律法规选举产</w:t>
      </w:r>
    </w:p>
    <w:p>
      <w:pPr>
        <w:spacing w:line="273" w:lineRule="auto" w:before="22"/>
        <w:ind w:left="573" w:right="0" w:hanging="421"/>
        <w:jc w:val="left"/>
        <w:rPr>
          <w:rFonts w:ascii="宋体" w:hAnsi="宋体" w:cs="宋体" w:eastAsia="宋体" w:hint="default"/>
          <w:sz w:val="21"/>
          <w:szCs w:val="21"/>
        </w:rPr>
      </w:pPr>
      <w:r>
        <w:rPr>
          <w:rFonts w:ascii="宋体" w:hAnsi="宋体" w:cs="宋体" w:eastAsia="宋体" w:hint="default"/>
          <w:sz w:val="21"/>
          <w:szCs w:val="21"/>
        </w:rPr>
        <w:t>生监事人选，监事会人数及人员构成符合法律法规的要求。</w:t>
      </w:r>
      <w:r>
        <w:rPr>
          <w:rFonts w:ascii="宋体" w:hAnsi="宋体" w:cs="宋体" w:eastAsia="宋体" w:hint="default"/>
          <w:w w:val="100"/>
          <w:sz w:val="21"/>
          <w:szCs w:val="21"/>
        </w:rPr>
        <w:t> </w:t>
      </w:r>
      <w:r>
        <w:rPr>
          <w:rFonts w:ascii="宋体" w:hAnsi="宋体" w:cs="宋体" w:eastAsia="宋体" w:hint="default"/>
          <w:spacing w:val="-2"/>
          <w:sz w:val="21"/>
          <w:szCs w:val="21"/>
        </w:rPr>
        <w:t>公司监事会严格按照《公司章程》及《监事会议事规则》等相关规定召集召开监事会，各监事认真出</w:t>
      </w:r>
    </w:p>
    <w:p>
      <w:pPr>
        <w:spacing w:line="264" w:lineRule="auto" w:before="8"/>
        <w:ind w:left="573" w:right="0" w:hanging="421"/>
        <w:jc w:val="left"/>
        <w:rPr>
          <w:rFonts w:ascii="宋体" w:hAnsi="宋体" w:cs="宋体" w:eastAsia="宋体" w:hint="default"/>
          <w:sz w:val="21"/>
          <w:szCs w:val="21"/>
        </w:rPr>
      </w:pPr>
      <w:r>
        <w:rPr>
          <w:rFonts w:ascii="宋体" w:hAnsi="宋体" w:cs="宋体" w:eastAsia="宋体" w:hint="default"/>
          <w:sz w:val="21"/>
          <w:szCs w:val="21"/>
        </w:rPr>
        <w:t>席监事会，认真履行职责，对公司重大事项、关联交易、财务状况等进行监督并发表意见。</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、关于信息披露与透明度</w:t>
      </w:r>
      <w:r>
        <w:rPr>
          <w:rFonts w:ascii="宋体" w:hAnsi="宋体" w:cs="宋体" w:eastAsia="宋体" w:hint="default"/>
          <w:w w:val="100"/>
          <w:sz w:val="21"/>
          <w:szCs w:val="21"/>
        </w:rPr>
        <w:t> </w:t>
      </w:r>
      <w:r>
        <w:rPr>
          <w:rFonts w:ascii="宋体" w:hAnsi="宋体" w:cs="宋体" w:eastAsia="宋体" w:hint="default"/>
          <w:spacing w:val="-3"/>
          <w:sz w:val="21"/>
          <w:szCs w:val="21"/>
        </w:rPr>
        <w:t>公司根据《公司章程》、《深圳证券交易所股票上市规则》和中国证监会及深圳证券交易所的相关法</w:t>
      </w:r>
    </w:p>
    <w:p>
      <w:pPr>
        <w:spacing w:line="264" w:lineRule="auto" w:before="16"/>
        <w:ind w:left="152" w:right="0" w:firstLine="0"/>
        <w:jc w:val="left"/>
        <w:rPr>
          <w:rFonts w:ascii="宋体" w:hAnsi="宋体" w:cs="宋体" w:eastAsia="宋体" w:hint="default"/>
          <w:sz w:val="21"/>
          <w:szCs w:val="21"/>
        </w:rPr>
      </w:pPr>
      <w:r>
        <w:rPr>
          <w:rFonts w:ascii="宋体" w:hAnsi="宋体" w:cs="宋体" w:eastAsia="宋体" w:hint="default"/>
          <w:spacing w:val="-5"/>
          <w:sz w:val="21"/>
          <w:szCs w:val="21"/>
        </w:rPr>
        <w:t>律法规的要求，认真履行信息披露义务。公司上市后指定《证券时报》、《上海证券报》、《中国证券报》</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和</w:t>
      </w:r>
      <w:r>
        <w:rPr>
          <w:rFonts w:ascii="Times New Roman" w:hAnsi="Times New Roman" w:cs="Times New Roman" w:eastAsia="Times New Roman" w:hint="default"/>
          <w:sz w:val="21"/>
          <w:szCs w:val="21"/>
        </w:rPr>
        <w:t>“</w:t>
      </w:r>
      <w:r>
        <w:rPr>
          <w:rFonts w:ascii="宋体" w:hAnsi="宋体" w:cs="宋体" w:eastAsia="宋体" w:hint="default"/>
          <w:sz w:val="21"/>
          <w:szCs w:val="21"/>
        </w:rPr>
        <w:t>巨潮资讯网</w:t>
      </w:r>
      <w:r>
        <w:rPr>
          <w:rFonts w:ascii="Times New Roman" w:hAnsi="Times New Roman" w:cs="Times New Roman" w:eastAsia="Times New Roman" w:hint="default"/>
          <w:sz w:val="21"/>
          <w:szCs w:val="21"/>
        </w:rPr>
        <w:t>”</w:t>
      </w:r>
      <w:r>
        <w:rPr>
          <w:rFonts w:ascii="宋体" w:hAnsi="宋体" w:cs="宋体" w:eastAsia="宋体" w:hint="default"/>
          <w:sz w:val="21"/>
          <w:szCs w:val="21"/>
        </w:rPr>
        <w:t>为公司信息披露的报纸和网站，真实、准确、及时地披露公司信息，确保公司所有股东公</w:t>
      </w:r>
      <w:r>
        <w:rPr>
          <w:rFonts w:ascii="宋体" w:hAnsi="宋体" w:cs="宋体" w:eastAsia="宋体" w:hint="default"/>
          <w:w w:val="100"/>
          <w:sz w:val="21"/>
          <w:szCs w:val="21"/>
        </w:rPr>
        <w:t> </w:t>
      </w:r>
      <w:r>
        <w:rPr>
          <w:rFonts w:ascii="宋体" w:hAnsi="宋体" w:cs="宋体" w:eastAsia="宋体" w:hint="default"/>
          <w:sz w:val="21"/>
          <w:szCs w:val="21"/>
        </w:rPr>
        <w:t>平地获得公司相关信息。</w:t>
      </w:r>
    </w:p>
    <w:p>
      <w:pPr>
        <w:spacing w:line="256" w:lineRule="auto" w:before="16"/>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、关于投资者关系管理</w:t>
      </w:r>
      <w:r>
        <w:rPr>
          <w:rFonts w:ascii="宋体" w:hAnsi="宋体" w:cs="宋体" w:eastAsia="宋体" w:hint="default"/>
          <w:w w:val="100"/>
          <w:sz w:val="21"/>
          <w:szCs w:val="21"/>
        </w:rPr>
        <w:t> </w:t>
      </w:r>
      <w:r>
        <w:rPr>
          <w:rFonts w:ascii="宋体" w:hAnsi="宋体" w:cs="宋体" w:eastAsia="宋体" w:hint="default"/>
          <w:spacing w:val="-3"/>
          <w:sz w:val="21"/>
          <w:szCs w:val="21"/>
        </w:rPr>
        <w:t>报告期内，公司严格按照有关法律法规及《深圳证券交易所股票上市规则》履行信息披露，以确保公</w:t>
      </w:r>
    </w:p>
    <w:p>
      <w:pPr>
        <w:spacing w:line="273" w:lineRule="auto" w:before="22"/>
        <w:ind w:left="152" w:right="206" w:firstLine="0"/>
        <w:jc w:val="both"/>
        <w:rPr>
          <w:rFonts w:ascii="宋体" w:hAnsi="宋体" w:cs="宋体" w:eastAsia="宋体" w:hint="default"/>
          <w:sz w:val="21"/>
          <w:szCs w:val="21"/>
        </w:rPr>
      </w:pPr>
      <w:r>
        <w:rPr>
          <w:rFonts w:ascii="宋体" w:hAnsi="宋体" w:cs="宋体" w:eastAsia="宋体" w:hint="default"/>
          <w:spacing w:val="-2"/>
          <w:sz w:val="21"/>
          <w:szCs w:val="21"/>
        </w:rPr>
        <w:t>司所有股东以平等的机会获得信息；此外，公司指定董事会秘书为投资者关系管理负责人，组织实施投资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者关系的日常管理工作，通过电话、邮件、互动易等形式及时解答投资者问题；指定证券事务部为专门的</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投资者关系管理机构，加强与投资者的沟通，充分保证了广大投资者的知情权。</w:t>
      </w:r>
    </w:p>
    <w:p>
      <w:pPr>
        <w:spacing w:line="256" w:lineRule="auto" w:before="7"/>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、绩效评价与激励</w:t>
      </w:r>
      <w:r>
        <w:rPr>
          <w:rFonts w:ascii="宋体" w:hAnsi="宋体" w:cs="宋体" w:eastAsia="宋体" w:hint="default"/>
          <w:w w:val="100"/>
          <w:sz w:val="21"/>
          <w:szCs w:val="21"/>
        </w:rPr>
        <w:t> </w:t>
      </w:r>
      <w:r>
        <w:rPr>
          <w:rFonts w:ascii="宋体" w:hAnsi="宋体" w:cs="宋体" w:eastAsia="宋体" w:hint="default"/>
          <w:spacing w:val="-5"/>
          <w:sz w:val="21"/>
          <w:szCs w:val="21"/>
        </w:rPr>
        <w:t>通过绩效考核，有效地达到了公司对每位员工的综合评价，进一步了解每一位员工的工作能力与专长，</w:t>
      </w:r>
    </w:p>
    <w:p>
      <w:pPr>
        <w:spacing w:before="22"/>
        <w:ind w:left="152" w:right="0" w:firstLine="0"/>
        <w:jc w:val="left"/>
        <w:rPr>
          <w:rFonts w:ascii="宋体" w:hAnsi="宋体" w:cs="宋体" w:eastAsia="宋体" w:hint="default"/>
          <w:sz w:val="21"/>
          <w:szCs w:val="21"/>
        </w:rPr>
      </w:pPr>
      <w:r>
        <w:rPr>
          <w:rFonts w:ascii="宋体" w:hAnsi="宋体" w:cs="宋体" w:eastAsia="宋体" w:hint="default"/>
          <w:sz w:val="21"/>
          <w:szCs w:val="21"/>
        </w:rPr>
        <w:t>从而有效地调整合适岗位，达到绩效考核的目标；公司正逐步完善绩效考评机制，公司高级管理人员和中</w:t>
      </w:r>
    </w:p>
    <w:p>
      <w:pPr>
        <w:spacing w:after="0"/>
        <w:jc w:val="left"/>
        <w:rPr>
          <w:rFonts w:ascii="宋体" w:hAnsi="宋体" w:cs="宋体" w:eastAsia="宋体" w:hint="default"/>
          <w:sz w:val="21"/>
          <w:szCs w:val="21"/>
        </w:rPr>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spacing w:before="36"/>
        <w:ind w:left="152" w:right="94" w:firstLine="0"/>
        <w:jc w:val="left"/>
        <w:rPr>
          <w:rFonts w:ascii="宋体" w:hAnsi="宋体" w:cs="宋体" w:eastAsia="宋体" w:hint="default"/>
          <w:sz w:val="21"/>
          <w:szCs w:val="21"/>
        </w:rPr>
      </w:pPr>
      <w:r>
        <w:rPr>
          <w:rFonts w:ascii="宋体" w:hAnsi="宋体" w:cs="宋体" w:eastAsia="宋体" w:hint="default"/>
          <w:sz w:val="21"/>
          <w:szCs w:val="21"/>
        </w:rPr>
        <w:t>层管理人员的薪酬与公司经营业绩指标挂钩。</w:t>
      </w:r>
    </w:p>
    <w:p>
      <w:pPr>
        <w:spacing w:line="256" w:lineRule="auto" w:before="37"/>
        <w:ind w:left="573" w:right="94" w:firstLine="14"/>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、关于相关利益者</w:t>
      </w:r>
      <w:r>
        <w:rPr>
          <w:rFonts w:ascii="宋体" w:hAnsi="宋体" w:cs="宋体" w:eastAsia="宋体" w:hint="default"/>
          <w:w w:val="100"/>
          <w:sz w:val="21"/>
          <w:szCs w:val="21"/>
        </w:rPr>
        <w:t> </w:t>
      </w:r>
      <w:r>
        <w:rPr>
          <w:rFonts w:ascii="宋体" w:hAnsi="宋体" w:cs="宋体" w:eastAsia="宋体" w:hint="default"/>
          <w:spacing w:val="-2"/>
          <w:sz w:val="21"/>
          <w:szCs w:val="21"/>
        </w:rPr>
        <w:t>公司能够充分尊重和维护相关利益者的合法权益，实现股东、员工、社会等各方面利益的协调平衡，</w:t>
      </w:r>
    </w:p>
    <w:p>
      <w:pPr>
        <w:spacing w:line="307" w:lineRule="auto" w:before="22"/>
        <w:ind w:left="489" w:right="94" w:hanging="337"/>
        <w:jc w:val="left"/>
        <w:rPr>
          <w:rFonts w:ascii="宋体" w:hAnsi="宋体" w:cs="宋体" w:eastAsia="宋体" w:hint="default"/>
          <w:sz w:val="21"/>
          <w:szCs w:val="21"/>
        </w:rPr>
      </w:pPr>
      <w:r>
        <w:rPr>
          <w:rFonts w:ascii="宋体" w:hAnsi="宋体" w:cs="宋体" w:eastAsia="宋体" w:hint="default"/>
          <w:sz w:val="21"/>
          <w:szCs w:val="21"/>
        </w:rPr>
        <w:t>共同推动公司持续、健康的发展。</w:t>
      </w:r>
      <w:r>
        <w:rPr>
          <w:rFonts w:ascii="宋体" w:hAnsi="宋体" w:cs="宋体" w:eastAsia="宋体" w:hint="default"/>
          <w:w w:val="100"/>
          <w:sz w:val="21"/>
          <w:szCs w:val="21"/>
        </w:rPr>
        <w:t> </w:t>
      </w:r>
      <w:r>
        <w:rPr>
          <w:rFonts w:ascii="宋体" w:hAnsi="宋体" w:cs="宋体" w:eastAsia="宋体" w:hint="default"/>
          <w:sz w:val="21"/>
          <w:szCs w:val="21"/>
        </w:rPr>
        <w:t>公司将在治理方面继续加大力度，不断完善公司法人治理结构，继续做好信息披露工作，以增强公司</w:t>
      </w:r>
    </w:p>
    <w:p>
      <w:pPr>
        <w:spacing w:line="253" w:lineRule="exact" w:before="0"/>
        <w:ind w:left="152" w:right="94" w:firstLine="0"/>
        <w:jc w:val="left"/>
        <w:rPr>
          <w:rFonts w:ascii="宋体" w:hAnsi="宋体" w:cs="宋体" w:eastAsia="宋体" w:hint="default"/>
          <w:sz w:val="21"/>
          <w:szCs w:val="21"/>
        </w:rPr>
      </w:pPr>
      <w:r>
        <w:rPr>
          <w:rFonts w:ascii="宋体" w:hAnsi="宋体" w:cs="宋体" w:eastAsia="宋体" w:hint="default"/>
          <w:sz w:val="21"/>
          <w:szCs w:val="21"/>
        </w:rPr>
        <w:t>透明度，加强投资者关系管理，保护中小投资者利益。</w:t>
      </w:r>
    </w:p>
    <w:p>
      <w:pPr>
        <w:spacing w:before="96"/>
        <w:ind w:left="152" w:right="94"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line="340" w:lineRule="auto" w:before="117"/>
        <w:ind w:left="152" w:right="4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公司治理与《公司法》和中国证监会相关规定的要求不存在差异。</w:t>
      </w:r>
    </w:p>
    <w:p>
      <w:pPr>
        <w:spacing w:line="338" w:lineRule="auto" w:before="39"/>
        <w:ind w:left="152" w:right="94" w:firstLine="0"/>
        <w:jc w:val="left"/>
        <w:rPr>
          <w:rFonts w:ascii="宋体" w:hAnsi="宋体" w:cs="宋体" w:eastAsia="宋体" w:hint="default"/>
          <w:sz w:val="18"/>
          <w:szCs w:val="18"/>
        </w:rPr>
      </w:pPr>
      <w:r>
        <w:rPr>
          <w:rFonts w:ascii="宋体" w:hAnsi="宋体" w:cs="宋体" w:eastAsia="宋体" w:hint="default"/>
          <w:sz w:val="18"/>
          <w:szCs w:val="18"/>
        </w:rPr>
        <w:t>公司治理专项活动开展情况以及内幕信息知情人登记管理制度的制定、实施情况 </w:t>
      </w:r>
      <w:r>
        <w:rPr>
          <w:rFonts w:ascii="宋体" w:hAnsi="宋体" w:cs="宋体" w:eastAsia="宋体" w:hint="default"/>
          <w:spacing w:val="-2"/>
          <w:sz w:val="18"/>
          <w:szCs w:val="18"/>
        </w:rPr>
        <w:t>公司按照中国证监会、深圳证券交易所的相关要求，建立了《内幕信息知情人管理制度》；报告期内，公司认真做好内幕信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息知情人的登记、报备工作；组织公司董事、监事、高级管理人员以及可接触内幕信息的相关岗位员工对相关文件进行学习，</w:t>
      </w:r>
    </w:p>
    <w:p>
      <w:pPr>
        <w:spacing w:line="316" w:lineRule="auto" w:before="2"/>
        <w:ind w:left="152" w:right="94" w:firstLine="0"/>
        <w:jc w:val="left"/>
        <w:rPr>
          <w:rFonts w:ascii="宋体" w:hAnsi="宋体" w:cs="宋体" w:eastAsia="宋体" w:hint="default"/>
          <w:sz w:val="18"/>
          <w:szCs w:val="18"/>
        </w:rPr>
      </w:pPr>
      <w:r>
        <w:rPr>
          <w:rFonts w:ascii="宋体" w:hAnsi="宋体" w:cs="宋体" w:eastAsia="宋体" w:hint="default"/>
          <w:spacing w:val="-2"/>
          <w:sz w:val="18"/>
          <w:szCs w:val="18"/>
        </w:rPr>
        <w:t>提高相关人员的合规、保密意识，规范对外报送信息及外部信息使用人使用本公司信息的行为。报告期内，公司未发生内幕</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知情人违规买卖股票及内幕信息泄露等情形。</w:t>
      </w:r>
    </w:p>
    <w:p>
      <w:pPr>
        <w:spacing w:line="240" w:lineRule="auto" w:before="11"/>
        <w:rPr>
          <w:rFonts w:ascii="宋体" w:hAnsi="宋体" w:cs="宋体" w:eastAsia="宋体" w:hint="default"/>
          <w:sz w:val="20"/>
          <w:szCs w:val="20"/>
        </w:rPr>
      </w:pPr>
    </w:p>
    <w:p>
      <w:pPr>
        <w:pStyle w:val="Heading3"/>
        <w:spacing w:line="240" w:lineRule="auto"/>
        <w:ind w:right="94"/>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、本报告期年度股东大会情况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spacing w:before="44"/>
        <w:ind w:left="0" w:right="200" w:firstLine="0"/>
        <w:jc w:val="right"/>
        <w:rPr>
          <w:rFonts w:ascii="宋体" w:hAnsi="宋体" w:cs="宋体" w:eastAsia="宋体" w:hint="default"/>
          <w:sz w:val="18"/>
          <w:szCs w:val="18"/>
        </w:rPr>
      </w:pPr>
      <w:r>
        <w:rPr/>
        <w:pict>
          <v:shape style="position:absolute;margin-left:56.400002pt;margin-top:-114.508301pt;width:479.15pt;height:383.9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26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年度董 事会工作报告的议 </w:t>
                        </w:r>
                        <w:r>
                          <w:rPr>
                            <w:rFonts w:ascii="宋体" w:hAnsi="宋体" w:cs="宋体" w:eastAsia="宋体" w:hint="default"/>
                            <w:spacing w:val="-31"/>
                            <w:sz w:val="18"/>
                            <w:szCs w:val="18"/>
                          </w:rPr>
                          <w:t>案》、《关于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度监事会工作报告 </w:t>
                        </w:r>
                        <w:r>
                          <w:rPr>
                            <w:rFonts w:ascii="宋体" w:hAnsi="宋体" w:cs="宋体" w:eastAsia="宋体" w:hint="default"/>
                            <w:spacing w:val="-23"/>
                            <w:sz w:val="18"/>
                            <w:szCs w:val="18"/>
                          </w:rPr>
                          <w:t>的议案》、《关于</w:t>
                        </w:r>
                        <w:r>
                          <w:rPr>
                            <w:rFonts w:ascii="宋体" w:hAnsi="宋体" w:cs="宋体" w:eastAsia="宋体" w:hint="default"/>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年度报告及其 </w:t>
                        </w:r>
                        <w:r>
                          <w:rPr>
                            <w:rFonts w:ascii="宋体" w:hAnsi="宋体" w:cs="宋体" w:eastAsia="宋体" w:hint="default"/>
                            <w:spacing w:val="-27"/>
                            <w:sz w:val="18"/>
                            <w:szCs w:val="18"/>
                          </w:rPr>
                          <w:t>摘要的议案》、《关于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年度财务决算 </w:t>
                        </w:r>
                        <w:r>
                          <w:rPr>
                            <w:rFonts w:ascii="宋体" w:hAnsi="宋体" w:cs="宋体" w:eastAsia="宋体" w:hint="default"/>
                            <w:spacing w:val="-27"/>
                            <w:sz w:val="18"/>
                            <w:szCs w:val="18"/>
                          </w:rPr>
                          <w:t>报告的议案》、《关于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 </w:t>
                        </w:r>
                        <w:r>
                          <w:rPr>
                            <w:rFonts w:ascii="宋体" w:hAnsi="宋体" w:cs="宋体" w:eastAsia="宋体" w:hint="default"/>
                            <w:spacing w:val="-27"/>
                            <w:sz w:val="18"/>
                            <w:szCs w:val="18"/>
                          </w:rPr>
                          <w:t>预案的议案》、《关于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年度内部控制 自我评价报告的议 </w:t>
                        </w:r>
                        <w:r>
                          <w:rPr>
                            <w:rFonts w:ascii="宋体" w:hAnsi="宋体" w:cs="宋体" w:eastAsia="宋体" w:hint="default"/>
                            <w:spacing w:val="-31"/>
                            <w:sz w:val="18"/>
                            <w:szCs w:val="18"/>
                          </w:rPr>
                          <w:t>案》、《关于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募集资金存放与使 用情况专项报告的 </w:t>
                        </w:r>
                        <w:r>
                          <w:rPr>
                            <w:rFonts w:ascii="宋体" w:hAnsi="宋体" w:cs="宋体" w:eastAsia="宋体" w:hint="default"/>
                            <w:spacing w:val="-27"/>
                            <w:sz w:val="18"/>
                            <w:szCs w:val="18"/>
                          </w:rPr>
                          <w:t>议案》、《关于续聘瑞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华会计师事务所（特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殊普通合伙）为公司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年度审计机构 </w:t>
                        </w:r>
                        <w:r>
                          <w:rPr>
                            <w:rFonts w:ascii="宋体" w:hAnsi="宋体" w:cs="宋体" w:eastAsia="宋体" w:hint="default"/>
                            <w:spacing w:val="-27"/>
                            <w:sz w:val="18"/>
                            <w:szCs w:val="18"/>
                          </w:rPr>
                          <w:t>的议案》、《关于修订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r>
                          <w:rPr>
                            <w:rFonts w:ascii="Times New Roman" w:hAnsi="Times New Roman" w:cs="Times New Roman" w:eastAsia="Times New Roman" w:hint="default"/>
                            <w:sz w:val="18"/>
                            <w:szCs w:val="18"/>
                          </w:rPr>
                          <w:t>&lt;</w:t>
                        </w:r>
                        <w:r>
                          <w:rPr>
                            <w:rFonts w:ascii="宋体" w:hAnsi="宋体" w:cs="宋体" w:eastAsia="宋体" w:hint="default"/>
                            <w:sz w:val="18"/>
                            <w:szCs w:val="18"/>
                          </w:rPr>
                          <w:t>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 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刊登</w:t>
                        </w:r>
                        <w:r>
                          <w:rPr>
                            <w:rFonts w:ascii="宋体" w:hAnsi="宋体" w:cs="宋体" w:eastAsia="宋体" w:hint="default"/>
                            <w:spacing w:val="-82"/>
                            <w:sz w:val="18"/>
                            <w:szCs w:val="18"/>
                          </w:rPr>
                          <w:t>在</w:t>
                        </w: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319" w:lineRule="auto" w:before="74"/>
                          <w:ind w:left="24" w:right="19"/>
                          <w:jc w:val="both"/>
                          <w:rPr>
                            <w:rFonts w:ascii="宋体" w:hAnsi="宋体" w:cs="宋体" w:eastAsia="宋体" w:hint="default"/>
                            <w:sz w:val="18"/>
                            <w:szCs w:val="18"/>
                          </w:rPr>
                        </w:pPr>
                        <w:r>
                          <w:rPr>
                            <w:rFonts w:ascii="宋体" w:hAnsi="宋体" w:cs="宋体" w:eastAsia="宋体" w:hint="default"/>
                            <w:spacing w:val="-27"/>
                            <w:sz w:val="18"/>
                            <w:szCs w:val="18"/>
                          </w:rPr>
                          <w:t>《中国证券报》、《上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海证券报》和巨潮资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讯网</w:t>
                        </w:r>
                      </w:p>
                      <w:p>
                        <w:pPr>
                          <w:pStyle w:val="TableParagraph"/>
                          <w:spacing w:line="304" w:lineRule="auto" w:before="17"/>
                          <w:ind w:left="24" w:right="19"/>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8"/>
                            <w:sz w:val="18"/>
                            <w:szCs w:val="18"/>
                          </w:rPr>
                          <w:t>cn</w:t>
                        </w:r>
                        <w:r>
                          <w:rPr>
                            <w:rFonts w:ascii="宋体" w:hAnsi="宋体" w:cs="宋体" w:eastAsia="宋体" w:hint="default"/>
                            <w:spacing w:val="-8"/>
                            <w:sz w:val="18"/>
                            <w:szCs w:val="18"/>
                          </w:rPr>
                          <w:t>）上的《马鞍山鼎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泰稀土新材料股份 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股东大会决议公告</w:t>
                        </w:r>
                      </w:p>
                      <w:p>
                        <w:pPr>
                          <w:pStyle w:val="TableParagraph"/>
                          <w:spacing w:line="240" w:lineRule="auto" w:before="28"/>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2014-21</w:t>
                        </w: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before="44"/>
        <w:ind w:left="0" w:right="20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spacing w:before="36"/>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、本报告期临时股东大会情况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spacing w:before="44"/>
        <w:ind w:left="0" w:right="160" w:firstLine="0"/>
        <w:jc w:val="right"/>
        <w:rPr>
          <w:rFonts w:ascii="宋体" w:hAnsi="宋体" w:cs="宋体" w:eastAsia="宋体" w:hint="default"/>
          <w:sz w:val="18"/>
          <w:szCs w:val="18"/>
        </w:rPr>
      </w:pPr>
      <w:r>
        <w:rPr/>
        <w:pict>
          <v:shape style="position:absolute;margin-left:56.400002pt;margin-top:-20.768269pt;width:479.15pt;height:372.8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9" w:lineRule="auto"/>
                          <w:ind w:left="23" w:right="22"/>
                          <w:jc w:val="left"/>
                          <w:rPr>
                            <w:rFonts w:ascii="宋体" w:hAnsi="宋体" w:cs="宋体" w:eastAsia="宋体" w:hint="default"/>
                            <w:sz w:val="18"/>
                            <w:szCs w:val="18"/>
                          </w:rPr>
                        </w:pPr>
                        <w:r>
                          <w:rPr>
                            <w:rFonts w:ascii="宋体" w:hAnsi="宋体" w:cs="宋体" w:eastAsia="宋体" w:hint="default"/>
                            <w:sz w:val="18"/>
                            <w:szCs w:val="18"/>
                          </w:rPr>
                          <w:t>《关于修订公司</w:t>
                        </w:r>
                        <w:r>
                          <w:rPr>
                            <w:rFonts w:ascii="Times New Roman" w:hAnsi="Times New Roman" w:cs="Times New Roman" w:eastAsia="Times New Roman" w:hint="default"/>
                            <w:sz w:val="18"/>
                            <w:szCs w:val="18"/>
                          </w:rPr>
                          <w:t>&lt; </w:t>
                        </w:r>
                        <w:r>
                          <w:rPr>
                            <w:rFonts w:ascii="宋体" w:hAnsi="宋体" w:cs="宋体" w:eastAsia="宋体" w:hint="default"/>
                            <w:spacing w:val="-19"/>
                            <w:sz w:val="18"/>
                            <w:szCs w:val="18"/>
                          </w:rPr>
                          <w:t>章程</w:t>
                        </w:r>
                        <w:r>
                          <w:rPr>
                            <w:rFonts w:ascii="Times New Roman" w:hAnsi="Times New Roman" w:cs="Times New Roman" w:eastAsia="Times New Roman" w:hint="default"/>
                            <w:spacing w:val="-19"/>
                            <w:sz w:val="18"/>
                            <w:szCs w:val="18"/>
                          </w:rPr>
                          <w:t>&gt;</w:t>
                        </w:r>
                        <w:r>
                          <w:rPr>
                            <w:rFonts w:ascii="宋体" w:hAnsi="宋体" w:cs="宋体" w:eastAsia="宋体" w:hint="default"/>
                            <w:spacing w:val="-19"/>
                            <w:sz w:val="18"/>
                            <w:szCs w:val="18"/>
                          </w:rPr>
                          <w:t>的议案》、《关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于公司董事会换届 </w:t>
                        </w:r>
                        <w:r>
                          <w:rPr>
                            <w:rFonts w:ascii="宋体" w:hAnsi="宋体" w:cs="宋体" w:eastAsia="宋体" w:hint="default"/>
                            <w:spacing w:val="-27"/>
                            <w:sz w:val="18"/>
                            <w:szCs w:val="18"/>
                          </w:rPr>
                          <w:t>选举的议案》、《关于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公司监事会换届选 </w:t>
                        </w:r>
                        <w:r>
                          <w:rPr>
                            <w:rFonts w:ascii="宋体" w:hAnsi="宋体" w:cs="宋体" w:eastAsia="宋体" w:hint="default"/>
                            <w:spacing w:val="-27"/>
                            <w:sz w:val="18"/>
                            <w:szCs w:val="18"/>
                          </w:rPr>
                          <w:t>举的议案》、《关于修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订公司</w:t>
                        </w:r>
                        <w:r>
                          <w:rPr>
                            <w:rFonts w:ascii="Times New Roman" w:hAnsi="Times New Roman" w:cs="Times New Roman" w:eastAsia="Times New Roman" w:hint="default"/>
                            <w:sz w:val="18"/>
                            <w:szCs w:val="18"/>
                          </w:rPr>
                          <w:t>&lt;</w:t>
                        </w:r>
                        <w:r>
                          <w:rPr>
                            <w:rFonts w:ascii="宋体" w:hAnsi="宋体" w:cs="宋体" w:eastAsia="宋体" w:hint="default"/>
                            <w:sz w:val="18"/>
                            <w:szCs w:val="18"/>
                          </w:rPr>
                          <w:t>董事会议 </w:t>
                        </w:r>
                        <w:r>
                          <w:rPr>
                            <w:rFonts w:ascii="宋体" w:hAnsi="宋体" w:cs="宋体" w:eastAsia="宋体" w:hint="default"/>
                            <w:spacing w:val="-11"/>
                            <w:sz w:val="18"/>
                            <w:szCs w:val="18"/>
                          </w:rPr>
                          <w:t>事规则</w:t>
                        </w:r>
                        <w:r>
                          <w:rPr>
                            <w:rFonts w:ascii="Times New Roman" w:hAnsi="Times New Roman" w:cs="Times New Roman" w:eastAsia="Times New Roman" w:hint="default"/>
                            <w:spacing w:val="-11"/>
                            <w:sz w:val="18"/>
                            <w:szCs w:val="18"/>
                          </w:rPr>
                          <w:t>&gt;</w:t>
                        </w:r>
                        <w:r>
                          <w:rPr>
                            <w:rFonts w:ascii="宋体" w:hAnsi="宋体" w:cs="宋体" w:eastAsia="宋体" w:hint="default"/>
                            <w:spacing w:val="-11"/>
                            <w:sz w:val="18"/>
                            <w:szCs w:val="18"/>
                          </w:rPr>
                          <w:t>的议案》、</w:t>
                        </w:r>
                      </w:p>
                      <w:p>
                        <w:pPr>
                          <w:pStyle w:val="TableParagraph"/>
                          <w:spacing w:line="316" w:lineRule="auto" w:before="5"/>
                          <w:ind w:left="23" w:right="119"/>
                          <w:jc w:val="left"/>
                          <w:rPr>
                            <w:rFonts w:ascii="宋体" w:hAnsi="宋体" w:cs="宋体" w:eastAsia="宋体" w:hint="default"/>
                            <w:sz w:val="18"/>
                            <w:szCs w:val="18"/>
                          </w:rPr>
                        </w:pPr>
                        <w:r>
                          <w:rPr>
                            <w:rFonts w:ascii="宋体" w:hAnsi="宋体" w:cs="宋体" w:eastAsia="宋体" w:hint="default"/>
                            <w:sz w:val="18"/>
                            <w:szCs w:val="18"/>
                          </w:rPr>
                          <w:t>《关于调整公司独 立董事津贴的议案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审议通过</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刊登</w:t>
                        </w:r>
                        <w:r>
                          <w:rPr>
                            <w:rFonts w:ascii="宋体" w:hAnsi="宋体" w:cs="宋体" w:eastAsia="宋体" w:hint="default"/>
                            <w:spacing w:val="-82"/>
                            <w:sz w:val="18"/>
                            <w:szCs w:val="18"/>
                          </w:rPr>
                          <w:t>在</w:t>
                        </w:r>
                        <w:r>
                          <w:rPr>
                            <w:rFonts w:ascii="宋体" w:hAnsi="宋体" w:cs="宋体" w:eastAsia="宋体" w:hint="default"/>
                            <w:sz w:val="18"/>
                            <w:szCs w:val="18"/>
                          </w:rPr>
                          <w:t>《证</w:t>
                        </w:r>
                        <w:r>
                          <w:rPr>
                            <w:rFonts w:ascii="宋体" w:hAnsi="宋体" w:cs="宋体" w:eastAsia="宋体" w:hint="default"/>
                            <w:spacing w:val="-1"/>
                            <w:sz w:val="18"/>
                            <w:szCs w:val="18"/>
                          </w:rPr>
                          <w:t>券</w:t>
                        </w:r>
                        <w:r>
                          <w:rPr>
                            <w:rFonts w:ascii="宋体" w:hAnsi="宋体" w:cs="宋体" w:eastAsia="宋体" w:hint="default"/>
                            <w:sz w:val="18"/>
                            <w:szCs w:val="18"/>
                          </w:rPr>
                          <w:t>时报</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316" w:lineRule="auto" w:before="76"/>
                          <w:ind w:left="24" w:right="19"/>
                          <w:jc w:val="both"/>
                          <w:rPr>
                            <w:rFonts w:ascii="宋体" w:hAnsi="宋体" w:cs="宋体" w:eastAsia="宋体" w:hint="default"/>
                            <w:sz w:val="18"/>
                            <w:szCs w:val="18"/>
                          </w:rPr>
                        </w:pPr>
                        <w:r>
                          <w:rPr>
                            <w:rFonts w:ascii="宋体" w:hAnsi="宋体" w:cs="宋体" w:eastAsia="宋体" w:hint="default"/>
                            <w:spacing w:val="-27"/>
                            <w:sz w:val="18"/>
                            <w:szCs w:val="18"/>
                          </w:rPr>
                          <w:t>《中国证券报》、《上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海证券报》和巨潮资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讯网</w:t>
                        </w:r>
                      </w:p>
                      <w:p>
                        <w:pPr>
                          <w:pStyle w:val="TableParagraph"/>
                          <w:spacing w:line="309" w:lineRule="auto" w:before="19"/>
                          <w:ind w:left="24" w:right="19"/>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8"/>
                            <w:sz w:val="18"/>
                            <w:szCs w:val="18"/>
                          </w:rPr>
                          <w:t>cn</w:t>
                        </w:r>
                        <w:r>
                          <w:rPr>
                            <w:rFonts w:ascii="宋体" w:hAnsi="宋体" w:cs="宋体" w:eastAsia="宋体" w:hint="default"/>
                            <w:spacing w:val="-8"/>
                            <w:sz w:val="18"/>
                            <w:szCs w:val="18"/>
                          </w:rPr>
                          <w:t>）上的《马鞍山鼎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泰稀土新材料股份 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一次临时股东大会 </w:t>
                        </w:r>
                        <w:r>
                          <w:rPr>
                            <w:rFonts w:ascii="宋体" w:hAnsi="宋体" w:cs="宋体" w:eastAsia="宋体" w:hint="default"/>
                            <w:spacing w:val="-11"/>
                            <w:sz w:val="18"/>
                            <w:szCs w:val="18"/>
                          </w:rPr>
                          <w:t>决议公告》（公告编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2014-09</w:t>
                        </w:r>
                        <w:r>
                          <w:rPr>
                            <w:rFonts w:ascii="宋体" w:hAnsi="宋体" w:cs="宋体" w:eastAsia="宋体" w:hint="default"/>
                            <w:sz w:val="18"/>
                            <w:szCs w:val="18"/>
                          </w:rPr>
                          <w:t>）</w:t>
                        </w:r>
                      </w:p>
                    </w:tc>
                  </w:tr>
                  <w:tr>
                    <w:trPr>
                      <w:trHeight w:val="352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2" w:lineRule="auto"/>
                          <w:ind w:left="23" w:right="5"/>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年半年 度利润分配预案的 </w:t>
                        </w:r>
                        <w:r>
                          <w:rPr>
                            <w:rFonts w:ascii="宋体" w:hAnsi="宋体" w:cs="宋体" w:eastAsia="宋体" w:hint="default"/>
                            <w:spacing w:val="-27"/>
                            <w:sz w:val="18"/>
                            <w:szCs w:val="18"/>
                          </w:rPr>
                          <w:t>议案》、《关于修订公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司</w:t>
                        </w:r>
                        <w:r>
                          <w:rPr>
                            <w:rFonts w:ascii="Times New Roman" w:hAnsi="Times New Roman" w:cs="Times New Roman" w:eastAsia="Times New Roman" w:hint="default"/>
                            <w:spacing w:val="-10"/>
                            <w:sz w:val="18"/>
                            <w:szCs w:val="18"/>
                          </w:rPr>
                          <w:t>&lt;</w:t>
                        </w:r>
                        <w:r>
                          <w:rPr>
                            <w:rFonts w:ascii="宋体" w:hAnsi="宋体" w:cs="宋体" w:eastAsia="宋体" w:hint="default"/>
                            <w:spacing w:val="-10"/>
                            <w:sz w:val="18"/>
                            <w:szCs w:val="18"/>
                          </w:rPr>
                          <w:t>章程</w:t>
                        </w:r>
                        <w:r>
                          <w:rPr>
                            <w:rFonts w:ascii="Times New Roman" w:hAnsi="Times New Roman" w:cs="Times New Roman" w:eastAsia="Times New Roman" w:hint="default"/>
                            <w:spacing w:val="-10"/>
                            <w:sz w:val="18"/>
                            <w:szCs w:val="18"/>
                          </w:rPr>
                          <w:t>&gt;</w:t>
                        </w:r>
                        <w:r>
                          <w:rPr>
                            <w:rFonts w:ascii="宋体" w:hAnsi="宋体" w:cs="宋体" w:eastAsia="宋体" w:hint="default"/>
                            <w:spacing w:val="-10"/>
                            <w:sz w:val="18"/>
                            <w:szCs w:val="18"/>
                          </w:rPr>
                          <w:t>的议案》、</w:t>
                        </w:r>
                      </w:p>
                      <w:p>
                        <w:pPr>
                          <w:pStyle w:val="TableParagraph"/>
                          <w:spacing w:line="309" w:lineRule="auto" w:before="3"/>
                          <w:ind w:left="23" w:right="196"/>
                          <w:jc w:val="left"/>
                          <w:rPr>
                            <w:rFonts w:ascii="宋体" w:hAnsi="宋体" w:cs="宋体" w:eastAsia="宋体" w:hint="default"/>
                            <w:sz w:val="18"/>
                            <w:szCs w:val="18"/>
                          </w:rPr>
                        </w:pPr>
                        <w:r>
                          <w:rPr>
                            <w:rFonts w:ascii="宋体" w:hAnsi="宋体" w:cs="宋体" w:eastAsia="宋体" w:hint="default"/>
                            <w:sz w:val="18"/>
                            <w:szCs w:val="18"/>
                          </w:rPr>
                          <w:t>《关于修订公司</w:t>
                        </w:r>
                        <w:r>
                          <w:rPr>
                            <w:rFonts w:ascii="Times New Roman" w:hAnsi="Times New Roman" w:cs="Times New Roman" w:eastAsia="Times New Roman" w:hint="default"/>
                            <w:sz w:val="18"/>
                            <w:szCs w:val="18"/>
                          </w:rPr>
                          <w:t>&lt; </w:t>
                        </w:r>
                        <w:r>
                          <w:rPr>
                            <w:rFonts w:ascii="宋体" w:hAnsi="宋体" w:cs="宋体" w:eastAsia="宋体" w:hint="default"/>
                            <w:sz w:val="18"/>
                            <w:szCs w:val="18"/>
                          </w:rPr>
                          <w:t>股东大会议事规 则</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刊登</w:t>
                        </w:r>
                        <w:r>
                          <w:rPr>
                            <w:rFonts w:ascii="宋体" w:hAnsi="宋体" w:cs="宋体" w:eastAsia="宋体" w:hint="default"/>
                            <w:spacing w:val="-82"/>
                            <w:sz w:val="18"/>
                            <w:szCs w:val="18"/>
                          </w:rPr>
                          <w:t>在</w:t>
                        </w: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316" w:lineRule="auto" w:before="74"/>
                          <w:ind w:left="24" w:right="19"/>
                          <w:jc w:val="both"/>
                          <w:rPr>
                            <w:rFonts w:ascii="宋体" w:hAnsi="宋体" w:cs="宋体" w:eastAsia="宋体" w:hint="default"/>
                            <w:sz w:val="18"/>
                            <w:szCs w:val="18"/>
                          </w:rPr>
                        </w:pPr>
                        <w:r>
                          <w:rPr>
                            <w:rFonts w:ascii="宋体" w:hAnsi="宋体" w:cs="宋体" w:eastAsia="宋体" w:hint="default"/>
                            <w:spacing w:val="-27"/>
                            <w:sz w:val="18"/>
                            <w:szCs w:val="18"/>
                          </w:rPr>
                          <w:t>《中国证券报》、《上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海证券报》和巨潮资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讯网</w:t>
                        </w:r>
                      </w:p>
                      <w:p>
                        <w:pPr>
                          <w:pStyle w:val="TableParagraph"/>
                          <w:spacing w:line="309" w:lineRule="auto" w:before="19"/>
                          <w:ind w:left="24" w:right="19"/>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8"/>
                            <w:sz w:val="18"/>
                            <w:szCs w:val="18"/>
                          </w:rPr>
                          <w:t>cn</w:t>
                        </w:r>
                        <w:r>
                          <w:rPr>
                            <w:rFonts w:ascii="宋体" w:hAnsi="宋体" w:cs="宋体" w:eastAsia="宋体" w:hint="default"/>
                            <w:spacing w:val="-8"/>
                            <w:sz w:val="18"/>
                            <w:szCs w:val="18"/>
                          </w:rPr>
                          <w:t>）上的《马鞍山鼎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泰稀土新材料股份 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二次临时股东大会 </w:t>
                        </w:r>
                        <w:r>
                          <w:rPr>
                            <w:rFonts w:ascii="宋体" w:hAnsi="宋体" w:cs="宋体" w:eastAsia="宋体" w:hint="default"/>
                            <w:spacing w:val="-11"/>
                            <w:sz w:val="18"/>
                            <w:szCs w:val="18"/>
                          </w:rPr>
                          <w:t>决议公告》（公告编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2014-27</w:t>
                        </w: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line="1560" w:lineRule="exact"/>
        <w:ind w:left="4944" w:right="0" w:firstLine="0"/>
        <w:rPr>
          <w:rFonts w:ascii="宋体" w:hAnsi="宋体" w:cs="宋体" w:eastAsia="宋体" w:hint="default"/>
          <w:sz w:val="20"/>
          <w:szCs w:val="20"/>
        </w:rPr>
      </w:pPr>
      <w:r>
        <w:rPr>
          <w:rFonts w:ascii="宋体" w:hAnsi="宋体" w:cs="宋体" w:eastAsia="宋体" w:hint="default"/>
          <w:position w:val="-30"/>
          <w:sz w:val="20"/>
          <w:szCs w:val="20"/>
        </w:rPr>
        <w:pict>
          <v:group style="width:79.25pt;height:78.05pt;mso-position-horizontal-relative:char;mso-position-vertical-relative:line" coordorigin="0,0" coordsize="1585,1561">
            <v:group style="position:absolute;left:0;top:0;width:1585;height:1561" coordorigin="0,0" coordsize="1585,1561">
              <v:shape style="position:absolute;left:0;top:0;width:1585;height:1561" coordorigin="0,0" coordsize="1585,1561" path="m0,1560l1584,1560,1584,0,0,0,0,1560xe" filled="true" fillcolor="#ffffff" stroked="false">
                <v:path arrowok="t"/>
                <v:fill type="solid"/>
              </v:shape>
            </v:group>
          </v:group>
        </w:pict>
      </w:r>
      <w:r>
        <w:rPr>
          <w:rFonts w:ascii="宋体" w:hAnsi="宋体" w:cs="宋体" w:eastAsia="宋体" w:hint="default"/>
          <w:position w:val="-30"/>
          <w:sz w:val="20"/>
          <w:szCs w:val="20"/>
        </w:rPr>
      </w:r>
    </w:p>
    <w:p>
      <w:pPr>
        <w:spacing w:before="59"/>
        <w:ind w:left="0" w:right="16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before="36"/>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3"/>
        <w:spacing w:line="240" w:lineRule="auto"/>
        <w:ind w:right="144"/>
        <w:jc w:val="left"/>
        <w:rPr>
          <w:b w:val="0"/>
          <w:bCs w:val="0"/>
        </w:rPr>
      </w:pPr>
      <w:r>
        <w:rPr/>
        <w:t>三、报告期内独立董事履行职责的情况</w:t>
      </w:r>
      <w:r>
        <w:rPr>
          <w:b w:val="0"/>
          <w:bCs w:val="0"/>
        </w:rPr>
      </w:r>
    </w:p>
    <w:p>
      <w:pPr>
        <w:spacing w:line="240" w:lineRule="auto" w:before="12"/>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吴韬</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王景</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戴新民</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赵增祺</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方伦赞</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7"/>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4"/>
        <w:rPr>
          <w:rFonts w:ascii="宋体" w:hAnsi="宋体" w:cs="宋体" w:eastAsia="宋体" w:hint="default"/>
          <w:sz w:val="21"/>
          <w:szCs w:val="21"/>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7"/>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spacing w:line="249" w:lineRule="auto" w:before="0"/>
        <w:ind w:left="152" w:right="144" w:firstLine="0"/>
        <w:jc w:val="left"/>
        <w:rPr>
          <w:rFonts w:ascii="宋体" w:hAnsi="宋体" w:cs="宋体" w:eastAsia="宋体" w:hint="default"/>
          <w:sz w:val="23"/>
          <w:szCs w:val="23"/>
        </w:rPr>
      </w:pPr>
      <w:r>
        <w:rPr>
          <w:rFonts w:ascii="宋体" w:hAnsi="宋体" w:cs="宋体" w:eastAsia="宋体" w:hint="default"/>
          <w:spacing w:val="-2"/>
          <w:sz w:val="23"/>
          <w:szCs w:val="23"/>
        </w:rPr>
        <w:t>公司独立董事认真勤勉地履行职责，深入现场调查、了解公司的生产经营情况，检查公司内部控</w:t>
      </w:r>
      <w:r>
        <w:rPr>
          <w:rFonts w:ascii="宋体" w:hAnsi="宋体" w:cs="宋体" w:eastAsia="宋体" w:hint="default"/>
          <w:spacing w:val="-63"/>
          <w:sz w:val="23"/>
          <w:szCs w:val="23"/>
        </w:rPr>
        <w:t> </w:t>
      </w:r>
      <w:r>
        <w:rPr>
          <w:rFonts w:ascii="宋体" w:hAnsi="宋体" w:cs="宋体" w:eastAsia="宋体" w:hint="default"/>
          <w:spacing w:val="-63"/>
          <w:sz w:val="23"/>
          <w:szCs w:val="23"/>
        </w:rPr>
      </w:r>
      <w:r>
        <w:rPr>
          <w:rFonts w:ascii="宋体" w:hAnsi="宋体" w:cs="宋体" w:eastAsia="宋体" w:hint="default"/>
          <w:spacing w:val="-2"/>
          <w:sz w:val="23"/>
          <w:szCs w:val="23"/>
        </w:rPr>
        <w:t>制制度的建设及执行情况，积极参加董事会会议，认真审议各项议案，对公司的相关事项发表独</w:t>
      </w:r>
      <w:r>
        <w:rPr>
          <w:rFonts w:ascii="宋体" w:hAnsi="宋体" w:cs="宋体" w:eastAsia="宋体" w:hint="default"/>
          <w:spacing w:val="-63"/>
          <w:sz w:val="23"/>
          <w:szCs w:val="23"/>
        </w:rPr>
        <w:t> </w:t>
      </w:r>
      <w:r>
        <w:rPr>
          <w:rFonts w:ascii="宋体" w:hAnsi="宋体" w:cs="宋体" w:eastAsia="宋体" w:hint="default"/>
          <w:spacing w:val="-63"/>
          <w:sz w:val="23"/>
          <w:szCs w:val="23"/>
        </w:rPr>
      </w:r>
      <w:r>
        <w:rPr>
          <w:rFonts w:ascii="宋体" w:hAnsi="宋体" w:cs="宋体" w:eastAsia="宋体" w:hint="default"/>
          <w:sz w:val="23"/>
          <w:szCs w:val="23"/>
        </w:rPr>
        <w:t>立意见，并依自己的专业知识和能力为董事会及董事会下设的各专门委员会的决策事项做出独</w:t>
      </w:r>
      <w:r>
        <w:rPr>
          <w:rFonts w:ascii="宋体" w:hAnsi="宋体" w:cs="宋体" w:eastAsia="宋体" w:hint="default"/>
          <w:w w:val="100"/>
          <w:sz w:val="23"/>
          <w:szCs w:val="23"/>
        </w:rPr>
        <w:t> </w:t>
      </w:r>
      <w:r>
        <w:rPr>
          <w:rFonts w:ascii="宋体" w:hAnsi="宋体" w:cs="宋体" w:eastAsia="宋体" w:hint="default"/>
          <w:sz w:val="23"/>
          <w:szCs w:val="23"/>
        </w:rPr>
        <w:t>立、客观、公正的判断，在工作中保持充分的独立性，切实维护了公司和中小股东的利益。</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4"/>
          <w:szCs w:val="24"/>
        </w:rPr>
      </w:pPr>
    </w:p>
    <w:p>
      <w:pPr>
        <w:pStyle w:val="Heading3"/>
        <w:spacing w:line="240" w:lineRule="auto"/>
        <w:ind w:right="144"/>
        <w:jc w:val="left"/>
        <w:rPr>
          <w:b w:val="0"/>
          <w:bCs w:val="0"/>
        </w:rPr>
      </w:pPr>
      <w:r>
        <w:rPr/>
        <w:t>四、董事会下设专门委员会在报告期内履行职责情况</w:t>
      </w:r>
      <w:r>
        <w:rPr>
          <w:b w:val="0"/>
          <w:bCs w:val="0"/>
        </w:rPr>
      </w:r>
    </w:p>
    <w:p>
      <w:pPr>
        <w:spacing w:line="240" w:lineRule="auto" w:before="12"/>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、战略委员会</w:t>
      </w:r>
    </w:p>
    <w:p>
      <w:pPr>
        <w:spacing w:line="273" w:lineRule="auto" w:before="21"/>
        <w:ind w:left="152" w:right="144" w:firstLine="420"/>
        <w:jc w:val="left"/>
        <w:rPr>
          <w:rFonts w:ascii="宋体" w:hAnsi="宋体" w:cs="宋体" w:eastAsia="宋体" w:hint="default"/>
          <w:sz w:val="21"/>
          <w:szCs w:val="21"/>
        </w:rPr>
      </w:pPr>
      <w:r>
        <w:rPr>
          <w:rFonts w:ascii="宋体" w:hAnsi="宋体" w:cs="宋体" w:eastAsia="宋体" w:hint="default"/>
          <w:spacing w:val="-2"/>
          <w:sz w:val="21"/>
          <w:szCs w:val="21"/>
        </w:rPr>
        <w:t>战略委员会在董事会的领导下，依照《董事会专门委员会议事规则》的规定，对公司长期发展战略和</w:t>
      </w:r>
      <w:r>
        <w:rPr>
          <w:rFonts w:ascii="宋体" w:hAnsi="宋体" w:cs="宋体" w:eastAsia="宋体" w:hint="default"/>
          <w:w w:val="100"/>
          <w:sz w:val="21"/>
          <w:szCs w:val="21"/>
        </w:rPr>
        <w:t> </w:t>
      </w:r>
      <w:r>
        <w:rPr>
          <w:rFonts w:ascii="宋体" w:hAnsi="宋体" w:cs="宋体" w:eastAsia="宋体" w:hint="default"/>
          <w:spacing w:val="-2"/>
          <w:sz w:val="21"/>
          <w:szCs w:val="21"/>
        </w:rPr>
        <w:t>重大投资进行研究并提出建议，就发展战略、产品战略、技术与创新战略、投资战略等问题为董事会决策</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提供了有力的参考意见。报告期内，战略委员会共召开两次会议，主要内容是：讨论了新常态下公司发展</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战略调整的方案，讨论了公司新产品市场布局的议案，为公司下一步发展做出指示和要求。</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、审计委员会</w:t>
      </w:r>
    </w:p>
    <w:p>
      <w:pPr>
        <w:spacing w:line="264" w:lineRule="auto" w:before="0"/>
        <w:ind w:left="152" w:right="144" w:firstLine="420"/>
        <w:jc w:val="left"/>
        <w:rPr>
          <w:rFonts w:ascii="宋体" w:hAnsi="宋体" w:cs="宋体" w:eastAsia="宋体" w:hint="default"/>
          <w:sz w:val="21"/>
          <w:szCs w:val="21"/>
        </w:rPr>
      </w:pPr>
      <w:r>
        <w:rPr>
          <w:rFonts w:ascii="宋体" w:hAnsi="宋体" w:cs="宋体" w:eastAsia="宋体" w:hint="default"/>
          <w:spacing w:val="-2"/>
          <w:sz w:val="21"/>
          <w:szCs w:val="21"/>
        </w:rPr>
        <w:t>公司董事会设审计委员会，主要由会计专业独立董事组成并担任召集人，审计委员会督促并检查公司</w:t>
      </w:r>
      <w:r>
        <w:rPr>
          <w:rFonts w:ascii="宋体" w:hAnsi="宋体" w:cs="宋体" w:eastAsia="宋体" w:hint="default"/>
          <w:w w:val="100"/>
          <w:sz w:val="21"/>
          <w:szCs w:val="21"/>
        </w:rPr>
        <w:t> </w:t>
      </w:r>
      <w:r>
        <w:rPr>
          <w:rFonts w:ascii="宋体" w:hAnsi="宋体" w:cs="宋体" w:eastAsia="宋体" w:hint="default"/>
          <w:spacing w:val="-2"/>
          <w:sz w:val="21"/>
          <w:szCs w:val="21"/>
        </w:rPr>
        <w:t>的日常审计工作，审查公司内控制度的制定及执行情况，审核公司的重要会计政策，了解公司的生产经营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情况。报告期内，审计委员会共召开四次会议，主要内容是：听取和讨论公司审计部关于</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年工作总结</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和</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年工作计划的报告及审计部各季度提交的工作汇报；审议关联方资金占用及公司内部管理、财务状</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2"/>
          <w:sz w:val="21"/>
          <w:szCs w:val="21"/>
        </w:rPr>
        <w:t>况、相关重大事项等内部审计情况的报告；落实</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年年报审计相关工作，审阅公司财务报表并形成书面</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意见；总结和评价外聘审计机构的年报审计工作，对外部审计机构的聘任给予合理的建议。</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、提名委员会</w:t>
      </w:r>
    </w:p>
    <w:p>
      <w:pPr>
        <w:spacing w:line="273" w:lineRule="auto" w:before="0"/>
        <w:ind w:left="152" w:right="146" w:firstLine="382"/>
        <w:jc w:val="both"/>
        <w:rPr>
          <w:rFonts w:ascii="宋体" w:hAnsi="宋体" w:cs="宋体" w:eastAsia="宋体" w:hint="default"/>
          <w:sz w:val="21"/>
          <w:szCs w:val="21"/>
        </w:rPr>
      </w:pPr>
      <w:r>
        <w:rPr>
          <w:rFonts w:ascii="宋体" w:hAnsi="宋体" w:cs="宋体" w:eastAsia="宋体" w:hint="default"/>
          <w:spacing w:val="-1"/>
          <w:sz w:val="21"/>
          <w:szCs w:val="21"/>
        </w:rPr>
        <w:t>公司董事会提名委员会根据有关规定积极开展工作，认真履行职责。报告期内，提名委员会召开了一</w:t>
      </w:r>
      <w:r>
        <w:rPr>
          <w:rFonts w:ascii="宋体" w:hAnsi="宋体" w:cs="宋体" w:eastAsia="宋体" w:hint="default"/>
          <w:w w:val="100"/>
          <w:sz w:val="21"/>
          <w:szCs w:val="21"/>
        </w:rPr>
        <w:t> </w:t>
      </w:r>
      <w:r>
        <w:rPr>
          <w:rFonts w:ascii="宋体" w:hAnsi="宋体" w:cs="宋体" w:eastAsia="宋体" w:hint="default"/>
          <w:spacing w:val="-2"/>
          <w:sz w:val="21"/>
          <w:szCs w:val="21"/>
        </w:rPr>
        <w:t>次会议，讨论了公司董事会、监事会换届选举及经理层重新聘任的议案，对于公司董监高相关人选进行了</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进行审查和评议。</w:t>
      </w:r>
    </w:p>
    <w:p>
      <w:pPr>
        <w:spacing w:line="256" w:lineRule="auto" w:before="8"/>
        <w:ind w:left="453" w:right="144" w:hanging="301"/>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、薪酬与考核委员会</w:t>
      </w:r>
      <w:r>
        <w:rPr>
          <w:rFonts w:ascii="宋体" w:hAnsi="宋体" w:cs="宋体" w:eastAsia="宋体" w:hint="default"/>
          <w:w w:val="100"/>
          <w:sz w:val="21"/>
          <w:szCs w:val="21"/>
        </w:rPr>
        <w:t> </w:t>
      </w:r>
      <w:r>
        <w:rPr>
          <w:rFonts w:ascii="宋体" w:hAnsi="宋体" w:cs="宋体" w:eastAsia="宋体" w:hint="default"/>
          <w:sz w:val="21"/>
          <w:szCs w:val="21"/>
        </w:rPr>
        <w:t>公司薪酬与考核委员会根据有关规定积极开展工作，认真履行职责。报告期内，薪酬与考核委员会召</w:t>
      </w:r>
    </w:p>
    <w:p>
      <w:pPr>
        <w:spacing w:line="256" w:lineRule="auto" w:before="22"/>
        <w:ind w:left="152" w:right="144" w:firstLine="0"/>
        <w:jc w:val="left"/>
        <w:rPr>
          <w:rFonts w:ascii="宋体" w:hAnsi="宋体" w:cs="宋体" w:eastAsia="宋体" w:hint="default"/>
          <w:sz w:val="21"/>
          <w:szCs w:val="21"/>
        </w:rPr>
      </w:pPr>
      <w:r>
        <w:rPr>
          <w:rFonts w:ascii="宋体" w:hAnsi="宋体" w:cs="宋体" w:eastAsia="宋体" w:hint="default"/>
          <w:spacing w:val="-2"/>
          <w:sz w:val="21"/>
          <w:szCs w:val="21"/>
        </w:rPr>
        <w:t>开了二次会议，主要内容是：讨论了调整独立董事津贴的议案；对</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年度报告中所披露的公司董事、监</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事和高级管理人员的薪酬情况进行了审核，认为公司现任董监高人员的薪酬相对合理，基本符合公司发展</w:t>
      </w:r>
    </w:p>
    <w:p>
      <w:pPr>
        <w:spacing w:after="0" w:line="256" w:lineRule="auto"/>
        <w:jc w:val="left"/>
        <w:rPr>
          <w:rFonts w:ascii="宋体" w:hAnsi="宋体" w:cs="宋体" w:eastAsia="宋体" w:hint="default"/>
          <w:sz w:val="21"/>
          <w:szCs w:val="21"/>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sz w:val="21"/>
          <w:szCs w:val="21"/>
        </w:rPr>
        <w:t>现状。</w:t>
      </w:r>
    </w:p>
    <w:p>
      <w:pPr>
        <w:spacing w:line="240" w:lineRule="auto" w:before="11"/>
        <w:rPr>
          <w:rFonts w:ascii="宋体" w:hAnsi="宋体" w:cs="宋体" w:eastAsia="宋体" w:hint="default"/>
          <w:sz w:val="23"/>
          <w:szCs w:val="23"/>
        </w:rPr>
      </w:pPr>
    </w:p>
    <w:p>
      <w:pPr>
        <w:pStyle w:val="Heading3"/>
        <w:spacing w:line="240" w:lineRule="auto"/>
        <w:ind w:right="144"/>
        <w:jc w:val="left"/>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line="240" w:lineRule="auto" w:before="6"/>
        <w:rPr>
          <w:rFonts w:ascii="宋体" w:hAnsi="宋体" w:cs="宋体" w:eastAsia="宋体" w:hint="default"/>
          <w:sz w:val="19"/>
          <w:szCs w:val="19"/>
        </w:rPr>
      </w:pPr>
    </w:p>
    <w:p>
      <w:pPr>
        <w:pStyle w:val="Heading3"/>
        <w:spacing w:line="240" w:lineRule="auto"/>
        <w:ind w:right="144"/>
        <w:jc w:val="left"/>
        <w:rPr>
          <w:b w:val="0"/>
          <w:bCs w:val="0"/>
        </w:rPr>
      </w:pPr>
      <w:r>
        <w:rPr/>
        <w:t>六、公司相对于控股股东在业务、人员、资产、机构、财务等方面的独立完整情况</w:t>
      </w:r>
      <w:r>
        <w:rPr>
          <w:b w:val="0"/>
          <w:bCs w:val="0"/>
        </w:rPr>
      </w:r>
    </w:p>
    <w:p>
      <w:pPr>
        <w:spacing w:line="240" w:lineRule="auto" w:before="10"/>
        <w:rPr>
          <w:rFonts w:ascii="宋体" w:hAnsi="宋体" w:cs="宋体" w:eastAsia="宋体" w:hint="default"/>
          <w:b/>
          <w:bCs/>
          <w:sz w:val="24"/>
          <w:szCs w:val="24"/>
        </w:rPr>
      </w:pPr>
    </w:p>
    <w:p>
      <w:pPr>
        <w:spacing w:line="273" w:lineRule="auto" w:before="0"/>
        <w:ind w:left="152" w:right="146" w:firstLine="336"/>
        <w:jc w:val="both"/>
        <w:rPr>
          <w:rFonts w:ascii="宋体" w:hAnsi="宋体" w:cs="宋体" w:eastAsia="宋体" w:hint="default"/>
          <w:sz w:val="21"/>
          <w:szCs w:val="21"/>
        </w:rPr>
      </w:pPr>
      <w:r>
        <w:rPr>
          <w:rFonts w:ascii="宋体" w:hAnsi="宋体" w:cs="宋体" w:eastAsia="宋体" w:hint="default"/>
          <w:spacing w:val="-2"/>
          <w:sz w:val="21"/>
          <w:szCs w:val="21"/>
        </w:rPr>
        <w:t>公司自成立以来，严格按照《公司法》、《证券法》等有关法律、法规和《公司章程》的要求规范运</w:t>
      </w:r>
      <w:r>
        <w:rPr>
          <w:rFonts w:ascii="宋体" w:hAnsi="宋体" w:cs="宋体" w:eastAsia="宋体" w:hint="default"/>
          <w:w w:val="100"/>
          <w:sz w:val="21"/>
          <w:szCs w:val="21"/>
        </w:rPr>
        <w:t> </w:t>
      </w:r>
      <w:r>
        <w:rPr>
          <w:rFonts w:ascii="宋体" w:hAnsi="宋体" w:cs="宋体" w:eastAsia="宋体" w:hint="default"/>
          <w:spacing w:val="-2"/>
          <w:sz w:val="21"/>
          <w:szCs w:val="21"/>
        </w:rPr>
        <w:t>作，建立、健全了公司法人治理结构。公司与控股股东做到了在业务、人员、资产、机构和财务上的完全</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独立，具有独立完整的业务及自主经营能力。</w:t>
      </w:r>
    </w:p>
    <w:p>
      <w:pPr>
        <w:spacing w:line="240" w:lineRule="auto" w:before="8"/>
        <w:rPr>
          <w:rFonts w:ascii="宋体" w:hAnsi="宋体" w:cs="宋体" w:eastAsia="宋体" w:hint="default"/>
          <w:sz w:val="21"/>
          <w:szCs w:val="21"/>
        </w:rPr>
      </w:pPr>
    </w:p>
    <w:p>
      <w:pPr>
        <w:pStyle w:val="Heading3"/>
        <w:spacing w:line="240" w:lineRule="auto"/>
        <w:ind w:right="144"/>
        <w:jc w:val="left"/>
        <w:rPr>
          <w:b w:val="0"/>
          <w:bCs w:val="0"/>
        </w:rPr>
      </w:pPr>
      <w:r>
        <w:rPr/>
        <w:t>七、同业竞争情况</w:t>
      </w:r>
      <w:r>
        <w:rPr>
          <w:b w:val="0"/>
          <w:bCs w:val="0"/>
        </w:rPr>
      </w:r>
    </w:p>
    <w:p>
      <w:pPr>
        <w:spacing w:line="240" w:lineRule="auto" w:before="6"/>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44"/>
        <w:jc w:val="left"/>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spacing w:line="316" w:lineRule="auto" w:before="0"/>
        <w:ind w:left="152" w:right="152" w:firstLine="288"/>
        <w:jc w:val="both"/>
        <w:rPr>
          <w:rFonts w:ascii="宋体" w:hAnsi="宋体" w:cs="宋体" w:eastAsia="宋体" w:hint="default"/>
          <w:sz w:val="18"/>
          <w:szCs w:val="18"/>
        </w:rPr>
      </w:pPr>
      <w:r>
        <w:rPr>
          <w:rFonts w:ascii="宋体" w:hAnsi="宋体" w:cs="宋体" w:eastAsia="宋体" w:hint="default"/>
          <w:spacing w:val="-1"/>
          <w:sz w:val="18"/>
          <w:szCs w:val="18"/>
        </w:rPr>
        <w:t>公司建立了完善的高级管理人员绩效考评体系和薪酬制度，高级管理人员薪酬由基本薪酬和绩效薪酬构成，其中基本薪</w:t>
      </w:r>
      <w:r>
        <w:rPr>
          <w:rFonts w:ascii="宋体" w:hAnsi="宋体" w:cs="宋体" w:eastAsia="宋体" w:hint="default"/>
          <w:sz w:val="18"/>
          <w:szCs w:val="18"/>
        </w:rPr>
        <w:t> 酬逐月支付，绩效薪酬根据公司年度经营业绩和个人工作能力、履职情况、责任目标完成情况及考核结果发放。</w:t>
      </w:r>
    </w:p>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751" w:right="3787"/>
        <w:jc w:val="center"/>
        <w:rPr>
          <w:b w:val="0"/>
          <w:bCs w:val="0"/>
        </w:rPr>
      </w:pPr>
      <w:bookmarkStart w:name="_TOC_250002" w:id="10"/>
      <w:r>
        <w:rPr/>
        <w:t>第十节</w:t>
      </w:r>
      <w:r>
        <w:rPr>
          <w:spacing w:val="-2"/>
        </w:rPr>
        <w:t> </w:t>
      </w:r>
      <w:r>
        <w:rPr/>
        <w:t>内部控制</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0"/>
        <w:jc w:val="both"/>
        <w:rPr>
          <w:b w:val="0"/>
          <w:bCs w:val="0"/>
        </w:rPr>
      </w:pPr>
      <w:r>
        <w:rPr/>
        <w:t>一、内部控制建设情况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52" w:right="191" w:firstLine="0"/>
        <w:jc w:val="both"/>
        <w:rPr>
          <w:rFonts w:ascii="宋体" w:hAnsi="宋体" w:cs="宋体" w:eastAsia="宋体" w:hint="default"/>
          <w:sz w:val="18"/>
          <w:szCs w:val="18"/>
        </w:rPr>
      </w:pPr>
      <w:r>
        <w:rPr>
          <w:rFonts w:ascii="宋体" w:hAnsi="宋体" w:cs="宋体" w:eastAsia="宋体" w:hint="default"/>
          <w:spacing w:val="-2"/>
          <w:sz w:val="18"/>
          <w:szCs w:val="18"/>
        </w:rPr>
        <w:t>公司根据《公司法》、《证券法》、《上市公司治理准则》、《企业内部控制基本规范》、《中小企业板上市公司内部审计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工作指引》等相关法律法规和规范性文件的要求，结合自身实际情况，制定了涵盖公司生产经营各层面、各环节的内部控制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制度，建立了较为健全的内部控制体系，有效防范了经营决策及管理风险，确保公司的稳健经营。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2"/>
        <w:ind w:right="0"/>
        <w:jc w:val="both"/>
        <w:rPr>
          <w:b w:val="0"/>
          <w:bCs w:val="0"/>
        </w:rPr>
      </w:pPr>
      <w:r>
        <w:rPr/>
        <w:t>二、董事会关于内部控制责任的声明</w:t>
      </w:r>
      <w:r>
        <w:rPr>
          <w:b w:val="0"/>
          <w:bCs w:val="0"/>
        </w:rPr>
      </w:r>
    </w:p>
    <w:p>
      <w:pPr>
        <w:spacing w:line="240" w:lineRule="auto" w:before="2"/>
        <w:rPr>
          <w:rFonts w:ascii="宋体" w:hAnsi="宋体" w:cs="宋体" w:eastAsia="宋体" w:hint="default"/>
          <w:b/>
          <w:bCs/>
          <w:sz w:val="24"/>
          <w:szCs w:val="24"/>
        </w:rPr>
      </w:pPr>
    </w:p>
    <w:p>
      <w:pPr>
        <w:spacing w:line="259" w:lineRule="auto" w:before="0"/>
        <w:ind w:left="152" w:right="193" w:firstLine="420"/>
        <w:jc w:val="both"/>
        <w:rPr>
          <w:rFonts w:ascii="宋体" w:hAnsi="宋体" w:cs="宋体" w:eastAsia="宋体" w:hint="default"/>
          <w:sz w:val="22"/>
          <w:szCs w:val="22"/>
        </w:rPr>
      </w:pPr>
      <w:r>
        <w:rPr>
          <w:rFonts w:ascii="宋体" w:hAnsi="宋体" w:cs="宋体" w:eastAsia="宋体" w:hint="default"/>
          <w:spacing w:val="-2"/>
          <w:sz w:val="22"/>
          <w:szCs w:val="22"/>
        </w:rPr>
        <w:t>按照企业内部控制规范体系的规定，建立健全和有效实施内部控制，评价其有效性，并如实披露</w:t>
      </w:r>
      <w:r>
        <w:rPr>
          <w:rFonts w:ascii="宋体" w:hAnsi="宋体" w:cs="宋体" w:eastAsia="宋体" w:hint="default"/>
          <w:w w:val="100"/>
          <w:sz w:val="22"/>
          <w:szCs w:val="22"/>
        </w:rPr>
        <w:t> </w:t>
      </w:r>
      <w:r>
        <w:rPr>
          <w:rFonts w:ascii="宋体" w:hAnsi="宋体" w:cs="宋体" w:eastAsia="宋体" w:hint="default"/>
          <w:spacing w:val="2"/>
          <w:sz w:val="22"/>
          <w:szCs w:val="22"/>
        </w:rPr>
        <w:t>内部控制评价报告是公司董事会的责任。公司董事会及全体董事保证本报告内容不存在任何虚假记</w:t>
      </w:r>
      <w:r>
        <w:rPr>
          <w:rFonts w:ascii="宋体" w:hAnsi="宋体" w:cs="宋体" w:eastAsia="宋体" w:hint="default"/>
          <w:spacing w:val="-39"/>
          <w:sz w:val="22"/>
          <w:szCs w:val="22"/>
        </w:rPr>
        <w:t> </w:t>
      </w:r>
      <w:r>
        <w:rPr>
          <w:rFonts w:ascii="宋体" w:hAnsi="宋体" w:cs="宋体" w:eastAsia="宋体" w:hint="default"/>
          <w:spacing w:val="-39"/>
          <w:sz w:val="22"/>
          <w:szCs w:val="22"/>
        </w:rPr>
      </w:r>
      <w:r>
        <w:rPr>
          <w:rFonts w:ascii="宋体" w:hAnsi="宋体" w:cs="宋体" w:eastAsia="宋体" w:hint="default"/>
          <w:sz w:val="22"/>
          <w:szCs w:val="22"/>
        </w:rPr>
        <w:t>载、误导性陈述或重大遗漏，并对报告内容的真实性、准确性和完整性承担个别及连带法律责任。</w:t>
      </w:r>
    </w:p>
    <w:p>
      <w:pPr>
        <w:spacing w:line="259" w:lineRule="auto" w:before="6"/>
        <w:ind w:left="152" w:right="171" w:firstLine="420"/>
        <w:jc w:val="both"/>
        <w:rPr>
          <w:rFonts w:ascii="宋体" w:hAnsi="宋体" w:cs="宋体" w:eastAsia="宋体" w:hint="default"/>
          <w:sz w:val="22"/>
          <w:szCs w:val="22"/>
        </w:rPr>
      </w:pPr>
      <w:r>
        <w:rPr>
          <w:rFonts w:ascii="宋体" w:hAnsi="宋体" w:cs="宋体" w:eastAsia="宋体" w:hint="default"/>
          <w:spacing w:val="-1"/>
          <w:sz w:val="22"/>
          <w:szCs w:val="22"/>
        </w:rPr>
        <w:t>公司内部控制的目标是合理保证经营管理合法合规、资产安全、财务报告及相关信息真实完整，</w:t>
      </w:r>
      <w:r>
        <w:rPr>
          <w:rFonts w:ascii="宋体" w:hAnsi="宋体" w:cs="宋体" w:eastAsia="宋体" w:hint="default"/>
          <w:w w:val="100"/>
          <w:sz w:val="22"/>
          <w:szCs w:val="22"/>
        </w:rPr>
        <w:t> </w:t>
      </w:r>
      <w:r>
        <w:rPr>
          <w:rFonts w:ascii="宋体" w:hAnsi="宋体" w:cs="宋体" w:eastAsia="宋体" w:hint="default"/>
          <w:spacing w:val="-2"/>
          <w:sz w:val="22"/>
          <w:szCs w:val="22"/>
        </w:rPr>
        <w:t>提高经营效率和效果，促进实现发展战略。由于内部控制存在的固有局限性，故仅能为实现上述目标</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2"/>
          <w:sz w:val="22"/>
          <w:szCs w:val="22"/>
        </w:rPr>
        <w:t>提供合理保证。此外，由于情况的变化可能导致内部控制变得不恰当，或对控制政策和程序遵循的程</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度降低，根据内部控制评价结果推测未来内部控制的有效性具有一定的风险。</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spacing w:line="316" w:lineRule="auto" w:before="0"/>
        <w:ind w:left="152" w:right="94" w:firstLine="0"/>
        <w:jc w:val="left"/>
        <w:rPr>
          <w:rFonts w:ascii="宋体" w:hAnsi="宋体" w:cs="宋体" w:eastAsia="宋体" w:hint="default"/>
          <w:sz w:val="18"/>
          <w:szCs w:val="18"/>
        </w:rPr>
      </w:pPr>
      <w:r>
        <w:rPr>
          <w:rFonts w:ascii="宋体" w:hAnsi="宋体" w:cs="宋体" w:eastAsia="宋体" w:hint="default"/>
          <w:spacing w:val="-4"/>
          <w:sz w:val="18"/>
          <w:szCs w:val="18"/>
        </w:rPr>
        <w:t>公司依据《公司法》、《会计法》、《企业会计准则》和《企业内部控制基本规范》以及监管部门的相关规范性文件为依据，</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建立了财务报告内部控制。报告期内，未发现公司财务报告内部控制存在重大缺陷的情况。</w:t>
      </w:r>
    </w:p>
    <w:p>
      <w:pPr>
        <w:spacing w:line="240" w:lineRule="auto" w:before="9"/>
        <w:rPr>
          <w:rFonts w:ascii="宋体" w:hAnsi="宋体" w:cs="宋体" w:eastAsia="宋体" w:hint="default"/>
          <w:sz w:val="20"/>
          <w:szCs w:val="20"/>
        </w:rPr>
      </w:pPr>
    </w:p>
    <w:p>
      <w:pPr>
        <w:pStyle w:val="Heading3"/>
        <w:spacing w:line="240" w:lineRule="auto"/>
        <w:ind w:right="0"/>
        <w:jc w:val="both"/>
        <w:rPr>
          <w:b w:val="0"/>
          <w:bCs w:val="0"/>
        </w:rPr>
      </w:pPr>
      <w:r>
        <w:rPr/>
        <w:t>四、内部控制评价报告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3"/>
        <w:gridCol w:w="6908"/>
      </w:tblGrid>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70"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报告期内，公司未发现内部控制重大缺陷。</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年度内部控制自我评价报告》详见巨潮咨询网（</w:t>
            </w:r>
            <w:hyperlink r:id="rId15">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line="240" w:lineRule="auto" w:before="1"/>
        <w:rPr>
          <w:rFonts w:ascii="宋体" w:hAnsi="宋体" w:cs="宋体" w:eastAsia="宋体" w:hint="default"/>
          <w:b/>
          <w:bCs/>
          <w:sz w:val="18"/>
          <w:szCs w:val="18"/>
        </w:rPr>
      </w:pPr>
    </w:p>
    <w:p>
      <w:pPr>
        <w:pStyle w:val="Heading3"/>
        <w:spacing w:line="240" w:lineRule="auto" w:before="26"/>
        <w:ind w:right="94"/>
        <w:jc w:val="left"/>
        <w:rPr>
          <w:b w:val="0"/>
          <w:bCs w:val="0"/>
        </w:rPr>
      </w:pPr>
      <w:r>
        <w:rPr/>
        <w:t>五、内部控制审计报告或鉴证报告</w:t>
      </w:r>
      <w:r>
        <w:rPr>
          <w:b w:val="0"/>
          <w:bCs w:val="0"/>
        </w:rPr>
      </w:r>
    </w:p>
    <w:p>
      <w:pPr>
        <w:spacing w:line="240" w:lineRule="auto" w:before="6"/>
        <w:rPr>
          <w:rFonts w:ascii="宋体" w:hAnsi="宋体" w:cs="宋体" w:eastAsia="宋体" w:hint="default"/>
          <w:b/>
          <w:bCs/>
          <w:sz w:val="26"/>
          <w:szCs w:val="26"/>
        </w:rPr>
      </w:pPr>
    </w:p>
    <w:p>
      <w:pPr>
        <w:spacing w:before="0"/>
        <w:ind w:left="152" w:right="94"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3"/>
        <w:gridCol w:w="6908"/>
      </w:tblGrid>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2" w:firstLine="362"/>
              <w:jc w:val="left"/>
              <w:rPr>
                <w:rFonts w:ascii="宋体" w:hAnsi="宋体" w:cs="宋体" w:eastAsia="宋体" w:hint="default"/>
                <w:sz w:val="18"/>
                <w:szCs w:val="18"/>
              </w:rPr>
            </w:pPr>
            <w:r>
              <w:rPr>
                <w:rFonts w:ascii="宋体" w:hAnsi="宋体" w:cs="宋体" w:eastAsia="宋体" w:hint="default"/>
                <w:sz w:val="18"/>
                <w:szCs w:val="18"/>
              </w:rPr>
              <w:t>我们认为，马鞍山鼎泰稀土新材料股份有限公司于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日在所有重大方面保持了按照财政部颁布的《内 </w:t>
            </w:r>
            <w:r>
              <w:rPr>
                <w:rFonts w:ascii="宋体" w:hAnsi="宋体" w:cs="宋体" w:eastAsia="宋体" w:hint="default"/>
                <w:spacing w:val="-3"/>
                <w:sz w:val="18"/>
                <w:szCs w:val="18"/>
              </w:rPr>
              <w:t>部会计控制规范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基本规范（试行）》的有关规范标准中与财务报表相关的有效的内部控制。</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年度内部控制鉴证报告》详见巨潮咨询网（</w:t>
            </w:r>
            <w:hyperlink r:id="rId15">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spacing w:before="44"/>
        <w:ind w:left="152" w:right="0" w:firstLine="0"/>
        <w:jc w:val="both"/>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38" w:lineRule="auto" w:before="117"/>
        <w:ind w:left="152" w:right="3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43"/>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3"/>
        <w:spacing w:line="240" w:lineRule="auto"/>
        <w:ind w:right="0"/>
        <w:jc w:val="both"/>
        <w:rPr>
          <w:b w:val="0"/>
          <w:bCs w:val="0"/>
        </w:rPr>
      </w:pPr>
      <w:r>
        <w:rPr/>
        <w:t>六、年度报告重大差错责任追究制度的建立与执行情况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spacing w:line="319" w:lineRule="auto" w:before="0"/>
        <w:ind w:left="152" w:right="151" w:firstLine="0"/>
        <w:jc w:val="both"/>
        <w:rPr>
          <w:rFonts w:ascii="宋体" w:hAnsi="宋体" w:cs="宋体" w:eastAsia="宋体" w:hint="default"/>
          <w:sz w:val="18"/>
          <w:szCs w:val="18"/>
        </w:rPr>
      </w:pPr>
      <w:r>
        <w:rPr>
          <w:rFonts w:ascii="宋体" w:hAnsi="宋体" w:cs="宋体" w:eastAsia="宋体" w:hint="default"/>
          <w:spacing w:val="-2"/>
          <w:sz w:val="18"/>
          <w:szCs w:val="18"/>
        </w:rPr>
        <w:t>公司根据《公司法》、《会计法》、《上市公司信息披露管理办法》等法律、法规、规范性文件，已建立《年报信息披露重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大差错责任追究制度》，明确了年报信息披露重大差错的责任认定及追究，并规定一旦发生重大会计差错、遗漏等情况，将</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按照该制度规定对责任人进行严肃处理。报告期内，公司未发生重大会计差错更正、重大遗漏信息补充以及业绩预告修正等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情况。</w:t>
      </w:r>
    </w:p>
    <w:p>
      <w:pPr>
        <w:spacing w:after="0" w:line="319"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0" w:right="3670"/>
        <w:jc w:val="center"/>
        <w:rPr>
          <w:b w:val="0"/>
          <w:bCs w:val="0"/>
        </w:rPr>
      </w:pPr>
      <w:bookmarkStart w:name="_TOC_250001" w:id="11"/>
      <w:r>
        <w:rPr/>
        <w:t>第十一节</w:t>
      </w:r>
      <w:r>
        <w:rPr>
          <w:spacing w:val="-5"/>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7514"/>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4"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[2015]48060056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郑龙兴、李梅</w:t>
            </w:r>
          </w:p>
        </w:tc>
      </w:tr>
    </w:tbl>
    <w:p>
      <w:pPr>
        <w:spacing w:before="49"/>
        <w:ind w:left="3590" w:right="3668"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before="130"/>
        <w:ind w:left="3590" w:right="3668"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85"/>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11"/>
        <w:rPr>
          <w:rFonts w:ascii="宋体" w:hAnsi="宋体" w:cs="宋体" w:eastAsia="宋体" w:hint="default"/>
          <w:b/>
          <w:bCs/>
          <w:sz w:val="28"/>
          <w:szCs w:val="28"/>
        </w:rPr>
      </w:pPr>
    </w:p>
    <w:p>
      <w:pPr>
        <w:pStyle w:val="BodyText"/>
        <w:spacing w:line="322" w:lineRule="exact" w:before="26"/>
        <w:ind w:left="0" w:right="257"/>
        <w:jc w:val="right"/>
      </w:pPr>
      <w:r>
        <w:rPr>
          <w:spacing w:val="-1"/>
        </w:rPr>
        <w:t>瑞华审字</w:t>
      </w:r>
      <w:r>
        <w:rPr>
          <w:rFonts w:ascii="Times New Roman" w:hAnsi="Times New Roman" w:cs="Times New Roman" w:eastAsia="Times New Roman" w:hint="default"/>
          <w:spacing w:val="-1"/>
        </w:rPr>
        <w:t>[2015]48060056</w:t>
      </w:r>
      <w:r>
        <w:rPr>
          <w:spacing w:val="-1"/>
        </w:rPr>
        <w:t>号</w:t>
      </w:r>
    </w:p>
    <w:p>
      <w:pPr>
        <w:pStyle w:val="Heading3"/>
        <w:spacing w:line="304" w:lineRule="exact"/>
        <w:ind w:right="98"/>
        <w:jc w:val="left"/>
        <w:rPr>
          <w:b w:val="0"/>
          <w:bCs w:val="0"/>
        </w:rPr>
      </w:pPr>
      <w:r>
        <w:rPr/>
        <w:t>马鞍山鼎泰稀土新材料股份有限公司全体股东：</w:t>
      </w:r>
      <w:r>
        <w:rPr>
          <w:b w:val="0"/>
          <w:bCs w:val="0"/>
        </w:rPr>
      </w:r>
    </w:p>
    <w:p>
      <w:pPr>
        <w:spacing w:line="240" w:lineRule="auto" w:before="10"/>
        <w:rPr>
          <w:rFonts w:ascii="宋体" w:hAnsi="宋体" w:cs="宋体" w:eastAsia="宋体" w:hint="default"/>
          <w:b/>
          <w:bCs/>
          <w:sz w:val="21"/>
          <w:szCs w:val="21"/>
        </w:rPr>
      </w:pPr>
    </w:p>
    <w:p>
      <w:pPr>
        <w:pStyle w:val="BodyText"/>
        <w:spacing w:line="312" w:lineRule="exact" w:before="56"/>
        <w:ind w:right="229" w:firstLine="480"/>
        <w:jc w:val="both"/>
      </w:pPr>
      <w:r>
        <w:rPr/>
        <w:t>我们审计了后附的马鞍山鼎泰稀土新材料股份有限公司（以下简称</w:t>
      </w:r>
      <w:r>
        <w:rPr>
          <w:rFonts w:ascii="Times New Roman" w:hAnsi="Times New Roman" w:cs="Times New Roman" w:eastAsia="Times New Roman" w:hint="default"/>
        </w:rPr>
        <w:t>“</w:t>
      </w:r>
      <w:r>
        <w:rPr/>
        <w:t>鼎泰新材</w:t>
      </w:r>
      <w:r>
        <w:rPr>
          <w:rFonts w:ascii="Times New Roman" w:hAnsi="Times New Roman" w:cs="Times New Roman" w:eastAsia="Times New Roman" w:hint="default"/>
        </w:rPr>
        <w:t>”</w:t>
      </w:r>
      <w:r>
        <w:rPr/>
        <w:t>）的财务 报表，包括</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日合并及公司的资产负债表，</w:t>
      </w:r>
      <w:r>
        <w:rPr>
          <w:rFonts w:ascii="Times New Roman" w:hAnsi="Times New Roman" w:cs="Times New Roman" w:eastAsia="Times New Roman" w:hint="default"/>
        </w:rPr>
        <w:t>2014</w:t>
      </w:r>
      <w:r>
        <w:rPr/>
        <w:t>年度合并及公司的利润表、合并</w:t>
      </w:r>
      <w:r>
        <w:rPr>
          <w:spacing w:val="-90"/>
        </w:rPr>
        <w:t> </w:t>
      </w:r>
      <w:r>
        <w:rPr>
          <w:spacing w:val="-90"/>
        </w:rPr>
      </w:r>
      <w:r>
        <w:rPr/>
        <w:t>及公司的现金流量表和合并及公司的股东权益变动表以及财务报表附注。</w:t>
      </w:r>
    </w:p>
    <w:p>
      <w:pPr>
        <w:spacing w:line="240" w:lineRule="auto" w:before="11"/>
        <w:rPr>
          <w:rFonts w:ascii="宋体" w:hAnsi="宋体" w:cs="宋体" w:eastAsia="宋体" w:hint="default"/>
          <w:sz w:val="23"/>
          <w:szCs w:val="23"/>
        </w:rPr>
      </w:pPr>
    </w:p>
    <w:p>
      <w:pPr>
        <w:spacing w:line="312" w:lineRule="exact" w:before="0"/>
        <w:ind w:left="633" w:right="98" w:firstLine="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3"/>
          <w:sz w:val="24"/>
          <w:szCs w:val="24"/>
        </w:rPr>
        <w:t>编制和公允列报财务报表是鼎泰新材公司管理层的责任。这种责任包括：（</w:t>
      </w:r>
      <w:r>
        <w:rPr>
          <w:rFonts w:ascii="Times New Roman" w:hAnsi="Times New Roman" w:cs="Times New Roman" w:eastAsia="Times New Roman" w:hint="default"/>
          <w:spacing w:val="-3"/>
          <w:sz w:val="24"/>
          <w:szCs w:val="24"/>
        </w:rPr>
        <w:t>1</w:t>
      </w:r>
      <w:r>
        <w:rPr>
          <w:rFonts w:ascii="宋体" w:hAnsi="宋体" w:cs="宋体" w:eastAsia="宋体" w:hint="default"/>
          <w:spacing w:val="-3"/>
          <w:sz w:val="24"/>
          <w:szCs w:val="24"/>
        </w:rPr>
        <w:t>）按照企业</w:t>
      </w:r>
    </w:p>
    <w:p>
      <w:pPr>
        <w:pStyle w:val="BodyText"/>
        <w:spacing w:line="312" w:lineRule="exact"/>
        <w:ind w:right="216"/>
        <w:jc w:val="left"/>
      </w:pPr>
      <w:r>
        <w:rPr>
          <w:spacing w:val="-2"/>
        </w:rPr>
        <w:t>会计准则的规定编制财务报表，并使其实现公允反映；（</w:t>
      </w:r>
      <w:r>
        <w:rPr>
          <w:rFonts w:ascii="Times New Roman" w:hAnsi="Times New Roman" w:cs="Times New Roman" w:eastAsia="Times New Roman" w:hint="default"/>
          <w:spacing w:val="-2"/>
        </w:rPr>
        <w:t>2</w:t>
      </w:r>
      <w:r>
        <w:rPr>
          <w:spacing w:val="-2"/>
        </w:rPr>
        <w:t>）设计、执行和维护必要的内部控</w:t>
      </w:r>
      <w:r>
        <w:rPr/>
        <w:t> 制，以使财务报表不存在由于舞弊或错误导致的重大错报。</w:t>
      </w:r>
    </w:p>
    <w:p>
      <w:pPr>
        <w:spacing w:line="240" w:lineRule="auto" w:before="6"/>
        <w:rPr>
          <w:rFonts w:ascii="宋体" w:hAnsi="宋体" w:cs="宋体" w:eastAsia="宋体" w:hint="default"/>
          <w:sz w:val="21"/>
          <w:szCs w:val="21"/>
        </w:rPr>
      </w:pPr>
    </w:p>
    <w:p>
      <w:pPr>
        <w:spacing w:before="0"/>
        <w:ind w:left="633" w:right="98"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z w:val="24"/>
          <w:szCs w:val="24"/>
        </w:rPr>
        <w:t>我们的责任是在执行审计工作的基础上对财务报表发表审计意见。我们按照中国注册会</w:t>
      </w:r>
    </w:p>
    <w:p>
      <w:pPr>
        <w:pStyle w:val="BodyText"/>
        <w:spacing w:line="312" w:lineRule="exact" w:before="28"/>
        <w:ind w:right="98"/>
        <w:jc w:val="left"/>
      </w:pPr>
      <w:r>
        <w:rPr/>
        <w:t>计师审计准则的规定执行了审计工作。中国注册会计师审计准则要求我们遵守中国注册会计</w:t>
      </w:r>
      <w:r>
        <w:rPr>
          <w:spacing w:val="-91"/>
        </w:rPr>
        <w:t> </w:t>
      </w:r>
      <w:r>
        <w:rPr>
          <w:spacing w:val="-91"/>
        </w:rPr>
      </w:r>
      <w:r>
        <w:rPr/>
        <w:t>师职业道德守则，计划和执行审计工作以对财务报表是否不存在重大错报获取合理保证。</w:t>
      </w:r>
    </w:p>
    <w:p>
      <w:pPr>
        <w:pStyle w:val="BodyText"/>
        <w:spacing w:line="312" w:lineRule="exact"/>
        <w:ind w:right="96" w:firstLine="480"/>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w:t>
      </w:r>
      <w:r>
        <w:rPr>
          <w:spacing w:val="-91"/>
        </w:rPr>
        <w:t> </w:t>
      </w:r>
      <w:r>
        <w:rPr>
          <w:spacing w:val="-91"/>
        </w:rPr>
      </w:r>
      <w:r>
        <w:rPr/>
        <w:t>当的审计程序，但目的并非对内部控制的有效性发表意见。审计工作还包括评价管理层选用</w:t>
      </w:r>
      <w:r>
        <w:rPr>
          <w:spacing w:val="-91"/>
        </w:rPr>
        <w:t> </w:t>
      </w:r>
      <w:r>
        <w:rPr>
          <w:spacing w:val="-91"/>
        </w:rPr>
      </w:r>
      <w:r>
        <w:rPr/>
        <w:t>会计政策的恰当性和作出会计估计的合理性，以及评价财务报表的总体列报。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1"/>
          <w:szCs w:val="21"/>
        </w:rPr>
      </w:pPr>
    </w:p>
    <w:p>
      <w:pPr>
        <w:pStyle w:val="BodyText"/>
        <w:spacing w:line="240" w:lineRule="auto"/>
        <w:ind w:left="633" w:right="98"/>
        <w:jc w:val="left"/>
      </w:pPr>
      <w:r>
        <w:rPr/>
        <w:t>我们相信，我们获取的审计证据是充分、适当的，为发表审计意见提供了基础。</w:t>
      </w:r>
    </w:p>
    <w:p>
      <w:pPr>
        <w:spacing w:after="0" w:line="240" w:lineRule="auto"/>
        <w:jc w:val="left"/>
        <w:sectPr>
          <w:pgSz w:w="11910" w:h="16840"/>
          <w:pgMar w:header="745" w:footer="979" w:top="1060" w:bottom="1160" w:left="980" w:right="900"/>
        </w:sectPr>
      </w:pPr>
    </w:p>
    <w:p>
      <w:pPr>
        <w:spacing w:line="240" w:lineRule="auto" w:before="6"/>
        <w:rPr>
          <w:rFonts w:ascii="宋体" w:hAnsi="宋体" w:cs="宋体" w:eastAsia="宋体" w:hint="default"/>
          <w:sz w:val="23"/>
          <w:szCs w:val="23"/>
        </w:rPr>
      </w:pPr>
    </w:p>
    <w:p>
      <w:pPr>
        <w:pStyle w:val="BodyText"/>
        <w:spacing w:line="312" w:lineRule="exact" w:before="56"/>
        <w:ind w:left="633" w:right="144" w:firstLine="2"/>
        <w:jc w:val="left"/>
      </w:pPr>
      <w:r>
        <w:rPr>
          <w:rFonts w:ascii="宋体" w:hAnsi="宋体" w:cs="宋体" w:eastAsia="宋体" w:hint="default"/>
          <w:b/>
          <w:bCs/>
        </w:rPr>
        <w:t>三、审计意见</w:t>
      </w:r>
      <w:r>
        <w:rPr>
          <w:rFonts w:ascii="宋体" w:hAnsi="宋体" w:cs="宋体" w:eastAsia="宋体" w:hint="default"/>
          <w:b/>
          <w:bCs/>
          <w:w w:val="99"/>
        </w:rPr>
        <w:t> </w:t>
      </w:r>
      <w:r>
        <w:rPr/>
        <w:t>我们认为，上述财务报表在所有重大方面按照企业会计准则的规定编制，公允反映了鼎</w:t>
      </w:r>
    </w:p>
    <w:p>
      <w:pPr>
        <w:pStyle w:val="BodyText"/>
        <w:spacing w:line="312" w:lineRule="exact"/>
        <w:ind w:right="144"/>
        <w:jc w:val="left"/>
      </w:pPr>
      <w:r>
        <w:rPr/>
        <w:t>泰新材公司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日合并及公司的财务状况以及</w:t>
      </w:r>
      <w:r>
        <w:rPr>
          <w:rFonts w:ascii="Times New Roman" w:hAnsi="Times New Roman" w:cs="Times New Roman" w:eastAsia="Times New Roman" w:hint="default"/>
        </w:rPr>
        <w:t>2014</w:t>
      </w:r>
      <w:r>
        <w:rPr/>
        <w:t>年度合并及公司的经营成果和现</w:t>
      </w:r>
      <w:r>
        <w:rPr>
          <w:spacing w:val="-90"/>
        </w:rPr>
        <w:t> </w:t>
      </w:r>
      <w:r>
        <w:rPr>
          <w:spacing w:val="-90"/>
        </w:rPr>
      </w:r>
      <w:r>
        <w:rPr/>
        <w:t>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tbl>
      <w:tblPr>
        <w:tblW w:w="0" w:type="auto"/>
        <w:jc w:val="left"/>
        <w:tblInd w:w="152" w:type="dxa"/>
        <w:tblLayout w:type="fixed"/>
        <w:tblCellMar>
          <w:top w:w="0" w:type="dxa"/>
          <w:left w:w="0" w:type="dxa"/>
          <w:bottom w:w="0" w:type="dxa"/>
          <w:right w:w="0" w:type="dxa"/>
        </w:tblCellMar>
        <w:tblLook w:val="01E0"/>
      </w:tblPr>
      <w:tblGrid>
        <w:gridCol w:w="5124"/>
        <w:gridCol w:w="3208"/>
      </w:tblGrid>
      <w:tr>
        <w:trPr>
          <w:trHeight w:val="349" w:hRule="exact"/>
        </w:trPr>
        <w:tc>
          <w:tcPr>
            <w:tcW w:w="5124" w:type="dxa"/>
            <w:tcBorders>
              <w:top w:val="single" w:sz="6" w:space="0" w:color="000000"/>
              <w:left w:val="nil" w:sz="6" w:space="0" w:color="auto"/>
              <w:bottom w:val="single" w:sz="6" w:space="0" w:color="000000"/>
              <w:right w:val="nil" w:sz="6" w:space="0" w:color="auto"/>
            </w:tcBorders>
          </w:tcPr>
          <w:p>
            <w:pPr>
              <w:pStyle w:val="TableParagraph"/>
              <w:spacing w:line="284" w:lineRule="exact"/>
              <w:ind w:right="1040"/>
              <w:jc w:val="center"/>
              <w:rPr>
                <w:rFonts w:ascii="宋体" w:hAnsi="宋体" w:cs="宋体" w:eastAsia="宋体" w:hint="default"/>
                <w:sz w:val="24"/>
                <w:szCs w:val="24"/>
              </w:rPr>
            </w:pPr>
            <w:r>
              <w:rPr>
                <w:rFonts w:ascii="宋体" w:hAnsi="宋体" w:cs="宋体" w:eastAsia="宋体" w:hint="default"/>
                <w:sz w:val="24"/>
                <w:szCs w:val="24"/>
              </w:rPr>
              <w:t>瑞华会计师事务所（特殊普通合伙）</w:t>
            </w:r>
          </w:p>
        </w:tc>
        <w:tc>
          <w:tcPr>
            <w:tcW w:w="3208" w:type="dxa"/>
            <w:tcBorders>
              <w:top w:val="single" w:sz="6" w:space="0" w:color="000000"/>
              <w:left w:val="nil" w:sz="6" w:space="0" w:color="auto"/>
              <w:bottom w:val="single" w:sz="6" w:space="0" w:color="000000"/>
              <w:right w:val="nil" w:sz="6" w:space="0" w:color="auto"/>
            </w:tcBorders>
          </w:tcPr>
          <w:p>
            <w:pPr>
              <w:pStyle w:val="TableParagraph"/>
              <w:spacing w:line="284" w:lineRule="exact"/>
              <w:ind w:left="798" w:right="0"/>
              <w:jc w:val="center"/>
              <w:rPr>
                <w:rFonts w:ascii="宋体" w:hAnsi="宋体" w:cs="宋体" w:eastAsia="宋体" w:hint="default"/>
                <w:sz w:val="24"/>
                <w:szCs w:val="24"/>
              </w:rPr>
            </w:pPr>
            <w:r>
              <w:rPr>
                <w:rFonts w:ascii="宋体" w:hAnsi="宋体" w:cs="宋体" w:eastAsia="宋体" w:hint="default"/>
                <w:sz w:val="24"/>
                <w:szCs w:val="24"/>
              </w:rPr>
              <w:t>中国注册会计师</w:t>
            </w:r>
          </w:p>
        </w:tc>
      </w:tr>
      <w:tr>
        <w:trPr>
          <w:trHeight w:val="346" w:hRule="exact"/>
        </w:trPr>
        <w:tc>
          <w:tcPr>
            <w:tcW w:w="5124" w:type="dxa"/>
            <w:tcBorders>
              <w:top w:val="single" w:sz="6" w:space="0" w:color="000000"/>
              <w:left w:val="nil" w:sz="6" w:space="0" w:color="auto"/>
              <w:bottom w:val="single" w:sz="6" w:space="0" w:color="000000"/>
              <w:right w:val="nil" w:sz="6" w:space="0" w:color="auto"/>
            </w:tcBorders>
          </w:tcPr>
          <w:p>
            <w:pPr/>
          </w:p>
        </w:tc>
        <w:tc>
          <w:tcPr>
            <w:tcW w:w="3208" w:type="dxa"/>
            <w:tcBorders>
              <w:top w:val="single" w:sz="6" w:space="0" w:color="000000"/>
              <w:left w:val="nil" w:sz="6" w:space="0" w:color="auto"/>
              <w:bottom w:val="single" w:sz="6" w:space="0" w:color="000000"/>
              <w:right w:val="nil" w:sz="6" w:space="0" w:color="auto"/>
            </w:tcBorders>
          </w:tcPr>
          <w:p>
            <w:pPr/>
          </w:p>
        </w:tc>
      </w:tr>
      <w:tr>
        <w:trPr>
          <w:trHeight w:val="348" w:hRule="exact"/>
        </w:trPr>
        <w:tc>
          <w:tcPr>
            <w:tcW w:w="5124" w:type="dxa"/>
            <w:tcBorders>
              <w:top w:val="single" w:sz="6" w:space="0" w:color="000000"/>
              <w:left w:val="nil" w:sz="6" w:space="0" w:color="auto"/>
              <w:bottom w:val="single" w:sz="6" w:space="0" w:color="000000"/>
              <w:right w:val="nil" w:sz="6" w:space="0" w:color="auto"/>
            </w:tcBorders>
          </w:tcPr>
          <w:p>
            <w:pPr>
              <w:pStyle w:val="TableParagraph"/>
              <w:spacing w:line="304" w:lineRule="exact"/>
              <w:ind w:right="1043"/>
              <w:jc w:val="center"/>
              <w:rPr>
                <w:rFonts w:ascii="宋体" w:hAnsi="宋体" w:cs="宋体" w:eastAsia="宋体" w:hint="default"/>
                <w:sz w:val="24"/>
                <w:szCs w:val="24"/>
              </w:rPr>
            </w:pPr>
            <w:r>
              <w:rPr>
                <w:rFonts w:ascii="宋体" w:hAnsi="宋体" w:cs="宋体" w:eastAsia="宋体" w:hint="default"/>
                <w:sz w:val="24"/>
                <w:szCs w:val="24"/>
              </w:rPr>
              <w:t>中国</w:t>
            </w:r>
            <w:r>
              <w:rPr>
                <w:rFonts w:ascii="Times New Roman" w:hAnsi="Times New Roman" w:cs="Times New Roman" w:eastAsia="Times New Roman" w:hint="default"/>
                <w:sz w:val="24"/>
                <w:szCs w:val="24"/>
              </w:rPr>
              <w:t>·</w:t>
            </w:r>
            <w:r>
              <w:rPr>
                <w:rFonts w:ascii="宋体" w:hAnsi="宋体" w:cs="宋体" w:eastAsia="宋体" w:hint="default"/>
                <w:sz w:val="24"/>
                <w:szCs w:val="24"/>
              </w:rPr>
              <w:t>北京</w:t>
            </w:r>
          </w:p>
        </w:tc>
        <w:tc>
          <w:tcPr>
            <w:tcW w:w="3208" w:type="dxa"/>
            <w:tcBorders>
              <w:top w:val="single" w:sz="6" w:space="0" w:color="000000"/>
              <w:left w:val="nil" w:sz="6" w:space="0" w:color="auto"/>
              <w:bottom w:val="single" w:sz="6" w:space="0" w:color="000000"/>
              <w:right w:val="nil" w:sz="6" w:space="0" w:color="auto"/>
            </w:tcBorders>
          </w:tcPr>
          <w:p>
            <w:pPr/>
          </w:p>
        </w:tc>
      </w:tr>
      <w:tr>
        <w:trPr>
          <w:trHeight w:val="346" w:hRule="exact"/>
        </w:trPr>
        <w:tc>
          <w:tcPr>
            <w:tcW w:w="5124" w:type="dxa"/>
            <w:tcBorders>
              <w:top w:val="single" w:sz="6" w:space="0" w:color="000000"/>
              <w:left w:val="nil" w:sz="6" w:space="0" w:color="auto"/>
              <w:bottom w:val="single" w:sz="6" w:space="0" w:color="000000"/>
              <w:right w:val="nil" w:sz="6" w:space="0" w:color="auto"/>
            </w:tcBorders>
          </w:tcPr>
          <w:p>
            <w:pPr/>
          </w:p>
        </w:tc>
        <w:tc>
          <w:tcPr>
            <w:tcW w:w="3208" w:type="dxa"/>
            <w:tcBorders>
              <w:top w:val="single" w:sz="6" w:space="0" w:color="000000"/>
              <w:left w:val="nil" w:sz="6" w:space="0" w:color="auto"/>
              <w:bottom w:val="single" w:sz="6" w:space="0" w:color="000000"/>
              <w:right w:val="nil" w:sz="6" w:space="0" w:color="auto"/>
            </w:tcBorders>
          </w:tcPr>
          <w:p>
            <w:pPr/>
          </w:p>
        </w:tc>
      </w:tr>
      <w:tr>
        <w:trPr>
          <w:trHeight w:val="348" w:hRule="exact"/>
        </w:trPr>
        <w:tc>
          <w:tcPr>
            <w:tcW w:w="5124" w:type="dxa"/>
            <w:tcBorders>
              <w:top w:val="single" w:sz="6" w:space="0" w:color="000000"/>
              <w:left w:val="nil" w:sz="6" w:space="0" w:color="auto"/>
              <w:bottom w:val="single" w:sz="6" w:space="0" w:color="000000"/>
              <w:right w:val="nil" w:sz="6" w:space="0" w:color="auto"/>
            </w:tcBorders>
          </w:tcPr>
          <w:p>
            <w:pPr>
              <w:pStyle w:val="TableParagraph"/>
              <w:spacing w:line="304" w:lineRule="exact"/>
              <w:ind w:right="104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2015</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Times New Roman" w:hAnsi="Times New Roman" w:cs="Times New Roman" w:eastAsia="Times New Roman" w:hint="default"/>
                <w:sz w:val="24"/>
                <w:szCs w:val="24"/>
              </w:rPr>
              <w:t>27</w:t>
            </w:r>
            <w:r>
              <w:rPr>
                <w:rFonts w:ascii="宋体" w:hAnsi="宋体" w:cs="宋体" w:eastAsia="宋体" w:hint="default"/>
                <w:sz w:val="24"/>
                <w:szCs w:val="24"/>
              </w:rPr>
              <w:t>日</w:t>
            </w:r>
          </w:p>
        </w:tc>
        <w:tc>
          <w:tcPr>
            <w:tcW w:w="3208" w:type="dxa"/>
            <w:tcBorders>
              <w:top w:val="single" w:sz="6" w:space="0" w:color="000000"/>
              <w:left w:val="nil" w:sz="6" w:space="0" w:color="auto"/>
              <w:bottom w:val="single" w:sz="6" w:space="0" w:color="000000"/>
              <w:right w:val="nil" w:sz="6" w:space="0" w:color="auto"/>
            </w:tcBorders>
          </w:tcPr>
          <w:p>
            <w:pPr/>
          </w:p>
        </w:tc>
      </w:tr>
      <w:tr>
        <w:trPr>
          <w:trHeight w:val="346" w:hRule="exact"/>
        </w:trPr>
        <w:tc>
          <w:tcPr>
            <w:tcW w:w="5124" w:type="dxa"/>
            <w:tcBorders>
              <w:top w:val="single" w:sz="6" w:space="0" w:color="000000"/>
              <w:left w:val="nil" w:sz="6" w:space="0" w:color="auto"/>
              <w:bottom w:val="single" w:sz="6" w:space="0" w:color="000000"/>
              <w:right w:val="nil" w:sz="6" w:space="0" w:color="auto"/>
            </w:tcBorders>
          </w:tcPr>
          <w:p>
            <w:pPr/>
          </w:p>
        </w:tc>
        <w:tc>
          <w:tcPr>
            <w:tcW w:w="3208" w:type="dxa"/>
            <w:tcBorders>
              <w:top w:val="single" w:sz="6" w:space="0" w:color="000000"/>
              <w:left w:val="nil" w:sz="6" w:space="0" w:color="auto"/>
              <w:bottom w:val="single" w:sz="6" w:space="0" w:color="000000"/>
              <w:right w:val="nil" w:sz="6" w:space="0" w:color="auto"/>
            </w:tcBorders>
          </w:tcPr>
          <w:p>
            <w:pPr>
              <w:pStyle w:val="TableParagraph"/>
              <w:spacing w:line="283" w:lineRule="exact"/>
              <w:ind w:left="798" w:right="0"/>
              <w:jc w:val="center"/>
              <w:rPr>
                <w:rFonts w:ascii="宋体" w:hAnsi="宋体" w:cs="宋体" w:eastAsia="宋体" w:hint="default"/>
                <w:sz w:val="24"/>
                <w:szCs w:val="24"/>
              </w:rPr>
            </w:pPr>
            <w:r>
              <w:rPr>
                <w:rFonts w:ascii="宋体" w:hAnsi="宋体" w:cs="宋体" w:eastAsia="宋体" w:hint="default"/>
                <w:sz w:val="24"/>
                <w:szCs w:val="24"/>
              </w:rPr>
              <w:t>郑龙兴</w:t>
            </w:r>
          </w:p>
        </w:tc>
      </w:tr>
      <w:tr>
        <w:trPr>
          <w:trHeight w:val="348" w:hRule="exact"/>
        </w:trPr>
        <w:tc>
          <w:tcPr>
            <w:tcW w:w="5124" w:type="dxa"/>
            <w:tcBorders>
              <w:top w:val="single" w:sz="6" w:space="0" w:color="000000"/>
              <w:left w:val="nil" w:sz="6" w:space="0" w:color="auto"/>
              <w:bottom w:val="single" w:sz="6" w:space="0" w:color="000000"/>
              <w:right w:val="nil" w:sz="6" w:space="0" w:color="auto"/>
            </w:tcBorders>
          </w:tcPr>
          <w:p>
            <w:pPr/>
          </w:p>
        </w:tc>
        <w:tc>
          <w:tcPr>
            <w:tcW w:w="3208" w:type="dxa"/>
            <w:tcBorders>
              <w:top w:val="single" w:sz="6" w:space="0" w:color="000000"/>
              <w:left w:val="nil" w:sz="6" w:space="0" w:color="auto"/>
              <w:bottom w:val="single" w:sz="6" w:space="0" w:color="000000"/>
              <w:right w:val="nil" w:sz="6" w:space="0" w:color="auto"/>
            </w:tcBorders>
          </w:tcPr>
          <w:p>
            <w:pPr/>
          </w:p>
        </w:tc>
      </w:tr>
      <w:tr>
        <w:trPr>
          <w:trHeight w:val="348" w:hRule="exact"/>
        </w:trPr>
        <w:tc>
          <w:tcPr>
            <w:tcW w:w="5124" w:type="dxa"/>
            <w:tcBorders>
              <w:top w:val="single" w:sz="6" w:space="0" w:color="000000"/>
              <w:left w:val="nil" w:sz="6" w:space="0" w:color="auto"/>
              <w:bottom w:val="single" w:sz="6" w:space="0" w:color="000000"/>
              <w:right w:val="nil" w:sz="6" w:space="0" w:color="auto"/>
            </w:tcBorders>
          </w:tcPr>
          <w:p>
            <w:pPr/>
          </w:p>
        </w:tc>
        <w:tc>
          <w:tcPr>
            <w:tcW w:w="3208" w:type="dxa"/>
            <w:tcBorders>
              <w:top w:val="single" w:sz="6" w:space="0" w:color="000000"/>
              <w:left w:val="nil" w:sz="6" w:space="0" w:color="auto"/>
              <w:bottom w:val="single" w:sz="6" w:space="0" w:color="000000"/>
              <w:right w:val="nil" w:sz="6" w:space="0" w:color="auto"/>
            </w:tcBorders>
          </w:tcPr>
          <w:p>
            <w:pPr>
              <w:pStyle w:val="TableParagraph"/>
              <w:spacing w:line="283" w:lineRule="exact"/>
              <w:ind w:left="798" w:right="0"/>
              <w:jc w:val="center"/>
              <w:rPr>
                <w:rFonts w:ascii="宋体" w:hAnsi="宋体" w:cs="宋体" w:eastAsia="宋体" w:hint="default"/>
                <w:sz w:val="24"/>
                <w:szCs w:val="24"/>
              </w:rPr>
            </w:pPr>
            <w:r>
              <w:rPr>
                <w:rFonts w:ascii="宋体" w:hAnsi="宋体" w:cs="宋体" w:eastAsia="宋体" w:hint="default"/>
                <w:sz w:val="24"/>
                <w:szCs w:val="24"/>
              </w:rPr>
              <w:t>中国注册会计师</w:t>
            </w:r>
          </w:p>
        </w:tc>
      </w:tr>
      <w:tr>
        <w:trPr>
          <w:trHeight w:val="346" w:hRule="exact"/>
        </w:trPr>
        <w:tc>
          <w:tcPr>
            <w:tcW w:w="5124" w:type="dxa"/>
            <w:tcBorders>
              <w:top w:val="single" w:sz="6" w:space="0" w:color="000000"/>
              <w:left w:val="nil" w:sz="6" w:space="0" w:color="auto"/>
              <w:bottom w:val="single" w:sz="6" w:space="0" w:color="000000"/>
              <w:right w:val="nil" w:sz="6" w:space="0" w:color="auto"/>
            </w:tcBorders>
          </w:tcPr>
          <w:p>
            <w:pPr/>
          </w:p>
        </w:tc>
        <w:tc>
          <w:tcPr>
            <w:tcW w:w="3208" w:type="dxa"/>
            <w:tcBorders>
              <w:top w:val="single" w:sz="6" w:space="0" w:color="000000"/>
              <w:left w:val="nil" w:sz="6" w:space="0" w:color="auto"/>
              <w:bottom w:val="single" w:sz="6" w:space="0" w:color="000000"/>
              <w:right w:val="nil" w:sz="6" w:space="0" w:color="auto"/>
            </w:tcBorders>
          </w:tcPr>
          <w:p>
            <w:pPr/>
          </w:p>
        </w:tc>
      </w:tr>
      <w:tr>
        <w:trPr>
          <w:trHeight w:val="348" w:hRule="exact"/>
        </w:trPr>
        <w:tc>
          <w:tcPr>
            <w:tcW w:w="5124" w:type="dxa"/>
            <w:tcBorders>
              <w:top w:val="single" w:sz="6" w:space="0" w:color="000000"/>
              <w:left w:val="nil" w:sz="6" w:space="0" w:color="auto"/>
              <w:bottom w:val="single" w:sz="6" w:space="0" w:color="000000"/>
              <w:right w:val="nil" w:sz="6" w:space="0" w:color="auto"/>
            </w:tcBorders>
          </w:tcPr>
          <w:p>
            <w:pPr/>
          </w:p>
        </w:tc>
        <w:tc>
          <w:tcPr>
            <w:tcW w:w="3208" w:type="dxa"/>
            <w:tcBorders>
              <w:top w:val="single" w:sz="6" w:space="0" w:color="000000"/>
              <w:left w:val="nil" w:sz="6" w:space="0" w:color="auto"/>
              <w:bottom w:val="single" w:sz="6" w:space="0" w:color="000000"/>
              <w:right w:val="nil" w:sz="6" w:space="0" w:color="auto"/>
            </w:tcBorders>
          </w:tcPr>
          <w:p>
            <w:pPr/>
          </w:p>
        </w:tc>
      </w:tr>
      <w:tr>
        <w:trPr>
          <w:trHeight w:val="346" w:hRule="exact"/>
        </w:trPr>
        <w:tc>
          <w:tcPr>
            <w:tcW w:w="5124" w:type="dxa"/>
            <w:tcBorders>
              <w:top w:val="single" w:sz="6" w:space="0" w:color="000000"/>
              <w:left w:val="nil" w:sz="6" w:space="0" w:color="auto"/>
              <w:bottom w:val="single" w:sz="6" w:space="0" w:color="000000"/>
              <w:right w:val="nil" w:sz="6" w:space="0" w:color="auto"/>
            </w:tcBorders>
          </w:tcPr>
          <w:p>
            <w:pPr/>
          </w:p>
        </w:tc>
        <w:tc>
          <w:tcPr>
            <w:tcW w:w="3208" w:type="dxa"/>
            <w:tcBorders>
              <w:top w:val="single" w:sz="6" w:space="0" w:color="000000"/>
              <w:left w:val="nil" w:sz="6" w:space="0" w:color="auto"/>
              <w:bottom w:val="single" w:sz="6" w:space="0" w:color="000000"/>
              <w:right w:val="nil" w:sz="6" w:space="0" w:color="auto"/>
            </w:tcBorders>
          </w:tcPr>
          <w:p>
            <w:pPr/>
          </w:p>
        </w:tc>
      </w:tr>
      <w:tr>
        <w:trPr>
          <w:trHeight w:val="348" w:hRule="exact"/>
        </w:trPr>
        <w:tc>
          <w:tcPr>
            <w:tcW w:w="5124" w:type="dxa"/>
            <w:tcBorders>
              <w:top w:val="single" w:sz="6" w:space="0" w:color="000000"/>
              <w:left w:val="nil" w:sz="6" w:space="0" w:color="auto"/>
              <w:bottom w:val="single" w:sz="6" w:space="0" w:color="000000"/>
              <w:right w:val="nil" w:sz="6" w:space="0" w:color="auto"/>
            </w:tcBorders>
          </w:tcPr>
          <w:p>
            <w:pPr/>
          </w:p>
        </w:tc>
        <w:tc>
          <w:tcPr>
            <w:tcW w:w="3208" w:type="dxa"/>
            <w:tcBorders>
              <w:top w:val="single" w:sz="6" w:space="0" w:color="000000"/>
              <w:left w:val="nil" w:sz="6" w:space="0" w:color="auto"/>
              <w:bottom w:val="single" w:sz="6" w:space="0" w:color="000000"/>
              <w:right w:val="nil" w:sz="6" w:space="0" w:color="auto"/>
            </w:tcBorders>
          </w:tcPr>
          <w:p>
            <w:pPr/>
          </w:p>
        </w:tc>
      </w:tr>
      <w:tr>
        <w:trPr>
          <w:trHeight w:val="291" w:hRule="exact"/>
        </w:trPr>
        <w:tc>
          <w:tcPr>
            <w:tcW w:w="5124" w:type="dxa"/>
            <w:tcBorders>
              <w:top w:val="single" w:sz="6" w:space="0" w:color="000000"/>
              <w:left w:val="nil" w:sz="6" w:space="0" w:color="auto"/>
              <w:bottom w:val="nil" w:sz="6" w:space="0" w:color="auto"/>
              <w:right w:val="nil" w:sz="6" w:space="0" w:color="auto"/>
            </w:tcBorders>
          </w:tcPr>
          <w:p>
            <w:pPr/>
          </w:p>
        </w:tc>
        <w:tc>
          <w:tcPr>
            <w:tcW w:w="3208" w:type="dxa"/>
            <w:tcBorders>
              <w:top w:val="single" w:sz="6" w:space="0" w:color="000000"/>
              <w:left w:val="nil" w:sz="6" w:space="0" w:color="auto"/>
              <w:bottom w:val="nil" w:sz="6" w:space="0" w:color="auto"/>
              <w:right w:val="nil" w:sz="6" w:space="0" w:color="auto"/>
            </w:tcBorders>
          </w:tcPr>
          <w:p>
            <w:pPr>
              <w:pStyle w:val="TableParagraph"/>
              <w:spacing w:line="283" w:lineRule="exact"/>
              <w:ind w:left="798" w:right="0"/>
              <w:jc w:val="center"/>
              <w:rPr>
                <w:rFonts w:ascii="宋体" w:hAnsi="宋体" w:cs="宋体" w:eastAsia="宋体" w:hint="default"/>
                <w:sz w:val="24"/>
                <w:szCs w:val="24"/>
              </w:rPr>
            </w:pPr>
            <w:r>
              <w:rPr>
                <w:rFonts w:ascii="宋体" w:hAnsi="宋体" w:cs="宋体" w:eastAsia="宋体" w:hint="default"/>
                <w:sz w:val="24"/>
                <w:szCs w:val="24"/>
              </w:rPr>
              <w:t>李梅</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Heading3"/>
        <w:spacing w:line="240" w:lineRule="auto" w:before="26"/>
        <w:ind w:right="144"/>
        <w:jc w:val="left"/>
        <w:rPr>
          <w:b w:val="0"/>
          <w:bCs w:val="0"/>
        </w:rPr>
      </w:pPr>
      <w:r>
        <w:rPr/>
        <w:t>二、财务报表</w:t>
      </w:r>
      <w:r>
        <w:rPr>
          <w:b w:val="0"/>
          <w:bCs w:val="0"/>
        </w:rPr>
      </w:r>
    </w:p>
    <w:p>
      <w:pPr>
        <w:spacing w:line="240" w:lineRule="auto" w:before="4"/>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spacing w:before="121"/>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编制单位：马鞍山鼎泰稀土新材料股份有限公司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59"/>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3" w:equalWidth="0">
            <w:col w:w="3933" w:space="143"/>
            <w:col w:w="1642" w:space="3202"/>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47" w:right="0"/>
              <w:jc w:val="left"/>
              <w:rPr>
                <w:rFonts w:ascii="Times New Roman" w:hAnsi="Times New Roman" w:cs="Times New Roman" w:eastAsia="Times New Roman" w:hint="default"/>
                <w:sz w:val="18"/>
                <w:szCs w:val="18"/>
              </w:rPr>
            </w:pPr>
            <w:r>
              <w:rPr>
                <w:rFonts w:ascii="Times New Roman"/>
                <w:sz w:val="18"/>
              </w:rPr>
              <w:t>109,104,690.53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218,631,961.39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130,281,164.29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183,370,030.82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171,408,840.69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156,936,978.68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88,974,770.85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143,682,643.70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273,506.39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976,218.04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4,528,025.61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4,864,349.47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155,098,937.15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155,506,067.76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659,669,935.51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863,968,249.86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10,025,000.00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231,053,621.84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218,630,746.18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51,723,181.90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52,958,555.61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1,713,562.95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1,726,942.82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9,738,200.00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3,796,589.55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304,253,566.69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287,250,834.16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963,923,502.20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1,151,219,084.02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334,060,000.00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56,350,000.00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14,617,826.78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10,921,330.94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3,935,265.11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1,655,740.09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2,453,367.50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1,661,607.38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24,643,744.64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10,247,644.85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3,265,640.01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3,531,594.00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1,472,213.63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1,247,825.16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192,388,057.67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419,675,742.42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246,028,057.67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426,315,742.42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77,830,780.00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77,830,780.00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579,996,139.78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579,996,139.78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26,982,505.00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22,910,233.27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33,086,019.75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44,166,188.55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717,895,444.53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724,903,341.60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717,895,444.53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724,903,341.60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963,923,502.20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1,151,219,084.02</w:t>
            </w:r>
          </w:p>
        </w:tc>
      </w:tr>
    </w:tbl>
    <w:p>
      <w:pPr>
        <w:spacing w:line="240" w:lineRule="auto" w:before="11"/>
        <w:rPr>
          <w:rFonts w:ascii="Times New Roman" w:hAnsi="Times New Roman" w:cs="Times New Roman" w:eastAsia="Times New Roman" w:hint="default"/>
          <w:sz w:val="22"/>
          <w:szCs w:val="22"/>
        </w:rPr>
      </w:pPr>
    </w:p>
    <w:p>
      <w:pPr>
        <w:tabs>
          <w:tab w:pos="3605" w:val="left" w:leader="none"/>
          <w:tab w:pos="7749" w:val="left" w:leader="none"/>
        </w:tabs>
        <w:spacing w:before="44"/>
        <w:ind w:left="0" w:right="242" w:firstLine="0"/>
        <w:jc w:val="right"/>
        <w:rPr>
          <w:rFonts w:ascii="宋体" w:hAnsi="宋体" w:cs="宋体" w:eastAsia="宋体" w:hint="default"/>
          <w:sz w:val="18"/>
          <w:szCs w:val="18"/>
        </w:rPr>
      </w:pPr>
      <w:r>
        <w:rPr>
          <w:rFonts w:ascii="宋体" w:hAnsi="宋体" w:cs="宋体" w:eastAsia="宋体" w:hint="default"/>
          <w:sz w:val="18"/>
          <w:szCs w:val="18"/>
        </w:rPr>
        <w:t>法定代表人：刘冀鲁</w:t>
        <w:tab/>
      </w:r>
      <w:r>
        <w:rPr>
          <w:rFonts w:ascii="宋体" w:hAnsi="宋体" w:cs="宋体" w:eastAsia="宋体" w:hint="default"/>
          <w:spacing w:val="-1"/>
          <w:sz w:val="18"/>
          <w:szCs w:val="18"/>
        </w:rPr>
        <w:t>主管会计工作负责人：张彦</w:t>
        <w:tab/>
      </w:r>
      <w:r>
        <w:rPr>
          <w:rFonts w:ascii="宋体" w:hAnsi="宋体" w:cs="宋体" w:eastAsia="宋体" w:hint="default"/>
          <w:sz w:val="18"/>
          <w:szCs w:val="18"/>
        </w:rPr>
        <w:t>会计机构负责人：张彦</w:t>
      </w:r>
    </w:p>
    <w:p>
      <w:pPr>
        <w:spacing w:line="240" w:lineRule="auto" w:before="0"/>
        <w:rPr>
          <w:rFonts w:ascii="宋体" w:hAnsi="宋体" w:cs="宋体" w:eastAsia="宋体" w:hint="default"/>
          <w:sz w:val="18"/>
          <w:szCs w:val="18"/>
        </w:rPr>
      </w:pPr>
    </w:p>
    <w:p>
      <w:pPr>
        <w:spacing w:before="12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7"/>
        <w:gridCol w:w="3299"/>
        <w:gridCol w:w="3303"/>
      </w:tblGrid>
      <w:tr>
        <w:trPr>
          <w:trHeight w:val="404"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135" w:right="0"/>
              <w:jc w:val="left"/>
              <w:rPr>
                <w:rFonts w:ascii="Times New Roman" w:hAnsi="Times New Roman" w:cs="Times New Roman" w:eastAsia="Times New Roman" w:hint="default"/>
                <w:sz w:val="18"/>
                <w:szCs w:val="18"/>
              </w:rPr>
            </w:pPr>
            <w:r>
              <w:rPr>
                <w:rFonts w:ascii="Times New Roman"/>
                <w:sz w:val="18"/>
              </w:rPr>
              <w:t>105,170,967.92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189,124,914.90</w:t>
            </w:r>
          </w:p>
        </w:tc>
      </w:tr>
      <w:tr>
        <w:trPr>
          <w:trHeight w:val="403"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tc>
        <w:tc>
          <w:tcPr>
            <w:tcW w:w="3299"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130,281,164.29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183,370,030.82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140,644,654.60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156,718,102.26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74,193,807.90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140,744,063.55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273,506.39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961,553.29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151,400,340.40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152,677,625.15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145,407,853.03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123,911,462.71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747,372,294.53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947,507,752.68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110,728,698.47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112,024,189.72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20,379,039.70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20,935,814.08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1,532,352.02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1,711,143.84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9,732,200.00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2,973,750.00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192,422,290.19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187,807,897.64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939,794,584.72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1,135,315,650.32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334,060,000.00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56,350,000.00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9,906,154.29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18,409,944.29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3,181,447.97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1,153,171.93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1,225,429.36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1,315,793.03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12,057,133.95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8,917,576.65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3,265,640.01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3,531,594.00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1,186,526.36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1,195,722.98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172,822,331.94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424,933,802.88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53,640,000.00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6,640,000.00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226,462,331.94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431,573,802.88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77,830,780.00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77,830,780.00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579,996,139.78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579,996,139.78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26,982,505.00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22,910,233.27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28,522,828.00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23,004,694.39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713,332,252.78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703,741,847.44</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939,794,584.72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1,135,315,650.32</w:t>
            </w:r>
          </w:p>
        </w:tc>
      </w:tr>
    </w:tbl>
    <w:p>
      <w:pPr>
        <w:spacing w:line="240" w:lineRule="auto" w:before="10"/>
        <w:rPr>
          <w:rFonts w:ascii="Times New Roman" w:hAnsi="Times New Roman" w:cs="Times New Roman" w:eastAsia="Times New Roman" w:hint="default"/>
          <w:sz w:val="21"/>
          <w:szCs w:val="21"/>
        </w:rPr>
      </w:pPr>
    </w:p>
    <w:p>
      <w:pPr>
        <w:spacing w:before="36"/>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60"/>
        <w:gridCol w:w="3222"/>
        <w:gridCol w:w="3277"/>
      </w:tblGrid>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812,645,896.90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721,994,655.00</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812,645,896.90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721,994,655.00</w:t>
            </w:r>
          </w:p>
        </w:tc>
      </w:tr>
      <w:tr>
        <w:trPr>
          <w:trHeight w:val="404"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783,259,040.19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693,694,012.08</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705,785,116.77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621,061,121.46</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1,629,986.91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1,813,208.88</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34,602,879.93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32,934,748.75</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29,950,505.48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25,248,716.04</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11,310,753.42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10,520,711.01</w:t>
            </w:r>
          </w:p>
        </w:tc>
      </w:tr>
      <w:tr>
        <w:trPr>
          <w:trHeight w:val="404"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-20,202.32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2,115,505.94</w:t>
            </w: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1.130005pt;margin-top:143.359985pt;width:158.8pt;height:20.65pt;mso-position-horizontal-relative:page;mso-position-vertical-relative:page;z-index:-716800" coordorigin="4223,2867" coordsize="3176,413">
            <v:group style="position:absolute;left:4233;top:2878;width:2;height:392" coordorigin="4233,2878" coordsize="2,392">
              <v:shape style="position:absolute;left:4233;top:2878;width:2;height:392" coordorigin="4233,2878" coordsize="0,392" path="m4233,2878l4233,3269e" filled="false" stroked="true" strokeweight="1.08pt" strokecolor="#ffffff">
                <v:path arrowok="t"/>
              </v:shape>
            </v:group>
            <v:group style="position:absolute;left:4244;top:2878;width:3154;height:392" coordorigin="4244,2878" coordsize="3154,392">
              <v:shape style="position:absolute;left:4244;top:2878;width:3154;height:392" coordorigin="4244,2878" coordsize="3154,392" path="m4244,3269l7398,3269,7398,2878,4244,2878,4244,3269xe" filled="true" fillcolor="#ffffff" stroked="false">
                <v:path arrowok="t"/>
                <v:fill type="solid"/>
              </v:shape>
            </v:group>
            <w10:wrap type="none"/>
          </v:group>
        </w:pict>
      </w:r>
      <w:r>
        <w:rPr/>
        <w:pict>
          <v:group style="position:absolute;margin-left:211.130005pt;margin-top:263.989990pt;width:158.8pt;height:20.65pt;mso-position-horizontal-relative:page;mso-position-vertical-relative:page;z-index:-716776" coordorigin="4223,5280" coordsize="3176,413">
            <v:group style="position:absolute;left:4233;top:5291;width:2;height:392" coordorigin="4233,5291" coordsize="2,392">
              <v:shape style="position:absolute;left:4233;top:5291;width:2;height:392" coordorigin="4233,5291" coordsize="0,392" path="m4233,5291l4233,5682e" filled="false" stroked="true" strokeweight="1.08pt" strokecolor="#ffffff">
                <v:path arrowok="t"/>
              </v:shape>
            </v:group>
            <v:group style="position:absolute;left:4244;top:5291;width:3154;height:392" coordorigin="4244,5291" coordsize="3154,392">
              <v:shape style="position:absolute;left:4244;top:5291;width:3154;height:392" coordorigin="4244,5291" coordsize="3154,392" path="m4244,5682l7398,5682,7398,5291,4244,5291,4244,568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1"/>
        <w:gridCol w:w="1105"/>
        <w:gridCol w:w="2107"/>
        <w:gridCol w:w="3277"/>
      </w:tblGrid>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-2,278,759.70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-1,340,644.46</w:t>
            </w: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27,108,097.01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26,959,998.46</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1,379,138.40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20,636,104.34</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6"/>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572,310.77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473,008.55</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6"/>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2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3" w:right="0"/>
              <w:jc w:val="left"/>
              <w:rPr>
                <w:rFonts w:ascii="Times New Roman" w:hAnsi="Times New Roman" w:cs="Times New Roman" w:eastAsia="Times New Roman" w:hint="default"/>
                <w:sz w:val="18"/>
                <w:szCs w:val="18"/>
              </w:rPr>
            </w:pPr>
            <w:r>
              <w:rPr>
                <w:rFonts w:ascii="Times New Roman"/>
                <w:sz w:val="18"/>
              </w:rPr>
              <w:t>27,914,924.64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47,123,094.25</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3,790,509.71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6,842,105.30</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24,124,414.93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40,280,988.95</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24,124,414.93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40,280,988.95</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6"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60"/>
        <w:gridCol w:w="3222"/>
        <w:gridCol w:w="3277"/>
      </w:tblGrid>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24,124,414.93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40,280,988.95</w:t>
            </w: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24,124,414.93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40,280,988.95</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0.52</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0.52</w:t>
            </w:r>
          </w:p>
        </w:tc>
      </w:tr>
    </w:tbl>
    <w:p>
      <w:pPr>
        <w:tabs>
          <w:tab w:pos="3758" w:val="left" w:leader="none"/>
          <w:tab w:pos="7901" w:val="left" w:leader="none"/>
        </w:tabs>
        <w:spacing w:line="621" w:lineRule="auto" w:before="49"/>
        <w:ind w:left="152" w:right="242"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法定代表人：刘冀鲁</w:t>
        <w:tab/>
      </w:r>
      <w:r>
        <w:rPr>
          <w:rFonts w:ascii="宋体" w:hAnsi="宋体" w:cs="宋体" w:eastAsia="宋体" w:hint="default"/>
          <w:spacing w:val="-1"/>
          <w:sz w:val="18"/>
          <w:szCs w:val="18"/>
        </w:rPr>
        <w:t>主管会计工作负责人：张彦</w:t>
        <w:tab/>
      </w:r>
      <w:r>
        <w:rPr>
          <w:rFonts w:ascii="宋体" w:hAnsi="宋体" w:cs="宋体" w:eastAsia="宋体" w:hint="default"/>
          <w:sz w:val="18"/>
          <w:szCs w:val="18"/>
        </w:rPr>
        <w:t>会计机构负责人：张彦</w:t>
      </w:r>
    </w:p>
    <w:p>
      <w:pPr>
        <w:spacing w:before="69"/>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550,746,722.25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625,519,212.02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461,066,425.63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537,383,186.85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1,588,849.67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1,801,178.10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28,409,412.75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30,263,840.73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21,922,981.70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17,777,186.22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10,167,370.02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10,495,497.70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-1,122,948.68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2,880,736.10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15,120,616.83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11,832,954.52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43,835,247.99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36,750,540.84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1,035,268.73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1,113,253.15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509,515.66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468,907.55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44,361,001.06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37,394,886.44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3,638,283.72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3,397,335.00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40,722,717.34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33,997,551.44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40,722,717.34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33,997,551.44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0.43</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887,262,745.65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667,340,393.58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4,311,425.13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431,884.70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4,437,596.99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4,913,124.83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896,011,767.77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672,685,403.11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645,624,357.78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681,656,821.60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37,253,905.96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38,850,686.20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22,466,488.91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24,580,699.01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42,122,329.54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41,876,322.01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747,467,082.19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786,964,528.82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148,544,685.58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-114,279,125.71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59,615,375.60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26,449,355.54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1,165,864.70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60,781,240.30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26,695,355.54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购建固定资产、无形资产和其他</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21,877,734.83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21,553,525.30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140,437,734.83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49,553,525.30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-79,656,494.53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-22,858,169.76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508,860,000.00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107,706,241.89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10,567,467.00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596,706,241.89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519,427,467.00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679,060,000.00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235,474,010.14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44,083,274.67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41,710,233.31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14,048,400.34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107,706,241.89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737,191,675.01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384,890,485.34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-140,485,433.12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134,536,981.66</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227,812.76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-150,814.03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-71,369,429.31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-2,751,127.84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110,925,719.50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113,676,847.34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39,556,290.19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110,925,719.50</w:t>
            </w:r>
          </w:p>
        </w:tc>
      </w:tr>
    </w:tbl>
    <w:p>
      <w:pPr>
        <w:spacing w:line="240" w:lineRule="auto" w:before="10"/>
        <w:rPr>
          <w:rFonts w:ascii="Times New Roman" w:hAnsi="Times New Roman" w:cs="Times New Roman" w:eastAsia="Times New Roman" w:hint="default"/>
          <w:sz w:val="21"/>
          <w:szCs w:val="21"/>
        </w:rPr>
      </w:pPr>
    </w:p>
    <w:p>
      <w:pPr>
        <w:spacing w:before="36"/>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7"/>
        <w:gridCol w:w="3300"/>
        <w:gridCol w:w="3290"/>
      </w:tblGrid>
      <w:tr>
        <w:trPr>
          <w:trHeight w:val="401"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36" w:right="0"/>
              <w:jc w:val="left"/>
              <w:rPr>
                <w:rFonts w:ascii="Times New Roman" w:hAnsi="Times New Roman" w:cs="Times New Roman" w:eastAsia="Times New Roman" w:hint="default"/>
                <w:sz w:val="18"/>
                <w:szCs w:val="18"/>
              </w:rPr>
            </w:pPr>
            <w:r>
              <w:rPr>
                <w:rFonts w:ascii="Times New Roman"/>
                <w:sz w:val="18"/>
              </w:rPr>
              <w:t>638,667,855.81</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564,280,843.83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3,399,379.51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1,880,174.26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642,067,235.32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566,161,018.09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375,993,775.85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624,134,049.47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28,841,383.16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30,679,886.29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18,269,860.06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19,678,771.09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30,620,249.48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55,520,389.67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453,725,268.55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730,013,096.52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188,341,966.77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-163,852,078.43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59,615,375.60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26,449,355.54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18,565,241.23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13,383,598.98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78,180,616.83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39,868,954.52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4,539,620.41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13,877,199.77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63,060,000.00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123,099,620.41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41,877,199.77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-44,919,003.58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-2,008,245.25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508,860,000.00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107,226,241.89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10,567,467.00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546,226,241.89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519,427,467.00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679,060,000.00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235,474,010.14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43,081,990.67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41,708,949.31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14,048,400.34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107,226,241.89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736,190,391.01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384,409,201.34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-189,964,149.12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135,018,265.66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265,080.50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-106,772.46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-46,276,105.43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-30,948,830.48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81,898,673.01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112,847,503.49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35,622,567.58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81,898,673.01</w:t>
            </w:r>
          </w:p>
        </w:tc>
      </w:tr>
    </w:tbl>
    <w:p>
      <w:pPr>
        <w:spacing w:line="240" w:lineRule="auto" w:before="10"/>
        <w:rPr>
          <w:rFonts w:ascii="Times New Roman" w:hAnsi="Times New Roman" w:cs="Times New Roman" w:eastAsia="Times New Roman" w:hint="default"/>
          <w:sz w:val="21"/>
          <w:szCs w:val="21"/>
        </w:rPr>
      </w:pPr>
    </w:p>
    <w:p>
      <w:pPr>
        <w:spacing w:before="36"/>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144"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3"/>
        <w:gridCol w:w="530"/>
        <w:gridCol w:w="530"/>
        <w:gridCol w:w="665"/>
        <w:gridCol w:w="665"/>
        <w:gridCol w:w="665"/>
        <w:gridCol w:w="665"/>
        <w:gridCol w:w="665"/>
        <w:gridCol w:w="665"/>
        <w:gridCol w:w="665"/>
        <w:gridCol w:w="665"/>
        <w:gridCol w:w="660"/>
      </w:tblGrid>
      <w:tr>
        <w:trPr>
          <w:trHeight w:val="401"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2" w:hRule="exact"/>
        </w:trPr>
        <w:tc>
          <w:tcPr>
            <w:tcW w:w="1426"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4"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2"/>
              <w:ind w:left="170" w:right="80"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2"/>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9"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77,830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579,996</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,139.78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22,910,</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233.27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44,166,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188.55</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724,903</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,341.60</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77,830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579,996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,139.78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22,910,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233.27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44,166,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188.55</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724,903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,341.60</w:t>
            </w:r>
          </w:p>
        </w:tc>
      </w:tr>
      <w:tr>
        <w:trPr>
          <w:trHeight w:val="394"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4,072,2</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71.73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-11,080,</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168.80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-7,007,8</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97.07</w:t>
            </w: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24,124,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414.93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24,124,</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414.93</w:t>
            </w: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0"/>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4,072,2</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71.73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-35,204,</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583.73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-31,132,</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312.00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4,072,2</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71.73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-4,072,2</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71.73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-31,132,</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312.00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-31,132,</w:t>
            </w:r>
          </w:p>
          <w:p>
            <w:pPr>
              <w:pStyle w:val="TableParagraph"/>
              <w:spacing w:line="240" w:lineRule="auto" w:before="102"/>
              <w:ind w:left="108" w:right="0"/>
              <w:jc w:val="center"/>
              <w:rPr>
                <w:rFonts w:ascii="Times New Roman" w:hAnsi="Times New Roman" w:cs="Times New Roman" w:eastAsia="Times New Roman" w:hint="default"/>
                <w:sz w:val="18"/>
                <w:szCs w:val="18"/>
              </w:rPr>
            </w:pPr>
            <w:r>
              <w:rPr>
                <w:rFonts w:ascii="Times New Roman"/>
                <w:sz w:val="18"/>
              </w:rPr>
              <w:t>312.00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77,830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579,996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,139.78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26,982,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505.00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33,086,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019.75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717,895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,444.53</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6822"/>
        <w:gridCol w:w="653"/>
        <w:gridCol w:w="658"/>
      </w:tblGrid>
      <w:tr>
        <w:trPr>
          <w:trHeight w:val="401"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6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0" w:right="0"/>
              <w:jc w:val="left"/>
              <w:rPr>
                <w:rFonts w:ascii="宋体" w:hAnsi="宋体" w:cs="宋体" w:eastAsia="宋体" w:hint="default"/>
                <w:sz w:val="18"/>
                <w:szCs w:val="18"/>
              </w:rPr>
            </w:pPr>
            <w:r>
              <w:rPr>
                <w:rFonts w:ascii="宋体" w:hAnsi="宋体" w:cs="宋体" w:eastAsia="宋体" w:hint="default"/>
                <w:sz w:val="18"/>
                <w:szCs w:val="18"/>
              </w:rPr>
              <w:t>少数股</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5" w:right="0"/>
              <w:jc w:val="left"/>
              <w:rPr>
                <w:rFonts w:ascii="宋体" w:hAnsi="宋体" w:cs="宋体" w:eastAsia="宋体" w:hint="default"/>
                <w:sz w:val="18"/>
                <w:szCs w:val="18"/>
              </w:rPr>
            </w:pPr>
            <w:r>
              <w:rPr>
                <w:rFonts w:ascii="宋体" w:hAnsi="宋体" w:cs="宋体" w:eastAsia="宋体" w:hint="default"/>
                <w:sz w:val="18"/>
                <w:szCs w:val="18"/>
              </w:rPr>
              <w:t>所有者</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1"/>
        <w:gridCol w:w="530"/>
        <w:gridCol w:w="533"/>
        <w:gridCol w:w="662"/>
        <w:gridCol w:w="665"/>
        <w:gridCol w:w="667"/>
        <w:gridCol w:w="665"/>
        <w:gridCol w:w="662"/>
        <w:gridCol w:w="665"/>
        <w:gridCol w:w="679"/>
        <w:gridCol w:w="653"/>
        <w:gridCol w:w="658"/>
      </w:tblGrid>
      <w:tr>
        <w:trPr>
          <w:trHeight w:val="207"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single" w:sz="4" w:space="0" w:color="000000"/>
              <w:left w:val="single" w:sz="9" w:space="0" w:color="D2D2D2"/>
              <w:right w:val="single" w:sz="4" w:space="0" w:color="000000"/>
            </w:tcBorders>
          </w:tcPr>
          <w:p>
            <w:pPr>
              <w:pStyle w:val="TableParagraph"/>
              <w:spacing w:line="240" w:lineRule="auto" w:before="8"/>
              <w:ind w:left="44"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658" w:type="dxa"/>
            <w:vMerge w:val="restart"/>
            <w:tcBorders>
              <w:top w:val="single" w:sz="4" w:space="0" w:color="000000"/>
              <w:left w:val="single" w:sz="4" w:space="0" w:color="000000"/>
              <w:right w:val="single" w:sz="4" w:space="0" w:color="000000"/>
            </w:tcBorders>
          </w:tcPr>
          <w:p>
            <w:pPr>
              <w:pStyle w:val="TableParagraph"/>
              <w:spacing w:line="316" w:lineRule="auto" w:before="8"/>
              <w:ind w:left="235" w:right="50" w:hanging="180"/>
              <w:jc w:val="left"/>
              <w:rPr>
                <w:rFonts w:ascii="宋体" w:hAnsi="宋体" w:cs="宋体" w:eastAsia="宋体" w:hint="default"/>
                <w:sz w:val="18"/>
                <w:szCs w:val="18"/>
              </w:rPr>
            </w:pPr>
            <w:r>
              <w:rPr>
                <w:rFonts w:ascii="宋体" w:hAnsi="宋体" w:cs="宋体" w:eastAsia="宋体" w:hint="default"/>
                <w:sz w:val="18"/>
                <w:szCs w:val="18"/>
              </w:rPr>
              <w:t>权益合 计</w:t>
            </w:r>
          </w:p>
        </w:tc>
      </w:tr>
      <w:tr>
        <w:trPr>
          <w:trHeight w:val="190"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9" w:space="0" w:color="D2D2D2"/>
              <w:right w:val="single" w:sz="4" w:space="0" w:color="000000"/>
            </w:tcBorders>
          </w:tcPr>
          <w:p>
            <w:pPr/>
          </w:p>
        </w:tc>
        <w:tc>
          <w:tcPr>
            <w:tcW w:w="658" w:type="dxa"/>
            <w:vMerge/>
            <w:tcBorders>
              <w:left w:val="single" w:sz="4" w:space="0" w:color="000000"/>
              <w:right w:val="single" w:sz="4" w:space="0" w:color="000000"/>
            </w:tcBorders>
          </w:tcPr>
          <w:p>
            <w:pPr/>
          </w:p>
        </w:tc>
      </w:tr>
      <w:tr>
        <w:trPr>
          <w:trHeight w:val="168" w:hRule="exact"/>
        </w:trPr>
        <w:tc>
          <w:tcPr>
            <w:tcW w:w="1415"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6"/>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6"/>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9" w:type="dxa"/>
            <w:vMerge/>
            <w:tcBorders>
              <w:left w:val="single" w:sz="4" w:space="0" w:color="000000"/>
              <w:right w:val="single" w:sz="4" w:space="0" w:color="000000"/>
            </w:tcBorders>
            <w:shd w:val="clear" w:color="auto" w:fill="D2D2D2"/>
          </w:tcPr>
          <w:p>
            <w:pPr/>
          </w:p>
        </w:tc>
        <w:tc>
          <w:tcPr>
            <w:tcW w:w="653" w:type="dxa"/>
            <w:vMerge/>
            <w:tcBorders>
              <w:left w:val="single" w:sz="9" w:space="0" w:color="D2D2D2"/>
              <w:right w:val="single" w:sz="4" w:space="0" w:color="000000"/>
            </w:tcBorders>
          </w:tcPr>
          <w:p>
            <w:pPr/>
          </w:p>
        </w:tc>
        <w:tc>
          <w:tcPr>
            <w:tcW w:w="658" w:type="dxa"/>
            <w:vMerge/>
            <w:tcBorders>
              <w:left w:val="single" w:sz="4" w:space="0" w:color="000000"/>
              <w:right w:val="single" w:sz="4" w:space="0" w:color="000000"/>
            </w:tcBorders>
          </w:tcPr>
          <w:p>
            <w:pPr/>
          </w:p>
        </w:tc>
      </w:tr>
      <w:tr>
        <w:trPr>
          <w:trHeight w:val="190"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9" w:type="dxa"/>
            <w:vMerge/>
            <w:tcBorders>
              <w:left w:val="single" w:sz="4" w:space="0" w:color="000000"/>
              <w:right w:val="single" w:sz="4" w:space="0" w:color="000000"/>
            </w:tcBorders>
            <w:shd w:val="clear" w:color="auto" w:fill="D2D2D2"/>
          </w:tcPr>
          <w:p>
            <w:pPr/>
          </w:p>
        </w:tc>
        <w:tc>
          <w:tcPr>
            <w:tcW w:w="653" w:type="dxa"/>
            <w:vMerge/>
            <w:tcBorders>
              <w:left w:val="single" w:sz="9" w:space="0" w:color="D2D2D2"/>
              <w:right w:val="single" w:sz="4" w:space="0" w:color="000000"/>
            </w:tcBorders>
          </w:tcPr>
          <w:p>
            <w:pPr/>
          </w:p>
        </w:tc>
        <w:tc>
          <w:tcPr>
            <w:tcW w:w="658" w:type="dxa"/>
            <w:vMerge/>
            <w:tcBorders>
              <w:left w:val="single" w:sz="4" w:space="0" w:color="000000"/>
              <w:right w:val="single" w:sz="4" w:space="0" w:color="000000"/>
            </w:tcBorders>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7"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9"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9" w:space="0" w:color="D2D2D2"/>
              <w:right w:val="single" w:sz="4" w:space="0" w:color="000000"/>
            </w:tcBorders>
          </w:tcPr>
          <w:p>
            <w:pPr/>
          </w:p>
        </w:tc>
        <w:tc>
          <w:tcPr>
            <w:tcW w:w="658" w:type="dxa"/>
            <w:vMerge/>
            <w:tcBorders>
              <w:left w:val="single" w:sz="4" w:space="0" w:color="000000"/>
              <w:right w:val="single" w:sz="4" w:space="0" w:color="000000"/>
            </w:tcBorders>
          </w:tcPr>
          <w:p>
            <w:pPr/>
          </w:p>
        </w:tc>
      </w:tr>
      <w:tr>
        <w:trPr>
          <w:trHeight w:val="206"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9" w:space="0" w:color="D2D2D2"/>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77,830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579,996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,139.78</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19,510,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478.13</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34,525,</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727.74</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711,863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,125.65</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77,830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579,996</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,139.78</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19,510,</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478.13</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34,525,</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727.74</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711,863</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,125.65</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3,399,7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55.14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9,640,4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60.81</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13,040,</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215.95</w:t>
            </w: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40,280,</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988.95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40,280,</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988.95</w:t>
            </w: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3,399,7</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55.14</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-30,640,</w:t>
            </w:r>
          </w:p>
          <w:p>
            <w:pPr>
              <w:pStyle w:val="TableParagraph"/>
              <w:spacing w:line="240" w:lineRule="auto" w:before="102"/>
              <w:ind w:left="127" w:right="0"/>
              <w:jc w:val="center"/>
              <w:rPr>
                <w:rFonts w:ascii="Times New Roman" w:hAnsi="Times New Roman" w:cs="Times New Roman" w:eastAsia="Times New Roman" w:hint="default"/>
                <w:sz w:val="18"/>
                <w:szCs w:val="18"/>
              </w:rPr>
            </w:pPr>
            <w:r>
              <w:rPr>
                <w:rFonts w:ascii="Times New Roman"/>
                <w:sz w:val="18"/>
              </w:rPr>
              <w:t>528.14</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-27,240,</w:t>
            </w:r>
          </w:p>
          <w:p>
            <w:pPr>
              <w:pStyle w:val="TableParagraph"/>
              <w:spacing w:line="240" w:lineRule="auto" w:before="102"/>
              <w:ind w:left="110" w:right="0"/>
              <w:jc w:val="center"/>
              <w:rPr>
                <w:rFonts w:ascii="Times New Roman" w:hAnsi="Times New Roman" w:cs="Times New Roman" w:eastAsia="Times New Roman" w:hint="default"/>
                <w:sz w:val="18"/>
                <w:szCs w:val="18"/>
              </w:rPr>
            </w:pPr>
            <w:r>
              <w:rPr>
                <w:rFonts w:ascii="Times New Roman"/>
                <w:sz w:val="18"/>
              </w:rPr>
              <w:t>773.00</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3,399,7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55.14</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-3,399,7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55.14</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-27,240,</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773.00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-27,240,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773.00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1"/>
        <w:gridCol w:w="530"/>
        <w:gridCol w:w="533"/>
        <w:gridCol w:w="662"/>
        <w:gridCol w:w="665"/>
        <w:gridCol w:w="667"/>
        <w:gridCol w:w="665"/>
        <w:gridCol w:w="662"/>
        <w:gridCol w:w="665"/>
        <w:gridCol w:w="679"/>
        <w:gridCol w:w="653"/>
        <w:gridCol w:w="658"/>
      </w:tblGrid>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77,830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579,996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,139.78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22,910,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233.27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44,166,</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188.55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724,903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,341.60</w:t>
            </w:r>
          </w:p>
        </w:tc>
      </w:tr>
    </w:tbl>
    <w:p>
      <w:pPr>
        <w:spacing w:line="240" w:lineRule="auto" w:before="10"/>
        <w:rPr>
          <w:rFonts w:ascii="Times New Roman" w:hAnsi="Times New Roman" w:cs="Times New Roman" w:eastAsia="Times New Roman" w:hint="default"/>
          <w:sz w:val="21"/>
          <w:szCs w:val="21"/>
        </w:rPr>
      </w:pPr>
    </w:p>
    <w:p>
      <w:pPr>
        <w:spacing w:before="36"/>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144"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800"/>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9"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77,830,7</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80.00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579,996,1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39.78</w:t>
            </w:r>
          </w:p>
        </w:tc>
        <w:tc>
          <w:tcPr>
            <w:tcW w:w="797" w:type="dxa"/>
            <w:vMerge w:val="restart"/>
            <w:tcBorders>
              <w:top w:val="single" w:sz="22" w:space="0" w:color="D2D2D2"/>
              <w:left w:val="single" w:sz="4" w:space="0" w:color="000000"/>
              <w:right w:val="single" w:sz="4" w:space="0" w:color="000000"/>
            </w:tcBorders>
          </w:tcPr>
          <w:p>
            <w:pPr/>
          </w:p>
        </w:tc>
        <w:tc>
          <w:tcPr>
            <w:tcW w:w="797" w:type="dxa"/>
            <w:vMerge w:val="restart"/>
            <w:tcBorders>
              <w:top w:val="single" w:sz="22" w:space="0" w:color="D2D2D2"/>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22,910,23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3.27</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left="103" w:right="0"/>
              <w:jc w:val="left"/>
              <w:rPr>
                <w:rFonts w:ascii="Times New Roman" w:hAnsi="Times New Roman" w:cs="Times New Roman" w:eastAsia="Times New Roman" w:hint="default"/>
                <w:sz w:val="18"/>
                <w:szCs w:val="18"/>
              </w:rPr>
            </w:pPr>
            <w:r>
              <w:rPr>
                <w:rFonts w:ascii="Times New Roman"/>
                <w:sz w:val="18"/>
              </w:rPr>
              <w:t>23,004,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694.39</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68"/>
              <w:ind w:left="28" w:right="0"/>
              <w:jc w:val="left"/>
              <w:rPr>
                <w:rFonts w:ascii="Times New Roman" w:hAnsi="Times New Roman" w:cs="Times New Roman" w:eastAsia="Times New Roman" w:hint="default"/>
                <w:sz w:val="18"/>
                <w:szCs w:val="18"/>
              </w:rPr>
            </w:pPr>
            <w:r>
              <w:rPr>
                <w:rFonts w:ascii="Times New Roman"/>
                <w:sz w:val="18"/>
              </w:rPr>
              <w:t>703,741,8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47.44</w:t>
            </w:r>
          </w:p>
        </w:tc>
      </w:tr>
      <w:tr>
        <w:trPr>
          <w:trHeight w:val="394"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77,830,7</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80.00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579,996,1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39.78</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22,910,23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3.27</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23,004,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694.39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703,741,8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47.44</w:t>
            </w:r>
          </w:p>
        </w:tc>
      </w:tr>
      <w:tr>
        <w:trPr>
          <w:trHeight w:val="394"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4,072,271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5,518,1</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33.61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9,590,405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.34</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（一）综合收益总</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Times New Roman" w:hAnsi="Times New Roman" w:cs="Times New Roman" w:eastAsia="Times New Roman" w:hint="default"/>
                <w:sz w:val="18"/>
                <w:szCs w:val="18"/>
              </w:rPr>
            </w:pPr>
            <w:r>
              <w:rPr>
                <w:rFonts w:ascii="Times New Roman"/>
                <w:sz w:val="18"/>
              </w:rPr>
              <w:t>40,722,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sz w:val="18"/>
              </w:rPr>
              <w:t>40,722,71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8" w:right="0"/>
              <w:jc w:val="left"/>
              <w:rPr>
                <w:rFonts w:ascii="Times New Roman" w:hAnsi="Times New Roman" w:cs="Times New Roman" w:eastAsia="Times New Roman" w:hint="default"/>
                <w:sz w:val="18"/>
                <w:szCs w:val="18"/>
              </w:rPr>
            </w:pPr>
            <w:r>
              <w:rPr>
                <w:rFonts w:ascii="Times New Roman"/>
                <w:sz w:val="18"/>
              </w:rPr>
              <w:t>717.34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4" w:right="0"/>
              <w:jc w:val="left"/>
              <w:rPr>
                <w:rFonts w:ascii="Times New Roman" w:hAnsi="Times New Roman" w:cs="Times New Roman" w:eastAsia="Times New Roman" w:hint="default"/>
                <w:sz w:val="18"/>
                <w:szCs w:val="18"/>
              </w:rPr>
            </w:pPr>
            <w:r>
              <w:rPr>
                <w:rFonts w:ascii="Times New Roman"/>
                <w:sz w:val="18"/>
              </w:rPr>
              <w:t>7.34</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4,072,271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-35,204,</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583.73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-31,132,3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12.00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4,072,271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-4,072,2</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71.73</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-31,132,</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312.00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-31,132,3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12.00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77,830,7</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80.00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579,996,1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39.78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26,982,50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28,522,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828.00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713,332,2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52.78</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1997"/>
        <w:gridCol w:w="797"/>
        <w:gridCol w:w="797"/>
        <w:gridCol w:w="797"/>
        <w:gridCol w:w="800"/>
        <w:gridCol w:w="797"/>
        <w:gridCol w:w="677"/>
        <w:gridCol w:w="780"/>
      </w:tblGrid>
      <w:tr>
        <w:trPr>
          <w:trHeight w:val="402" w:hRule="exact"/>
        </w:trPr>
        <w:tc>
          <w:tcPr>
            <w:tcW w:w="14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9"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3" w:right="0"/>
              <w:jc w:val="left"/>
              <w:rPr>
                <w:rFonts w:ascii="宋体" w:hAnsi="宋体" w:cs="宋体" w:eastAsia="宋体" w:hint="default"/>
                <w:sz w:val="18"/>
                <w:szCs w:val="18"/>
              </w:rPr>
            </w:pPr>
            <w:r>
              <w:rPr>
                <w:rFonts w:ascii="宋体" w:hAnsi="宋体" w:cs="宋体" w:eastAsia="宋体" w:hint="default"/>
                <w:sz w:val="18"/>
                <w:szCs w:val="18"/>
              </w:rPr>
              <w:t>减：库存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3"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62"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8"/>
        <w:gridCol w:w="702"/>
        <w:gridCol w:w="665"/>
        <w:gridCol w:w="667"/>
        <w:gridCol w:w="665"/>
        <w:gridCol w:w="797"/>
        <w:gridCol w:w="797"/>
        <w:gridCol w:w="797"/>
        <w:gridCol w:w="800"/>
        <w:gridCol w:w="797"/>
        <w:gridCol w:w="677"/>
        <w:gridCol w:w="780"/>
      </w:tblGrid>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3"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5"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163"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3"/>
              <w:ind w:left="34" w:right="0"/>
              <w:jc w:val="left"/>
              <w:rPr>
                <w:rFonts w:ascii="Times New Roman" w:hAnsi="Times New Roman" w:cs="Times New Roman" w:eastAsia="Times New Roman" w:hint="default"/>
                <w:sz w:val="18"/>
                <w:szCs w:val="18"/>
              </w:rPr>
            </w:pPr>
            <w:r>
              <w:rPr>
                <w:rFonts w:ascii="Times New Roman"/>
                <w:sz w:val="18"/>
              </w:rPr>
              <w:t>77,830,7</w:t>
            </w:r>
          </w:p>
          <w:p>
            <w:pPr>
              <w:pStyle w:val="TableParagraph"/>
              <w:spacing w:line="240" w:lineRule="auto" w:before="102"/>
              <w:ind w:left="260" w:right="0"/>
              <w:jc w:val="left"/>
              <w:rPr>
                <w:rFonts w:ascii="Times New Roman" w:hAnsi="Times New Roman" w:cs="Times New Roman" w:eastAsia="Times New Roman" w:hint="default"/>
                <w:sz w:val="18"/>
                <w:szCs w:val="18"/>
              </w:rPr>
            </w:pPr>
            <w:r>
              <w:rPr>
                <w:rFonts w:ascii="Times New Roman"/>
                <w:sz w:val="18"/>
              </w:rPr>
              <w:t>80.00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579,996,1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39.78</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19,510,47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8.13</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19,647,</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671.09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696,985,0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69.00</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3"/>
              <w:ind w:left="34" w:right="0"/>
              <w:jc w:val="left"/>
              <w:rPr>
                <w:rFonts w:ascii="Times New Roman" w:hAnsi="Times New Roman" w:cs="Times New Roman" w:eastAsia="Times New Roman" w:hint="default"/>
                <w:sz w:val="18"/>
                <w:szCs w:val="18"/>
              </w:rPr>
            </w:pPr>
            <w:r>
              <w:rPr>
                <w:rFonts w:ascii="Times New Roman"/>
                <w:sz w:val="18"/>
              </w:rPr>
              <w:t>77,830,7</w:t>
            </w:r>
          </w:p>
          <w:p>
            <w:pPr>
              <w:pStyle w:val="TableParagraph"/>
              <w:spacing w:line="240" w:lineRule="auto" w:before="103"/>
              <w:ind w:left="260" w:right="0"/>
              <w:jc w:val="left"/>
              <w:rPr>
                <w:rFonts w:ascii="Times New Roman" w:hAnsi="Times New Roman" w:cs="Times New Roman" w:eastAsia="Times New Roman" w:hint="default"/>
                <w:sz w:val="18"/>
                <w:szCs w:val="18"/>
              </w:rPr>
            </w:pPr>
            <w:r>
              <w:rPr>
                <w:rFonts w:ascii="Times New Roman"/>
                <w:sz w:val="18"/>
              </w:rPr>
              <w:t>80.00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579,996,1</w:t>
            </w:r>
          </w:p>
          <w:p>
            <w:pPr>
              <w:pStyle w:val="TableParagraph"/>
              <w:spacing w:line="240" w:lineRule="auto" w:before="103"/>
              <w:ind w:left="359" w:right="0"/>
              <w:jc w:val="left"/>
              <w:rPr>
                <w:rFonts w:ascii="Times New Roman" w:hAnsi="Times New Roman" w:cs="Times New Roman" w:eastAsia="Times New Roman" w:hint="default"/>
                <w:sz w:val="18"/>
                <w:szCs w:val="18"/>
              </w:rPr>
            </w:pPr>
            <w:r>
              <w:rPr>
                <w:rFonts w:ascii="Times New Roman"/>
                <w:sz w:val="18"/>
              </w:rPr>
              <w:t>39.78</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19,510,47</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8.13</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19,647,</w:t>
            </w:r>
          </w:p>
          <w:p>
            <w:pPr>
              <w:pStyle w:val="TableParagraph"/>
              <w:spacing w:line="240" w:lineRule="auto" w:before="103"/>
              <w:ind w:left="148" w:right="0"/>
              <w:jc w:val="left"/>
              <w:rPr>
                <w:rFonts w:ascii="Times New Roman" w:hAnsi="Times New Roman" w:cs="Times New Roman" w:eastAsia="Times New Roman" w:hint="default"/>
                <w:sz w:val="18"/>
                <w:szCs w:val="18"/>
              </w:rPr>
            </w:pPr>
            <w:r>
              <w:rPr>
                <w:rFonts w:ascii="Times New Roman"/>
                <w:sz w:val="18"/>
              </w:rPr>
              <w:t>671.09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696,985,0</w:t>
            </w:r>
          </w:p>
          <w:p>
            <w:pPr>
              <w:pStyle w:val="TableParagraph"/>
              <w:spacing w:line="240" w:lineRule="auto" w:before="103"/>
              <w:ind w:left="343" w:right="0"/>
              <w:jc w:val="left"/>
              <w:rPr>
                <w:rFonts w:ascii="Times New Roman" w:hAnsi="Times New Roman" w:cs="Times New Roman" w:eastAsia="Times New Roman" w:hint="default"/>
                <w:sz w:val="18"/>
                <w:szCs w:val="18"/>
              </w:rPr>
            </w:pPr>
            <w:r>
              <w:rPr>
                <w:rFonts w:ascii="Times New Roman"/>
                <w:sz w:val="18"/>
              </w:rPr>
              <w:t>69.00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3,399,755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3,357,0</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23.30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6,756,778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.44</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33,997,</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551.44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33,997,55</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1.44</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3,399,755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.14</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-30,640,</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528.14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-27,240,7</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73.00</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3,399,755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.14</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-3,399,7</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55.14</w:t>
            </w:r>
          </w:p>
        </w:tc>
        <w:tc>
          <w:tcPr>
            <w:tcW w:w="780" w:type="dxa"/>
            <w:vMerge w:val="restart"/>
            <w:tcBorders>
              <w:top w:val="single" w:sz="4" w:space="0" w:color="000000"/>
              <w:left w:val="single" w:sz="4" w:space="0" w:color="000000"/>
              <w:right w:val="single" w:sz="4" w:space="0" w:color="000000"/>
            </w:tcBorders>
          </w:tcPr>
          <w:p>
            <w:pP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-27,240,</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773.00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-27,240,7</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73.00</w:t>
            </w: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77,830,7</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80.00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579,996,1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39.78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22,910,23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23,004,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694.39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703,741,8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47.44</w:t>
            </w:r>
          </w:p>
        </w:tc>
      </w:tr>
    </w:tbl>
    <w:p>
      <w:pPr>
        <w:spacing w:line="240" w:lineRule="auto" w:before="6"/>
        <w:rPr>
          <w:rFonts w:ascii="Times New Roman" w:hAnsi="Times New Roman" w:cs="Times New Roman" w:eastAsia="Times New Roman" w:hint="default"/>
          <w:sz w:val="20"/>
          <w:szCs w:val="20"/>
        </w:rPr>
      </w:pPr>
    </w:p>
    <w:p>
      <w:pPr>
        <w:pStyle w:val="Heading3"/>
        <w:spacing w:line="240" w:lineRule="auto" w:before="26"/>
        <w:ind w:right="0"/>
        <w:jc w:val="both"/>
        <w:rPr>
          <w:b w:val="0"/>
          <w:bCs w:val="0"/>
        </w:rPr>
      </w:pPr>
      <w:r>
        <w:rPr/>
        <w:t>三、公司基本情况</w:t>
      </w:r>
      <w:r>
        <w:rPr>
          <w:b w:val="0"/>
          <w:bCs w:val="0"/>
        </w:rPr>
      </w:r>
    </w:p>
    <w:p>
      <w:pPr>
        <w:spacing w:line="240" w:lineRule="auto" w:before="0"/>
        <w:rPr>
          <w:rFonts w:ascii="宋体" w:hAnsi="宋体" w:cs="宋体" w:eastAsia="宋体" w:hint="default"/>
          <w:b/>
          <w:bCs/>
          <w:sz w:val="23"/>
          <w:szCs w:val="23"/>
        </w:rPr>
      </w:pPr>
    </w:p>
    <w:p>
      <w:pPr>
        <w:pStyle w:val="BodyText"/>
        <w:spacing w:line="235" w:lineRule="auto"/>
        <w:ind w:left="633" w:right="4333"/>
        <w:jc w:val="left"/>
      </w:pPr>
      <w:r>
        <w:rPr/>
        <w:t>（一）公司概况 公司名称：马鞍山鼎泰稀土新材料股份有限公司 注册地址：安徽省马鞍山市当涂工业园 办公地址：安徽省马鞍山市当涂工业园 注册资本：</w:t>
      </w:r>
      <w:r>
        <w:rPr>
          <w:rFonts w:ascii="Times New Roman" w:hAnsi="Times New Roman" w:cs="Times New Roman" w:eastAsia="Times New Roman" w:hint="default"/>
        </w:rPr>
        <w:t>77,830,780.00</w:t>
      </w:r>
      <w:r>
        <w:rPr/>
        <w:t>元 法人营业执照号码：</w:t>
      </w:r>
      <w:r>
        <w:rPr>
          <w:rFonts w:ascii="Times New Roman" w:hAnsi="Times New Roman" w:cs="Times New Roman" w:eastAsia="Times New Roman" w:hint="default"/>
        </w:rPr>
        <w:t>340521000002878 </w:t>
      </w:r>
      <w:r>
        <w:rPr/>
        <w:t>法定代表人：刘冀鲁</w:t>
      </w:r>
    </w:p>
    <w:p>
      <w:pPr>
        <w:pStyle w:val="BodyText"/>
        <w:spacing w:line="312" w:lineRule="exact" w:before="29"/>
        <w:ind w:left="633" w:right="98"/>
        <w:jc w:val="left"/>
      </w:pPr>
      <w:r>
        <w:rPr/>
        <w:t>（二）公司行业性质、经营范围 行业性质：根据中国证监会发布的《上市公司行业分类指引》，本公司所从事的行业归</w:t>
      </w:r>
    </w:p>
    <w:p>
      <w:pPr>
        <w:pStyle w:val="BodyText"/>
        <w:spacing w:line="312" w:lineRule="exact"/>
        <w:ind w:left="633" w:right="253" w:hanging="481"/>
        <w:jc w:val="left"/>
      </w:pPr>
      <w:r>
        <w:rPr/>
        <w:t>属于</w:t>
      </w:r>
      <w:r>
        <w:rPr>
          <w:rFonts w:ascii="Times New Roman" w:hAnsi="Times New Roman" w:cs="Times New Roman" w:eastAsia="Times New Roman" w:hint="default"/>
        </w:rPr>
        <w:t>“</w:t>
      </w:r>
      <w:r>
        <w:rPr/>
        <w:t>金属制品业</w:t>
      </w:r>
      <w:r>
        <w:rPr>
          <w:rFonts w:ascii="Times New Roman" w:hAnsi="Times New Roman" w:cs="Times New Roman" w:eastAsia="Times New Roman" w:hint="default"/>
        </w:rPr>
        <w:t>”</w:t>
      </w:r>
      <w:r>
        <w:rPr/>
        <w:t>。 经营范围：生产、销售：稀土多元合金镀层丝绳及镀件、金属丝绳及其制品、紧固件、</w:t>
      </w:r>
    </w:p>
    <w:p>
      <w:pPr>
        <w:pStyle w:val="BodyText"/>
        <w:spacing w:line="312" w:lineRule="exact"/>
        <w:ind w:right="271"/>
        <w:jc w:val="both"/>
      </w:pPr>
      <w:r>
        <w:rPr/>
        <w:t>弹簧；交通安全设施产品制造、安装；自营或代理各类商品和技术进出口业务（国家限定企 业经营或禁止进出口的商品和技术除外）。（依法需经批准的项目经相关部门批准后方可经 营）</w:t>
      </w:r>
    </w:p>
    <w:p>
      <w:pPr>
        <w:pStyle w:val="BodyText"/>
        <w:spacing w:line="312" w:lineRule="exact"/>
        <w:ind w:left="633" w:right="98"/>
        <w:jc w:val="left"/>
      </w:pPr>
      <w:r>
        <w:rPr/>
        <w:t>（三）公司主要产品或提供的劳务 </w:t>
      </w:r>
      <w:r>
        <w:rPr>
          <w:spacing w:val="-4"/>
        </w:rPr>
        <w:t>主要产品及提供的劳务：稀土锌铝合金镀层钢丝、稀土锌铝合金镀层钢绞线及</w:t>
      </w:r>
      <w:r>
        <w:rPr>
          <w:rFonts w:ascii="Times New Roman" w:hAnsi="Times New Roman" w:cs="Times New Roman" w:eastAsia="Times New Roman" w:hint="default"/>
          <w:spacing w:val="-4"/>
        </w:rPr>
        <w:t>PC</w:t>
      </w:r>
      <w:r>
        <w:rPr>
          <w:spacing w:val="-4"/>
        </w:rPr>
        <w:t>钢绞线。</w:t>
      </w:r>
    </w:p>
    <w:p>
      <w:pPr>
        <w:pStyle w:val="BodyText"/>
        <w:spacing w:line="312" w:lineRule="exact"/>
        <w:ind w:left="633" w:right="98" w:firstLine="36"/>
        <w:jc w:val="left"/>
      </w:pPr>
      <w:r>
        <w:rPr/>
        <w:t>（四）财务报表的批准 本公司财务报表及财务报表附注业经本公司第三届董事会</w:t>
      </w:r>
      <w:r>
        <w:rPr>
          <w:rFonts w:ascii="Times New Roman" w:hAnsi="Times New Roman" w:cs="Times New Roman" w:eastAsia="Times New Roman" w:hint="default"/>
        </w:rPr>
        <w:t>2015</w:t>
      </w:r>
      <w:r>
        <w:rPr/>
        <w:t>年第</w:t>
      </w:r>
      <w:r>
        <w:rPr>
          <w:rFonts w:ascii="Times New Roman" w:hAnsi="Times New Roman" w:cs="Times New Roman" w:eastAsia="Times New Roman" w:hint="default"/>
        </w:rPr>
        <w:t>7</w:t>
      </w:r>
      <w:r>
        <w:rPr/>
        <w:t>次会议于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p>
    <w:p>
      <w:pPr>
        <w:pStyle w:val="BodyText"/>
        <w:spacing w:line="302" w:lineRule="exact"/>
        <w:ind w:right="7514"/>
        <w:jc w:val="left"/>
      </w:pPr>
      <w:r>
        <w:rPr>
          <w:rFonts w:ascii="Times New Roman" w:hAnsi="Times New Roman" w:cs="Times New Roman" w:eastAsia="Times New Roman" w:hint="default"/>
        </w:rPr>
        <w:t>27</w:t>
      </w:r>
      <w:r>
        <w:rPr/>
        <w:t>日批准。</w:t>
      </w:r>
    </w:p>
    <w:p>
      <w:pPr>
        <w:spacing w:before="28"/>
        <w:ind w:left="152" w:right="98" w:firstLine="0"/>
        <w:jc w:val="left"/>
        <w:rPr>
          <w:rFonts w:ascii="宋体" w:hAnsi="宋体" w:cs="宋体" w:eastAsia="宋体" w:hint="default"/>
          <w:sz w:val="18"/>
          <w:szCs w:val="18"/>
        </w:rPr>
      </w:pPr>
      <w:r>
        <w:rPr>
          <w:rFonts w:ascii="宋体" w:hAnsi="宋体" w:cs="宋体" w:eastAsia="宋体" w:hint="default"/>
          <w:sz w:val="18"/>
          <w:szCs w:val="18"/>
        </w:rPr>
        <w:t>本期纳入合并范围的子公司</w:t>
      </w:r>
      <w:r>
        <w:rPr>
          <w:rFonts w:ascii="Times New Roman" w:hAnsi="Times New Roman" w:cs="Times New Roman" w:eastAsia="Times New Roman" w:hint="default"/>
          <w:sz w:val="18"/>
          <w:szCs w:val="18"/>
        </w:rPr>
        <w:t>1</w:t>
      </w:r>
      <w:r>
        <w:rPr>
          <w:rFonts w:ascii="宋体" w:hAnsi="宋体" w:cs="宋体" w:eastAsia="宋体" w:hint="default"/>
          <w:sz w:val="18"/>
          <w:szCs w:val="18"/>
        </w:rPr>
        <w:t>户，与上期相比，无变更。详见</w:t>
      </w:r>
      <w:r>
        <w:rPr>
          <w:rFonts w:ascii="Times New Roman" w:hAnsi="Times New Roman" w:cs="Times New Roman" w:eastAsia="Times New Roman" w:hint="default"/>
          <w:sz w:val="18"/>
          <w:szCs w:val="18"/>
        </w:rPr>
        <w:t>“</w:t>
      </w:r>
      <w:r>
        <w:rPr>
          <w:rFonts w:ascii="宋体" w:hAnsi="宋体" w:cs="宋体" w:eastAsia="宋体" w:hint="default"/>
          <w:sz w:val="18"/>
          <w:szCs w:val="18"/>
        </w:rPr>
        <w:t>附注九、在其他主体中的权益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3"/>
        <w:rPr>
          <w:rFonts w:ascii="宋体" w:hAnsi="宋体" w:cs="宋体" w:eastAsia="宋体" w:hint="default"/>
          <w:sz w:val="24"/>
          <w:szCs w:val="24"/>
        </w:rPr>
      </w:pPr>
    </w:p>
    <w:p>
      <w:pPr>
        <w:pStyle w:val="Heading3"/>
        <w:spacing w:line="240" w:lineRule="auto"/>
        <w:ind w:right="6434"/>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spacing w:before="0"/>
        <w:ind w:left="152" w:right="75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pStyle w:val="BodyText"/>
        <w:spacing w:line="228" w:lineRule="auto"/>
        <w:ind w:right="232" w:firstLine="480"/>
        <w:jc w:val="both"/>
      </w:pPr>
      <w:r>
        <w:rPr/>
        <w:t>本公司财务报表以持续经营假设为基础，根据实际发生的交易和事项，按照财政部发布 的《企业会计准则</w:t>
      </w:r>
      <w:r>
        <w:rPr>
          <w:rFonts w:ascii="Times New Roman" w:hAnsi="Times New Roman" w:cs="Times New Roman" w:eastAsia="Times New Roman" w:hint="default"/>
        </w:rPr>
        <w:t>——</w:t>
      </w:r>
      <w:r>
        <w:rPr/>
        <w:t>基本准则》（财政部令第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rFonts w:ascii="Times New Roman" w:hAnsi="Times New Roman" w:cs="Times New Roman" w:eastAsia="Times New Roman" w:hint="default"/>
          <w:spacing w:val="-30"/>
        </w:rPr>
        <w:t> </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15</w:t>
      </w:r>
      <w:r>
        <w:rPr>
          <w:spacing w:val="-2"/>
        </w:rPr>
        <w:t>日及其后颁布和修订的</w:t>
      </w:r>
      <w:r>
        <w:rPr>
          <w:rFonts w:ascii="Times New Roman" w:hAnsi="Times New Roman" w:cs="Times New Roman" w:eastAsia="Times New Roman" w:hint="default"/>
          <w:spacing w:val="-2"/>
        </w:rPr>
        <w:t>41</w:t>
      </w:r>
      <w:r>
        <w:rPr>
          <w:spacing w:val="-2"/>
        </w:rPr>
        <w:t>项具体会计准则、企业会计准则应用指南、企业会计准则解</w:t>
      </w:r>
      <w:r>
        <w:rPr>
          <w:spacing w:val="-116"/>
        </w:rPr>
        <w:t> </w:t>
      </w:r>
      <w:r>
        <w:rPr>
          <w:spacing w:val="-116"/>
        </w:rPr>
      </w:r>
      <w:r>
        <w:rPr/>
        <w:t>释及其他相关规定（以下合称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），以及中国证券监督管理委员会《公开发行</w:t>
      </w:r>
      <w:r>
        <w:rPr>
          <w:spacing w:val="-61"/>
        </w:rPr>
        <w:t> </w:t>
      </w:r>
      <w:r>
        <w:rPr>
          <w:spacing w:val="-61"/>
        </w:rPr>
      </w:r>
      <w:r>
        <w:rPr/>
        <w:t>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w:t>
      </w:r>
    </w:p>
    <w:p>
      <w:pPr>
        <w:spacing w:after="0" w:line="228" w:lineRule="auto"/>
        <w:jc w:val="both"/>
        <w:sectPr>
          <w:pgSz w:w="11910" w:h="16840"/>
          <w:pgMar w:header="745" w:footer="979" w:top="1060" w:bottom="1160" w:left="980" w:right="900"/>
        </w:sectPr>
      </w:pPr>
    </w:p>
    <w:p>
      <w:pPr>
        <w:spacing w:line="240" w:lineRule="auto" w:before="6"/>
        <w:rPr>
          <w:rFonts w:ascii="宋体" w:hAnsi="宋体" w:cs="宋体" w:eastAsia="宋体" w:hint="default"/>
          <w:sz w:val="23"/>
          <w:szCs w:val="23"/>
        </w:rPr>
      </w:pPr>
    </w:p>
    <w:p>
      <w:pPr>
        <w:pStyle w:val="BodyText"/>
        <w:spacing w:line="313" w:lineRule="exact" w:before="26"/>
        <w:ind w:right="0"/>
        <w:jc w:val="both"/>
      </w:pPr>
      <w:r>
        <w:rPr/>
        <w:t>编制。</w:t>
      </w:r>
    </w:p>
    <w:p>
      <w:pPr>
        <w:pStyle w:val="BodyText"/>
        <w:spacing w:line="312" w:lineRule="exact" w:before="29"/>
        <w:ind w:right="158" w:firstLine="480"/>
        <w:jc w:val="both"/>
      </w:pPr>
      <w:r>
        <w:rPr/>
        <w:t>根据企业会计准则的相关规定，本公司会计核算以权责发生制为基础。除某些金融工具 外，本财务报表均以历史成本为计量基础。资产如果发生减值，则按照相关规定计提相应的</w:t>
      </w:r>
      <w:r>
        <w:rPr>
          <w:spacing w:val="-91"/>
        </w:rPr>
        <w:t> </w:t>
      </w:r>
      <w:r>
        <w:rPr>
          <w:spacing w:val="-91"/>
        </w:rPr>
      </w:r>
      <w:r>
        <w:rPr/>
        <w:t>减值准备。</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0"/>
        <w:ind w:left="152" w:right="0" w:firstLine="0"/>
        <w:jc w:val="both"/>
        <w:rPr>
          <w:rFonts w:ascii="宋体" w:hAnsi="宋体" w:cs="宋体" w:eastAsia="宋体" w:hint="default"/>
          <w:sz w:val="23"/>
          <w:szCs w:val="23"/>
        </w:rPr>
      </w:pPr>
      <w:r>
        <w:rPr>
          <w:rFonts w:ascii="宋体" w:hAnsi="宋体" w:cs="宋体" w:eastAsia="宋体" w:hint="default"/>
          <w:sz w:val="23"/>
          <w:szCs w:val="23"/>
        </w:rPr>
        <w:t>本公司自报告期末起</w:t>
      </w:r>
      <w:r>
        <w:rPr>
          <w:rFonts w:ascii="Times New Roman" w:hAnsi="Times New Roman" w:cs="Times New Roman" w:eastAsia="Times New Roman" w:hint="default"/>
          <w:sz w:val="23"/>
          <w:szCs w:val="23"/>
        </w:rPr>
        <w:t>12</w:t>
      </w:r>
      <w:r>
        <w:rPr>
          <w:rFonts w:ascii="Times New Roman" w:hAnsi="Times New Roman" w:cs="Times New Roman" w:eastAsia="Times New Roman" w:hint="default"/>
          <w:spacing w:val="34"/>
          <w:sz w:val="23"/>
          <w:szCs w:val="23"/>
        </w:rPr>
        <w:t> </w:t>
      </w:r>
      <w:r>
        <w:rPr>
          <w:rFonts w:ascii="宋体" w:hAnsi="宋体" w:cs="宋体" w:eastAsia="宋体" w:hint="default"/>
          <w:sz w:val="23"/>
          <w:szCs w:val="23"/>
        </w:rPr>
        <w:t>个月不存在对本公司持续经营能力产生重大疑虑的事项或情况。</w:t>
      </w:r>
    </w:p>
    <w:p>
      <w:pPr>
        <w:spacing w:line="240" w:lineRule="auto" w:before="13"/>
        <w:rPr>
          <w:rFonts w:ascii="宋体" w:hAnsi="宋体" w:cs="宋体" w:eastAsia="宋体" w:hint="default"/>
          <w:sz w:val="21"/>
          <w:szCs w:val="21"/>
        </w:rPr>
      </w:pPr>
    </w:p>
    <w:p>
      <w:pPr>
        <w:pStyle w:val="Heading3"/>
        <w:spacing w:line="240" w:lineRule="auto"/>
        <w:ind w:right="0"/>
        <w:jc w:val="both"/>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312" w:lineRule="exact" w:before="99"/>
        <w:ind w:right="150" w:firstLine="480"/>
        <w:jc w:val="both"/>
      </w:pPr>
      <w:r>
        <w:rPr/>
        <w:t>本公司及各子公司从事金属制品业经营。本公司及各子公司根据实际生产经营特点，依 据相关企业会计准则的规定，对收入确认、建造合同完工百分比确定等交易和事项制定了若</w:t>
      </w:r>
      <w:r>
        <w:rPr>
          <w:spacing w:val="-91"/>
        </w:rPr>
        <w:t> </w:t>
      </w:r>
      <w:r>
        <w:rPr>
          <w:spacing w:val="-91"/>
        </w:rPr>
      </w:r>
      <w:r>
        <w:rPr/>
        <w:t>干项具体会计政策和会计估计，详见本附注四、</w:t>
      </w:r>
      <w:r>
        <w:rPr>
          <w:rFonts w:ascii="Times New Roman" w:hAnsi="Times New Roman" w:cs="Times New Roman" w:eastAsia="Times New Roman" w:hint="default"/>
        </w:rPr>
        <w:t>25“</w:t>
      </w:r>
      <w:r>
        <w:rPr/>
        <w:t>收入</w:t>
      </w:r>
      <w:r>
        <w:rPr>
          <w:rFonts w:ascii="Times New Roman" w:hAnsi="Times New Roman" w:cs="Times New Roman" w:eastAsia="Times New Roman" w:hint="default"/>
        </w:rPr>
        <w:t>”</w:t>
      </w:r>
      <w:r>
        <w:rPr/>
        <w:t>各项描述。关于管理层所作出的重</w:t>
      </w:r>
      <w:r>
        <w:rPr>
          <w:spacing w:val="-59"/>
        </w:rPr>
        <w:t> </w:t>
      </w:r>
      <w:r>
        <w:rPr>
          <w:spacing w:val="-59"/>
        </w:rPr>
      </w:r>
      <w:r>
        <w:rPr/>
        <w:t>大会计判断和估计的说明，请参阅附注四、</w:t>
      </w:r>
      <w:r>
        <w:rPr>
          <w:rFonts w:ascii="Times New Roman" w:hAnsi="Times New Roman" w:cs="Times New Roman" w:eastAsia="Times New Roman" w:hint="default"/>
        </w:rPr>
        <w:t>31“</w:t>
      </w:r>
      <w:r>
        <w:rPr/>
        <w:t>重大会计判断和估计</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line="312" w:lineRule="exact" w:before="0"/>
        <w:ind w:left="152" w:right="151" w:firstLine="0"/>
        <w:jc w:val="both"/>
        <w:rPr>
          <w:rFonts w:ascii="宋体" w:hAnsi="宋体" w:cs="宋体" w:eastAsia="宋体" w:hint="default"/>
          <w:sz w:val="23"/>
          <w:szCs w:val="23"/>
        </w:rPr>
      </w:pPr>
      <w:r>
        <w:rPr>
          <w:rFonts w:ascii="宋体" w:hAnsi="宋体" w:cs="宋体" w:eastAsia="宋体" w:hint="default"/>
          <w:spacing w:val="-1"/>
          <w:sz w:val="23"/>
          <w:szCs w:val="23"/>
        </w:rPr>
        <w:t>本公司编制的财务报表符合《企业会计准则》的要求，真实、完整地反映了本公司</w:t>
      </w:r>
      <w:r>
        <w:rPr>
          <w:rFonts w:ascii="Times New Roman" w:hAnsi="Times New Roman" w:cs="Times New Roman" w:eastAsia="Times New Roman" w:hint="default"/>
          <w:spacing w:val="-1"/>
          <w:sz w:val="23"/>
          <w:szCs w:val="23"/>
        </w:rPr>
        <w:t>2014</w:t>
      </w:r>
      <w:r>
        <w:rPr>
          <w:rFonts w:ascii="宋体" w:hAnsi="宋体" w:cs="宋体" w:eastAsia="宋体" w:hint="default"/>
          <w:spacing w:val="-1"/>
          <w:sz w:val="23"/>
          <w:szCs w:val="23"/>
        </w:rPr>
        <w:t>年</w:t>
      </w:r>
      <w:r>
        <w:rPr>
          <w:rFonts w:ascii="Times New Roman" w:hAnsi="Times New Roman" w:cs="Times New Roman" w:eastAsia="Times New Roman" w:hint="default"/>
          <w:spacing w:val="-1"/>
          <w:sz w:val="23"/>
          <w:szCs w:val="23"/>
        </w:rPr>
        <w:t>12</w:t>
      </w:r>
      <w:r>
        <w:rPr>
          <w:rFonts w:ascii="宋体" w:hAnsi="宋体" w:cs="宋体" w:eastAsia="宋体" w:hint="default"/>
          <w:spacing w:val="-1"/>
          <w:sz w:val="23"/>
          <w:szCs w:val="23"/>
        </w:rPr>
        <w:t>月</w:t>
      </w:r>
      <w:r>
        <w:rPr>
          <w:rFonts w:ascii="Times New Roman" w:hAnsi="Times New Roman" w:cs="Times New Roman" w:eastAsia="Times New Roman" w:hint="default"/>
          <w:spacing w:val="-1"/>
          <w:sz w:val="23"/>
          <w:szCs w:val="23"/>
        </w:rPr>
        <w:t>31</w:t>
      </w:r>
      <w:r>
        <w:rPr>
          <w:rFonts w:ascii="Times New Roman" w:hAnsi="Times New Roman" w:cs="Times New Roman" w:eastAsia="Times New Roman" w:hint="default"/>
          <w:spacing w:val="-38"/>
          <w:sz w:val="23"/>
          <w:szCs w:val="23"/>
        </w:rPr>
        <w:t> </w:t>
      </w:r>
      <w:r>
        <w:rPr>
          <w:rFonts w:ascii="宋体" w:hAnsi="宋体" w:cs="宋体" w:eastAsia="宋体" w:hint="default"/>
          <w:spacing w:val="-2"/>
          <w:sz w:val="23"/>
          <w:szCs w:val="23"/>
        </w:rPr>
        <w:t>日的财务状况、</w:t>
      </w:r>
      <w:r>
        <w:rPr>
          <w:rFonts w:ascii="Times New Roman" w:hAnsi="Times New Roman" w:cs="Times New Roman" w:eastAsia="Times New Roman" w:hint="default"/>
          <w:spacing w:val="-2"/>
          <w:sz w:val="23"/>
          <w:szCs w:val="23"/>
        </w:rPr>
        <w:t>2014</w:t>
      </w:r>
      <w:r>
        <w:rPr>
          <w:rFonts w:ascii="宋体" w:hAnsi="宋体" w:cs="宋体" w:eastAsia="宋体" w:hint="default"/>
          <w:spacing w:val="-2"/>
          <w:sz w:val="23"/>
          <w:szCs w:val="23"/>
        </w:rPr>
        <w:t>年度的经营成果和现金流量等相关信息。此外，本公司的财务报表在所有重</w:t>
      </w:r>
      <w:r>
        <w:rPr>
          <w:rFonts w:ascii="宋体" w:hAnsi="宋体" w:cs="宋体" w:eastAsia="宋体" w:hint="default"/>
          <w:spacing w:val="-57"/>
          <w:sz w:val="23"/>
          <w:szCs w:val="23"/>
        </w:rPr>
        <w:t> </w:t>
      </w:r>
      <w:r>
        <w:rPr>
          <w:rFonts w:ascii="宋体" w:hAnsi="宋体" w:cs="宋体" w:eastAsia="宋体" w:hint="default"/>
          <w:spacing w:val="-57"/>
          <w:sz w:val="23"/>
          <w:szCs w:val="23"/>
        </w:rPr>
      </w:r>
      <w:r>
        <w:rPr>
          <w:rFonts w:ascii="宋体" w:hAnsi="宋体" w:cs="宋体" w:eastAsia="宋体" w:hint="default"/>
          <w:spacing w:val="-1"/>
          <w:sz w:val="23"/>
          <w:szCs w:val="23"/>
        </w:rPr>
        <w:t>大方面符合中国证券监督管理委员会</w:t>
      </w:r>
      <w:r>
        <w:rPr>
          <w:rFonts w:ascii="Times New Roman" w:hAnsi="Times New Roman" w:cs="Times New Roman" w:eastAsia="Times New Roman" w:hint="default"/>
          <w:spacing w:val="-1"/>
          <w:sz w:val="23"/>
          <w:szCs w:val="23"/>
        </w:rPr>
        <w:t>2014</w:t>
      </w:r>
      <w:r>
        <w:rPr>
          <w:rFonts w:ascii="宋体" w:hAnsi="宋体" w:cs="宋体" w:eastAsia="宋体" w:hint="default"/>
          <w:spacing w:val="-1"/>
          <w:sz w:val="23"/>
          <w:szCs w:val="23"/>
        </w:rPr>
        <w:t>年修订的《公开发行证券的公司信息披露编报规则第</w:t>
      </w:r>
      <w:r>
        <w:rPr>
          <w:rFonts w:ascii="Times New Roman" w:hAnsi="Times New Roman" w:cs="Times New Roman" w:eastAsia="Times New Roman" w:hint="default"/>
          <w:spacing w:val="-1"/>
          <w:sz w:val="23"/>
          <w:szCs w:val="23"/>
        </w:rPr>
        <w:t>15</w:t>
      </w:r>
      <w:r>
        <w:rPr>
          <w:rFonts w:ascii="Times New Roman" w:hAnsi="Times New Roman" w:cs="Times New Roman" w:eastAsia="Times New Roman" w:hint="default"/>
          <w:spacing w:val="-42"/>
          <w:sz w:val="23"/>
          <w:szCs w:val="23"/>
        </w:rPr>
        <w:t> </w:t>
      </w:r>
      <w:r>
        <w:rPr>
          <w:rFonts w:ascii="宋体" w:hAnsi="宋体" w:cs="宋体" w:eastAsia="宋体" w:hint="default"/>
          <w:sz w:val="23"/>
          <w:szCs w:val="23"/>
        </w:rPr>
        <w:t>号－财务报告的一般规定》有关财务报表及其附注的披露要求。</w:t>
      </w:r>
    </w:p>
    <w:p>
      <w:pPr>
        <w:spacing w:line="240" w:lineRule="auto" w:before="12"/>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240" w:lineRule="auto"/>
        <w:ind w:right="157" w:firstLine="480"/>
        <w:jc w:val="both"/>
      </w:pPr>
      <w:r>
        <w:rPr/>
        <w:t>本公司的会计期间分为年度和中期，会计中期指短于一个完整的会计年度的报告期间。 本公司会计年度采用公历年度，即每年自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160" w:firstLine="480"/>
        <w:jc w:val="both"/>
      </w:pPr>
      <w:r>
        <w:rPr/>
        <w:t>正常营业周期是指本公司从购买用于加工的资产起至实现现金或现金等价物的期间。本 公司以</w:t>
      </w:r>
      <w:r>
        <w:rPr>
          <w:rFonts w:ascii="Times New Roman" w:hAnsi="Times New Roman" w:cs="Times New Roman" w:eastAsia="Times New Roman" w:hint="default"/>
        </w:rPr>
        <w:t>12</w:t>
      </w:r>
      <w:r>
        <w:rPr/>
        <w:t>个月作为一个营业周期，并以其作为资产和负债的流动性划分标准。</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right="160" w:firstLine="480"/>
        <w:jc w:val="both"/>
      </w:pPr>
      <w:r>
        <w:rPr/>
        <w:t>人民币为本公司及境内子公司经营所处的主要经济环境中的货币，本公司及境内子公司 以人民币为记账本位币。本公司编制本财务报表时所采用的货币为人民币。</w:t>
      </w:r>
    </w:p>
    <w:p>
      <w:pPr>
        <w:spacing w:after="0" w:line="312" w:lineRule="exact"/>
        <w:jc w:val="both"/>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before="36"/>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left="155" w:right="98" w:firstLine="480"/>
        <w:jc w:val="left"/>
      </w:pPr>
      <w:r>
        <w:rPr/>
        <w:t>企业合并，是指将两个或两个以上单独的企业合并形成一个报告主体的交易或事项。企 业合并分为同一控制下企业合并和非同一控制下企业合并。</w:t>
      </w:r>
    </w:p>
    <w:p>
      <w:pPr>
        <w:pStyle w:val="BodyText"/>
        <w:spacing w:line="312" w:lineRule="exact"/>
        <w:ind w:left="633" w:right="98"/>
        <w:jc w:val="left"/>
      </w:pPr>
      <w:r>
        <w:rPr/>
        <w:t>（</w:t>
      </w:r>
      <w:r>
        <w:rPr>
          <w:rFonts w:ascii="Times New Roman" w:hAnsi="Times New Roman" w:cs="Times New Roman" w:eastAsia="Times New Roman" w:hint="default"/>
        </w:rPr>
        <w:t>1</w:t>
      </w:r>
      <w:r>
        <w:rPr/>
        <w:t>）同一控制下企业合并 </w:t>
      </w:r>
      <w:r>
        <w:rPr>
          <w:spacing w:val="-3"/>
        </w:rPr>
        <w:t>参与合并的企业在合并前后均受同一方或相同的多方最终控制，且该控制并非暂时性的，</w:t>
      </w:r>
    </w:p>
    <w:p>
      <w:pPr>
        <w:pStyle w:val="BodyText"/>
        <w:spacing w:line="312" w:lineRule="exact"/>
        <w:ind w:right="239"/>
        <w:jc w:val="both"/>
      </w:pPr>
      <w:r>
        <w:rPr/>
        <w:t>为同一控制下的企业合并。同一控制下的企业合并，在合并日取得对其他参与合并企业控制</w:t>
      </w:r>
      <w:r>
        <w:rPr>
          <w:spacing w:val="-91"/>
        </w:rPr>
        <w:t> </w:t>
      </w:r>
      <w:r>
        <w:rPr>
          <w:spacing w:val="-91"/>
        </w:rPr>
      </w:r>
      <w:r>
        <w:rPr/>
        <w:t>权的一方为合并方，参与合并的其他企业为被合并方。合并日，是指合并方实际取得对被合</w:t>
      </w:r>
      <w:r>
        <w:rPr>
          <w:spacing w:val="-91"/>
        </w:rPr>
        <w:t> </w:t>
      </w:r>
      <w:r>
        <w:rPr>
          <w:spacing w:val="-91"/>
        </w:rPr>
      </w:r>
      <w:r>
        <w:rPr/>
        <w:t>并方控制权的日期。</w:t>
      </w:r>
    </w:p>
    <w:p>
      <w:pPr>
        <w:pStyle w:val="BodyText"/>
        <w:spacing w:line="283" w:lineRule="exact"/>
        <w:ind w:right="98" w:firstLine="480"/>
        <w:jc w:val="left"/>
      </w:pPr>
      <w:r>
        <w:rPr/>
        <w:t>合并方取得的资产和负债均按合并日在被合并方的账面价值计量。合并方取得的净资产</w:t>
      </w:r>
    </w:p>
    <w:p>
      <w:pPr>
        <w:pStyle w:val="BodyText"/>
        <w:spacing w:line="312" w:lineRule="exact" w:before="30"/>
        <w:ind w:right="234"/>
        <w:jc w:val="both"/>
      </w:pPr>
      <w:r>
        <w:rPr/>
        <w:t>账面价值与支付的合并对价账面价值（或发行股份面值总额）的差额，调整资本公积（股本</w:t>
      </w:r>
      <w:r>
        <w:rPr>
          <w:spacing w:val="-87"/>
        </w:rPr>
        <w:t> </w:t>
      </w:r>
      <w:r>
        <w:rPr>
          <w:spacing w:val="-87"/>
        </w:rPr>
      </w:r>
      <w:r>
        <w:rPr/>
        <w:t>溢价）；资本公积（股本溢价）不足以冲减的，调整留存收益。</w:t>
      </w:r>
    </w:p>
    <w:p>
      <w:pPr>
        <w:pStyle w:val="BodyText"/>
        <w:spacing w:line="282" w:lineRule="exact"/>
        <w:ind w:left="633" w:right="98"/>
        <w:jc w:val="left"/>
      </w:pPr>
      <w:r>
        <w:rPr/>
        <w:t>合并方为进行企业合并发生的各项直接费用，于发生时计入当期损益。</w:t>
      </w:r>
    </w:p>
    <w:p>
      <w:pPr>
        <w:pStyle w:val="BodyText"/>
        <w:spacing w:line="312" w:lineRule="exact" w:before="29"/>
        <w:ind w:left="633" w:right="98"/>
        <w:jc w:val="left"/>
      </w:pPr>
      <w:r>
        <w:rPr/>
        <w:t>（</w:t>
      </w:r>
      <w:r>
        <w:rPr>
          <w:rFonts w:ascii="Times New Roman" w:hAnsi="Times New Roman" w:cs="Times New Roman" w:eastAsia="Times New Roman" w:hint="default"/>
        </w:rPr>
        <w:t>2</w:t>
      </w:r>
      <w:r>
        <w:rPr/>
        <w:t>）非同一控制下企业合并 参与合并的企业在合并前后不受同一方或相同的多方最终控制的，为非同一控制下的企</w:t>
      </w:r>
    </w:p>
    <w:p>
      <w:pPr>
        <w:pStyle w:val="BodyText"/>
        <w:spacing w:line="312" w:lineRule="exact"/>
        <w:ind w:right="239"/>
        <w:jc w:val="both"/>
      </w:pPr>
      <w:r>
        <w:rPr/>
        <w:t>业合并。非同一控制下的企业合并，在购买日取得对其他参与合并企业控制权的一方为购买</w:t>
      </w:r>
      <w:r>
        <w:rPr>
          <w:spacing w:val="-91"/>
        </w:rPr>
        <w:t> </w:t>
      </w:r>
      <w:r>
        <w:rPr>
          <w:spacing w:val="-91"/>
        </w:rPr>
      </w:r>
      <w:r>
        <w:rPr/>
        <w:t>方，参与合并的其他企业为被购买方。购买日，是指为购买方实际取得对被购买方控制权的</w:t>
      </w:r>
      <w:r>
        <w:rPr>
          <w:spacing w:val="-91"/>
        </w:rPr>
        <w:t> </w:t>
      </w:r>
      <w:r>
        <w:rPr>
          <w:spacing w:val="-91"/>
        </w:rPr>
      </w:r>
      <w:r>
        <w:rPr/>
        <w:t>日期。</w:t>
      </w:r>
    </w:p>
    <w:p>
      <w:pPr>
        <w:pStyle w:val="BodyText"/>
        <w:spacing w:line="312" w:lineRule="exact"/>
        <w:ind w:right="98" w:firstLine="480"/>
        <w:jc w:val="left"/>
      </w:pPr>
      <w:r>
        <w:rPr/>
        <w:t>对于非同一控制下的企业合并，合并成本包含购买日购买方为取得对被购买方的控制权 而付出的资产、发生或承担的负债以及发行的权益性证券的公允价值，为企业合并发生的审</w:t>
      </w:r>
    </w:p>
    <w:p>
      <w:pPr>
        <w:pStyle w:val="BodyText"/>
        <w:spacing w:line="312" w:lineRule="exact"/>
        <w:ind w:right="233"/>
        <w:jc w:val="both"/>
      </w:pPr>
      <w:r>
        <w:rPr/>
        <w:t>计、法律服务、评估咨询等中介费用以及其他管理费用于发生时计入当期损益。购买方作为</w:t>
      </w:r>
      <w:r>
        <w:rPr>
          <w:spacing w:val="-91"/>
        </w:rPr>
        <w:t> </w:t>
      </w:r>
      <w:r>
        <w:rPr>
          <w:spacing w:val="-91"/>
        </w:rPr>
      </w:r>
      <w:r>
        <w:rPr/>
        <w:t>合并对价发行的权益性证券或债务性证券的交易费用，计入权益性证券或债务性证券的初始</w:t>
      </w:r>
      <w:r>
        <w:rPr>
          <w:spacing w:val="-91"/>
        </w:rPr>
        <w:t> </w:t>
      </w:r>
      <w:r>
        <w:rPr>
          <w:spacing w:val="-91"/>
        </w:rPr>
      </w:r>
      <w:r>
        <w:rPr/>
        <w:t>确认金额。所涉及的或有对价按其在购买日的公允价值计入合并成本，购买日后</w:t>
      </w:r>
      <w:r>
        <w:rPr>
          <w:rFonts w:ascii="Times New Roman" w:hAnsi="Times New Roman" w:cs="Times New Roman" w:eastAsia="Times New Roman" w:hint="default"/>
        </w:rPr>
        <w:t>12</w:t>
      </w:r>
      <w:r>
        <w:rPr/>
        <w:t>个月内出</w:t>
      </w:r>
      <w:r>
        <w:rPr>
          <w:spacing w:val="-86"/>
        </w:rPr>
        <w:t> </w:t>
      </w:r>
      <w:r>
        <w:rPr>
          <w:spacing w:val="-86"/>
        </w:rPr>
      </w:r>
      <w:r>
        <w:rPr/>
        <w:t>现对购买日已存在情况的新的或进一步证据而需要调整或有对价的，相应调整合并商誉。购</w:t>
      </w:r>
      <w:r>
        <w:rPr>
          <w:spacing w:val="-91"/>
        </w:rPr>
        <w:t> </w:t>
      </w:r>
      <w:r>
        <w:rPr>
          <w:spacing w:val="-91"/>
        </w:rPr>
      </w:r>
      <w:r>
        <w:rPr/>
        <w:t>买方发生的合并成本及在合并中取得的可辨认净资产按购买日的公允价值计量。合并成本大</w:t>
      </w:r>
      <w:r>
        <w:rPr>
          <w:spacing w:val="-91"/>
        </w:rPr>
        <w:t> </w:t>
      </w:r>
      <w:r>
        <w:rPr>
          <w:spacing w:val="-91"/>
        </w:rPr>
      </w:r>
      <w:r>
        <w:rPr/>
        <w:t>于合并中取得的被购买方于购买日可辨认净资产公允价值份额的差额，确认为商誉。合并成</w:t>
      </w:r>
      <w:r>
        <w:rPr>
          <w:spacing w:val="-87"/>
        </w:rPr>
        <w:t> </w:t>
      </w:r>
      <w:r>
        <w:rPr>
          <w:spacing w:val="-87"/>
        </w:rPr>
      </w:r>
      <w:r>
        <w:rPr/>
        <w:t>本小于合并中取得的被购买方可辨认净资产公允价值份额的，首先对取得的被购买方各项可</w:t>
      </w:r>
      <w:r>
        <w:rPr>
          <w:spacing w:val="-91"/>
        </w:rPr>
        <w:t> </w:t>
      </w:r>
      <w:r>
        <w:rPr>
          <w:spacing w:val="-91"/>
        </w:rPr>
      </w:r>
      <w:r>
        <w:rPr/>
        <w:t>辨认资产、负债及或有负债的公允价值以及合并成本的计量进行复核，复核后合并成本仍小</w:t>
      </w:r>
      <w:r>
        <w:rPr>
          <w:spacing w:val="-91"/>
        </w:rPr>
        <w:t> </w:t>
      </w:r>
      <w:r>
        <w:rPr>
          <w:spacing w:val="-91"/>
        </w:rPr>
      </w:r>
      <w:r>
        <w:rPr/>
        <w:t>于合并中取得的被购买方可辨认净资产公允价值份额的，其差额计入当期损益。</w:t>
      </w:r>
    </w:p>
    <w:p>
      <w:pPr>
        <w:pStyle w:val="BodyText"/>
        <w:spacing w:line="283" w:lineRule="exact"/>
        <w:ind w:right="98" w:firstLine="480"/>
        <w:jc w:val="left"/>
      </w:pPr>
      <w:r>
        <w:rPr/>
        <w:t>购买方取得被购买方的可抵扣暂时性差异，在购买日因不符合递延所得税资产确认条件</w:t>
      </w:r>
    </w:p>
    <w:p>
      <w:pPr>
        <w:pStyle w:val="BodyText"/>
        <w:spacing w:line="312" w:lineRule="exact" w:before="30"/>
        <w:ind w:right="238"/>
        <w:jc w:val="both"/>
      </w:pPr>
      <w:r>
        <w:rPr/>
        <w:t>而未予确认的，在购买日后</w:t>
      </w:r>
      <w:r>
        <w:rPr>
          <w:rFonts w:ascii="Times New Roman" w:hAnsi="Times New Roman" w:cs="Times New Roman" w:eastAsia="Times New Roman" w:hint="default"/>
        </w:rPr>
        <w:t>12</w:t>
      </w:r>
      <w:r>
        <w:rPr/>
        <w:t>个月内，如取得新的或进一步的信息表明购买日的相关情况已</w:t>
      </w:r>
      <w:r>
        <w:rPr>
          <w:spacing w:val="-90"/>
        </w:rPr>
        <w:t> </w:t>
      </w:r>
      <w:r>
        <w:rPr>
          <w:spacing w:val="-90"/>
        </w:rPr>
      </w:r>
      <w:r>
        <w:rPr/>
        <w:t>经存在，预期被购买方在购买日可抵扣暂时性差异带来的经济利益能够实现的，则确认相关</w:t>
      </w:r>
      <w:r>
        <w:rPr>
          <w:spacing w:val="-91"/>
        </w:rPr>
        <w:t> </w:t>
      </w:r>
      <w:r>
        <w:rPr>
          <w:spacing w:val="-91"/>
        </w:rPr>
      </w:r>
      <w:r>
        <w:rPr/>
        <w:t>的递延所得税资产，同时减少商誉，商誉不足冲减的，差额部分确认为当期损益；除上述情</w:t>
      </w:r>
      <w:r>
        <w:rPr>
          <w:spacing w:val="-90"/>
        </w:rPr>
        <w:t> </w:t>
      </w:r>
      <w:r>
        <w:rPr>
          <w:spacing w:val="-90"/>
        </w:rPr>
      </w:r>
      <w:r>
        <w:rPr/>
        <w:t>况以外，确认与企业合并相关的递延所得税资产的，计入当期损益。</w:t>
      </w:r>
    </w:p>
    <w:p>
      <w:pPr>
        <w:pStyle w:val="BodyText"/>
        <w:spacing w:line="310" w:lineRule="exact" w:before="1"/>
        <w:ind w:right="224" w:firstLine="480"/>
        <w:jc w:val="left"/>
      </w:pPr>
      <w:r>
        <w:rPr/>
        <w:t>通过多次交易分步实现的非同一控制下企业合并，根据《财政部关于印发企业会计准则 </w:t>
      </w:r>
      <w:r>
        <w:rPr>
          <w:spacing w:val="-2"/>
        </w:rPr>
        <w:t>解释第</w:t>
      </w:r>
      <w:r>
        <w:rPr>
          <w:rFonts w:ascii="Times New Roman" w:hAnsi="Times New Roman" w:cs="Times New Roman" w:eastAsia="Times New Roman" w:hint="default"/>
          <w:spacing w:val="-2"/>
        </w:rPr>
        <w:t>5</w:t>
      </w:r>
      <w:r>
        <w:rPr>
          <w:spacing w:val="-2"/>
        </w:rPr>
        <w:t>号的通知》（财会〔</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19</w:t>
      </w:r>
      <w:r>
        <w:rPr>
          <w:spacing w:val="-2"/>
        </w:rPr>
        <w:t>号）和《企业会计准则第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合并财务报表》第五</w:t>
      </w:r>
    </w:p>
    <w:p>
      <w:pPr>
        <w:pStyle w:val="BodyText"/>
        <w:spacing w:line="312" w:lineRule="exact"/>
        <w:ind w:right="232"/>
        <w:jc w:val="both"/>
      </w:pPr>
      <w:r>
        <w:rPr>
          <w:spacing w:val="-7"/>
        </w:rPr>
        <w:t>十一条关于</w:t>
      </w:r>
      <w:r>
        <w:rPr>
          <w:rFonts w:ascii="Times New Roman" w:hAnsi="Times New Roman" w:cs="Times New Roman" w:eastAsia="Times New Roman" w:hint="default"/>
          <w:spacing w:val="-7"/>
        </w:rPr>
        <w:t>“</w:t>
      </w:r>
      <w:r>
        <w:rPr>
          <w:spacing w:val="-7"/>
        </w:rPr>
        <w:t>一揽子交易</w:t>
      </w:r>
      <w:r>
        <w:rPr>
          <w:rFonts w:ascii="Times New Roman" w:hAnsi="Times New Roman" w:cs="Times New Roman" w:eastAsia="Times New Roman" w:hint="default"/>
          <w:spacing w:val="-7"/>
        </w:rPr>
        <w:t>”</w:t>
      </w:r>
      <w:r>
        <w:rPr>
          <w:spacing w:val="-7"/>
        </w:rPr>
        <w:t>的判断标准（参见本附注四、</w:t>
      </w:r>
      <w:r>
        <w:rPr>
          <w:rFonts w:ascii="Times New Roman" w:hAnsi="Times New Roman" w:cs="Times New Roman" w:eastAsia="Times New Roman" w:hint="default"/>
          <w:spacing w:val="-7"/>
        </w:rPr>
        <w:t>5</w:t>
      </w:r>
      <w:r>
        <w:rPr>
          <w:spacing w:val="-7"/>
        </w:rPr>
        <w:t>（</w:t>
      </w:r>
      <w:r>
        <w:rPr>
          <w:rFonts w:ascii="Times New Roman" w:hAnsi="Times New Roman" w:cs="Times New Roman" w:eastAsia="Times New Roman" w:hint="default"/>
          <w:spacing w:val="-7"/>
        </w:rPr>
        <w:t>2</w:t>
      </w:r>
      <w:r>
        <w:rPr>
          <w:spacing w:val="-7"/>
        </w:rPr>
        <w:t>）），判断该多次交易是否属于</w:t>
      </w:r>
      <w:r>
        <w:rPr>
          <w:rFonts w:ascii="Times New Roman" w:hAnsi="Times New Roman" w:cs="Times New Roman" w:eastAsia="Times New Roman" w:hint="default"/>
          <w:spacing w:val="-7"/>
        </w:rPr>
        <w:t>“</w:t>
      </w:r>
      <w:r>
        <w:rPr>
          <w:spacing w:val="-7"/>
        </w:rPr>
        <w:t>一</w:t>
      </w:r>
      <w:r>
        <w:rPr>
          <w:spacing w:val="-97"/>
        </w:rPr>
        <w:t> </w:t>
      </w:r>
      <w:r>
        <w:rPr>
          <w:spacing w:val="-1"/>
        </w:rPr>
        <w:t>揽子交易</w:t>
      </w:r>
      <w:r>
        <w:rPr>
          <w:rFonts w:ascii="Times New Roman" w:hAnsi="Times New Roman" w:cs="Times New Roman" w:eastAsia="Times New Roman" w:hint="default"/>
          <w:spacing w:val="-1"/>
        </w:rPr>
        <w:t>”</w:t>
      </w:r>
      <w:r>
        <w:rPr>
          <w:spacing w:val="-1"/>
        </w:rPr>
        <w:t>。属于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的，参考本部分前面各段描述及本附注四、</w:t>
      </w:r>
      <w:r>
        <w:rPr>
          <w:rFonts w:ascii="Times New Roman" w:hAnsi="Times New Roman" w:cs="Times New Roman" w:eastAsia="Times New Roman" w:hint="default"/>
          <w:spacing w:val="-1"/>
        </w:rPr>
        <w:t>13“</w:t>
      </w:r>
      <w:r>
        <w:rPr>
          <w:spacing w:val="-1"/>
        </w:rPr>
        <w:t>长期股权投资</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32"/>
        </w:rPr>
        <w:t> </w:t>
      </w:r>
      <w:r>
        <w:rPr/>
        <w:t>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w:t>
      </w:r>
      <w:r>
        <w:rPr>
          <w:spacing w:val="-60"/>
        </w:rPr>
        <w:t> </w:t>
      </w:r>
      <w:r>
        <w:rPr>
          <w:spacing w:val="-60"/>
        </w:rPr>
      </w:r>
      <w:r>
        <w:rPr/>
        <w:t>理：</w:t>
      </w:r>
    </w:p>
    <w:p>
      <w:pPr>
        <w:pStyle w:val="BodyText"/>
        <w:spacing w:line="283" w:lineRule="exact"/>
        <w:ind w:right="98" w:firstLine="480"/>
        <w:jc w:val="left"/>
      </w:pPr>
      <w:r>
        <w:rPr/>
        <w:t>在个别财务报表中，以购买日之前所持被购买方的股权投资的账面价值与购买日新增投</w:t>
      </w:r>
    </w:p>
    <w:p>
      <w:pPr>
        <w:pStyle w:val="BodyText"/>
        <w:spacing w:line="312" w:lineRule="exact" w:before="30"/>
        <w:ind w:right="239"/>
        <w:jc w:val="both"/>
      </w:pPr>
      <w:r>
        <w:rPr/>
        <w:t>资成本之和，作为该项投资的初始投资成本；购买日之前持有的被购买方的股权涉及其他综</w:t>
      </w:r>
      <w:r>
        <w:rPr>
          <w:spacing w:val="-91"/>
        </w:rPr>
        <w:t> </w:t>
      </w:r>
      <w:r>
        <w:rPr>
          <w:spacing w:val="-91"/>
        </w:rPr>
      </w:r>
      <w:r>
        <w:rPr/>
        <w:t>合收益的，在处置该项投资时将与其相关的其他综合收益采用与被购买方直接处置相关资产</w:t>
      </w:r>
      <w:r>
        <w:rPr>
          <w:spacing w:val="-91"/>
        </w:rPr>
        <w:t> </w:t>
      </w:r>
      <w:r>
        <w:rPr>
          <w:spacing w:val="-91"/>
        </w:rPr>
      </w:r>
      <w:r>
        <w:rPr/>
        <w:t>或负债相同的基础进行会计处理（即，除了按照权益法核算的在被购买方重新计量设定受益</w:t>
      </w:r>
    </w:p>
    <w:p>
      <w:pPr>
        <w:spacing w:after="0" w:line="312" w:lineRule="exact"/>
        <w:jc w:val="both"/>
        <w:sectPr>
          <w:pgSz w:w="11910" w:h="16840"/>
          <w:pgMar w:header="745" w:footer="979" w:top="1060" w:bottom="1160" w:left="980" w:right="900"/>
        </w:sectPr>
      </w:pPr>
    </w:p>
    <w:p>
      <w:pPr>
        <w:spacing w:line="240" w:lineRule="auto" w:before="6"/>
        <w:rPr>
          <w:rFonts w:ascii="宋体" w:hAnsi="宋体" w:cs="宋体" w:eastAsia="宋体" w:hint="default"/>
          <w:sz w:val="23"/>
          <w:szCs w:val="23"/>
        </w:rPr>
      </w:pPr>
    </w:p>
    <w:p>
      <w:pPr>
        <w:pStyle w:val="BodyText"/>
        <w:spacing w:line="312" w:lineRule="exact" w:before="56"/>
        <w:ind w:left="633" w:right="144" w:hanging="481"/>
        <w:jc w:val="left"/>
      </w:pPr>
      <w:r>
        <w:rPr/>
        <w:t>计划净负债或净资产导致的变动中的相应份额以外，其余转入当期投资收益）。 在合并财务报表中，对于购买日之前持有的被购买方的股权，按照该股权在购买日的公</w:t>
      </w:r>
    </w:p>
    <w:p>
      <w:pPr>
        <w:pStyle w:val="BodyText"/>
        <w:spacing w:line="312" w:lineRule="exact"/>
        <w:ind w:right="158"/>
        <w:jc w:val="both"/>
      </w:pPr>
      <w:r>
        <w:rPr/>
        <w:t>允价值进行重新计量，公允价值与其账面价值的差额计入当期投资收益；购买日之前持有的</w:t>
      </w:r>
      <w:r>
        <w:rPr>
          <w:spacing w:val="-91"/>
        </w:rPr>
        <w:t> </w:t>
      </w:r>
      <w:r>
        <w:rPr>
          <w:spacing w:val="-91"/>
        </w:rPr>
      </w:r>
      <w:r>
        <w:rPr/>
        <w:t>被购买方的股权涉及其他综合收益的，与其相关的其他综合收益应当采用与被购买方直接处</w:t>
      </w:r>
      <w:r>
        <w:rPr>
          <w:spacing w:val="-91"/>
        </w:rPr>
        <w:t> </w:t>
      </w:r>
      <w:r>
        <w:rPr>
          <w:spacing w:val="-91"/>
        </w:rPr>
      </w:r>
      <w:r>
        <w:rPr/>
        <w:t>置相关资产或负债相同的基础进行会计处理（即，除了按照权益法核算的在被购买方重新计</w:t>
      </w:r>
      <w:r>
        <w:rPr>
          <w:spacing w:val="-91"/>
        </w:rPr>
        <w:t> </w:t>
      </w:r>
      <w:r>
        <w:rPr>
          <w:spacing w:val="-91"/>
        </w:rPr>
      </w:r>
      <w:r>
        <w:rPr/>
        <w:t>量设定受益计划净负债或净资产导致的变动中的相应份额以外，其余转为购买日所属当期投</w:t>
      </w:r>
      <w:r>
        <w:rPr>
          <w:spacing w:val="-91"/>
        </w:rPr>
        <w:t> </w:t>
      </w:r>
      <w:r>
        <w:rPr>
          <w:spacing w:val="-91"/>
        </w:rPr>
      </w:r>
      <w:r>
        <w:rPr/>
        <w:t>资收益）。</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0"/>
        <w:rPr>
          <w:rFonts w:ascii="宋体" w:hAnsi="宋体" w:cs="宋体" w:eastAsia="宋体" w:hint="default"/>
          <w:b/>
          <w:bCs/>
          <w:sz w:val="25"/>
          <w:szCs w:val="25"/>
        </w:rPr>
      </w:pPr>
    </w:p>
    <w:p>
      <w:pPr>
        <w:pStyle w:val="BodyText"/>
        <w:spacing w:line="312" w:lineRule="exact"/>
        <w:ind w:left="633" w:right="144"/>
        <w:jc w:val="left"/>
      </w:pPr>
      <w:r>
        <w:rPr/>
        <w:t>（</w:t>
      </w:r>
      <w:r>
        <w:rPr>
          <w:rFonts w:ascii="Times New Roman" w:hAnsi="Times New Roman" w:cs="Times New Roman" w:eastAsia="Times New Roman" w:hint="default"/>
        </w:rPr>
        <w:t>1</w:t>
      </w:r>
      <w:r>
        <w:rPr/>
        <w:t>）合并财务报表范围的确定原则 合并财务报表的合并范围以控制为基础予以确定。控制是指本公司拥有对被投资方的权</w:t>
      </w:r>
    </w:p>
    <w:p>
      <w:pPr>
        <w:pStyle w:val="BodyText"/>
        <w:spacing w:line="312" w:lineRule="exact"/>
        <w:ind w:right="155"/>
        <w:jc w:val="both"/>
      </w:pPr>
      <w:r>
        <w:rPr/>
        <w:t>力，通过参与被投资方的相关活动而享有可变回报，并且有能力运用对被投资方的权力影响</w:t>
      </w:r>
      <w:r>
        <w:rPr>
          <w:spacing w:val="-88"/>
        </w:rPr>
        <w:t> </w:t>
      </w:r>
      <w:r>
        <w:rPr>
          <w:spacing w:val="-88"/>
        </w:rPr>
      </w:r>
      <w:r>
        <w:rPr/>
        <w:t>该回报金额。合并范围包括本公司及全部子公司。子公司，是指被本公司控制的主体。</w:t>
      </w:r>
    </w:p>
    <w:p>
      <w:pPr>
        <w:pStyle w:val="BodyText"/>
        <w:spacing w:line="312" w:lineRule="exact"/>
        <w:ind w:right="160" w:firstLine="480"/>
        <w:jc w:val="both"/>
      </w:pPr>
      <w:r>
        <w:rPr/>
        <w:t>一旦相关事实和情况的变化导致上述控制定义涉及的相关要素发生了变化，本公司将进 行重新评估。</w:t>
      </w:r>
    </w:p>
    <w:p>
      <w:pPr>
        <w:pStyle w:val="BodyText"/>
        <w:spacing w:line="312" w:lineRule="exact"/>
        <w:ind w:left="633" w:right="144"/>
        <w:jc w:val="left"/>
      </w:pPr>
      <w:r>
        <w:rPr/>
        <w:t>（</w:t>
      </w:r>
      <w:r>
        <w:rPr>
          <w:rFonts w:ascii="Times New Roman" w:hAnsi="Times New Roman" w:cs="Times New Roman" w:eastAsia="Times New Roman" w:hint="default"/>
        </w:rPr>
        <w:t>2</w:t>
      </w:r>
      <w:r>
        <w:rPr/>
        <w:t>）合并财务报表编制的方法 从取得子公司的净资产和生产经营决策的实际控制权之日起，本公司开始将其纳入合并</w:t>
      </w:r>
    </w:p>
    <w:p>
      <w:pPr>
        <w:pStyle w:val="BodyText"/>
        <w:spacing w:line="283" w:lineRule="exact"/>
        <w:ind w:right="0"/>
        <w:jc w:val="both"/>
      </w:pPr>
      <w:r>
        <w:rPr/>
        <w:t>范围；从丧失实际控制权之日起停止纳入合并范围。对于处置的子公司，处置日前的经营成</w:t>
      </w:r>
    </w:p>
    <w:p>
      <w:pPr>
        <w:pStyle w:val="BodyText"/>
        <w:spacing w:line="312" w:lineRule="exact" w:before="30"/>
        <w:ind w:right="155"/>
        <w:jc w:val="both"/>
      </w:pPr>
      <w:r>
        <w:rPr/>
        <w:t>果和现金流量已经适当地包括在合并利润表和合并现金流量表中；当期处置的子公司，不调</w:t>
      </w:r>
      <w:r>
        <w:rPr>
          <w:spacing w:val="-91"/>
        </w:rPr>
        <w:t> </w:t>
      </w:r>
      <w:r>
        <w:rPr>
          <w:spacing w:val="-91"/>
        </w:rPr>
      </w:r>
      <w:r>
        <w:rPr/>
        <w:t>整合并资产负债表的期初数。非同一控制下企业合并增加的子公司，其购买日后的经营成果</w:t>
      </w:r>
      <w:r>
        <w:rPr>
          <w:spacing w:val="-88"/>
        </w:rPr>
        <w:t> </w:t>
      </w:r>
      <w:r>
        <w:rPr>
          <w:spacing w:val="-88"/>
        </w:rPr>
      </w:r>
      <w:r>
        <w:rPr/>
        <w:t>及现金流量已经适当地包括在合并利润表和合并现金流量表中，且不调整合并财务报表的期</w:t>
      </w:r>
      <w:r>
        <w:rPr>
          <w:spacing w:val="-91"/>
        </w:rPr>
        <w:t> </w:t>
      </w:r>
      <w:r>
        <w:rPr>
          <w:spacing w:val="-91"/>
        </w:rPr>
      </w:r>
      <w:r>
        <w:rPr/>
        <w:t>初数和对比数。同一控制下企业合并增加的子公司及吸收合并下的被合并方，其自合并当期</w:t>
      </w:r>
      <w:r>
        <w:rPr>
          <w:spacing w:val="-91"/>
        </w:rPr>
        <w:t> </w:t>
      </w:r>
      <w:r>
        <w:rPr>
          <w:spacing w:val="-91"/>
        </w:rPr>
      </w:r>
      <w:r>
        <w:rPr/>
        <w:t>期初至合并日的经营成果和现金流量已经适当地包括在合并利润表和合并现金流量表中，并</w:t>
      </w:r>
      <w:r>
        <w:rPr>
          <w:spacing w:val="-91"/>
        </w:rPr>
        <w:t> </w:t>
      </w:r>
      <w:r>
        <w:rPr>
          <w:spacing w:val="-91"/>
        </w:rPr>
      </w:r>
      <w:r>
        <w:rPr/>
        <w:t>且同时调整合并财务报表的对比数。</w:t>
      </w:r>
    </w:p>
    <w:p>
      <w:pPr>
        <w:pStyle w:val="BodyText"/>
        <w:spacing w:line="312" w:lineRule="exact"/>
        <w:ind w:right="159" w:firstLine="480"/>
        <w:jc w:val="both"/>
      </w:pPr>
      <w:r>
        <w:rPr/>
        <w:t>在编制合并财务报表时，子公司与本公司采用的会计政策或会计期间不一致的，按照本 公司的会计政策和会计期间对子公司财务报表进行必要的调整。对于非同一控制下企业合并</w:t>
      </w:r>
      <w:r>
        <w:rPr>
          <w:spacing w:val="-91"/>
        </w:rPr>
        <w:t> </w:t>
      </w:r>
      <w:r>
        <w:rPr>
          <w:spacing w:val="-91"/>
        </w:rPr>
      </w:r>
      <w:r>
        <w:rPr/>
        <w:t>取得的子公司，以购买日可辨认净资产公允价值为基础对其财务报表进行调整。</w:t>
      </w:r>
    </w:p>
    <w:p>
      <w:pPr>
        <w:pStyle w:val="BodyText"/>
        <w:spacing w:line="312" w:lineRule="exact"/>
        <w:ind w:left="633" w:right="144"/>
        <w:jc w:val="left"/>
      </w:pPr>
      <w:r>
        <w:rPr/>
        <w:t>公司内所有重大往来余额、交易及未实现利润在合并财务报表编制时予以抵销。 子公司的股东权益及当期净损益中不属于本公司所拥有的部分分别作为少数股东权益及</w:t>
      </w:r>
    </w:p>
    <w:p>
      <w:pPr>
        <w:pStyle w:val="BodyText"/>
        <w:spacing w:line="312" w:lineRule="exact"/>
        <w:ind w:right="152"/>
        <w:jc w:val="both"/>
      </w:pPr>
      <w:r>
        <w:rPr/>
        <w:t>少数股东损益在合并财务报表中股东权益及净利润项下单独列示。子公司当期净损益中属于</w:t>
      </w:r>
      <w:r>
        <w:rPr>
          <w:spacing w:val="-91"/>
        </w:rPr>
        <w:t> </w:t>
      </w:r>
      <w:r>
        <w:rPr>
          <w:spacing w:val="-91"/>
        </w:rPr>
      </w:r>
      <w:r>
        <w:rPr/>
        <w:t>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项目列示。少数股东</w:t>
      </w:r>
      <w:r>
        <w:rPr>
          <w:spacing w:val="-61"/>
        </w:rPr>
        <w:t> </w:t>
      </w:r>
      <w:r>
        <w:rPr>
          <w:spacing w:val="-61"/>
        </w:rPr>
      </w:r>
      <w:r>
        <w:rPr/>
        <w:t>分担的子公司的亏损超过了少数股东在该子公司期初股东权益中所享有的份额，仍冲减少数</w:t>
      </w:r>
      <w:r>
        <w:rPr>
          <w:spacing w:val="-91"/>
        </w:rPr>
        <w:t> </w:t>
      </w:r>
      <w:r>
        <w:rPr>
          <w:spacing w:val="-91"/>
        </w:rPr>
      </w:r>
      <w:r>
        <w:rPr/>
        <w:t>股东权益。</w:t>
      </w:r>
    </w:p>
    <w:p>
      <w:pPr>
        <w:pStyle w:val="BodyText"/>
        <w:spacing w:line="310" w:lineRule="exact" w:before="1"/>
        <w:ind w:right="158" w:firstLine="480"/>
        <w:jc w:val="both"/>
      </w:pPr>
      <w:r>
        <w:rPr/>
        <w:t>当因处置部分股权投资或其他原因丧失了对原有子公司的控制权时，对于剩余股权，按 照其在丧失控制权日的公允价值进行重新计量。处置股权取得的对价与剩余股权公允价值之</w:t>
      </w:r>
    </w:p>
    <w:p>
      <w:pPr>
        <w:pStyle w:val="BodyText"/>
        <w:spacing w:line="312" w:lineRule="exact"/>
        <w:ind w:right="152"/>
        <w:jc w:val="both"/>
      </w:pPr>
      <w:r>
        <w:rPr/>
        <w:t>和，减去按原持股比例计算应享有原有子公司自购买日开始持续计算的净资产的份额之间的</w:t>
      </w:r>
      <w:r>
        <w:rPr>
          <w:spacing w:val="-91"/>
        </w:rPr>
        <w:t> </w:t>
      </w:r>
      <w:r>
        <w:rPr>
          <w:spacing w:val="-91"/>
        </w:rPr>
      </w:r>
      <w:r>
        <w:rPr/>
        <w:t>差额，计入丧失控制权当期的投资收益。与原有子公司股权投资相关的其他综合收益，在丧</w:t>
      </w:r>
      <w:r>
        <w:rPr>
          <w:spacing w:val="-91"/>
        </w:rPr>
        <w:t> </w:t>
      </w:r>
      <w:r>
        <w:rPr>
          <w:spacing w:val="-91"/>
        </w:rPr>
      </w:r>
      <w:r>
        <w:rPr/>
        <w:t>失控制权时采用与被购买方直接处置相关资产或负债相同的基础进行会计处理（即，除了在</w:t>
      </w:r>
      <w:r>
        <w:rPr>
          <w:spacing w:val="-91"/>
        </w:rPr>
        <w:t> </w:t>
      </w:r>
      <w:r>
        <w:rPr>
          <w:spacing w:val="-91"/>
        </w:rPr>
      </w:r>
      <w:r>
        <w:rPr/>
        <w:t>该原有子公司重新计量设定受益计划净负债或净资产导致的变动以外，其余一并转为当期投</w:t>
      </w:r>
    </w:p>
    <w:p>
      <w:pPr>
        <w:pStyle w:val="BodyText"/>
        <w:spacing w:line="312" w:lineRule="exact"/>
        <w:ind w:right="150"/>
        <w:jc w:val="both"/>
      </w:pPr>
      <w:r>
        <w:rPr>
          <w:spacing w:val="-3"/>
        </w:rPr>
        <w:t>资收益）。其后，对该部分剩余股权按照《企业会计准则第</w:t>
      </w:r>
      <w:r>
        <w:rPr>
          <w:rFonts w:ascii="Times New Roman" w:hAnsi="Times New Roman" w:cs="Times New Roman" w:eastAsia="Times New Roman" w:hint="default"/>
          <w:spacing w:val="-3"/>
        </w:rPr>
        <w:t>2</w:t>
      </w:r>
      <w:r>
        <w:rPr>
          <w:spacing w:val="-3"/>
        </w:rPr>
        <w:t>号</w:t>
      </w:r>
      <w:r>
        <w:rPr>
          <w:rFonts w:ascii="Times New Roman" w:hAnsi="Times New Roman" w:cs="Times New Roman" w:eastAsia="Times New Roman" w:hint="default"/>
          <w:spacing w:val="-3"/>
        </w:rPr>
        <w:t>——</w:t>
      </w:r>
      <w:r>
        <w:rPr>
          <w:spacing w:val="-3"/>
        </w:rPr>
        <w:t>长期股权投资》或《企业</w:t>
      </w:r>
      <w:r>
        <w:rPr>
          <w:spacing w:val="-82"/>
        </w:rPr>
        <w:t> </w:t>
      </w:r>
      <w:r>
        <w:rPr>
          <w:spacing w:val="-82"/>
        </w:rPr>
      </w:r>
      <w:r>
        <w:rPr/>
        <w:t>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或</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w:t>
      </w:r>
    </w:p>
    <w:p>
      <w:pPr>
        <w:spacing w:after="0" w:line="312" w:lineRule="exact"/>
        <w:jc w:val="both"/>
        <w:sectPr>
          <w:pgSz w:w="11910" w:h="16840"/>
          <w:pgMar w:header="745" w:footer="979" w:top="1060" w:bottom="1160" w:left="980" w:right="980"/>
        </w:sectPr>
      </w:pPr>
    </w:p>
    <w:p>
      <w:pPr>
        <w:spacing w:line="240" w:lineRule="auto" w:before="6"/>
        <w:rPr>
          <w:rFonts w:ascii="宋体" w:hAnsi="宋体" w:cs="宋体" w:eastAsia="宋体" w:hint="default"/>
          <w:sz w:val="23"/>
          <w:szCs w:val="23"/>
        </w:rPr>
      </w:pPr>
    </w:p>
    <w:p>
      <w:pPr>
        <w:pStyle w:val="BodyText"/>
        <w:spacing w:line="235" w:lineRule="auto" w:before="31"/>
        <w:ind w:right="191" w:firstLine="480"/>
        <w:jc w:val="both"/>
      </w:pPr>
      <w:r>
        <w:rPr/>
        <w:t>本公司通过多次交易分步处置对子公司股权投资直至丧失控制权的，需区分处置对子公 司股权投资直至丧失控制权的各项交易是否属于一揽子交易。处置对子公司股权投资的各项</w:t>
      </w:r>
      <w:r>
        <w:rPr>
          <w:spacing w:val="-91"/>
        </w:rPr>
        <w:t> </w:t>
      </w:r>
      <w:r>
        <w:rPr>
          <w:spacing w:val="-91"/>
        </w:rPr>
      </w:r>
      <w:r>
        <w:rPr/>
        <w:t>交易的条款、条件以及经济影响符合以下一种或多种情况，通常表明应将多次交易事项作为</w:t>
      </w:r>
      <w:r>
        <w:rPr>
          <w:spacing w:val="-91"/>
        </w:rPr>
        <w:t> </w:t>
      </w:r>
      <w:r>
        <w:rPr>
          <w:spacing w:val="-91"/>
        </w:rPr>
      </w:r>
      <w:r>
        <w:rPr/>
        <w:t>一揽子交易进行会计处理：①这些交易是同时或者在考虑了彼此影响的情况下订立的；②这</w:t>
      </w:r>
      <w:r>
        <w:rPr>
          <w:spacing w:val="-91"/>
        </w:rPr>
        <w:t> </w:t>
      </w:r>
      <w:r>
        <w:rPr>
          <w:spacing w:val="-91"/>
        </w:rPr>
      </w:r>
      <w:r>
        <w:rPr/>
        <w:t>些交易整体才能达成一项完整的商业结果；③一项交易的发生取决于其他至少一项交易的发</w:t>
      </w:r>
      <w:r>
        <w:rPr>
          <w:spacing w:val="-91"/>
        </w:rPr>
        <w:t> </w:t>
      </w:r>
      <w:r>
        <w:rPr>
          <w:spacing w:val="-91"/>
        </w:rPr>
      </w:r>
      <w:r>
        <w:rPr/>
        <w:t>生；④一项交易单独看是不经济的，但是和其他交易一并考虑时是经济的。不属于一揽子交</w:t>
      </w:r>
      <w:r>
        <w:rPr>
          <w:spacing w:val="-88"/>
        </w:rPr>
        <w:t> </w:t>
      </w:r>
      <w:r>
        <w:rPr>
          <w:spacing w:val="-88"/>
        </w:rPr>
      </w:r>
      <w:r>
        <w:rPr>
          <w:spacing w:val="-2"/>
        </w:rPr>
        <w:t>易的，对其中的每一项交易视情况分别按照</w:t>
      </w:r>
      <w:r>
        <w:rPr>
          <w:rFonts w:ascii="Times New Roman" w:hAnsi="Times New Roman" w:cs="Times New Roman" w:eastAsia="Times New Roman" w:hint="default"/>
          <w:spacing w:val="-2"/>
        </w:rPr>
        <w:t>“</w:t>
      </w:r>
      <w:r>
        <w:rPr>
          <w:spacing w:val="-2"/>
        </w:rPr>
        <w:t>不丧失控制权的情况下部分处置对子公司的长期</w:t>
      </w:r>
      <w:r>
        <w:rPr>
          <w:spacing w:val="-106"/>
        </w:rPr>
        <w:t> </w:t>
      </w:r>
      <w:r>
        <w:rPr>
          <w:spacing w:val="-2"/>
        </w:rPr>
        <w:t>股权投资</w:t>
      </w:r>
      <w:r>
        <w:rPr>
          <w:rFonts w:ascii="Times New Roman" w:hAnsi="Times New Roman" w:cs="Times New Roman" w:eastAsia="Times New Roman" w:hint="default"/>
          <w:spacing w:val="-2"/>
        </w:rPr>
        <w:t>”</w:t>
      </w:r>
      <w:r>
        <w:rPr>
          <w:spacing w:val="-2"/>
        </w:rPr>
        <w:t>（详见本附注四、</w:t>
      </w:r>
      <w:r>
        <w:rPr>
          <w:rFonts w:ascii="Times New Roman" w:hAnsi="Times New Roman" w:cs="Times New Roman" w:eastAsia="Times New Roman" w:hint="default"/>
          <w:spacing w:val="-2"/>
        </w:rPr>
        <w:t>13</w:t>
      </w:r>
      <w:r>
        <w:rPr>
          <w:spacing w:val="-2"/>
        </w:rPr>
        <w:t>、（</w:t>
      </w:r>
      <w:r>
        <w:rPr>
          <w:rFonts w:ascii="Times New Roman" w:hAnsi="Times New Roman" w:cs="Times New Roman" w:eastAsia="Times New Roman" w:hint="default"/>
          <w:spacing w:val="-2"/>
        </w:rPr>
        <w:t>2</w:t>
      </w:r>
      <w:r>
        <w:rPr>
          <w:spacing w:val="-2"/>
        </w:rPr>
        <w:t>）④）和</w:t>
      </w:r>
      <w:r>
        <w:rPr>
          <w:rFonts w:ascii="Times New Roman" w:hAnsi="Times New Roman" w:cs="Times New Roman" w:eastAsia="Times New Roman" w:hint="default"/>
          <w:spacing w:val="-2"/>
        </w:rPr>
        <w:t>“</w:t>
      </w:r>
      <w:r>
        <w:rPr>
          <w:spacing w:val="-2"/>
        </w:rPr>
        <w:t>因处置部分股权投资或其他原因丧失了对原有</w:t>
      </w:r>
      <w:r>
        <w:rPr>
          <w:spacing w:val="-91"/>
        </w:rPr>
        <w:t> </w:t>
      </w:r>
      <w:r>
        <w:rPr>
          <w:spacing w:val="-2"/>
        </w:rPr>
        <w:t>子公司的控制权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w:t>
      </w:r>
      <w:r>
        <w:rPr>
          <w:spacing w:val="-105"/>
        </w:rPr>
        <w:t> </w:t>
      </w:r>
      <w:r>
        <w:rPr>
          <w:spacing w:val="-105"/>
        </w:rPr>
      </w:r>
      <w:r>
        <w:rPr/>
        <w:t>制权的各项交易属于一揽子交易的，将各项交易作为一项处置子公司并丧失控制权的交易进</w:t>
      </w:r>
      <w:r>
        <w:rPr>
          <w:spacing w:val="-91"/>
        </w:rPr>
        <w:t> </w:t>
      </w:r>
      <w:r>
        <w:rPr>
          <w:spacing w:val="-91"/>
        </w:rPr>
      </w:r>
      <w:r>
        <w:rPr/>
        <w:t>行会计处理；但是，在丧失控制权之前每一次处置价款与处置投资对应的享有该子公司净资</w:t>
      </w:r>
      <w:r>
        <w:rPr>
          <w:spacing w:val="-91"/>
        </w:rPr>
        <w:t> </w:t>
      </w:r>
      <w:r>
        <w:rPr>
          <w:spacing w:val="-91"/>
        </w:rPr>
      </w:r>
      <w:r>
        <w:rPr/>
        <w:t>产份额的差额，在合并财务报表中确认为其他综合收益，在丧失控制权时一并转入丧失控制</w:t>
      </w:r>
      <w:r>
        <w:rPr>
          <w:spacing w:val="-86"/>
        </w:rPr>
        <w:t> </w:t>
      </w:r>
      <w:r>
        <w:rPr>
          <w:spacing w:val="-86"/>
        </w:rPr>
      </w:r>
      <w:r>
        <w:rPr/>
        <w:t>权当期的损益。</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4"/>
          <w:szCs w:val="24"/>
        </w:rPr>
      </w:pPr>
    </w:p>
    <w:p>
      <w:pPr>
        <w:spacing w:before="0"/>
        <w:ind w:left="15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sz w:val="21"/>
          <w:szCs w:val="21"/>
        </w:rPr>
      </w:r>
    </w:p>
    <w:p>
      <w:pPr>
        <w:spacing w:line="240" w:lineRule="auto" w:before="11"/>
        <w:rPr>
          <w:rFonts w:ascii="宋体" w:hAnsi="宋体" w:cs="宋体" w:eastAsia="宋体" w:hint="default"/>
          <w:b/>
          <w:bCs/>
          <w:sz w:val="22"/>
          <w:szCs w:val="22"/>
        </w:rPr>
      </w:pPr>
    </w:p>
    <w:p>
      <w:pPr>
        <w:pStyle w:val="BodyText"/>
        <w:spacing w:line="237" w:lineRule="auto"/>
        <w:ind w:right="199" w:firstLine="480"/>
        <w:jc w:val="both"/>
      </w:pPr>
      <w:r>
        <w:rPr/>
        <w:t>合营安排，是指一项由两个或两个以上的参与方共同控制的安排。本公司根据在合营安 排中享有的权利和承担的义务，将合营安排分为共同经营和合营企业。共同经营，是指本公</w:t>
      </w:r>
      <w:r>
        <w:rPr>
          <w:spacing w:val="-91"/>
        </w:rPr>
        <w:t> </w:t>
      </w:r>
      <w:r>
        <w:rPr>
          <w:spacing w:val="-91"/>
        </w:rPr>
      </w:r>
      <w:r>
        <w:rPr/>
        <w:t>司享有该安排相关资产且承担该安排相关负债的合营安排。合营企业，是指本公司仅对该安</w:t>
      </w:r>
      <w:r>
        <w:rPr>
          <w:spacing w:val="-91"/>
        </w:rPr>
        <w:t> </w:t>
      </w:r>
      <w:r>
        <w:rPr>
          <w:spacing w:val="-91"/>
        </w:rPr>
      </w:r>
      <w:r>
        <w:rPr/>
        <w:t>排的净资产享有权利的合营安排。</w:t>
      </w:r>
    </w:p>
    <w:p>
      <w:pPr>
        <w:pStyle w:val="BodyText"/>
        <w:spacing w:line="312" w:lineRule="exact" w:before="29"/>
        <w:ind w:right="189" w:firstLine="480"/>
        <w:jc w:val="both"/>
      </w:pPr>
      <w:r>
        <w:rPr/>
        <w:t>本公司对合营企业的投资采用权益法核算，按照</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 会计政策处理。</w:t>
      </w:r>
    </w:p>
    <w:p>
      <w:pPr>
        <w:pStyle w:val="BodyText"/>
        <w:spacing w:line="312" w:lineRule="exact"/>
        <w:ind w:right="198" w:firstLine="480"/>
        <w:jc w:val="both"/>
      </w:pPr>
      <w:r>
        <w:rPr/>
        <w:t>本公司作为合营方对共同经营，确认本公司单独持有的资产、单独所承担的负债，以及 按本公司份额确认共同持有的资产和共同承担的负债；确认出售本公司享有的共同经营产出</w:t>
      </w:r>
      <w:r>
        <w:rPr>
          <w:spacing w:val="-91"/>
        </w:rPr>
        <w:t> </w:t>
      </w:r>
      <w:r>
        <w:rPr>
          <w:spacing w:val="-91"/>
        </w:rPr>
      </w:r>
      <w:r>
        <w:rPr/>
        <w:t>份额所产生的收入；按本公司份额确认共同经营因出售产出所产生的收入；确认本公司单独</w:t>
      </w:r>
      <w:r>
        <w:rPr>
          <w:spacing w:val="-91"/>
        </w:rPr>
        <w:t> </w:t>
      </w:r>
      <w:r>
        <w:rPr>
          <w:spacing w:val="-91"/>
        </w:rPr>
      </w:r>
      <w:r>
        <w:rPr/>
        <w:t>所发生的费用，以及按本公司份额确认共同经营发生的费用。</w:t>
      </w:r>
    </w:p>
    <w:p>
      <w:pPr>
        <w:pStyle w:val="BodyText"/>
        <w:spacing w:line="312" w:lineRule="exact"/>
        <w:ind w:right="94" w:firstLine="480"/>
        <w:jc w:val="left"/>
      </w:pPr>
      <w:r>
        <w:rPr/>
        <w:t>当本公司作为合营方向共同经营投出或出售资产（该资产不构成业务，下同）、或者自 共同经营购买资产时，在该等资产出售给第三方之前，本公司仅确认因该交易产生的损益中</w:t>
      </w:r>
      <w:r>
        <w:rPr>
          <w:spacing w:val="-91"/>
        </w:rPr>
        <w:t> </w:t>
      </w:r>
      <w:r>
        <w:rPr>
          <w:spacing w:val="-91"/>
        </w:rPr>
      </w:r>
      <w:r>
        <w:rPr/>
        <w:t>归属于共同经营其他参与方的部分。该等资产发生符合《企业会计准则第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 等规定的资产减值损失的，对于由本公司向共同经营投出或出售资产的情况，本公司全额确</w:t>
      </w:r>
    </w:p>
    <w:p>
      <w:pPr>
        <w:pStyle w:val="BodyText"/>
        <w:spacing w:line="284" w:lineRule="exact"/>
        <w:ind w:right="94"/>
        <w:jc w:val="left"/>
      </w:pPr>
      <w:r>
        <w:rPr/>
        <w:t>认该损失；对于本公司自共同经营购买资产的情况，本公司按承担的份额确认该损失。</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4"/>
          <w:szCs w:val="24"/>
        </w:rPr>
      </w:pPr>
    </w:p>
    <w:p>
      <w:pPr>
        <w:spacing w:before="0"/>
        <w:ind w:left="15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199" w:firstLine="480"/>
        <w:jc w:val="both"/>
      </w:pPr>
      <w:r>
        <w:rPr/>
        <w:t>本公司现金及现金等价物包括库存现金、可以随时用于支付的存款以及本公司持有的期 限短（一般为从购买日起，三个月内到期）、流动性强、易于转换为已知金额的现金、价值</w:t>
      </w:r>
      <w:r>
        <w:rPr>
          <w:spacing w:val="-91"/>
        </w:rPr>
        <w:t> </w:t>
      </w:r>
      <w:r>
        <w:rPr>
          <w:spacing w:val="-91"/>
        </w:rPr>
      </w:r>
      <w:r>
        <w:rPr/>
        <w:t>变动风险很小的投资。</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spacing w:before="0"/>
        <w:ind w:left="15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240" w:lineRule="auto"/>
        <w:ind w:left="633" w:right="94"/>
        <w:jc w:val="left"/>
      </w:pPr>
      <w:r>
        <w:rPr/>
        <w:t>（</w:t>
      </w:r>
      <w:r>
        <w:rPr>
          <w:rFonts w:ascii="Times New Roman" w:hAnsi="Times New Roman" w:cs="Times New Roman" w:eastAsia="Times New Roman" w:hint="default"/>
        </w:rPr>
        <w:t>1</w:t>
      </w:r>
      <w:r>
        <w:rPr/>
        <w:t>）外币交易的折算方法</w:t>
      </w:r>
    </w:p>
    <w:p>
      <w:pPr>
        <w:spacing w:after="0" w:line="240" w:lineRule="auto"/>
        <w:jc w:val="left"/>
        <w:sectPr>
          <w:pgSz w:w="11910" w:h="16840"/>
          <w:pgMar w:header="745" w:footer="979" w:top="1060" w:bottom="1160" w:left="980" w:right="940"/>
        </w:sectPr>
      </w:pPr>
    </w:p>
    <w:p>
      <w:pPr>
        <w:spacing w:line="240" w:lineRule="auto" w:before="6"/>
        <w:rPr>
          <w:rFonts w:ascii="宋体" w:hAnsi="宋体" w:cs="宋体" w:eastAsia="宋体" w:hint="default"/>
          <w:sz w:val="23"/>
          <w:szCs w:val="23"/>
        </w:rPr>
      </w:pPr>
    </w:p>
    <w:p>
      <w:pPr>
        <w:pStyle w:val="BodyText"/>
        <w:spacing w:line="312" w:lineRule="exact" w:before="56"/>
        <w:ind w:right="98" w:firstLine="480"/>
        <w:jc w:val="left"/>
      </w:pPr>
      <w:r>
        <w:rPr>
          <w:spacing w:val="-3"/>
        </w:rPr>
        <w:t>本公司发生的外币交易在初始确认时，按交易日的即期近似汇率折算为记账本位币金额，</w:t>
      </w:r>
      <w:r>
        <w:rPr/>
        <w:t> 但公司发生的外币兑换业务或涉及外币兑换的交易事项，按照实际采用的汇率折算为记账本</w:t>
      </w:r>
      <w:r>
        <w:rPr>
          <w:spacing w:val="-86"/>
        </w:rPr>
        <w:t> </w:t>
      </w:r>
      <w:r>
        <w:rPr>
          <w:spacing w:val="-86"/>
        </w:rPr>
      </w:r>
      <w:r>
        <w:rPr/>
        <w:t>位币金额。</w:t>
      </w:r>
    </w:p>
    <w:p>
      <w:pPr>
        <w:pStyle w:val="BodyText"/>
        <w:spacing w:line="312" w:lineRule="exact"/>
        <w:ind w:left="633" w:right="98"/>
        <w:jc w:val="left"/>
      </w:pPr>
      <w:r>
        <w:rPr/>
        <w:t>（</w:t>
      </w:r>
      <w:r>
        <w:rPr>
          <w:rFonts w:ascii="Times New Roman" w:hAnsi="Times New Roman" w:cs="Times New Roman" w:eastAsia="Times New Roman" w:hint="default"/>
        </w:rPr>
        <w:t>2</w:t>
      </w:r>
      <w:r>
        <w:rPr/>
        <w:t>）对于外币货币性项目和外币非货币性项目的折算方法 资产负债表日，对于外币货币性项目采用资产负债表日即期汇率折算，由此产生的汇兑</w:t>
      </w:r>
    </w:p>
    <w:p>
      <w:pPr>
        <w:pStyle w:val="BodyText"/>
        <w:spacing w:line="312" w:lineRule="exact"/>
        <w:ind w:right="239"/>
        <w:jc w:val="both"/>
      </w:pPr>
      <w:r>
        <w:rPr/>
        <w:t>差额，除：①属于与购建符合资本化条件的资产相关的外币专门借款产生的汇兑差额按照借</w:t>
      </w:r>
      <w:r>
        <w:rPr>
          <w:spacing w:val="-91"/>
        </w:rPr>
        <w:t> </w:t>
      </w:r>
      <w:r>
        <w:rPr>
          <w:spacing w:val="-91"/>
        </w:rPr>
      </w:r>
      <w:r>
        <w:rPr/>
        <w:t>款费用资本化的原则处理；②可供出售的外币货币性项目除摊余成本之外的其他账面余额变</w:t>
      </w:r>
      <w:r>
        <w:rPr>
          <w:spacing w:val="-91"/>
        </w:rPr>
        <w:t> </w:t>
      </w:r>
      <w:r>
        <w:rPr>
          <w:spacing w:val="-91"/>
        </w:rPr>
      </w:r>
      <w:r>
        <w:rPr/>
        <w:t>动产生的汇兑差额计入其他综合收益之外，均计入当期损益。</w:t>
      </w:r>
    </w:p>
    <w:p>
      <w:pPr>
        <w:pStyle w:val="BodyText"/>
        <w:spacing w:line="312" w:lineRule="exact"/>
        <w:ind w:right="98" w:firstLine="480"/>
        <w:jc w:val="left"/>
      </w:pPr>
      <w:r>
        <w:rPr/>
        <w:t>编制合并财务报表涉及境外经营的，如有实质上构成对境外经营净投资的外币货币性项 目，因汇率变动而产生的汇兑差额，计入其他综合收益；处置境外经营时，转入处置当期损</w:t>
      </w:r>
    </w:p>
    <w:p>
      <w:pPr>
        <w:pStyle w:val="BodyText"/>
        <w:spacing w:line="284" w:lineRule="exact"/>
        <w:ind w:right="0"/>
        <w:jc w:val="both"/>
      </w:pPr>
      <w:r>
        <w:rPr/>
        <w:t>益。</w:t>
      </w:r>
    </w:p>
    <w:p>
      <w:pPr>
        <w:pStyle w:val="BodyText"/>
        <w:spacing w:line="312" w:lineRule="exact" w:before="28"/>
        <w:ind w:right="98" w:firstLine="480"/>
        <w:jc w:val="left"/>
      </w:pPr>
      <w:r>
        <w:rPr/>
        <w:t>以历史成本计量的外币非货币性项目，仍采用交易发生日的即期汇率折算的记账本位币 金额计量。以公允价值计量的外币非货币性项目，采用公允价值确定日的即期汇率折算，折</w:t>
      </w:r>
      <w:r>
        <w:rPr>
          <w:spacing w:val="-91"/>
        </w:rPr>
        <w:t> </w:t>
      </w:r>
      <w:r>
        <w:rPr>
          <w:spacing w:val="-91"/>
        </w:rPr>
      </w:r>
      <w:r>
        <w:rPr>
          <w:spacing w:val="-3"/>
        </w:rPr>
        <w:t>算后的记账本位币金额与原记账本位币金额的差额，作为公允价值变动（含汇率变动）处理，</w:t>
      </w:r>
      <w:r>
        <w:rPr>
          <w:spacing w:val="-81"/>
        </w:rPr>
        <w:t> </w:t>
      </w:r>
      <w:r>
        <w:rPr>
          <w:spacing w:val="-81"/>
        </w:rPr>
      </w:r>
      <w:r>
        <w:rPr/>
        <w:t>计入当期损益或确认为其他综合收益。</w:t>
      </w:r>
    </w:p>
    <w:p>
      <w:pPr>
        <w:pStyle w:val="BodyText"/>
        <w:spacing w:line="312" w:lineRule="exact"/>
        <w:ind w:left="633" w:right="98"/>
        <w:jc w:val="left"/>
      </w:pPr>
      <w:r>
        <w:rPr/>
        <w:t>（</w:t>
      </w:r>
      <w:r>
        <w:rPr>
          <w:rFonts w:ascii="Times New Roman" w:hAnsi="Times New Roman" w:cs="Times New Roman" w:eastAsia="Times New Roman" w:hint="default"/>
        </w:rPr>
        <w:t>3</w:t>
      </w:r>
      <w:r>
        <w:rPr/>
        <w:t>）外币财务报表的折算方法 编制合并财务报表涉及境外经营的，如有实质上构成对境外经营净投资的外币货币性项</w:t>
      </w:r>
    </w:p>
    <w:p>
      <w:pPr>
        <w:pStyle w:val="BodyText"/>
        <w:spacing w:line="312" w:lineRule="exact"/>
        <w:ind w:right="233"/>
        <w:jc w:val="both"/>
      </w:pPr>
      <w:r>
        <w:rPr/>
        <w:t>目，因汇率变动而产生的汇兑差额，作为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w:t>
      </w:r>
      <w:r>
        <w:rPr>
          <w:spacing w:val="-61"/>
        </w:rPr>
        <w:t> </w:t>
      </w:r>
      <w:r>
        <w:rPr>
          <w:spacing w:val="-61"/>
        </w:rPr>
      </w:r>
      <w:r>
        <w:rPr/>
        <w:t>外经营时，计入处置当期损益。</w:t>
      </w:r>
    </w:p>
    <w:p>
      <w:pPr>
        <w:pStyle w:val="BodyText"/>
        <w:spacing w:line="283" w:lineRule="exact"/>
        <w:ind w:right="0" w:firstLine="480"/>
        <w:jc w:val="both"/>
      </w:pPr>
      <w:r>
        <w:rPr/>
        <w:t>境外经营的外币财务报表按以下方法折算为人民币报表：资产负债表中的资产和负债项</w:t>
      </w:r>
    </w:p>
    <w:p>
      <w:pPr>
        <w:pStyle w:val="BodyText"/>
        <w:spacing w:line="312" w:lineRule="exact" w:before="30"/>
        <w:ind w:right="232"/>
        <w:jc w:val="both"/>
      </w:pPr>
      <w:r>
        <w:rPr/>
        <w:t>目，采用资产负债表日的即期汇率折算；股东权益类项目除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w:t>
      </w:r>
      <w:r>
        <w:rPr>
          <w:spacing w:val="-60"/>
        </w:rPr>
        <w:t> </w:t>
      </w:r>
      <w:r>
        <w:rPr>
          <w:spacing w:val="-60"/>
        </w:rPr>
      </w:r>
      <w:r>
        <w:rPr/>
        <w:t>采用发生时的即期汇率折算。利润表中的收入和费用项目，采用交易发生日的即期近似汇率</w:t>
      </w:r>
      <w:r>
        <w:rPr>
          <w:spacing w:val="-91"/>
        </w:rPr>
        <w:t> </w:t>
      </w:r>
      <w:r>
        <w:rPr>
          <w:spacing w:val="-91"/>
        </w:rPr>
      </w:r>
      <w:r>
        <w:rPr/>
        <w:t>折算。年初未分配利润为上一年折算后的年末未分配利润；年末未分配利润按折算后的利润</w:t>
      </w:r>
      <w:r>
        <w:rPr>
          <w:spacing w:val="-91"/>
        </w:rPr>
        <w:t> </w:t>
      </w:r>
      <w:r>
        <w:rPr>
          <w:spacing w:val="-91"/>
        </w:rPr>
      </w:r>
      <w:r>
        <w:rPr/>
        <w:t>分配各项目计算列示；折算后资产类项目与负债类项目和股东权益类项目合计数的差额，作</w:t>
      </w:r>
      <w:r>
        <w:rPr>
          <w:spacing w:val="-91"/>
        </w:rPr>
        <w:t> </w:t>
      </w:r>
      <w:r>
        <w:rPr>
          <w:spacing w:val="-91"/>
        </w:rPr>
      </w:r>
      <w:r>
        <w:rPr/>
        <w:t>为外币报表折算差额，确认为其他综合收益。处置境外经营并丧失控制权时，将资产负债表</w:t>
      </w:r>
      <w:r>
        <w:rPr>
          <w:spacing w:val="-91"/>
        </w:rPr>
        <w:t> </w:t>
      </w:r>
      <w:r>
        <w:rPr>
          <w:spacing w:val="-91"/>
        </w:rPr>
      </w:r>
      <w:r>
        <w:rPr/>
        <w:t>中股东权益项目下列示的、与该境外经营相关的外币报表折算差额，全部或按处置该境外经</w:t>
      </w:r>
      <w:r>
        <w:rPr>
          <w:spacing w:val="-88"/>
        </w:rPr>
        <w:t> </w:t>
      </w:r>
      <w:r>
        <w:rPr>
          <w:spacing w:val="-88"/>
        </w:rPr>
      </w:r>
      <w:r>
        <w:rPr/>
        <w:t>营的比例转入处置当期损益。</w:t>
      </w:r>
    </w:p>
    <w:p>
      <w:pPr>
        <w:pStyle w:val="BodyText"/>
        <w:spacing w:line="312" w:lineRule="exact"/>
        <w:ind w:right="240" w:firstLine="480"/>
        <w:jc w:val="both"/>
      </w:pPr>
      <w:r>
        <w:rPr/>
        <w:t>外币现金流量以及境外子公司的现金流量，采用现金流量发生日的即期汇率折算。汇率 变动对现金的影响额作为调节项目，在现金流量表中单独列报。</w:t>
      </w:r>
    </w:p>
    <w:p>
      <w:pPr>
        <w:pStyle w:val="BodyText"/>
        <w:spacing w:line="283" w:lineRule="exact"/>
        <w:ind w:left="633" w:right="98"/>
        <w:jc w:val="left"/>
      </w:pPr>
      <w:r>
        <w:rPr/>
        <w:t>年初数和上年实际数按照上年财务报表折算后的数额列示。</w:t>
      </w:r>
    </w:p>
    <w:p>
      <w:pPr>
        <w:pStyle w:val="BodyText"/>
        <w:spacing w:line="312" w:lineRule="exact" w:before="30"/>
        <w:ind w:right="239" w:firstLine="480"/>
        <w:jc w:val="both"/>
      </w:pPr>
      <w:r>
        <w:rPr/>
        <w:t>在处置本公司在境外经营的全部所有者权益或因处置部分股权投资或其他原因丧失了对 境外经营控制权时，将资产负债表中所有者权益项目下列示的、与该境外经营相关的归属于</w:t>
      </w:r>
      <w:r>
        <w:rPr>
          <w:spacing w:val="-91"/>
        </w:rPr>
        <w:t> </w:t>
      </w:r>
      <w:r>
        <w:rPr>
          <w:spacing w:val="-91"/>
        </w:rPr>
      </w:r>
      <w:r>
        <w:rPr/>
        <w:t>母公司所有者权益的外币报表折算差额，全部转入处置当期损益。</w:t>
      </w:r>
    </w:p>
    <w:p>
      <w:pPr>
        <w:pStyle w:val="BodyText"/>
        <w:spacing w:line="312" w:lineRule="exact"/>
        <w:ind w:right="238" w:firstLine="480"/>
        <w:jc w:val="both"/>
      </w:pPr>
      <w:r>
        <w:rPr/>
        <w:t>在处置部分股权投资或其他原因导致持有境外经营权益比例降低但不丧失对境外经营控 制权时，与该境外经营处置部分相关的外币报表折算差额将归属于少数股东权益，不转入当</w:t>
      </w:r>
      <w:r>
        <w:rPr>
          <w:spacing w:val="-91"/>
        </w:rPr>
        <w:t> </w:t>
      </w:r>
      <w:r>
        <w:rPr>
          <w:spacing w:val="-91"/>
        </w:rPr>
      </w:r>
      <w:r>
        <w:rPr/>
        <w:t>期损益。在处置境外经营为联营企业或合营企业的部分股权时，与该境外经营相关的外币报</w:t>
      </w:r>
      <w:r>
        <w:rPr>
          <w:spacing w:val="-91"/>
        </w:rPr>
        <w:t> </w:t>
      </w:r>
      <w:r>
        <w:rPr>
          <w:spacing w:val="-91"/>
        </w:rPr>
      </w:r>
      <w:r>
        <w:rPr/>
        <w:t>表折算差额，按处置该境外经营的比例转入处置当期损益。</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11"/>
        <w:rPr>
          <w:rFonts w:ascii="宋体" w:hAnsi="宋体" w:cs="宋体" w:eastAsia="宋体" w:hint="default"/>
          <w:b/>
          <w:bCs/>
          <w:sz w:val="24"/>
          <w:szCs w:val="24"/>
        </w:rPr>
      </w:pPr>
    </w:p>
    <w:p>
      <w:pPr>
        <w:pStyle w:val="BodyText"/>
        <w:spacing w:line="312" w:lineRule="exact"/>
        <w:ind w:right="239" w:firstLine="480"/>
        <w:jc w:val="both"/>
      </w:pPr>
      <w:r>
        <w:rPr/>
        <w:t>在本公司成为金融工具合同的一方时确认一项金融资产或金融负债。金融资产和金融负 债在初始确认时以公允价值计量。对于以公允价值计量且其变动计入当期损益的金融资产和</w:t>
      </w:r>
      <w:r>
        <w:rPr>
          <w:spacing w:val="-91"/>
        </w:rPr>
        <w:t> </w:t>
      </w:r>
      <w:r>
        <w:rPr>
          <w:spacing w:val="-91"/>
        </w:rPr>
      </w:r>
      <w:r>
        <w:rPr/>
        <w:t>金融负债，相关的交易费用直接计入损益，对于其他类别的金融资产和金融负债，相关交易</w:t>
      </w:r>
    </w:p>
    <w:p>
      <w:pPr>
        <w:spacing w:after="0" w:line="312" w:lineRule="exact"/>
        <w:jc w:val="both"/>
        <w:sectPr>
          <w:pgSz w:w="11910" w:h="16840"/>
          <w:pgMar w:header="745" w:footer="979" w:top="1060" w:bottom="1160" w:left="980" w:right="900"/>
        </w:sectPr>
      </w:pPr>
    </w:p>
    <w:p>
      <w:pPr>
        <w:spacing w:line="240" w:lineRule="auto" w:before="6"/>
        <w:rPr>
          <w:rFonts w:ascii="宋体" w:hAnsi="宋体" w:cs="宋体" w:eastAsia="宋体" w:hint="default"/>
          <w:sz w:val="23"/>
          <w:szCs w:val="23"/>
        </w:rPr>
      </w:pPr>
    </w:p>
    <w:p>
      <w:pPr>
        <w:pStyle w:val="BodyText"/>
        <w:spacing w:line="313" w:lineRule="exact" w:before="26"/>
        <w:ind w:right="0"/>
        <w:jc w:val="both"/>
      </w:pPr>
      <w:r>
        <w:rPr/>
        <w:t>费用计入初始确认金额。</w:t>
      </w:r>
    </w:p>
    <w:p>
      <w:pPr>
        <w:pStyle w:val="BodyText"/>
        <w:spacing w:line="312" w:lineRule="exact" w:before="29"/>
        <w:ind w:left="633" w:right="144"/>
        <w:jc w:val="left"/>
      </w:pPr>
      <w:r>
        <w:rPr/>
        <w:t>（</w:t>
      </w:r>
      <w:r>
        <w:rPr>
          <w:rFonts w:ascii="Times New Roman" w:hAnsi="Times New Roman" w:cs="Times New Roman" w:eastAsia="Times New Roman" w:hint="default"/>
        </w:rPr>
        <w:t>1</w:t>
      </w:r>
      <w:r>
        <w:rPr/>
        <w:t>）金融资产和金融负债的公允价值确定方法 公允价值，是指市场参与者在计量日发生的有序交易中，出售一项资产所能收到或者转</w:t>
      </w:r>
    </w:p>
    <w:p>
      <w:pPr>
        <w:pStyle w:val="BodyText"/>
        <w:spacing w:line="312" w:lineRule="exact"/>
        <w:ind w:right="155"/>
        <w:jc w:val="both"/>
      </w:pPr>
      <w:r>
        <w:rPr/>
        <w:t>移一项负债所需支付的价格。金融工具存在活跃市场的，本公司采用活跃市场中的报价确定</w:t>
      </w:r>
      <w:r>
        <w:rPr>
          <w:spacing w:val="-91"/>
        </w:rPr>
        <w:t> </w:t>
      </w:r>
      <w:r>
        <w:rPr>
          <w:spacing w:val="-91"/>
        </w:rPr>
      </w:r>
      <w:r>
        <w:rPr/>
        <w:t>其公允价值。活跃市场中的报价是指易于定期从交易所、经纪商、行业协会、定价服务机构</w:t>
      </w:r>
      <w:r>
        <w:rPr>
          <w:spacing w:val="-91"/>
        </w:rPr>
        <w:t> </w:t>
      </w:r>
      <w:r>
        <w:rPr>
          <w:spacing w:val="-91"/>
        </w:rPr>
      </w:r>
      <w:r>
        <w:rPr/>
        <w:t>等获得的价格，且代表了在公平交易中实际发生的市场交易的价格。金融工具不存在活跃市</w:t>
      </w:r>
      <w:r>
        <w:rPr>
          <w:spacing w:val="-91"/>
        </w:rPr>
        <w:t> </w:t>
      </w:r>
      <w:r>
        <w:rPr>
          <w:spacing w:val="-91"/>
        </w:rPr>
      </w:r>
      <w:r>
        <w:rPr/>
        <w:t>场的，本公司采用估值技术确定其公允价值。估值技术包括参考熟悉情况并自愿交易的各方</w:t>
      </w:r>
      <w:r>
        <w:rPr>
          <w:spacing w:val="-91"/>
        </w:rPr>
        <w:t> </w:t>
      </w:r>
      <w:r>
        <w:rPr>
          <w:spacing w:val="-91"/>
        </w:rPr>
      </w:r>
      <w:r>
        <w:rPr/>
        <w:t>最近进行的市场交易中使用的价格、参照实质上相同的其他金融工具当前的公允价值、现金</w:t>
      </w:r>
      <w:r>
        <w:rPr>
          <w:spacing w:val="-87"/>
        </w:rPr>
        <w:t> </w:t>
      </w:r>
      <w:r>
        <w:rPr>
          <w:spacing w:val="-87"/>
        </w:rPr>
      </w:r>
      <w:r>
        <w:rPr/>
        <w:t>流量折现法和期权定价模型等。</w:t>
      </w:r>
    </w:p>
    <w:p>
      <w:pPr>
        <w:pStyle w:val="BodyText"/>
        <w:spacing w:line="225" w:lineRule="auto"/>
        <w:ind w:left="633" w:right="144"/>
        <w:jc w:val="left"/>
      </w:pPr>
      <w:r>
        <w:rPr/>
        <w:t>（</w:t>
      </w:r>
      <w:r>
        <w:rPr>
          <w:rFonts w:ascii="Times New Roman" w:hAnsi="Times New Roman" w:cs="Times New Roman" w:eastAsia="Times New Roman" w:hint="default"/>
        </w:rPr>
        <w:t>2</w:t>
      </w:r>
      <w:r>
        <w:rPr/>
        <w:t>）金融资产的分类、确认和计量 以常规方式买卖金融资产，按交易日进行会计确认和终止确认。金融资产在初始确认时</w:t>
      </w:r>
    </w:p>
    <w:p>
      <w:pPr>
        <w:pStyle w:val="BodyText"/>
        <w:spacing w:line="312" w:lineRule="exact" w:before="30"/>
        <w:ind w:right="159"/>
        <w:jc w:val="both"/>
      </w:pPr>
      <w:r>
        <w:rPr/>
        <w:t>划分为以公允价值计量且其变动计入当期损益的金融资产、持有至到期投资、贷款和应收款</w:t>
      </w:r>
      <w:r>
        <w:rPr>
          <w:spacing w:val="-91"/>
        </w:rPr>
        <w:t> </w:t>
      </w:r>
      <w:r>
        <w:rPr>
          <w:spacing w:val="-91"/>
        </w:rPr>
      </w:r>
      <w:r>
        <w:rPr/>
        <w:t>项以及可供出售金融资产。</w:t>
      </w:r>
    </w:p>
    <w:p>
      <w:pPr>
        <w:pStyle w:val="BodyText"/>
        <w:spacing w:line="312" w:lineRule="exact"/>
        <w:ind w:left="633" w:right="144"/>
        <w:jc w:val="left"/>
      </w:pPr>
      <w:r>
        <w:rPr/>
        <w:t>①以公允价值计量且其变动计入当期损益的金融资产 包括交易性金融资产和指定为以公允价值计量且其变动计入当期损益的金融资产。 交易性金融资产是指满足下列条件之一的金融资产：</w:t>
      </w:r>
      <w:r>
        <w:rPr>
          <w:rFonts w:ascii="Times New Roman" w:hAnsi="Times New Roman" w:cs="Times New Roman" w:eastAsia="Times New Roman" w:hint="default"/>
        </w:rPr>
        <w:t>A.</w:t>
      </w:r>
      <w:r>
        <w:rPr/>
        <w:t>取得该金融资产的目的，主要是</w:t>
      </w:r>
    </w:p>
    <w:p>
      <w:pPr>
        <w:pStyle w:val="BodyText"/>
        <w:spacing w:line="312" w:lineRule="exact"/>
        <w:ind w:right="152"/>
        <w:jc w:val="both"/>
      </w:pPr>
      <w:r>
        <w:rPr/>
        <w:t>为了近期内出售；</w:t>
      </w:r>
      <w:r>
        <w:rPr>
          <w:rFonts w:ascii="Times New Roman" w:hAnsi="Times New Roman" w:cs="Times New Roman" w:eastAsia="Times New Roman" w:hint="default"/>
        </w:rPr>
        <w:t>B.</w:t>
      </w:r>
      <w:r>
        <w:rPr/>
        <w:t>属于进行集中管理的可辨认金融工具组合的一部分，且有客观证据表明</w:t>
      </w:r>
      <w:r>
        <w:rPr>
          <w:spacing w:val="-67"/>
        </w:rPr>
        <w:t> </w:t>
      </w:r>
      <w:r>
        <w:rPr>
          <w:spacing w:val="-67"/>
        </w:rPr>
      </w:r>
      <w:r>
        <w:rPr/>
        <w:t>本公司近期采用短期获利方式对该组合进行管理；</w:t>
      </w:r>
      <w:r>
        <w:rPr>
          <w:rFonts w:ascii="Times New Roman" w:hAnsi="Times New Roman" w:cs="Times New Roman" w:eastAsia="Times New Roman" w:hint="default"/>
        </w:rPr>
        <w:t>C.</w:t>
      </w:r>
      <w:r>
        <w:rPr/>
        <w:t>属于衍生工具，但是，被指定且为有效</w:t>
      </w:r>
      <w:r>
        <w:rPr>
          <w:spacing w:val="-67"/>
        </w:rPr>
        <w:t> </w:t>
      </w:r>
      <w:r>
        <w:rPr>
          <w:spacing w:val="-67"/>
        </w:rPr>
      </w:r>
      <w:r>
        <w:rPr/>
        <w:t>套期工具的衍生工具、属于财务担保合同的衍生工具、与在活跃市场中没有报价且其公允价</w:t>
      </w:r>
      <w:r>
        <w:rPr>
          <w:spacing w:val="-91"/>
        </w:rPr>
        <w:t> </w:t>
      </w:r>
      <w:r>
        <w:rPr>
          <w:spacing w:val="-91"/>
        </w:rPr>
      </w:r>
      <w:r>
        <w:rPr/>
        <w:t>值不能可靠计量的权益工具投资挂钩并须通过交付该权益工具结算的衍生工具除外。</w:t>
      </w:r>
    </w:p>
    <w:p>
      <w:pPr>
        <w:pStyle w:val="BodyText"/>
        <w:spacing w:line="312" w:lineRule="exact"/>
        <w:ind w:right="146" w:firstLine="480"/>
        <w:jc w:val="both"/>
      </w:pPr>
      <w:r>
        <w:rPr/>
        <w:t>符合下述条件之一的金融资产，在初始确认时可指定为以公允价值计量且其变动计入当 期损益的金融资产：</w:t>
      </w:r>
      <w:r>
        <w:rPr>
          <w:rFonts w:ascii="Times New Roman" w:hAnsi="Times New Roman" w:cs="Times New Roman" w:eastAsia="Times New Roman" w:hint="default"/>
        </w:rPr>
        <w:t>A.</w:t>
      </w:r>
      <w:r>
        <w:rPr/>
        <w:t>该指定可以消除或明显减少由于该金融资产的计量基础不同所导致的</w:t>
      </w:r>
      <w:r>
        <w:rPr>
          <w:spacing w:val="-85"/>
        </w:rPr>
        <w:t> </w:t>
      </w:r>
      <w:r>
        <w:rPr>
          <w:spacing w:val="-85"/>
        </w:rPr>
      </w:r>
      <w:r>
        <w:rPr/>
        <w:t>相关利得或损失在确认或计量方面不一致的情况；</w:t>
      </w:r>
      <w:r>
        <w:rPr>
          <w:rFonts w:ascii="Times New Roman" w:hAnsi="Times New Roman" w:cs="Times New Roman" w:eastAsia="Times New Roman" w:hint="default"/>
        </w:rPr>
        <w:t>B.</w:t>
      </w:r>
      <w:r>
        <w:rPr/>
        <w:t>本公司风险管理或投资策略的正式书面</w:t>
      </w:r>
      <w:r>
        <w:rPr>
          <w:spacing w:val="-62"/>
        </w:rPr>
        <w:t> </w:t>
      </w:r>
      <w:r>
        <w:rPr>
          <w:spacing w:val="-62"/>
        </w:rPr>
      </w:r>
      <w:r>
        <w:rPr/>
        <w:t>文件已载明，对该金融资产所在的金融资产组合或金融资产和金融负债组合以公允价值为基</w:t>
      </w:r>
      <w:r>
        <w:rPr>
          <w:spacing w:val="-91"/>
        </w:rPr>
        <w:t> </w:t>
      </w:r>
      <w:r>
        <w:rPr>
          <w:spacing w:val="-91"/>
        </w:rPr>
      </w:r>
      <w:r>
        <w:rPr/>
        <w:t>础进行管理、评价并向关键管理人员报告。</w:t>
      </w:r>
    </w:p>
    <w:p>
      <w:pPr>
        <w:pStyle w:val="BodyText"/>
        <w:spacing w:line="312" w:lineRule="exact"/>
        <w:ind w:right="160" w:firstLine="480"/>
        <w:jc w:val="both"/>
      </w:pPr>
      <w:r>
        <w:rPr/>
        <w:t>以公允价值计量且其变动计入当期损益的金融资产采用公允价值进行后续计量，公允价 值变动形成的利得或损失以及与该等金融资产相关的股利和利息收入计入当期损益。</w:t>
      </w:r>
    </w:p>
    <w:p>
      <w:pPr>
        <w:pStyle w:val="BodyText"/>
        <w:spacing w:line="312" w:lineRule="exact"/>
        <w:ind w:left="633" w:right="144"/>
        <w:jc w:val="left"/>
      </w:pPr>
      <w:r>
        <w:rPr/>
        <w:t>①以公允价值计量且其变动计入当期损益的金融资产 包括交易性金融资产和指定为以公允价值计量且其变动计入当期损益的金融资产。本公</w:t>
      </w:r>
    </w:p>
    <w:p>
      <w:pPr>
        <w:pStyle w:val="BodyText"/>
        <w:spacing w:line="283" w:lineRule="exact"/>
        <w:ind w:right="0"/>
        <w:jc w:val="both"/>
      </w:pPr>
      <w:r>
        <w:rPr/>
        <w:t>司以公允价值计量且其变动计入当期损益的金融资产均为交易性金融资产。</w:t>
      </w:r>
    </w:p>
    <w:p>
      <w:pPr>
        <w:pStyle w:val="BodyText"/>
        <w:spacing w:line="312" w:lineRule="exact" w:before="30"/>
        <w:ind w:right="151" w:firstLine="480"/>
        <w:jc w:val="right"/>
      </w:pPr>
      <w:r>
        <w:rPr/>
        <w:t>交易性金融资产是指满足下列条件之一的金融资产：</w:t>
      </w:r>
      <w:r>
        <w:rPr>
          <w:rFonts w:ascii="Times New Roman" w:hAnsi="Times New Roman" w:cs="Times New Roman" w:eastAsia="Times New Roman" w:hint="default"/>
        </w:rPr>
        <w:t>A.</w:t>
      </w:r>
      <w:r>
        <w:rPr/>
        <w:t>取得该金融资产的目的，主要是 为了近期内出售或回购；</w:t>
      </w:r>
      <w:r>
        <w:rPr>
          <w:rFonts w:ascii="Times New Roman" w:hAnsi="Times New Roman" w:cs="Times New Roman" w:eastAsia="Times New Roman" w:hint="default"/>
        </w:rPr>
        <w:t>B.</w:t>
      </w:r>
      <w:r>
        <w:rPr/>
        <w:t>属于进行集中管理的可辨认金融工具组合的一部分，且有客观证</w:t>
      </w:r>
      <w:r>
        <w:rPr>
          <w:spacing w:val="-84"/>
        </w:rPr>
        <w:t> </w:t>
      </w:r>
      <w:r>
        <w:rPr>
          <w:spacing w:val="-84"/>
        </w:rPr>
      </w:r>
      <w:r>
        <w:rPr/>
        <w:t>据表明本公司近期采用短期获利方式对该组合进行管理；</w:t>
      </w:r>
      <w:r>
        <w:rPr>
          <w:rFonts w:ascii="Times New Roman" w:hAnsi="Times New Roman" w:cs="Times New Roman" w:eastAsia="Times New Roman" w:hint="default"/>
        </w:rPr>
        <w:t>C.</w:t>
      </w:r>
      <w:r>
        <w:rPr/>
        <w:t>属于衍生工具，但是，被指定且</w:t>
      </w:r>
      <w:r>
        <w:rPr>
          <w:spacing w:val="-78"/>
        </w:rPr>
        <w:t> </w:t>
      </w:r>
      <w:r>
        <w:rPr>
          <w:spacing w:val="-78"/>
        </w:rPr>
      </w:r>
      <w:r>
        <w:rPr/>
        <w:t>为有效套期工具的衍生工具、属于财务担保合同的衍生工具、与在活跃市场中没有报价且其</w:t>
      </w:r>
      <w:r>
        <w:rPr>
          <w:spacing w:val="-108"/>
        </w:rPr>
        <w:t> </w:t>
      </w:r>
      <w:r>
        <w:rPr>
          <w:spacing w:val="-108"/>
        </w:rPr>
      </w:r>
      <w:r>
        <w:rPr/>
        <w:t>公允价值不能可靠计量的权益工具投资挂钩并须通过交付该权益工具结算的衍生工具除外。 交易性金融资产采用公允价值进行后续计量，公允价值变动形成的利得或损失以及与该</w:t>
      </w:r>
    </w:p>
    <w:p>
      <w:pPr>
        <w:pStyle w:val="BodyText"/>
        <w:spacing w:line="282" w:lineRule="exact"/>
        <w:ind w:right="0"/>
        <w:jc w:val="both"/>
      </w:pPr>
      <w:r>
        <w:rPr/>
        <w:t>金融资产相关的股利和利息收入计入当期损益。</w:t>
      </w:r>
    </w:p>
    <w:p>
      <w:pPr>
        <w:pStyle w:val="BodyText"/>
        <w:spacing w:line="312" w:lineRule="exact" w:before="29"/>
        <w:ind w:left="633" w:right="144"/>
        <w:jc w:val="left"/>
      </w:pPr>
      <w:r>
        <w:rPr/>
        <w:t>②持有至到期投资 是指到期日固定、回收金额固定或可确定，且本公司有明确意图和能力持有至到期的非</w:t>
      </w:r>
    </w:p>
    <w:p>
      <w:pPr>
        <w:pStyle w:val="BodyText"/>
        <w:spacing w:line="312" w:lineRule="exact"/>
        <w:ind w:left="633" w:right="144" w:hanging="481"/>
        <w:jc w:val="left"/>
      </w:pPr>
      <w:r>
        <w:rPr/>
        <w:t>衍生金融资产。 持有至到期投资采用实际利率法，按摊余成本进行后续计量，在终止确认、发生减值或</w:t>
      </w:r>
    </w:p>
    <w:p>
      <w:pPr>
        <w:pStyle w:val="BodyText"/>
        <w:spacing w:line="312" w:lineRule="exact"/>
        <w:ind w:left="633" w:right="144" w:hanging="481"/>
        <w:jc w:val="left"/>
      </w:pPr>
      <w:r>
        <w:rPr/>
        <w:t>摊销时产生的利得或损失，计入当期损益。 实际利率法是指按照金融资产或金融负债（含一组金融资产或金融负债）的实际利率计</w:t>
      </w:r>
    </w:p>
    <w:p>
      <w:pPr>
        <w:pStyle w:val="BodyText"/>
        <w:spacing w:line="283" w:lineRule="exact"/>
        <w:ind w:right="0"/>
        <w:jc w:val="both"/>
      </w:pPr>
      <w:r>
        <w:rPr/>
        <w:t>算其摊余成本及各期利息收入或支出的方法。实际利率是指将金融资产或金融负债在预期存</w:t>
      </w:r>
    </w:p>
    <w:p>
      <w:pPr>
        <w:spacing w:after="0" w:line="283" w:lineRule="exact"/>
        <w:jc w:val="both"/>
        <w:sectPr>
          <w:pgSz w:w="11910" w:h="16840"/>
          <w:pgMar w:header="745" w:footer="979" w:top="1060" w:bottom="1160" w:left="980" w:right="980"/>
        </w:sectPr>
      </w:pPr>
    </w:p>
    <w:p>
      <w:pPr>
        <w:spacing w:line="240" w:lineRule="auto" w:before="6"/>
        <w:rPr>
          <w:rFonts w:ascii="宋体" w:hAnsi="宋体" w:cs="宋体" w:eastAsia="宋体" w:hint="default"/>
          <w:sz w:val="23"/>
          <w:szCs w:val="23"/>
        </w:rPr>
      </w:pPr>
    </w:p>
    <w:p>
      <w:pPr>
        <w:pStyle w:val="BodyText"/>
        <w:spacing w:line="312" w:lineRule="exact" w:before="56"/>
        <w:ind w:right="239"/>
        <w:jc w:val="both"/>
      </w:pPr>
      <w:r>
        <w:rPr/>
        <w:t>续期间或适用的更短期间内的未来现金流量，折现为该金融资产或金融负债当前账面价值所</w:t>
      </w:r>
      <w:r>
        <w:rPr>
          <w:spacing w:val="-91"/>
        </w:rPr>
        <w:t> </w:t>
      </w:r>
      <w:r>
        <w:rPr>
          <w:spacing w:val="-91"/>
        </w:rPr>
      </w:r>
      <w:r>
        <w:rPr/>
        <w:t>使用的利率。</w:t>
      </w:r>
    </w:p>
    <w:p>
      <w:pPr>
        <w:pStyle w:val="BodyText"/>
        <w:spacing w:line="312" w:lineRule="exact"/>
        <w:ind w:right="236" w:firstLine="480"/>
        <w:jc w:val="both"/>
      </w:pPr>
      <w:r>
        <w:rPr/>
        <w:t>在计算实际利率时，本公司将在考虑金融资产或金融负债所有合同条款的基础上预计未 来现金流量（不考虑未来的信用损失），同时还将考虑金融资产或金融负债合同各方之间支</w:t>
      </w:r>
      <w:r>
        <w:rPr>
          <w:spacing w:val="-91"/>
        </w:rPr>
        <w:t> </w:t>
      </w:r>
      <w:r>
        <w:rPr>
          <w:spacing w:val="-91"/>
        </w:rPr>
      </w:r>
      <w:r>
        <w:rPr/>
        <w:t>付或收取的、属于实际利率组成部分的各项收费、交易费用及折价或溢价等。</w:t>
      </w:r>
    </w:p>
    <w:p>
      <w:pPr>
        <w:pStyle w:val="BodyText"/>
        <w:spacing w:line="312" w:lineRule="exact"/>
        <w:ind w:left="633" w:right="98"/>
        <w:jc w:val="left"/>
      </w:pPr>
      <w:r>
        <w:rPr/>
        <w:t>③贷款和应收款项 是指在活跃市场中没有报价、回收金额固定或可确定的非衍生金融资产。本公司划分为</w:t>
      </w:r>
    </w:p>
    <w:p>
      <w:pPr>
        <w:pStyle w:val="BodyText"/>
        <w:spacing w:line="312" w:lineRule="exact"/>
        <w:ind w:left="633" w:right="98" w:hanging="481"/>
        <w:jc w:val="left"/>
      </w:pPr>
      <w:r>
        <w:rPr/>
        <w:t>贷款和应收款的金融资产包括应收票据、应收账款、应收利息、应收股利及其他应收款等。 贷款和应收款项采用实际利率法，按摊余成本进行后续计量，在终止确认、发生减值或</w:t>
      </w:r>
    </w:p>
    <w:p>
      <w:pPr>
        <w:pStyle w:val="BodyText"/>
        <w:spacing w:line="283" w:lineRule="exact"/>
        <w:ind w:right="0"/>
        <w:jc w:val="both"/>
      </w:pPr>
      <w:r>
        <w:rPr/>
        <w:t>摊销时产生的利得或损失，计入当期损益。</w:t>
      </w:r>
    </w:p>
    <w:p>
      <w:pPr>
        <w:pStyle w:val="BodyText"/>
        <w:spacing w:line="312" w:lineRule="exact" w:before="30"/>
        <w:ind w:left="633" w:right="98"/>
        <w:jc w:val="left"/>
      </w:pPr>
      <w:r>
        <w:rPr/>
        <w:t>④可供出售金融资产 包括初始确认时即被指定为可供出售的非衍生金融资产，以及除了以公允价值计量且其</w:t>
      </w:r>
    </w:p>
    <w:p>
      <w:pPr>
        <w:pStyle w:val="BodyText"/>
        <w:spacing w:line="312" w:lineRule="exact"/>
        <w:ind w:left="633" w:right="253" w:hanging="481"/>
        <w:jc w:val="left"/>
      </w:pPr>
      <w:r>
        <w:rPr/>
        <w:t>变动计入当期损益的金融资产、贷款和应收款项、持有至到期投资以外的金融资产。 可供出售债务工具投资的期末成本按照其摊余成本法确定，即初始确认金额扣除已偿还</w:t>
      </w:r>
    </w:p>
    <w:p>
      <w:pPr>
        <w:pStyle w:val="BodyText"/>
        <w:spacing w:line="312" w:lineRule="exact"/>
        <w:ind w:right="271"/>
        <w:jc w:val="both"/>
      </w:pPr>
      <w:r>
        <w:rPr/>
        <w:t>的本金，加上或减去采用实际利率法将该初始确认金额与到期日金额之间的差额进行摊销形 成的累计摊销额，并扣除已发生的减值损失后的金额。可供出售权益工具投资的期末成本为 其初始取得成本。</w:t>
      </w:r>
    </w:p>
    <w:p>
      <w:pPr>
        <w:pStyle w:val="BodyText"/>
        <w:spacing w:line="312" w:lineRule="exact"/>
        <w:ind w:right="233" w:firstLine="480"/>
        <w:jc w:val="both"/>
      </w:pPr>
      <w:r>
        <w:rPr/>
        <w:t>可供出售金融资产采用公允价值进行后续计量，公允价值变动形成的利得或损失，除减 值损失和外币货币性金融资产与摊余成本相关的汇兑差额计入当期损益外，确认为其他综合</w:t>
      </w:r>
      <w:r>
        <w:rPr>
          <w:spacing w:val="-86"/>
        </w:rPr>
        <w:t> </w:t>
      </w:r>
      <w:r>
        <w:rPr>
          <w:spacing w:val="-86"/>
        </w:rPr>
      </w:r>
      <w:r>
        <w:rPr/>
        <w:t>收益，在该金融资产终止确认时转出，计入当期损益。但是，在活跃市场中没有报价且其公</w:t>
      </w:r>
    </w:p>
    <w:p>
      <w:pPr>
        <w:pStyle w:val="BodyText"/>
        <w:spacing w:line="312" w:lineRule="exact"/>
        <w:ind w:right="239"/>
        <w:jc w:val="both"/>
      </w:pPr>
      <w:r>
        <w:rPr/>
        <w:t>允价值不能可靠计量的权益工具投资，以及与该权益工具挂钩并须通过交付该权益工具结算</w:t>
      </w:r>
      <w:r>
        <w:rPr>
          <w:spacing w:val="-91"/>
        </w:rPr>
        <w:t> </w:t>
      </w:r>
      <w:r>
        <w:rPr>
          <w:spacing w:val="-91"/>
        </w:rPr>
      </w:r>
      <w:r>
        <w:rPr/>
        <w:t>的衍生金融资产，按照成本进行后续计量。</w:t>
      </w:r>
    </w:p>
    <w:p>
      <w:pPr>
        <w:pStyle w:val="BodyText"/>
        <w:spacing w:line="283" w:lineRule="exact"/>
        <w:ind w:left="633" w:right="98"/>
        <w:jc w:val="left"/>
      </w:pPr>
      <w:r>
        <w:rPr/>
        <w:t>可供出售金融资产持有期间取得的利息及被投资单位宣告发放的现金股利，计入投资收</w:t>
      </w:r>
    </w:p>
    <w:p>
      <w:pPr>
        <w:pStyle w:val="BodyText"/>
        <w:spacing w:line="311" w:lineRule="exact"/>
        <w:ind w:right="7514"/>
        <w:jc w:val="left"/>
      </w:pPr>
      <w:r>
        <w:rPr/>
        <w:t>益。</w:t>
      </w:r>
    </w:p>
    <w:p>
      <w:pPr>
        <w:pStyle w:val="BodyText"/>
        <w:spacing w:line="312" w:lineRule="exact" w:before="29"/>
        <w:ind w:left="633" w:right="98"/>
        <w:jc w:val="left"/>
      </w:pPr>
      <w:r>
        <w:rPr/>
        <w:t>（</w:t>
      </w:r>
      <w:r>
        <w:rPr>
          <w:rFonts w:ascii="Times New Roman" w:hAnsi="Times New Roman" w:cs="Times New Roman" w:eastAsia="Times New Roman" w:hint="default"/>
        </w:rPr>
        <w:t>3</w:t>
      </w:r>
      <w:r>
        <w:rPr/>
        <w:t>）金融资产减值 除了以公允价值计量且其变动计入当期损益的金融资产外，本公司在每个资产负债表日</w:t>
      </w:r>
    </w:p>
    <w:p>
      <w:pPr>
        <w:pStyle w:val="BodyText"/>
        <w:spacing w:line="312" w:lineRule="exact"/>
        <w:ind w:left="633" w:right="96" w:hanging="481"/>
        <w:jc w:val="left"/>
      </w:pPr>
      <w:r>
        <w:rPr>
          <w:spacing w:val="-2"/>
        </w:rPr>
        <w:t>对其他金融资产的账面价值进行检查，有客观证据表明金融资产发生减值的，计提减值准备。</w:t>
      </w:r>
      <w:r>
        <w:rPr/>
        <w:t> 本公司对单项金额重大的金融资产单独进行减值测试；对单项金额不重大的金融资产，</w:t>
      </w:r>
    </w:p>
    <w:p>
      <w:pPr>
        <w:pStyle w:val="BodyText"/>
        <w:spacing w:line="312" w:lineRule="exact"/>
        <w:ind w:right="98"/>
        <w:jc w:val="left"/>
      </w:pPr>
      <w:r>
        <w:rPr/>
        <w:t>单独进行减值测试或包括在具有类似信用风险特征的金融资产组合中进行减值测试。单独测</w:t>
      </w:r>
      <w:r>
        <w:rPr>
          <w:spacing w:val="-91"/>
        </w:rPr>
        <w:t> </w:t>
      </w:r>
      <w:r>
        <w:rPr>
          <w:spacing w:val="-91"/>
        </w:rPr>
      </w:r>
      <w:r>
        <w:rPr/>
        <w:t>试未发生减值的金融资产（包括单项金额重大和不重大的金融资产），包括在具有类似信用</w:t>
      </w:r>
    </w:p>
    <w:p>
      <w:pPr>
        <w:pStyle w:val="BodyText"/>
        <w:spacing w:line="312" w:lineRule="exact"/>
        <w:ind w:right="98"/>
        <w:jc w:val="left"/>
      </w:pPr>
      <w:r>
        <w:rPr/>
        <w:t>风险特征的金融资产组合中再进行减值测试。已单项确认减值损失的金融资产，不包括在具</w:t>
      </w:r>
      <w:r>
        <w:rPr>
          <w:spacing w:val="-91"/>
        </w:rPr>
        <w:t> </w:t>
      </w:r>
      <w:r>
        <w:rPr>
          <w:spacing w:val="-91"/>
        </w:rPr>
      </w:r>
      <w:r>
        <w:rPr/>
        <w:t>有类似信用风险特征的金融资产组合中进行减值测试。</w:t>
      </w:r>
    </w:p>
    <w:p>
      <w:pPr>
        <w:pStyle w:val="BodyText"/>
        <w:spacing w:line="312" w:lineRule="exact"/>
        <w:ind w:left="633" w:right="98"/>
        <w:jc w:val="left"/>
      </w:pPr>
      <w:r>
        <w:rPr/>
        <w:t>①持有至到期投资、贷款和应收款项减值 以成本或摊余成本计量的金融资产将其账面价值减记至预计未来现金流量现值，减记金</w:t>
      </w:r>
    </w:p>
    <w:p>
      <w:pPr>
        <w:pStyle w:val="BodyText"/>
        <w:spacing w:line="312" w:lineRule="exact"/>
        <w:ind w:right="233"/>
        <w:jc w:val="both"/>
      </w:pPr>
      <w:r>
        <w:rPr/>
        <w:t>额确认为减值损失，计入当期损益。金融资产在确认减值损失后，如有客观证据表明该金融</w:t>
      </w:r>
      <w:r>
        <w:rPr>
          <w:spacing w:val="-86"/>
        </w:rPr>
        <w:t> </w:t>
      </w:r>
      <w:r>
        <w:rPr>
          <w:spacing w:val="-86"/>
        </w:rPr>
      </w:r>
      <w:r>
        <w:rPr/>
        <w:t>资产价值已恢复，且客观上与确认该损失后发生的事项有关，原确认的减值损失予以转回，</w:t>
      </w:r>
      <w:r>
        <w:rPr>
          <w:spacing w:val="-91"/>
        </w:rPr>
        <w:t> </w:t>
      </w:r>
      <w:r>
        <w:rPr>
          <w:spacing w:val="-91"/>
        </w:rPr>
      </w:r>
      <w:r>
        <w:rPr/>
        <w:t>金融资产转回减值损失后的账面价值不超过假定不计提减值准备情况下该金融资产在转回日</w:t>
      </w:r>
      <w:r>
        <w:rPr>
          <w:spacing w:val="-91"/>
        </w:rPr>
        <w:t> </w:t>
      </w:r>
      <w:r>
        <w:rPr>
          <w:spacing w:val="-91"/>
        </w:rPr>
      </w:r>
      <w:r>
        <w:rPr/>
        <w:t>的摊余成本。</w:t>
      </w:r>
    </w:p>
    <w:p>
      <w:pPr>
        <w:pStyle w:val="BodyText"/>
        <w:spacing w:line="312" w:lineRule="exact"/>
        <w:ind w:left="633" w:right="98"/>
        <w:jc w:val="left"/>
      </w:pPr>
      <w:r>
        <w:rPr/>
        <w:t>②可供出售金融资产减值 当综合相关因素判断可供出售权益工具投资公允价值下跌是严重或非暂时性下跌时，表</w:t>
      </w:r>
    </w:p>
    <w:p>
      <w:pPr>
        <w:pStyle w:val="BodyText"/>
        <w:spacing w:line="225" w:lineRule="auto"/>
        <w:ind w:right="98"/>
        <w:jc w:val="left"/>
      </w:pPr>
      <w:r>
        <w:rPr>
          <w:spacing w:val="-1"/>
        </w:rPr>
        <w:t>明该可供出售权益工具投资发生减值。其中</w:t>
      </w:r>
      <w:r>
        <w:rPr>
          <w:rFonts w:ascii="Times New Roman" w:hAnsi="Times New Roman" w:cs="Times New Roman" w:eastAsia="Times New Roman" w:hint="default"/>
          <w:spacing w:val="-1"/>
        </w:rPr>
        <w:t>“</w:t>
      </w:r>
      <w:r>
        <w:rPr>
          <w:spacing w:val="-1"/>
        </w:rPr>
        <w:t>严重下跌</w:t>
      </w:r>
      <w:r>
        <w:rPr>
          <w:rFonts w:ascii="Times New Roman" w:hAnsi="Times New Roman" w:cs="Times New Roman" w:eastAsia="Times New Roman" w:hint="default"/>
          <w:spacing w:val="-1"/>
        </w:rPr>
        <w:t>”</w:t>
      </w:r>
      <w:r>
        <w:rPr>
          <w:spacing w:val="-1"/>
        </w:rPr>
        <w:t>是指公允价值下跌幅度累计超过</w:t>
      </w:r>
      <w:r>
        <w:rPr>
          <w:rFonts w:ascii="Times New Roman" w:hAnsi="Times New Roman" w:cs="Times New Roman" w:eastAsia="Times New Roman" w:hint="default"/>
          <w:spacing w:val="-1"/>
        </w:rPr>
        <w:t>20%</w:t>
      </w:r>
      <w:r>
        <w:rPr>
          <w:spacing w:val="-1"/>
        </w:rPr>
        <w:t>；</w:t>
      </w:r>
      <w:r>
        <w:rPr>
          <w:spacing w:val="-94"/>
        </w:rPr>
        <w:t> </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rFonts w:ascii="Times New Roman" w:hAnsi="Times New Roman" w:cs="Times New Roman" w:eastAsia="Times New Roman" w:hint="default"/>
        </w:rPr>
        <w:t>12</w:t>
      </w:r>
      <w:r>
        <w:rPr/>
        <w:t>个月，持续下跌期间的确定依据为公允价</w:t>
      </w:r>
      <w:r>
        <w:rPr>
          <w:spacing w:val="-61"/>
        </w:rPr>
        <w:t> </w:t>
      </w:r>
      <w:r>
        <w:rPr>
          <w:spacing w:val="-61"/>
        </w:rPr>
      </w:r>
      <w:r>
        <w:rPr/>
        <w:t>值连续下跌时间超过</w:t>
      </w:r>
      <w:r>
        <w:rPr>
          <w:rFonts w:ascii="Times New Roman" w:hAnsi="Times New Roman" w:cs="Times New Roman" w:eastAsia="Times New Roman" w:hint="default"/>
        </w:rPr>
        <w:t>12</w:t>
      </w:r>
      <w:r>
        <w:rPr/>
        <w:t>个月。</w:t>
      </w:r>
    </w:p>
    <w:p>
      <w:pPr>
        <w:pStyle w:val="BodyText"/>
        <w:spacing w:line="297" w:lineRule="exact"/>
        <w:ind w:left="633" w:right="98"/>
        <w:jc w:val="left"/>
      </w:pPr>
      <w:r>
        <w:rPr/>
        <w:t>可供出售金融资产发生减值时，将原计入其他综合收益的因公允价值下降形成的累计损</w:t>
      </w:r>
    </w:p>
    <w:p>
      <w:pPr>
        <w:spacing w:after="0" w:line="297" w:lineRule="exact"/>
        <w:jc w:val="left"/>
        <w:sectPr>
          <w:pgSz w:w="11910" w:h="16840"/>
          <w:pgMar w:header="745" w:footer="979" w:top="1060" w:bottom="1160" w:left="980" w:right="900"/>
        </w:sectPr>
      </w:pPr>
    </w:p>
    <w:p>
      <w:pPr>
        <w:spacing w:line="240" w:lineRule="auto" w:before="6"/>
        <w:rPr>
          <w:rFonts w:ascii="宋体" w:hAnsi="宋体" w:cs="宋体" w:eastAsia="宋体" w:hint="default"/>
          <w:sz w:val="23"/>
          <w:szCs w:val="23"/>
        </w:rPr>
      </w:pPr>
    </w:p>
    <w:p>
      <w:pPr>
        <w:pStyle w:val="BodyText"/>
        <w:spacing w:line="312" w:lineRule="exact" w:before="56"/>
        <w:ind w:right="144"/>
        <w:jc w:val="left"/>
      </w:pPr>
      <w:r>
        <w:rPr/>
        <w:t>失予以转出并计入当期损益，该转出的累计损失为该资产初始取得成本扣除已收回本金和已</w:t>
      </w:r>
      <w:r>
        <w:rPr>
          <w:spacing w:val="-91"/>
        </w:rPr>
        <w:t> </w:t>
      </w:r>
      <w:r>
        <w:rPr>
          <w:spacing w:val="-91"/>
        </w:rPr>
      </w:r>
      <w:r>
        <w:rPr/>
        <w:t>摊销金额、当前公允价值和原已计入损益的减值损失后的余额。</w:t>
      </w:r>
    </w:p>
    <w:p>
      <w:pPr>
        <w:pStyle w:val="BodyText"/>
        <w:spacing w:line="312" w:lineRule="exact"/>
        <w:ind w:right="159" w:firstLine="480"/>
        <w:jc w:val="both"/>
      </w:pPr>
      <w:r>
        <w:rPr/>
        <w:t>在确认减值损失后，期后如有客观证据表明该金融资产价值已恢复，且客观上与确认该 损失后发生的事项有关，原确认的减值损失予以转回，可供出售权益工具投资的减值损失转</w:t>
      </w:r>
      <w:r>
        <w:rPr>
          <w:spacing w:val="-91"/>
        </w:rPr>
        <w:t> </w:t>
      </w:r>
      <w:r>
        <w:rPr>
          <w:spacing w:val="-91"/>
        </w:rPr>
      </w:r>
      <w:r>
        <w:rPr/>
        <w:t>回确认为其他综合收益，可供出售债务工具的减值损失转回计入当期损益。</w:t>
      </w:r>
    </w:p>
    <w:p>
      <w:pPr>
        <w:pStyle w:val="BodyText"/>
        <w:spacing w:line="312" w:lineRule="exact"/>
        <w:ind w:right="160" w:firstLine="480"/>
        <w:jc w:val="both"/>
      </w:pPr>
      <w:r>
        <w:rPr/>
        <w:t>在活跃市场中没有报价且其公允价值不能可靠计量的权益工具投资，或与该权益工具挂 钩并须通过交付该权益工具结算的衍生金融资产的减值损失，不予转回。</w:t>
      </w:r>
    </w:p>
    <w:p>
      <w:pPr>
        <w:pStyle w:val="BodyText"/>
        <w:spacing w:line="312" w:lineRule="exact"/>
        <w:ind w:left="633" w:right="144"/>
        <w:jc w:val="left"/>
      </w:pPr>
      <w:r>
        <w:rPr/>
        <w:t>（</w:t>
      </w:r>
      <w:r>
        <w:rPr>
          <w:rFonts w:ascii="Times New Roman" w:hAnsi="Times New Roman" w:cs="Times New Roman" w:eastAsia="Times New Roman" w:hint="default"/>
        </w:rPr>
        <w:t>4</w:t>
      </w:r>
      <w:r>
        <w:rPr/>
        <w:t>）金融资产转移的确认依据和计量方法 满足下列条件之一的金融资产，予以终止确认：①收取该金融资产现金流量的合同权利</w:t>
      </w:r>
    </w:p>
    <w:p>
      <w:pPr>
        <w:pStyle w:val="BodyText"/>
        <w:spacing w:line="283" w:lineRule="exact"/>
        <w:ind w:right="144"/>
        <w:jc w:val="left"/>
      </w:pPr>
      <w:r>
        <w:rPr/>
        <w:t>终止；②该金融资产已转移，且将金融资产所有权上几乎所有的风险和报酬转移给转入方；</w:t>
      </w:r>
    </w:p>
    <w:p>
      <w:pPr>
        <w:pStyle w:val="BodyText"/>
        <w:spacing w:line="312" w:lineRule="exact" w:before="30"/>
        <w:ind w:right="144"/>
        <w:jc w:val="left"/>
      </w:pPr>
      <w:r>
        <w:rPr/>
        <w:t>③该金融资产已转移，虽然企业既没有转移也没有保留金融资产所有权上几乎所有的风险和</w:t>
      </w:r>
      <w:r>
        <w:rPr>
          <w:spacing w:val="-91"/>
        </w:rPr>
        <w:t> </w:t>
      </w:r>
      <w:r>
        <w:rPr>
          <w:spacing w:val="-91"/>
        </w:rPr>
      </w:r>
      <w:r>
        <w:rPr/>
        <w:t>报酬，但是放弃了对该金融资产控制。</w:t>
      </w:r>
    </w:p>
    <w:p>
      <w:pPr>
        <w:pStyle w:val="BodyText"/>
        <w:spacing w:line="312" w:lineRule="exact"/>
        <w:ind w:right="158" w:firstLine="480"/>
        <w:jc w:val="both"/>
      </w:pPr>
      <w:r>
        <w:rPr/>
        <w:t>若企业既没有转移也没有保留金融资产所有权上几乎所有的风险和报酬，且未放弃对该 金融资产的控制的，则按照继续涉入所转移金融资产的程度确认有关金融资产，并相应确认</w:t>
      </w:r>
      <w:r>
        <w:rPr>
          <w:spacing w:val="-91"/>
        </w:rPr>
        <w:t> </w:t>
      </w:r>
      <w:r>
        <w:rPr>
          <w:spacing w:val="-91"/>
        </w:rPr>
      </w:r>
      <w:r>
        <w:rPr/>
        <w:t>有关负债。继续涉入所转移金融资产的程度，是指该金融资产价值变动使企业面临的风险水</w:t>
      </w:r>
      <w:r>
        <w:rPr>
          <w:spacing w:val="-91"/>
        </w:rPr>
        <w:t> </w:t>
      </w:r>
      <w:r>
        <w:rPr>
          <w:spacing w:val="-91"/>
        </w:rPr>
      </w:r>
      <w:r>
        <w:rPr/>
        <w:t>平。</w:t>
      </w:r>
    </w:p>
    <w:p>
      <w:pPr>
        <w:pStyle w:val="BodyText"/>
        <w:spacing w:line="312" w:lineRule="exact"/>
        <w:ind w:right="160" w:firstLine="480"/>
        <w:jc w:val="both"/>
      </w:pPr>
      <w:r>
        <w:rPr/>
        <w:t>金融资产整体转移满足终止确认条件的，将所转移金融资产的账面价值及因转移而收到 的对价与原计入其他综合收益的公允价值变动累计额之和的差额计入当期损益。</w:t>
      </w:r>
    </w:p>
    <w:p>
      <w:pPr>
        <w:pStyle w:val="BodyText"/>
        <w:spacing w:line="312" w:lineRule="exact"/>
        <w:ind w:right="159" w:firstLine="480"/>
        <w:jc w:val="both"/>
      </w:pPr>
      <w:r>
        <w:rPr/>
        <w:t>金融资产部分转移满足终止确认条件的，将所转移金融资产的账面价值在终止确认及未 终止确认部分之间按其相对的公允价值进行分摊，并将因转移而收到的对价与应分摊至终止</w:t>
      </w:r>
      <w:r>
        <w:rPr>
          <w:spacing w:val="-91"/>
        </w:rPr>
        <w:t> </w:t>
      </w:r>
      <w:r>
        <w:rPr>
          <w:spacing w:val="-91"/>
        </w:rPr>
      </w:r>
      <w:r>
        <w:rPr/>
        <w:t>确认部分的原计入其他综合收益的公允价值变动累计额之和与分摊的前述账面金额之差额计</w:t>
      </w:r>
    </w:p>
    <w:p>
      <w:pPr>
        <w:pStyle w:val="BodyText"/>
        <w:spacing w:line="282" w:lineRule="exact"/>
        <w:ind w:right="0"/>
        <w:jc w:val="both"/>
      </w:pPr>
      <w:r>
        <w:rPr/>
        <w:t>入当期损益。</w:t>
      </w:r>
    </w:p>
    <w:p>
      <w:pPr>
        <w:pStyle w:val="BodyText"/>
        <w:spacing w:line="312" w:lineRule="exact" w:before="29"/>
        <w:ind w:right="158" w:firstLine="480"/>
        <w:jc w:val="both"/>
      </w:pPr>
      <w:r>
        <w:rPr/>
        <w:t>本公司对采用附追索权方式出售的金融资产，或将持有的金融资产背书转让，需确定该 金融资产所有权上几乎所有的风险和报酬是否已经转移。已将该金融资产所有权上几乎所有</w:t>
      </w:r>
      <w:r>
        <w:rPr>
          <w:spacing w:val="-91"/>
        </w:rPr>
        <w:t> </w:t>
      </w:r>
      <w:r>
        <w:rPr>
          <w:spacing w:val="-91"/>
        </w:rPr>
      </w:r>
      <w:r>
        <w:rPr/>
        <w:t>的风险和报酬转移给转入方的，终止确认该金融资产；保留了金融资产所有权上几乎所有的</w:t>
      </w:r>
      <w:r>
        <w:rPr>
          <w:spacing w:val="-91"/>
        </w:rPr>
        <w:t> </w:t>
      </w:r>
      <w:r>
        <w:rPr>
          <w:spacing w:val="-91"/>
        </w:rPr>
      </w:r>
      <w:r>
        <w:rPr/>
        <w:t>风险和报酬的，不终止确认该金融资产；既没有转移也没有保留金融资产所有权上几乎所有</w:t>
      </w:r>
      <w:r>
        <w:rPr>
          <w:spacing w:val="-91"/>
        </w:rPr>
        <w:t> </w:t>
      </w:r>
      <w:r>
        <w:rPr>
          <w:spacing w:val="-91"/>
        </w:rPr>
      </w:r>
      <w:r>
        <w:rPr/>
        <w:t>的风险和报酬的，则继续判断企业是否对该资产保留了控制，并根据前面各段所述的原则进</w:t>
      </w:r>
      <w:r>
        <w:rPr>
          <w:spacing w:val="-91"/>
        </w:rPr>
        <w:t> </w:t>
      </w:r>
      <w:r>
        <w:rPr>
          <w:spacing w:val="-91"/>
        </w:rPr>
      </w:r>
      <w:r>
        <w:rPr/>
        <w:t>行会计处理。</w:t>
      </w:r>
    </w:p>
    <w:p>
      <w:pPr>
        <w:pStyle w:val="BodyText"/>
        <w:spacing w:line="312" w:lineRule="exact"/>
        <w:ind w:left="633" w:right="144"/>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w:t>
      </w:r>
    </w:p>
    <w:p>
      <w:pPr>
        <w:pStyle w:val="BodyText"/>
        <w:spacing w:line="312" w:lineRule="exact"/>
        <w:ind w:right="156"/>
        <w:jc w:val="both"/>
      </w:pPr>
      <w:r>
        <w:rPr/>
        <w:t>金融负债。初始确认金融负债，以公允价值计量。对于以公允价值计量且其变动计入当期损</w:t>
      </w:r>
      <w:r>
        <w:rPr>
          <w:spacing w:val="-89"/>
        </w:rPr>
        <w:t> </w:t>
      </w:r>
      <w:r>
        <w:rPr>
          <w:spacing w:val="-89"/>
        </w:rPr>
      </w:r>
      <w:r>
        <w:rPr/>
        <w:t>益的金融负债，相关的交易费用直接计入当期损益，对于其他金融负债，相关交易费用计入</w:t>
      </w:r>
      <w:r>
        <w:rPr>
          <w:spacing w:val="-91"/>
        </w:rPr>
        <w:t> </w:t>
      </w:r>
      <w:r>
        <w:rPr>
          <w:spacing w:val="-91"/>
        </w:rPr>
      </w:r>
      <w:r>
        <w:rPr/>
        <w:t>初始确认金额。</w:t>
      </w:r>
    </w:p>
    <w:p>
      <w:pPr>
        <w:pStyle w:val="BodyText"/>
        <w:spacing w:line="312" w:lineRule="exact"/>
        <w:ind w:left="633" w:right="144"/>
        <w:jc w:val="left"/>
      </w:pPr>
      <w:r>
        <w:rPr/>
        <w:t>①以公允价值计量且其变动计入当期损益的金融负债 分类为交易性金融负债和在初始确认时指定为以公允价值计量且其变动计入当期损益的</w:t>
      </w:r>
    </w:p>
    <w:p>
      <w:pPr>
        <w:pStyle w:val="BodyText"/>
        <w:spacing w:line="312" w:lineRule="exact"/>
        <w:ind w:right="159"/>
        <w:jc w:val="both"/>
      </w:pPr>
      <w:r>
        <w:rPr/>
        <w:t>金融负债的条件与分类为交易性金融资产和在初始确认时指定为以公允价值计量且其变动计</w:t>
      </w:r>
      <w:r>
        <w:rPr>
          <w:spacing w:val="-91"/>
        </w:rPr>
        <w:t> </w:t>
      </w:r>
      <w:r>
        <w:rPr>
          <w:spacing w:val="-91"/>
        </w:rPr>
      </w:r>
      <w:r>
        <w:rPr/>
        <w:t>入当期损益的金融资产的条件一致。</w:t>
      </w:r>
    </w:p>
    <w:p>
      <w:pPr>
        <w:pStyle w:val="BodyText"/>
        <w:spacing w:line="312" w:lineRule="exact"/>
        <w:ind w:right="160" w:firstLine="480"/>
        <w:jc w:val="both"/>
      </w:pPr>
      <w:r>
        <w:rPr/>
        <w:t>以公允价值计量且其变动计入当期损益的金融负债采用公允价值进行后续计量，公允价 值的变动形成的利得或损失以及与该等金融负债相关的股利和利息支出计入当期损益。</w:t>
      </w:r>
    </w:p>
    <w:p>
      <w:pPr>
        <w:pStyle w:val="BodyText"/>
        <w:spacing w:line="276" w:lineRule="exact"/>
        <w:ind w:left="633" w:right="144"/>
        <w:jc w:val="left"/>
      </w:pPr>
      <w:r>
        <w:rPr/>
        <w:t>②其他金融负债</w:t>
      </w:r>
    </w:p>
    <w:p>
      <w:pPr>
        <w:pStyle w:val="Heading2"/>
        <w:spacing w:line="228" w:lineRule="auto" w:before="7"/>
        <w:ind w:right="159" w:firstLine="480"/>
        <w:jc w:val="both"/>
        <w:rPr>
          <w:i w:val="0"/>
        </w:rPr>
      </w:pPr>
      <w:r>
        <w:rPr>
          <w:w w:val="95"/>
        </w:rPr>
        <w:t>与在活跃市场中没有报价、公允价值不能可靠计量的权益工具挂钩并须通过交付该权益</w:t>
      </w:r>
      <w:r>
        <w:rPr>
          <w:w w:val="95"/>
        </w:rPr>
        <w:t> </w:t>
      </w:r>
      <w:r>
        <w:rPr>
          <w:w w:val="95"/>
        </w:rPr>
        <w:t>工具结算的衍生金融负债，按照成本进行后续计量。其他金融负债采用实际利率法，按摊余</w:t>
      </w:r>
      <w:r>
        <w:rPr>
          <w:spacing w:val="11"/>
          <w:w w:val="95"/>
        </w:rPr>
        <w:t> </w:t>
      </w:r>
      <w:r>
        <w:rPr>
          <w:spacing w:val="11"/>
          <w:w w:val="95"/>
        </w:rPr>
      </w:r>
      <w:r>
        <w:rPr/>
        <w:t>成本进行后续计量，终止确认或摊销产生的利得或损失计入当期损益。</w:t>
      </w:r>
      <w:r>
        <w:rPr>
          <w:i w:val="0"/>
        </w:rPr>
      </w:r>
    </w:p>
    <w:p>
      <w:pPr>
        <w:pStyle w:val="BodyText"/>
        <w:spacing w:line="312" w:lineRule="exact"/>
        <w:ind w:left="633" w:right="144"/>
        <w:jc w:val="left"/>
      </w:pPr>
      <w:r>
        <w:rPr/>
        <w:t>③财务担保合同</w:t>
      </w:r>
    </w:p>
    <w:p>
      <w:pPr>
        <w:spacing w:after="0" w:line="312" w:lineRule="exact"/>
        <w:jc w:val="left"/>
        <w:sectPr>
          <w:pgSz w:w="11910" w:h="16840"/>
          <w:pgMar w:header="745" w:footer="979" w:top="1060" w:bottom="1160" w:left="980" w:right="980"/>
        </w:sectPr>
      </w:pPr>
    </w:p>
    <w:p>
      <w:pPr>
        <w:spacing w:line="240" w:lineRule="auto" w:before="6"/>
        <w:rPr>
          <w:rFonts w:ascii="宋体" w:hAnsi="宋体" w:cs="宋体" w:eastAsia="宋体" w:hint="default"/>
          <w:sz w:val="23"/>
          <w:szCs w:val="23"/>
        </w:rPr>
      </w:pPr>
    </w:p>
    <w:p>
      <w:pPr>
        <w:pStyle w:val="BodyText"/>
        <w:spacing w:line="312" w:lineRule="exact" w:before="56"/>
        <w:ind w:right="233" w:firstLine="480"/>
        <w:jc w:val="both"/>
      </w:pPr>
      <w:r>
        <w:rPr/>
        <w:t>不属于指定为以公允价值计量且其变动计入当期损益的金融负债的财务担保合同，以公 允价值进行初始确认，在初始确认后按照《企业会计准则第</w:t>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或有事项》确定的金额和</w:t>
      </w:r>
      <w:r>
        <w:rPr>
          <w:spacing w:val="-88"/>
        </w:rPr>
        <w:t> </w:t>
      </w:r>
      <w:r>
        <w:rPr>
          <w:spacing w:val="-88"/>
        </w:rPr>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收入》的原则确定的累计摊销额后的余额之</w:t>
      </w:r>
      <w:r>
        <w:rPr>
          <w:spacing w:val="-87"/>
        </w:rPr>
        <w:t> </w:t>
      </w:r>
      <w:r>
        <w:rPr>
          <w:spacing w:val="-87"/>
        </w:rPr>
      </w:r>
      <w:r>
        <w:rPr/>
        <w:t>中的较高者进行后续计量。</w:t>
      </w:r>
    </w:p>
    <w:p>
      <w:pPr>
        <w:pStyle w:val="BodyText"/>
        <w:spacing w:line="312" w:lineRule="exact"/>
        <w:ind w:left="633" w:right="98"/>
        <w:jc w:val="left"/>
      </w:pPr>
      <w:r>
        <w:rPr/>
        <w:t>（</w:t>
      </w:r>
      <w:r>
        <w:rPr>
          <w:rFonts w:ascii="Times New Roman" w:hAnsi="Times New Roman" w:cs="Times New Roman" w:eastAsia="Times New Roman" w:hint="default"/>
        </w:rPr>
        <w:t>6</w:t>
      </w:r>
      <w:r>
        <w:rPr/>
        <w:t>）金融负债的终止确认 金融负债的现时义务全部或部分已经解除的，才能终止确认该金融负债或其一部分。本</w:t>
      </w:r>
    </w:p>
    <w:p>
      <w:pPr>
        <w:pStyle w:val="BodyText"/>
        <w:spacing w:line="312" w:lineRule="exact"/>
        <w:ind w:right="239"/>
        <w:jc w:val="both"/>
      </w:pPr>
      <w:r>
        <w:rPr/>
        <w:t>公司（债务人）与债权人之间签订协议，以承担新金融负债方式替换现存金融负债，且新金</w:t>
      </w:r>
      <w:r>
        <w:rPr>
          <w:spacing w:val="-91"/>
        </w:rPr>
        <w:t> </w:t>
      </w:r>
      <w:r>
        <w:rPr>
          <w:spacing w:val="-91"/>
        </w:rPr>
      </w:r>
      <w:r>
        <w:rPr/>
        <w:t>融负债与现存金融负债的合同条款实质上不同的，终止确认现存金融负债，并同时确认新金</w:t>
      </w:r>
      <w:r>
        <w:rPr>
          <w:spacing w:val="-91"/>
        </w:rPr>
        <w:t> </w:t>
      </w:r>
      <w:r>
        <w:rPr>
          <w:spacing w:val="-91"/>
        </w:rPr>
      </w:r>
      <w:r>
        <w:rPr/>
        <w:t>融负债。</w:t>
      </w:r>
    </w:p>
    <w:p>
      <w:pPr>
        <w:pStyle w:val="BodyText"/>
        <w:spacing w:line="283" w:lineRule="exact"/>
        <w:ind w:left="633" w:right="98"/>
        <w:jc w:val="left"/>
      </w:pPr>
      <w:r>
        <w:rPr/>
        <w:t>金融负债全部或部分终止确认的，将终止确认部分的账面价值与支付的对价（包括转出</w:t>
      </w:r>
    </w:p>
    <w:p>
      <w:pPr>
        <w:pStyle w:val="BodyText"/>
        <w:spacing w:line="312" w:lineRule="exact"/>
        <w:ind w:right="0"/>
        <w:jc w:val="both"/>
      </w:pPr>
      <w:r>
        <w:rPr/>
        <w:t>的非现金资产或承担的新金融负债）之间的差额，计入当期损益。</w:t>
      </w:r>
    </w:p>
    <w:p>
      <w:pPr>
        <w:pStyle w:val="BodyText"/>
        <w:spacing w:line="312" w:lineRule="exact" w:before="29"/>
        <w:ind w:left="633" w:right="98"/>
        <w:jc w:val="left"/>
      </w:pPr>
      <w:r>
        <w:rPr/>
        <w:t>（</w:t>
      </w:r>
      <w:r>
        <w:rPr>
          <w:rFonts w:ascii="Times New Roman" w:hAnsi="Times New Roman" w:cs="Times New Roman" w:eastAsia="Times New Roman" w:hint="default"/>
        </w:rPr>
        <w:t>7</w:t>
      </w:r>
      <w:r>
        <w:rPr/>
        <w:t>）衍生工具及嵌入衍生工具 衍生工具于相关合同签署日以公允价值进行初始计量，并以公允价值进行后续计量。除</w:t>
      </w:r>
    </w:p>
    <w:p>
      <w:pPr>
        <w:pStyle w:val="BodyText"/>
        <w:spacing w:line="312" w:lineRule="exact"/>
        <w:ind w:right="239"/>
        <w:jc w:val="both"/>
      </w:pPr>
      <w:r>
        <w:rPr/>
        <w:t>指定为套期工具且套期高度有效的衍生工具，其公允价值变动形成的利得或损失将根据套期</w:t>
      </w:r>
      <w:r>
        <w:rPr>
          <w:spacing w:val="-91"/>
        </w:rPr>
        <w:t> </w:t>
      </w:r>
      <w:r>
        <w:rPr>
          <w:spacing w:val="-91"/>
        </w:rPr>
      </w:r>
      <w:r>
        <w:rPr/>
        <w:t>关系的性质按照套期会计的要求确定计入损益的期间外，其余衍生工具的公允价值变动计入</w:t>
      </w:r>
      <w:r>
        <w:rPr>
          <w:spacing w:val="-91"/>
        </w:rPr>
        <w:t> </w:t>
      </w:r>
      <w:r>
        <w:rPr>
          <w:spacing w:val="-91"/>
        </w:rPr>
      </w:r>
      <w:r>
        <w:rPr/>
        <w:t>当期损益。</w:t>
      </w:r>
    </w:p>
    <w:p>
      <w:pPr>
        <w:pStyle w:val="BodyText"/>
        <w:spacing w:line="312" w:lineRule="exact"/>
        <w:ind w:right="233" w:firstLine="480"/>
        <w:jc w:val="both"/>
      </w:pPr>
      <w:r>
        <w:rPr/>
        <w:t>对包含嵌入衍生工具的混合工具，如未指定为以公允价值计量且其变动计入当期损益的 金融资产或金融负债，嵌入衍生工具与该主合同在经济特征及风险方面不存在紧密关系，且</w:t>
      </w:r>
      <w:r>
        <w:rPr>
          <w:spacing w:val="-91"/>
        </w:rPr>
        <w:t> </w:t>
      </w:r>
      <w:r>
        <w:rPr>
          <w:spacing w:val="-91"/>
        </w:rPr>
      </w:r>
      <w:r>
        <w:rPr/>
        <w:t>与嵌入衍生工具条件相同，单独存在的工具符合衍生工具定义的，嵌入衍生工具从混合工具</w:t>
      </w:r>
      <w:r>
        <w:rPr>
          <w:spacing w:val="-91"/>
        </w:rPr>
        <w:t> </w:t>
      </w:r>
      <w:r>
        <w:rPr>
          <w:spacing w:val="-91"/>
        </w:rPr>
      </w:r>
      <w:r>
        <w:rPr/>
        <w:t>中分拆，作为单独的衍生金融工具处理。如果无法在取得时或后续的资产负债表日对嵌入衍</w:t>
      </w:r>
    </w:p>
    <w:p>
      <w:pPr>
        <w:pStyle w:val="BodyText"/>
        <w:spacing w:line="312" w:lineRule="exact"/>
        <w:ind w:right="239"/>
        <w:jc w:val="both"/>
      </w:pPr>
      <w:r>
        <w:rPr/>
        <w:t>生工具进行单独计量，则将混合工具整体指定为以公允价值计量且其变动计入当期损益的金</w:t>
      </w:r>
      <w:r>
        <w:rPr>
          <w:spacing w:val="-91"/>
        </w:rPr>
        <w:t> </w:t>
      </w:r>
      <w:r>
        <w:rPr>
          <w:spacing w:val="-91"/>
        </w:rPr>
      </w:r>
      <w:r>
        <w:rPr/>
        <w:t>融资产或金融负债。</w:t>
      </w:r>
    </w:p>
    <w:p>
      <w:pPr>
        <w:pStyle w:val="BodyText"/>
        <w:spacing w:line="312" w:lineRule="exact"/>
        <w:ind w:left="633" w:right="98"/>
        <w:jc w:val="left"/>
      </w:pPr>
      <w:r>
        <w:rPr/>
        <w:t>（</w:t>
      </w:r>
      <w:r>
        <w:rPr>
          <w:rFonts w:ascii="Times New Roman" w:hAnsi="Times New Roman" w:cs="Times New Roman" w:eastAsia="Times New Roman" w:hint="default"/>
        </w:rPr>
        <w:t>8</w:t>
      </w:r>
      <w:r>
        <w:rPr/>
        <w:t>）金融资产和金融负债的抵销 </w:t>
      </w:r>
      <w:r>
        <w:rPr>
          <w:spacing w:val="-3"/>
        </w:rPr>
        <w:t>当本公司具有抵销已确认金融资产和金融负债的法定权利，且目前可执行该种法定权利，</w:t>
      </w:r>
    </w:p>
    <w:p>
      <w:pPr>
        <w:pStyle w:val="BodyText"/>
        <w:spacing w:line="312" w:lineRule="exact"/>
        <w:ind w:right="239"/>
        <w:jc w:val="both"/>
      </w:pPr>
      <w:r>
        <w:rPr/>
        <w:t>同时本公司计划以净额结算或同时变现该金融资产和清偿该金融负债时，金融资产和金融负</w:t>
      </w:r>
      <w:r>
        <w:rPr>
          <w:spacing w:val="-91"/>
        </w:rPr>
        <w:t> </w:t>
      </w:r>
      <w:r>
        <w:rPr>
          <w:spacing w:val="-91"/>
        </w:rPr>
      </w:r>
      <w:r>
        <w:rPr/>
        <w:t>债以相互抵销后的金额在资产负债表内列示。除此以外，金融资产和金融负债在资产负债表</w:t>
      </w:r>
      <w:r>
        <w:rPr>
          <w:spacing w:val="-91"/>
        </w:rPr>
        <w:t> </w:t>
      </w:r>
      <w:r>
        <w:rPr>
          <w:spacing w:val="-91"/>
        </w:rPr>
      </w:r>
      <w:r>
        <w:rPr/>
        <w:t>内分别列示，不予相互抵销。</w:t>
      </w:r>
    </w:p>
    <w:p>
      <w:pPr>
        <w:pStyle w:val="BodyText"/>
        <w:spacing w:line="312" w:lineRule="exact"/>
        <w:ind w:left="633" w:right="98"/>
        <w:jc w:val="left"/>
      </w:pPr>
      <w:r>
        <w:rPr/>
        <w:t>（</w:t>
      </w:r>
      <w:r>
        <w:rPr>
          <w:rFonts w:ascii="Times New Roman" w:hAnsi="Times New Roman" w:cs="Times New Roman" w:eastAsia="Times New Roman" w:hint="default"/>
        </w:rPr>
        <w:t>9</w:t>
      </w:r>
      <w:r>
        <w:rPr/>
        <w:t>）权益工具 权益工具是指能证明拥有本公司在扣除所有负债后的资产中的剩余权益的合同。本公司</w:t>
      </w:r>
    </w:p>
    <w:p>
      <w:pPr>
        <w:pStyle w:val="BodyText"/>
        <w:spacing w:line="283" w:lineRule="exact"/>
        <w:ind w:right="0"/>
        <w:jc w:val="both"/>
      </w:pPr>
      <w:r>
        <w:rPr/>
        <w:t>发行（含再融资）、回购、出售或注销权益工具作为权益的变动处理。本公司不确认权益工</w:t>
      </w:r>
    </w:p>
    <w:p>
      <w:pPr>
        <w:pStyle w:val="BodyText"/>
        <w:spacing w:line="312" w:lineRule="exact" w:before="30"/>
        <w:ind w:left="633" w:right="98" w:hanging="481"/>
        <w:jc w:val="left"/>
      </w:pPr>
      <w:r>
        <w:rPr/>
        <w:t>具的公允价值变动。与权益性交易相关的交易费用从权益中扣减。 本公司对权益工具持有方的各种分配（不包括股票股利），减少股东权益。本公司不确</w:t>
      </w:r>
    </w:p>
    <w:p>
      <w:pPr>
        <w:pStyle w:val="BodyText"/>
        <w:spacing w:line="283" w:lineRule="exact"/>
        <w:ind w:right="0"/>
        <w:jc w:val="both"/>
      </w:pPr>
      <w:r>
        <w:rPr/>
        <w:t>认权益工具的公允价值变动额。</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万元以上的应收款项确认为单项 金额重大的应收款项。</w:t>
            </w:r>
          </w:p>
        </w:tc>
      </w:tr>
      <w:tr>
        <w:trPr>
          <w:trHeight w:val="98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00"/>
        </w:sectPr>
      </w:pPr>
    </w:p>
    <w:p>
      <w:pPr>
        <w:spacing w:line="240" w:lineRule="auto" w:before="2"/>
        <w:rPr>
          <w:rFonts w:ascii="宋体" w:hAnsi="宋体" w:cs="宋体" w:eastAsia="宋体" w:hint="default"/>
          <w:b/>
          <w:bCs/>
          <w:sz w:val="28"/>
          <w:szCs w:val="28"/>
        </w:rPr>
      </w:pPr>
    </w:p>
    <w:p>
      <w:pPr>
        <w:spacing w:line="694" w:lineRule="exact"/>
        <w:ind w:left="148"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79.05pt;height:34.7pt;mso-position-horizontal-relative:char;mso-position-vertical-relative:line" coordorigin="0,0" coordsize="9581,694">
            <v:group style="position:absolute;left:12;top:14;width:4775;height:666" coordorigin="12,14" coordsize="4775,666">
              <v:shape style="position:absolute;left:12;top:14;width:4775;height:666" coordorigin="12,14" coordsize="4775,666" path="m12,680l4787,680,4787,14,12,14,12,680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685" coordorigin="5,5" coordsize="2,685">
              <v:shape style="position:absolute;left:5;top:5;width:2;height:685" coordorigin="5,5" coordsize="0,685" path="m5,5l5,689e" filled="false" stroked="true" strokeweight=".48pt" strokecolor="#000000">
                <v:path arrowok="t"/>
              </v:shape>
            </v:group>
            <v:group style="position:absolute;left:10;top:684;width:4775;height:2" coordorigin="10,684" coordsize="4775,2">
              <v:shape style="position:absolute;left:10;top:684;width:4775;height:2" coordorigin="10,684" coordsize="4775,0" path="m10,684l4784,684e" filled="false" stroked="true" strokeweight=".48pt" strokecolor="#000000">
                <v:path arrowok="t"/>
              </v:shape>
            </v:group>
            <v:group style="position:absolute;left:4789;top:5;width:2;height:685" coordorigin="4789,5" coordsize="2,685">
              <v:shape style="position:absolute;left:4789;top:5;width:2;height:685" coordorigin="4789,5" coordsize="0,685" path="m4789,5l4789,689e" filled="false" stroked="true" strokeweight=".48001pt" strokecolor="#000000">
                <v:path arrowok="t"/>
              </v:shape>
            </v:group>
            <v:group style="position:absolute;left:4794;top:684;width:4777;height:2" coordorigin="4794,684" coordsize="4777,2">
              <v:shape style="position:absolute;left:4794;top:684;width:4777;height:2" coordorigin="4794,684" coordsize="4777,0" path="m4794,684l9571,684e" filled="false" stroked="true" strokeweight=".48pt" strokecolor="#000000">
                <v:path arrowok="t"/>
              </v:shape>
            </v:group>
            <v:group style="position:absolute;left:9576;top:5;width:2;height:685" coordorigin="9576,5" coordsize="2,685">
              <v:shape style="position:absolute;left:9576;top:5;width:2;height:685" coordorigin="9576,5" coordsize="0,685" path="m9576,5l9576,689e" filled="false" stroked="true" strokeweight=".47998pt" strokecolor="#000000">
                <v:path arrowok="t"/>
              </v:shape>
              <v:shape style="position:absolute;left:4789;top:10;width:4787;height:675" type="#_x0000_t202" filled="false" stroked="false">
                <v:textbox inset="0,0,0,0">
                  <w:txbxContent>
                    <w:p>
                      <w:pPr>
                        <w:spacing w:line="316" w:lineRule="auto" w:before="13"/>
                        <w:ind w:left="28" w:right="75" w:firstLine="0"/>
                        <w:jc w:val="left"/>
                        <w:rPr>
                          <w:rFonts w:ascii="宋体" w:hAnsi="宋体" w:cs="宋体" w:eastAsia="宋体" w:hint="default"/>
                          <w:sz w:val="18"/>
                          <w:szCs w:val="18"/>
                        </w:rPr>
                      </w:pPr>
                      <w:r>
                        <w:rPr>
                          <w:rFonts w:ascii="宋体" w:hAnsi="宋体" w:cs="宋体" w:eastAsia="宋体" w:hint="default"/>
                          <w:sz w:val="18"/>
                          <w:szCs w:val="18"/>
                        </w:rPr>
                        <w:t>的应收款项，不再包括在具有类似信用风险特征的应收款项 组合中进行减值测试。</w:t>
                      </w:r>
                    </w:p>
                  </w:txbxContent>
                </v:textbox>
                <w10:wrap type="none"/>
              </v:shape>
            </v:group>
          </v:group>
        </w:pict>
      </w:r>
      <w:r>
        <w:rPr>
          <w:rFonts w:ascii="宋体" w:hAnsi="宋体" w:cs="宋体" w:eastAsia="宋体" w:hint="default"/>
          <w:position w:val="-13"/>
          <w:sz w:val="20"/>
          <w:szCs w:val="20"/>
        </w:rPr>
      </w:r>
    </w:p>
    <w:p>
      <w:pPr>
        <w:spacing w:line="240" w:lineRule="auto" w:before="11"/>
        <w:rPr>
          <w:rFonts w:ascii="宋体" w:hAnsi="宋体" w:cs="宋体" w:eastAsia="宋体" w:hint="default"/>
          <w:b/>
          <w:bCs/>
          <w:sz w:val="18"/>
          <w:szCs w:val="18"/>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无信用风险组合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8"/>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52" w:right="65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41"/>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spacing w:before="44"/>
        <w:ind w:left="0" w:right="161" w:firstLine="0"/>
        <w:jc w:val="right"/>
        <w:rPr>
          <w:rFonts w:ascii="宋体" w:hAnsi="宋体" w:cs="宋体" w:eastAsia="宋体" w:hint="default"/>
          <w:sz w:val="18"/>
          <w:szCs w:val="18"/>
        </w:rPr>
      </w:pPr>
      <w:r>
        <w:rPr/>
        <w:pict>
          <v:shape style="position:absolute;margin-left:56.459999pt;margin-top:-98.798279pt;width:479.2pt;height:134.3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87"/>
                  </w:tblGrid>
                  <w:tr>
                    <w:trPr>
                      <w:trHeight w:val="133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单项金额虽不重大但单项计提坏账准备的应收款项的特征： 应收关联方款项；与对方存在争议或涉及诉讼、仲裁的应收 款项；已有明显迹象表明债务人很可能无法履行还款义务的 应收款项；等等。</w:t>
                        </w:r>
                      </w:p>
                    </w:tc>
                  </w:tr>
                  <w:tr>
                    <w:trPr>
                      <w:trHeight w:val="133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单独进行减值测试，有客观证据表明其发生了减值的，根据 </w:t>
                        </w:r>
                        <w:r>
                          <w:rPr>
                            <w:rFonts w:ascii="宋体" w:hAnsi="宋体" w:cs="宋体" w:eastAsia="宋体" w:hint="default"/>
                            <w:spacing w:val="-2"/>
                            <w:sz w:val="18"/>
                            <w:szCs w:val="18"/>
                          </w:rPr>
                          <w:t>其未来现金流量现值低于其账面价值的差额，确认减值损失</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计提坏账准备。</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94"/>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left="633" w:right="144"/>
        <w:jc w:val="left"/>
      </w:pPr>
      <w:r>
        <w:rPr/>
        <w:t>（</w:t>
      </w:r>
      <w:r>
        <w:rPr>
          <w:rFonts w:ascii="Times New Roman" w:hAnsi="Times New Roman" w:cs="Times New Roman" w:eastAsia="Times New Roman" w:hint="default"/>
        </w:rPr>
        <w:t>1</w:t>
      </w:r>
      <w:r>
        <w:rPr/>
        <w:t>）存货的分类 存货主要包括库存商品、原材料、委托加工材料、在产品、产成品、低值易耗品、包装</w:t>
      </w:r>
    </w:p>
    <w:p>
      <w:pPr>
        <w:pStyle w:val="BodyText"/>
        <w:spacing w:line="282" w:lineRule="exact"/>
        <w:ind w:right="144"/>
        <w:jc w:val="left"/>
      </w:pPr>
      <w:r>
        <w:rPr/>
        <w:t>物等。。</w:t>
      </w:r>
    </w:p>
    <w:p>
      <w:pPr>
        <w:pStyle w:val="BodyText"/>
        <w:spacing w:line="312" w:lineRule="exact" w:before="29"/>
        <w:ind w:left="633" w:right="144"/>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w:t>
      </w:r>
    </w:p>
    <w:p>
      <w:pPr>
        <w:pStyle w:val="BodyText"/>
        <w:spacing w:line="282" w:lineRule="exact"/>
        <w:ind w:right="144"/>
        <w:jc w:val="left"/>
      </w:pPr>
      <w:r>
        <w:rPr/>
        <w:t>发出时按加权平均法计价。</w:t>
      </w:r>
    </w:p>
    <w:p>
      <w:pPr>
        <w:pStyle w:val="BodyText"/>
        <w:spacing w:line="331" w:lineRule="exact"/>
        <w:ind w:left="633" w:right="144"/>
        <w:jc w:val="left"/>
      </w:pPr>
      <w:r>
        <w:rPr/>
        <w:t>（</w:t>
      </w:r>
      <w:r>
        <w:rPr>
          <w:rFonts w:ascii="Times New Roman" w:hAnsi="Times New Roman" w:cs="Times New Roman" w:eastAsia="Times New Roman" w:hint="default"/>
        </w:rPr>
        <w:t>3</w:t>
      </w:r>
      <w:r>
        <w:rPr/>
        <w:t>）存货可变现净值的确认和跌价准备的计提方法</w:t>
      </w:r>
    </w:p>
    <w:p>
      <w:pPr>
        <w:spacing w:after="0" w:line="331" w:lineRule="exact"/>
        <w:jc w:val="left"/>
        <w:sectPr>
          <w:pgSz w:w="11910" w:h="16840"/>
          <w:pgMar w:header="745" w:footer="979" w:top="1060" w:bottom="1160" w:left="980" w:right="980"/>
        </w:sectPr>
      </w:pPr>
    </w:p>
    <w:p>
      <w:pPr>
        <w:spacing w:line="240" w:lineRule="auto" w:before="6"/>
        <w:rPr>
          <w:rFonts w:ascii="宋体" w:hAnsi="宋体" w:cs="宋体" w:eastAsia="宋体" w:hint="default"/>
          <w:sz w:val="23"/>
          <w:szCs w:val="23"/>
        </w:rPr>
      </w:pPr>
    </w:p>
    <w:p>
      <w:pPr>
        <w:pStyle w:val="BodyText"/>
        <w:spacing w:line="312" w:lineRule="exact" w:before="56"/>
        <w:ind w:right="158" w:firstLine="480"/>
        <w:jc w:val="both"/>
      </w:pPr>
      <w:r>
        <w:rPr/>
        <w:t>可变现净值是指在日常活动中，存货的估计售价减去至完工时估计将要发生的成本、估 计的销售费用以及相关税费后的金额。在确定存货的可变现净值时，以取得的确凿证据为基</w:t>
      </w:r>
      <w:r>
        <w:rPr>
          <w:spacing w:val="-91"/>
        </w:rPr>
        <w:t> </w:t>
      </w:r>
      <w:r>
        <w:rPr>
          <w:spacing w:val="-91"/>
        </w:rPr>
      </w:r>
      <w:r>
        <w:rPr/>
        <w:t>础，同时考虑持有存货的目的以及资产负债表日后事项的影响。</w:t>
      </w:r>
    </w:p>
    <w:p>
      <w:pPr>
        <w:pStyle w:val="BodyText"/>
        <w:spacing w:line="312" w:lineRule="exact"/>
        <w:ind w:right="160" w:firstLine="480"/>
        <w:jc w:val="both"/>
      </w:pPr>
      <w:r>
        <w:rPr/>
        <w:t>在资产负债表日，存货按照成本与可变现净值孰低计量。当其可变现净值低于成本时， 提取存货跌价准备。存货跌价准备按单个存货项目的成本高于其可变现净值的差额提取。</w:t>
      </w:r>
    </w:p>
    <w:p>
      <w:pPr>
        <w:pStyle w:val="BodyText"/>
        <w:spacing w:line="312" w:lineRule="exact"/>
        <w:ind w:right="159" w:firstLine="480"/>
        <w:jc w:val="both"/>
      </w:pPr>
      <w:r>
        <w:rPr/>
        <w:t>计提存货跌价准备后，如果以前减记存货价值的影响因素已经消失，导致存货的可变现 净值高于其账面价值的，在原已计提的存货跌价准备金额内予以转回，转回的金额计入当期</w:t>
      </w:r>
      <w:r>
        <w:rPr>
          <w:spacing w:val="-91"/>
        </w:rPr>
        <w:t> </w:t>
      </w:r>
      <w:r>
        <w:rPr>
          <w:spacing w:val="-91"/>
        </w:rPr>
      </w:r>
      <w:r>
        <w:rPr/>
        <w:t>损益。</w:t>
      </w:r>
    </w:p>
    <w:p>
      <w:pPr>
        <w:pStyle w:val="BodyText"/>
        <w:spacing w:line="291" w:lineRule="exact"/>
        <w:ind w:left="633" w:right="144"/>
        <w:jc w:val="left"/>
      </w:pPr>
      <w:r>
        <w:rPr/>
        <w:t>（</w:t>
      </w:r>
      <w:r>
        <w:rPr>
          <w:rFonts w:ascii="Times New Roman" w:hAnsi="Times New Roman" w:cs="Times New Roman" w:eastAsia="Times New Roman" w:hint="default"/>
        </w:rPr>
        <w:t>4</w:t>
      </w:r>
      <w:r>
        <w:rPr/>
        <w:t>）存货的盘存制度为永续盘存制。</w:t>
      </w:r>
    </w:p>
    <w:p>
      <w:pPr>
        <w:pStyle w:val="BodyText"/>
        <w:spacing w:line="312" w:lineRule="exact" w:before="20"/>
        <w:ind w:left="633" w:right="1133"/>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、划分为持有待售资产</w:t>
      </w:r>
      <w:r>
        <w:rPr>
          <w:rFonts w:ascii="宋体" w:hAnsi="宋体" w:cs="宋体" w:eastAsia="宋体" w:hint="default"/>
          <w:sz w:val="21"/>
          <w:szCs w:val="21"/>
        </w:rPr>
      </w:r>
    </w:p>
    <w:p>
      <w:pPr>
        <w:spacing w:line="240" w:lineRule="auto" w:before="0"/>
        <w:rPr>
          <w:rFonts w:ascii="宋体" w:hAnsi="宋体" w:cs="宋体" w:eastAsia="宋体" w:hint="default"/>
          <w:b/>
          <w:bCs/>
          <w:sz w:val="23"/>
          <w:szCs w:val="23"/>
        </w:rPr>
      </w:pPr>
    </w:p>
    <w:p>
      <w:pPr>
        <w:pStyle w:val="BodyText"/>
        <w:spacing w:line="235" w:lineRule="auto"/>
        <w:ind w:right="151" w:firstLine="480"/>
        <w:jc w:val="both"/>
      </w:pPr>
      <w:r>
        <w:rPr/>
        <w:t>若某项非流动资产在其当前状况下仅根据出售此类资产的惯常条款即可立即出售，本公 司已就处置该项非流动资产作出决议，已经与受让方签订了不可撤销的转让协议，且该项转</w:t>
      </w:r>
      <w:r>
        <w:rPr>
          <w:spacing w:val="-91"/>
        </w:rPr>
        <w:t> </w:t>
      </w:r>
      <w:r>
        <w:rPr>
          <w:spacing w:val="-91"/>
        </w:rPr>
      </w:r>
      <w:r>
        <w:rPr/>
        <w:t>让将在一年内完成，则该非流动资产作为持有待售非流动资产核算，自划分为持有待售之日</w:t>
      </w:r>
      <w:r>
        <w:rPr>
          <w:spacing w:val="-91"/>
        </w:rPr>
        <w:t> </w:t>
      </w:r>
      <w:r>
        <w:rPr>
          <w:spacing w:val="-91"/>
        </w:rPr>
      </w:r>
      <w:r>
        <w:rPr/>
        <w:t>起不计提折旧或进行摊销，按照账面价值与公允价值减去处置费用后的净额孰低计量。持有</w:t>
      </w:r>
      <w:r>
        <w:rPr>
          <w:spacing w:val="-91"/>
        </w:rPr>
        <w:t> </w:t>
      </w:r>
      <w:r>
        <w:rPr>
          <w:spacing w:val="-91"/>
        </w:rPr>
      </w:r>
      <w:r>
        <w:rPr>
          <w:spacing w:val="-2"/>
        </w:rPr>
        <w:t>待售的非流动资产包括单项资产和处置组。如果处置组是一个《企业会计准则第</w:t>
      </w:r>
      <w:r>
        <w:rPr>
          <w:rFonts w:ascii="Times New Roman" w:hAnsi="Times New Roman" w:cs="Times New Roman" w:eastAsia="Times New Roman" w:hint="default"/>
          <w:spacing w:val="-2"/>
        </w:rPr>
        <w:t>8</w:t>
      </w:r>
      <w:r>
        <w:rPr>
          <w:spacing w:val="-2"/>
        </w:rPr>
        <w:t>号</w:t>
      </w:r>
      <w:r>
        <w:rPr>
          <w:rFonts w:ascii="Times New Roman" w:hAnsi="Times New Roman" w:cs="Times New Roman" w:eastAsia="Times New Roman" w:hint="default"/>
          <w:spacing w:val="-2"/>
        </w:rPr>
        <w:t>——</w:t>
      </w:r>
      <w:r>
        <w:rPr>
          <w:spacing w:val="-2"/>
        </w:rPr>
        <w:t>资产</w:t>
      </w:r>
      <w:r>
        <w:rPr>
          <w:spacing w:val="-118"/>
        </w:rPr>
        <w:t> </w:t>
      </w:r>
      <w:r>
        <w:rPr/>
        <w:t>减值》所定义的资产组，并且按照该准则的规定将企业合并中取得的商誉分摊至该资产组，</w:t>
      </w:r>
      <w:r>
        <w:rPr>
          <w:spacing w:val="-91"/>
        </w:rPr>
        <w:t> </w:t>
      </w:r>
      <w:r>
        <w:rPr>
          <w:spacing w:val="-91"/>
        </w:rPr>
      </w:r>
      <w:r>
        <w:rPr/>
        <w:t>或者该处置组是资产组中的一项经营，则该处置组包括企业合并中所形成的商誉。</w:t>
      </w:r>
    </w:p>
    <w:p>
      <w:pPr>
        <w:pStyle w:val="BodyText"/>
        <w:spacing w:line="312" w:lineRule="exact" w:before="29"/>
        <w:ind w:right="159" w:firstLine="480"/>
        <w:jc w:val="both"/>
      </w:pPr>
      <w:r>
        <w:rPr/>
        <w:t>被划分为持有待售的单项非流动资产和处置组中的资产，在资产负债表的流动资产部分 单独列报；被划分为持有待售的处置组中的与转让资产相关的负债，在资产负债表的流动负</w:t>
      </w:r>
      <w:r>
        <w:rPr>
          <w:spacing w:val="-91"/>
        </w:rPr>
        <w:t> </w:t>
      </w:r>
      <w:r>
        <w:rPr>
          <w:spacing w:val="-91"/>
        </w:rPr>
      </w:r>
      <w:r>
        <w:rPr/>
        <w:t>债部分单独列报。</w:t>
      </w:r>
    </w:p>
    <w:p>
      <w:pPr>
        <w:pStyle w:val="BodyText"/>
        <w:spacing w:line="312" w:lineRule="exact"/>
        <w:ind w:right="178" w:firstLine="480"/>
        <w:jc w:val="both"/>
      </w:pPr>
      <w:r>
        <w:rPr>
          <w:spacing w:val="-3"/>
        </w:rPr>
        <w:t>某项资产或处置组被划归为持有待售，但后来不再满足持有待售的非流动资产的确认条</w:t>
      </w:r>
      <w:r>
        <w:rPr/>
        <w:t> 件，本公司停止将其划归为持有待售，并按照下列两项金额中较低者进行计量：（</w:t>
      </w:r>
      <w:r>
        <w:rPr>
          <w:rFonts w:ascii="Times New Roman" w:hAnsi="Times New Roman" w:cs="Times New Roman" w:eastAsia="Times New Roman" w:hint="default"/>
        </w:rPr>
        <w:t>1</w:t>
      </w:r>
      <w:r>
        <w:rPr/>
        <w:t>）该资</w:t>
      </w:r>
      <w:r>
        <w:rPr>
          <w:spacing w:val="-113"/>
        </w:rPr>
        <w:t> </w:t>
      </w:r>
      <w:r>
        <w:rPr>
          <w:spacing w:val="-3"/>
        </w:rPr>
        <w:t>产或处置组被划归为持有待售之前的账面价值，按照其假定在没有被划归为持有待售的情况</w:t>
      </w:r>
      <w:r>
        <w:rPr>
          <w:spacing w:val="-107"/>
        </w:rPr>
        <w:t> </w:t>
      </w:r>
      <w:r>
        <w:rPr>
          <w:spacing w:val="-107"/>
        </w:rPr>
      </w:r>
      <w:r>
        <w:rPr>
          <w:spacing w:val="-3"/>
        </w:rPr>
        <w:t>下原应确认的折旧、摊销或减值进行调整后的金额；（</w:t>
      </w:r>
      <w:r>
        <w:rPr>
          <w:rFonts w:ascii="Times New Roman" w:hAnsi="Times New Roman" w:cs="Times New Roman" w:eastAsia="Times New Roman" w:hint="default"/>
          <w:spacing w:val="-3"/>
        </w:rPr>
        <w:t>2</w:t>
      </w:r>
      <w:r>
        <w:rPr>
          <w:spacing w:val="-3"/>
        </w:rPr>
        <w:t>）决定不再出售之日的可收回金额。</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159" w:firstLine="480"/>
        <w:jc w:val="both"/>
      </w:pPr>
      <w:r>
        <w:rPr/>
        <w:t>本部分所指的长期股权投资是指本公司对被投资单位具有控制、共同控制或重大影响的 长期股权投资。本公司对被投资单位不具有控制、共同控制或重大影响的长期股权投资，作</w:t>
      </w:r>
      <w:r>
        <w:rPr>
          <w:spacing w:val="-91"/>
        </w:rPr>
        <w:t> </w:t>
      </w:r>
      <w:r>
        <w:rPr>
          <w:spacing w:val="-91"/>
        </w:rPr>
      </w:r>
      <w:r>
        <w:rPr/>
        <w:t>为可供出售金融资产或以公允价值计量且其变动计入当期损益的金融资产核算，其会计政策</w:t>
      </w:r>
      <w:r>
        <w:rPr>
          <w:spacing w:val="-91"/>
        </w:rPr>
        <w:t> </w:t>
      </w:r>
      <w:r>
        <w:rPr>
          <w:spacing w:val="-91"/>
        </w:rPr>
      </w:r>
      <w:r>
        <w:rPr/>
        <w:t>详见</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w:t>
      </w:r>
    </w:p>
    <w:p>
      <w:pPr>
        <w:pStyle w:val="BodyText"/>
        <w:spacing w:line="312" w:lineRule="exact"/>
        <w:ind w:right="157" w:firstLine="480"/>
        <w:jc w:val="both"/>
      </w:pPr>
      <w:r>
        <w:rPr/>
        <w:t>共同控制，是指本公司按照相关约定对某项安排所共有的控制，并且该安排的相关活动 必须经过分享控制权的参与方一致同意后才能决策。重大影响，是指本公司对被投资单位的</w:t>
      </w:r>
      <w:r>
        <w:rPr>
          <w:spacing w:val="-90"/>
        </w:rPr>
        <w:t> </w:t>
      </w:r>
      <w:r>
        <w:rPr>
          <w:spacing w:val="-90"/>
        </w:rPr>
      </w:r>
      <w:r>
        <w:rPr/>
        <w:t>财务和经营政策有参与决策的权力，但并不能够控制或者与其他方一起共同控制这些政策的</w:t>
      </w:r>
      <w:r>
        <w:rPr>
          <w:spacing w:val="-91"/>
        </w:rPr>
        <w:t> </w:t>
      </w:r>
      <w:r>
        <w:rPr>
          <w:spacing w:val="-91"/>
        </w:rPr>
      </w:r>
      <w:r>
        <w:rPr/>
        <w:t>制定。</w:t>
      </w:r>
    </w:p>
    <w:p>
      <w:pPr>
        <w:pStyle w:val="BodyText"/>
        <w:spacing w:line="312" w:lineRule="exact"/>
        <w:ind w:left="633" w:right="144"/>
        <w:jc w:val="left"/>
      </w:pPr>
      <w:r>
        <w:rPr/>
        <w:t>（</w:t>
      </w:r>
      <w:r>
        <w:rPr>
          <w:rFonts w:ascii="Times New Roman" w:hAnsi="Times New Roman" w:cs="Times New Roman" w:eastAsia="Times New Roman" w:hint="default"/>
        </w:rPr>
        <w:t>1</w:t>
      </w:r>
      <w:r>
        <w:rPr/>
        <w:t>）投资成本的确定 对于同一控制下的企业合并取得的长期股权投资，在合并日按照被合并方股东权益在最</w:t>
      </w:r>
    </w:p>
    <w:p>
      <w:pPr>
        <w:pStyle w:val="BodyText"/>
        <w:spacing w:line="283" w:lineRule="exact"/>
        <w:ind w:right="144"/>
        <w:jc w:val="left"/>
      </w:pPr>
      <w:r>
        <w:rPr/>
        <w:t>终控制方合并财务报表中的账面价值的份额作为长期股权投资的初始投资成本。长期股权投</w:t>
      </w:r>
    </w:p>
    <w:p>
      <w:pPr>
        <w:spacing w:after="0" w:line="283" w:lineRule="exact"/>
        <w:jc w:val="left"/>
        <w:sectPr>
          <w:pgSz w:w="11910" w:h="16840"/>
          <w:pgMar w:header="745" w:footer="979" w:top="1060" w:bottom="1160" w:left="980" w:right="980"/>
        </w:sectPr>
      </w:pPr>
    </w:p>
    <w:p>
      <w:pPr>
        <w:spacing w:line="240" w:lineRule="auto" w:before="6"/>
        <w:rPr>
          <w:rFonts w:ascii="宋体" w:hAnsi="宋体" w:cs="宋体" w:eastAsia="宋体" w:hint="default"/>
          <w:sz w:val="23"/>
          <w:szCs w:val="23"/>
        </w:rPr>
      </w:pPr>
    </w:p>
    <w:p>
      <w:pPr>
        <w:pStyle w:val="BodyText"/>
        <w:spacing w:line="235" w:lineRule="auto" w:before="31"/>
        <w:ind w:right="151"/>
        <w:jc w:val="both"/>
      </w:pPr>
      <w:r>
        <w:rPr/>
        <w:t>资初始投资成本与支付的现金、转让的非现金资产以及所承担债务账面价值之间的差额，调</w:t>
      </w:r>
      <w:r>
        <w:rPr>
          <w:spacing w:val="-91"/>
        </w:rPr>
        <w:t> </w:t>
      </w:r>
      <w:r>
        <w:rPr>
          <w:spacing w:val="-91"/>
        </w:rPr>
      </w:r>
      <w:r>
        <w:rPr/>
        <w:t>整资本公积；资本公积不足冲减的，调整留存收益。以发行权益性证券作为合并对价的，在</w:t>
      </w:r>
      <w:r>
        <w:rPr>
          <w:spacing w:val="-91"/>
        </w:rPr>
        <w:t> </w:t>
      </w:r>
      <w:r>
        <w:rPr>
          <w:spacing w:val="-91"/>
        </w:rPr>
      </w:r>
      <w:r>
        <w:rPr/>
        <w:t>合并日按照被合并方股东权益在最终控制方合并财务报表中的账面价值的份额作为长期股权</w:t>
      </w:r>
      <w:r>
        <w:rPr>
          <w:spacing w:val="-89"/>
        </w:rPr>
        <w:t> </w:t>
      </w:r>
      <w:r>
        <w:rPr>
          <w:spacing w:val="-89"/>
        </w:rPr>
      </w:r>
      <w:r>
        <w:rPr/>
        <w:t>投资的初始投资成本，按照发行股份的面值总额作为股本，长期股权投资初始投资成本与所</w:t>
      </w:r>
      <w:r>
        <w:rPr>
          <w:spacing w:val="-91"/>
        </w:rPr>
        <w:t> </w:t>
      </w:r>
      <w:r>
        <w:rPr>
          <w:spacing w:val="-91"/>
        </w:rPr>
      </w:r>
      <w:r>
        <w:rPr/>
        <w:t>发行股份面值总额之间的差额，调整资本公积；资本公积不足冲减的，调整留存收益。通过</w:t>
      </w:r>
      <w:r>
        <w:rPr>
          <w:spacing w:val="-91"/>
        </w:rPr>
        <w:t> </w:t>
      </w:r>
      <w:r>
        <w:rPr>
          <w:spacing w:val="-91"/>
        </w:rPr>
      </w:r>
      <w:r>
        <w:rPr/>
        <w:t>多次交易分步取得同一控制下被合并方的股权，最终形成同一控制下企业合并的，应分别是</w:t>
      </w:r>
      <w:r>
        <w:rPr>
          <w:spacing w:val="-91"/>
        </w:rPr>
        <w:t> </w:t>
      </w:r>
      <w:r>
        <w:rPr>
          <w:spacing w:val="-91"/>
        </w:rPr>
      </w:r>
      <w:r>
        <w:rPr/>
        <w:t>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w:t>
      </w:r>
      <w:r>
        <w:rPr>
          <w:spacing w:val="-44"/>
        </w:rPr>
        <w:t> </w:t>
      </w:r>
      <w:r>
        <w:rPr>
          <w:spacing w:val="-44"/>
        </w:rPr>
      </w:r>
      <w:r>
        <w:rPr/>
        <w:t>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的，在合并日按照应享有被合并方股东权益在最终控</w:t>
      </w:r>
      <w:r>
        <w:rPr>
          <w:spacing w:val="-61"/>
        </w:rPr>
        <w:t> </w:t>
      </w:r>
      <w:r>
        <w:rPr>
          <w:spacing w:val="-61"/>
        </w:rPr>
      </w:r>
      <w:r>
        <w:rPr/>
        <w:t>制方合并财务报表中的账面价值的份额作为长期股权投资的初始投资成本，长期股权投资初</w:t>
      </w:r>
      <w:r>
        <w:rPr>
          <w:spacing w:val="-88"/>
        </w:rPr>
        <w:t> </w:t>
      </w:r>
      <w:r>
        <w:rPr>
          <w:spacing w:val="-88"/>
        </w:rPr>
      </w:r>
      <w:r>
        <w:rPr/>
        <w:t>始投资成本与达到合并前的长期股权投资账面价值加上合并日进一步取得股份新支付对价的</w:t>
      </w:r>
      <w:r>
        <w:rPr>
          <w:spacing w:val="-91"/>
        </w:rPr>
        <w:t> </w:t>
      </w:r>
      <w:r>
        <w:rPr>
          <w:spacing w:val="-91"/>
        </w:rPr>
      </w:r>
      <w:r>
        <w:rPr/>
        <w:t>账面价值之和的差额，调整资本公积；资本公积不足冲减的，调整留存收益。合并日之前持</w:t>
      </w:r>
      <w:r>
        <w:rPr>
          <w:spacing w:val="-91"/>
        </w:rPr>
        <w:t> </w:t>
      </w:r>
      <w:r>
        <w:rPr>
          <w:spacing w:val="-91"/>
        </w:rPr>
      </w:r>
      <w:r>
        <w:rPr/>
        <w:t>有的股权投资因采用权益法核算或为可供出售金融资产而确认的其他综合收益，暂不进行会</w:t>
      </w:r>
      <w:r>
        <w:rPr>
          <w:spacing w:val="-91"/>
        </w:rPr>
        <w:t> </w:t>
      </w:r>
      <w:r>
        <w:rPr>
          <w:spacing w:val="-91"/>
        </w:rPr>
      </w:r>
      <w:r>
        <w:rPr/>
        <w:t>计处理。</w:t>
      </w:r>
    </w:p>
    <w:p>
      <w:pPr>
        <w:pStyle w:val="BodyText"/>
        <w:spacing w:line="235" w:lineRule="auto" w:before="4"/>
        <w:ind w:right="148" w:firstLine="480"/>
        <w:jc w:val="both"/>
      </w:pPr>
      <w:r>
        <w:rPr/>
        <w:t>对于非同一控制下的企业合并取得的长期股权投资，在购买日按照合并成本作为长期股 权投资的初始投资成本，合并成本包括包括购买方付出的资产、发生或承担的负债、发行的</w:t>
      </w:r>
      <w:r>
        <w:rPr>
          <w:spacing w:val="-91"/>
        </w:rPr>
        <w:t> </w:t>
      </w:r>
      <w:r>
        <w:rPr>
          <w:spacing w:val="-91"/>
        </w:rPr>
      </w:r>
      <w:r>
        <w:rPr/>
        <w:t>权益性证券的公允价值之和。通过多次交易分步取得被购买方的股权，最终形成非同一控制</w:t>
      </w:r>
      <w:r>
        <w:rPr>
          <w:spacing w:val="-91"/>
        </w:rPr>
        <w:t> </w:t>
      </w:r>
      <w:r>
        <w:rPr>
          <w:spacing w:val="-91"/>
        </w:rPr>
      </w:r>
      <w:r>
        <w:rPr/>
        <w:t>下的企业合并的，应分别是否属于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w:t>
      </w:r>
      <w:r>
        <w:rPr>
          <w:spacing w:val="-41"/>
        </w:rPr>
        <w:t> </w:t>
      </w:r>
      <w:r>
        <w:rPr/>
        <w:t>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的，按照原持有被购买方</w:t>
      </w:r>
      <w:r>
        <w:rPr>
          <w:spacing w:val="-59"/>
        </w:rPr>
        <w:t> </w:t>
      </w:r>
      <w:r>
        <w:rPr>
          <w:spacing w:val="-59"/>
        </w:rPr>
      </w:r>
      <w:r>
        <w:rPr/>
        <w:t>的股权投资账面价值加上新增投资成本之和，作为改按成本法核算的长期股权投资的初始投</w:t>
      </w:r>
      <w:r>
        <w:rPr>
          <w:spacing w:val="-91"/>
        </w:rPr>
        <w:t> </w:t>
      </w:r>
      <w:r>
        <w:rPr>
          <w:spacing w:val="-91"/>
        </w:rPr>
      </w:r>
      <w:r>
        <w:rPr/>
        <w:t>资成本。原持有的股权采用权益法核算的，相关其他综合收益暂不进行会计处理。原持有股</w:t>
      </w:r>
      <w:r>
        <w:rPr>
          <w:spacing w:val="-91"/>
        </w:rPr>
        <w:t> </w:t>
      </w:r>
      <w:r>
        <w:rPr>
          <w:spacing w:val="-91"/>
        </w:rPr>
      </w:r>
      <w:r>
        <w:rPr/>
        <w:t>权投资为可供出售金融资产的，其公允价值与账面价值之间的差额，以及原计入其他综合收</w:t>
      </w:r>
      <w:r>
        <w:rPr>
          <w:spacing w:val="-91"/>
        </w:rPr>
        <w:t> </w:t>
      </w:r>
      <w:r>
        <w:rPr>
          <w:spacing w:val="-91"/>
        </w:rPr>
      </w:r>
      <w:r>
        <w:rPr/>
        <w:t>益的累计公允价值变动转入当期损益。</w:t>
      </w:r>
    </w:p>
    <w:p>
      <w:pPr>
        <w:pStyle w:val="BodyText"/>
        <w:spacing w:line="312" w:lineRule="exact" w:before="29"/>
        <w:ind w:right="156" w:firstLine="480"/>
        <w:jc w:val="both"/>
      </w:pPr>
      <w:r>
        <w:rPr/>
        <w:t>合并方或购买方为企业合并发生的审计、法律服务、评估咨询等中介费用以及其他相关 管理费用，于发生时计入当期损益。</w:t>
      </w:r>
    </w:p>
    <w:p>
      <w:pPr>
        <w:pStyle w:val="BodyText"/>
        <w:spacing w:line="312" w:lineRule="exact"/>
        <w:ind w:right="153" w:firstLine="480"/>
        <w:jc w:val="both"/>
        <w:rPr>
          <w:rFonts w:ascii="Times New Roman" w:hAnsi="Times New Roman" w:cs="Times New Roman" w:eastAsia="Times New Roman" w:hint="default"/>
        </w:rPr>
      </w:pPr>
      <w:r>
        <w:rPr/>
        <w:t>除企业合并形成的长期股权投资外的其他股权投资，按成本进行初始计量，该成本视长 期股权投资取得方式的不同，分别按照本公司实际支付的现金购买价款、本公司发行的权益</w:t>
      </w:r>
      <w:r>
        <w:rPr>
          <w:spacing w:val="-91"/>
        </w:rPr>
        <w:t> </w:t>
      </w:r>
      <w:r>
        <w:rPr>
          <w:spacing w:val="-91"/>
        </w:rPr>
      </w:r>
      <w:r>
        <w:rPr/>
        <w:t>性证券的公允价值、投资合同或协议约定的价值、非货币性资产交换交易中换出资产的公允</w:t>
      </w:r>
      <w:r>
        <w:rPr>
          <w:spacing w:val="-91"/>
        </w:rPr>
        <w:t> </w:t>
      </w:r>
      <w:r>
        <w:rPr>
          <w:spacing w:val="-91"/>
        </w:rPr>
      </w:r>
      <w:r>
        <w:rPr/>
        <w:t>价值或原账面价值、该项长期股权投资自身的公允价值等方式确定。与取得长期股权投资直</w:t>
      </w:r>
      <w:r>
        <w:rPr>
          <w:spacing w:val="-91"/>
        </w:rPr>
        <w:t> </w:t>
      </w:r>
      <w:r>
        <w:rPr>
          <w:spacing w:val="-91"/>
        </w:rPr>
      </w:r>
      <w:r>
        <w:rPr/>
        <w:t>接相关的费用、税金及其他必要支出也计入投资成本。对于因追加投资能够对被投资单位实</w:t>
      </w:r>
      <w:r>
        <w:rPr>
          <w:spacing w:val="-91"/>
        </w:rPr>
        <w:t> </w:t>
      </w:r>
      <w:r>
        <w:rPr>
          <w:spacing w:val="-91"/>
        </w:rPr>
      </w:r>
      <w:r>
        <w:rPr/>
        <w:t>施重大影响或实施共同控制但不构成控制的，长期股权投资成本为按照《企业会计准则第</w:t>
      </w:r>
      <w:r>
        <w:rPr>
          <w:rFonts w:ascii="Times New Roman" w:hAnsi="Times New Roman" w:cs="Times New Roman" w:eastAsia="Times New Roman" w:hint="default"/>
        </w:rPr>
        <w:t>22</w:t>
      </w:r>
    </w:p>
    <w:p>
      <w:pPr>
        <w:pStyle w:val="BodyText"/>
        <w:spacing w:line="292" w:lineRule="exact"/>
        <w:ind w:right="0"/>
        <w:jc w:val="both"/>
      </w:pPr>
      <w:r>
        <w:rPr/>
        <w:t>号</w:t>
      </w:r>
      <w:r>
        <w:rPr>
          <w:rFonts w:ascii="Times New Roman" w:hAnsi="Times New Roman" w:cs="Times New Roman" w:eastAsia="Times New Roman" w:hint="default"/>
        </w:rPr>
        <w:t>——</w:t>
      </w:r>
      <w:r>
        <w:rPr/>
        <w:t>金融工具确认和计量》确定的原持有股权投资的公允价值加上新增投资成本之和。</w:t>
      </w:r>
    </w:p>
    <w:p>
      <w:pPr>
        <w:pStyle w:val="BodyText"/>
        <w:spacing w:line="312" w:lineRule="exact" w:before="20"/>
        <w:ind w:left="633" w:right="144"/>
        <w:jc w:val="left"/>
      </w:pPr>
      <w:r>
        <w:rPr/>
        <w:t>（</w:t>
      </w:r>
      <w:r>
        <w:rPr>
          <w:rFonts w:ascii="Times New Roman" w:hAnsi="Times New Roman" w:cs="Times New Roman" w:eastAsia="Times New Roman" w:hint="default"/>
        </w:rPr>
        <w:t>2</w:t>
      </w:r>
      <w:r>
        <w:rPr/>
        <w:t>）后续计量及损益确认方法 对被投资单位具有共同控制（构成共同经营者除外）或重大影响的长期股权投资，采用</w:t>
      </w:r>
    </w:p>
    <w:p>
      <w:pPr>
        <w:pStyle w:val="BodyText"/>
        <w:spacing w:line="312" w:lineRule="exact"/>
        <w:ind w:right="159"/>
        <w:jc w:val="both"/>
      </w:pPr>
      <w:r>
        <w:rPr/>
        <w:t>权益法核算。此外，公司财务报表采用成本法核算能够对被投资单位实施控制的长期股权投</w:t>
      </w:r>
      <w:r>
        <w:rPr>
          <w:spacing w:val="-91"/>
        </w:rPr>
        <w:t> </w:t>
      </w:r>
      <w:r>
        <w:rPr>
          <w:spacing w:val="-91"/>
        </w:rPr>
      </w:r>
      <w:r>
        <w:rPr/>
        <w:t>资。</w:t>
      </w:r>
    </w:p>
    <w:p>
      <w:pPr>
        <w:pStyle w:val="BodyText"/>
        <w:spacing w:line="312" w:lineRule="exact"/>
        <w:ind w:left="633" w:right="144"/>
        <w:jc w:val="left"/>
      </w:pPr>
      <w:r>
        <w:rPr/>
        <w:t>①成本法核算的长期股权投资 采用成本法核算时，长期股权投资按初始投资成本计价，追加或收回投资调整长期股权</w:t>
      </w:r>
    </w:p>
    <w:p>
      <w:pPr>
        <w:pStyle w:val="BodyText"/>
        <w:spacing w:line="312" w:lineRule="exact"/>
        <w:ind w:right="159"/>
        <w:jc w:val="both"/>
      </w:pPr>
      <w:r>
        <w:rPr/>
        <w:t>投资的成本。除取得投资时实际支付的价款或者对价中包含的已宣告但尚未发放的现金股利</w:t>
      </w:r>
      <w:r>
        <w:rPr>
          <w:spacing w:val="-91"/>
        </w:rPr>
        <w:t> </w:t>
      </w:r>
      <w:r>
        <w:rPr>
          <w:spacing w:val="-91"/>
        </w:rPr>
      </w:r>
      <w:r>
        <w:rPr/>
        <w:t>或者利润外，当期投资收益按照享有被投资单位宣告发放的现金股利或利润确认。</w:t>
      </w:r>
    </w:p>
    <w:p>
      <w:pPr>
        <w:pStyle w:val="BodyText"/>
        <w:spacing w:line="312" w:lineRule="exact"/>
        <w:ind w:left="633" w:right="144"/>
        <w:jc w:val="left"/>
      </w:pPr>
      <w:r>
        <w:rPr/>
        <w:t>②权益法核算的长期股权投资 采用权益法核算时，长期股权投资的初始投资成本大于投资时应享有被投资单位可辨认</w:t>
      </w:r>
    </w:p>
    <w:p>
      <w:pPr>
        <w:pStyle w:val="BodyText"/>
        <w:spacing w:line="312" w:lineRule="exact"/>
        <w:ind w:right="159"/>
        <w:jc w:val="both"/>
      </w:pPr>
      <w:r>
        <w:rPr/>
        <w:t>净资产公允价值份额的，不调整长期股权投资的初始投资成本；初始投资成本小于投资时应</w:t>
      </w:r>
      <w:r>
        <w:rPr>
          <w:spacing w:val="-91"/>
        </w:rPr>
        <w:t> </w:t>
      </w:r>
      <w:r>
        <w:rPr>
          <w:spacing w:val="-91"/>
        </w:rPr>
      </w:r>
      <w:r>
        <w:rPr/>
        <w:t>享有被投资单位可辨认净资产公允价值份额的，其差额计入当期损益，同时调整长期股权投</w:t>
      </w:r>
      <w:r>
        <w:rPr>
          <w:spacing w:val="-91"/>
        </w:rPr>
        <w:t> </w:t>
      </w:r>
      <w:r>
        <w:rPr>
          <w:spacing w:val="-91"/>
        </w:rPr>
      </w:r>
      <w:r>
        <w:rPr/>
        <w:t>资的成本。</w:t>
      </w:r>
    </w:p>
    <w:p>
      <w:pPr>
        <w:spacing w:after="0" w:line="312" w:lineRule="exact"/>
        <w:jc w:val="both"/>
        <w:sectPr>
          <w:pgSz w:w="11910" w:h="16840"/>
          <w:pgMar w:header="745" w:footer="979" w:top="1060" w:bottom="1160" w:left="980" w:right="980"/>
        </w:sectPr>
      </w:pPr>
    </w:p>
    <w:p>
      <w:pPr>
        <w:spacing w:line="240" w:lineRule="auto" w:before="6"/>
        <w:rPr>
          <w:rFonts w:ascii="宋体" w:hAnsi="宋体" w:cs="宋体" w:eastAsia="宋体" w:hint="default"/>
          <w:sz w:val="23"/>
          <w:szCs w:val="23"/>
        </w:rPr>
      </w:pPr>
    </w:p>
    <w:p>
      <w:pPr>
        <w:pStyle w:val="BodyText"/>
        <w:spacing w:line="237" w:lineRule="auto" w:before="28"/>
        <w:ind w:right="96" w:firstLine="480"/>
        <w:jc w:val="left"/>
      </w:pPr>
      <w:r>
        <w:rPr/>
        <w:t>采用权益法核算时，按照应享有或应分担的被投资单位实现的净损益和其他综合收益的 份额，分别确认投资收益和其他综合收益，同时调整长期股权投资的账面价值；按照被投资</w:t>
      </w:r>
      <w:r>
        <w:rPr>
          <w:spacing w:val="-91"/>
        </w:rPr>
        <w:t> </w:t>
      </w:r>
      <w:r>
        <w:rPr>
          <w:spacing w:val="-91"/>
        </w:rPr>
      </w:r>
      <w:r>
        <w:rPr/>
        <w:t>单位宣告分派的利润或现金股利计算应享有的部分，相应减少长期股权投资的账面价值；对</w:t>
      </w:r>
      <w:r>
        <w:rPr>
          <w:spacing w:val="-87"/>
        </w:rPr>
        <w:t> </w:t>
      </w:r>
      <w:r>
        <w:rPr>
          <w:spacing w:val="-87"/>
        </w:rPr>
      </w:r>
      <w:r>
        <w:rPr/>
        <w:t>于被投资单位除净损益、其他综合收益和利润分配以外所有者权益的其他变动，调整长期股</w:t>
      </w:r>
      <w:r>
        <w:rPr>
          <w:spacing w:val="-91"/>
        </w:rPr>
        <w:t> </w:t>
      </w:r>
      <w:r>
        <w:rPr>
          <w:spacing w:val="-91"/>
        </w:rPr>
      </w:r>
      <w:r>
        <w:rPr/>
        <w:t>权投资的账面价值并计入资本公积。在确认应享有被投资单位净损益的份额时，以取得投资</w:t>
      </w:r>
      <w:r>
        <w:rPr>
          <w:spacing w:val="-91"/>
        </w:rPr>
        <w:t> </w:t>
      </w:r>
      <w:r>
        <w:rPr>
          <w:spacing w:val="-91"/>
        </w:rPr>
      </w:r>
      <w:r>
        <w:rPr>
          <w:spacing w:val="-2"/>
        </w:rPr>
        <w:t>时被投资单位各项可辨认资产等的公允价值为基础，对被投资单位的净利润进行调整后确认。</w:t>
      </w:r>
      <w:r>
        <w:rPr/>
        <w:t> 被投资单位采用的会计政策及会计期间与本公司不一致的，按照本公司的会计政策及会计期</w:t>
      </w:r>
      <w:r>
        <w:rPr>
          <w:spacing w:val="-91"/>
        </w:rPr>
        <w:t> </w:t>
      </w:r>
      <w:r>
        <w:rPr>
          <w:spacing w:val="-91"/>
        </w:rPr>
      </w:r>
      <w:r>
        <w:rPr/>
        <w:t>间对被投资单位的财务报表进行调整，并据以确认投资收益和其他综合收益。对于本公司与</w:t>
      </w:r>
      <w:r>
        <w:rPr>
          <w:spacing w:val="-91"/>
        </w:rPr>
        <w:t> </w:t>
      </w:r>
      <w:r>
        <w:rPr>
          <w:spacing w:val="-91"/>
        </w:rPr>
      </w:r>
      <w:r>
        <w:rPr/>
        <w:t>联营企业及合营企业之间发生的交易，投出或出售的资产不构成业务的，未实现内部交易损</w:t>
      </w:r>
      <w:r>
        <w:rPr>
          <w:spacing w:val="-91"/>
        </w:rPr>
        <w:t> </w:t>
      </w:r>
      <w:r>
        <w:rPr>
          <w:spacing w:val="-91"/>
        </w:rPr>
      </w:r>
      <w:r>
        <w:rPr/>
        <w:t>益按照享有的比例计算归属于本公司的部分予以抵销，在此基础上确认投资损益。但本公司</w:t>
      </w:r>
      <w:r>
        <w:rPr>
          <w:spacing w:val="-91"/>
        </w:rPr>
        <w:t> </w:t>
      </w:r>
      <w:r>
        <w:rPr>
          <w:spacing w:val="-91"/>
        </w:rPr>
      </w:r>
      <w:r>
        <w:rPr/>
        <w:t>与被投资单位发生的未实现内部交易损失，属于所转让资产减值损失的，不予以抵销。本公</w:t>
      </w:r>
      <w:r>
        <w:rPr>
          <w:spacing w:val="-91"/>
        </w:rPr>
        <w:t> </w:t>
      </w:r>
      <w:r>
        <w:rPr>
          <w:spacing w:val="-91"/>
        </w:rPr>
      </w:r>
      <w:r>
        <w:rPr/>
        <w:t>司向合营企业或联营企业投出的资产构成业务的，投资方因此取得长期股权投资但未取得控</w:t>
      </w:r>
      <w:r>
        <w:rPr>
          <w:spacing w:val="-91"/>
        </w:rPr>
        <w:t> </w:t>
      </w:r>
      <w:r>
        <w:rPr>
          <w:spacing w:val="-91"/>
        </w:rPr>
      </w:r>
      <w:r>
        <w:rPr/>
        <w:t>制权的，以投出业务的公允价值作为新增长期股权投资的初始投资成本，初始投资成本与投</w:t>
      </w:r>
      <w:r>
        <w:rPr>
          <w:spacing w:val="-91"/>
        </w:rPr>
        <w:t> </w:t>
      </w:r>
      <w:r>
        <w:rPr>
          <w:spacing w:val="-91"/>
        </w:rPr>
      </w:r>
      <w:r>
        <w:rPr/>
        <w:t>出业务的账面价值之差，全额计入当期损益。本公司向合营企业或联营企业出售的资产构成</w:t>
      </w:r>
      <w:r>
        <w:rPr>
          <w:spacing w:val="-91"/>
        </w:rPr>
        <w:t> </w:t>
      </w:r>
      <w:r>
        <w:rPr>
          <w:spacing w:val="-91"/>
        </w:rPr>
      </w:r>
      <w:r>
        <w:rPr/>
        <w:t>业务的，取得的对价与业务的账面价值之差，全额计入当期损益。本公司自联营企业及合营</w:t>
      </w:r>
      <w:r>
        <w:rPr>
          <w:spacing w:val="-91"/>
        </w:rPr>
        <w:t> </w:t>
      </w:r>
      <w:r>
        <w:rPr>
          <w:spacing w:val="-91"/>
        </w:rPr>
      </w:r>
      <w:r>
        <w:rPr>
          <w:spacing w:val="-2"/>
        </w:rPr>
        <w:t>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w:t>
      </w:r>
      <w:r>
        <w:rPr/>
        <w:t> 全额确认与交易相关的利得或损失。</w:t>
      </w:r>
    </w:p>
    <w:p>
      <w:pPr>
        <w:pStyle w:val="BodyText"/>
        <w:spacing w:line="237" w:lineRule="auto" w:before="1"/>
        <w:ind w:right="239" w:firstLine="480"/>
        <w:jc w:val="right"/>
      </w:pPr>
      <w:r>
        <w:rPr/>
        <w:t>在确认应分担被投资单位发生的净亏损时，以长期股权投资的账面价值和其他实质上构 成对被投资单位净投资的长期权益减记至零为限。此外，如本公司对被投资单位负有承担额</w:t>
      </w:r>
      <w:r>
        <w:rPr>
          <w:spacing w:val="-100"/>
        </w:rPr>
        <w:t> </w:t>
      </w:r>
      <w:r>
        <w:rPr>
          <w:spacing w:val="-100"/>
        </w:rPr>
      </w:r>
      <w:r>
        <w:rPr/>
        <w:t>外损失的义务，则按预计承担的义务确认预计负债，计入当期投资损失。被投资单位以后期</w:t>
      </w:r>
      <w:r>
        <w:rPr>
          <w:spacing w:val="-100"/>
        </w:rPr>
        <w:t> </w:t>
      </w:r>
      <w:r>
        <w:rPr>
          <w:spacing w:val="-100"/>
        </w:rPr>
      </w:r>
      <w:r>
        <w:rPr/>
        <w:t>间实现净利润的，本公司在收益分享额弥补未确认的亏损分担额后，恢复确认收益分享额。 </w:t>
      </w:r>
      <w:r>
        <w:rPr>
          <w:spacing w:val="6"/>
        </w:rPr>
        <w:t>对于本公司首次执行新会计准则之前已经持有的对联营企业和合营企业的长期股权投</w:t>
      </w:r>
    </w:p>
    <w:p>
      <w:pPr>
        <w:pStyle w:val="BodyText"/>
        <w:spacing w:line="311" w:lineRule="exact"/>
        <w:ind w:right="0"/>
        <w:jc w:val="left"/>
      </w:pPr>
      <w:r>
        <w:rPr>
          <w:spacing w:val="-2"/>
        </w:rPr>
        <w:t>资，如存在与该投资相关的股权投资借方差额，按原剩余期限直线摊销的金额计入当期损益。</w:t>
      </w:r>
    </w:p>
    <w:p>
      <w:pPr>
        <w:pStyle w:val="BodyText"/>
        <w:spacing w:line="312" w:lineRule="exact" w:before="29"/>
        <w:ind w:left="633" w:right="98"/>
        <w:jc w:val="left"/>
      </w:pPr>
      <w:r>
        <w:rPr/>
        <w:t>③收购少数股权 在编制合并财务报表时，因购买少数股权新增的长期股权投资与按照新增持股比例计算</w:t>
      </w:r>
    </w:p>
    <w:p>
      <w:pPr>
        <w:pStyle w:val="BodyText"/>
        <w:spacing w:line="312" w:lineRule="exact"/>
        <w:ind w:right="98"/>
        <w:jc w:val="left"/>
      </w:pPr>
      <w:r>
        <w:rPr>
          <w:spacing w:val="-3"/>
        </w:rPr>
        <w:t>应享有子公司自购买日（或合并日）开始持续计算的净资产份额之间的差额，调整资本公积，</w:t>
      </w:r>
      <w:r>
        <w:rPr>
          <w:spacing w:val="-81"/>
        </w:rPr>
        <w:t> </w:t>
      </w:r>
      <w:r>
        <w:rPr>
          <w:spacing w:val="-81"/>
        </w:rPr>
      </w:r>
      <w:r>
        <w:rPr/>
        <w:t>资本公积不足冲减的，调整留存收益。</w:t>
      </w:r>
    </w:p>
    <w:p>
      <w:pPr>
        <w:pStyle w:val="BodyText"/>
        <w:spacing w:line="312" w:lineRule="exact"/>
        <w:ind w:left="633" w:right="98"/>
        <w:jc w:val="left"/>
      </w:pPr>
      <w:r>
        <w:rPr/>
        <w:t>④处置长期股权投资 </w:t>
      </w:r>
      <w:r>
        <w:rPr>
          <w:spacing w:val="-3"/>
        </w:rPr>
        <w:t>在合并财务报表中，母公司在不丧失控制权的情况下部分处置对子公司的长期股权投资，</w:t>
      </w:r>
    </w:p>
    <w:p>
      <w:pPr>
        <w:pStyle w:val="BodyText"/>
        <w:spacing w:line="283" w:lineRule="exact"/>
        <w:ind w:right="98"/>
        <w:jc w:val="left"/>
      </w:pPr>
      <w:r>
        <w:rPr/>
        <w:t>处置价款与处置长期股权投资相对应享有子公司净资产的差额计入股东权益；母公司部分处</w:t>
      </w:r>
    </w:p>
    <w:p>
      <w:pPr>
        <w:pStyle w:val="BodyText"/>
        <w:spacing w:line="312" w:lineRule="exact" w:before="30"/>
        <w:ind w:right="98"/>
        <w:jc w:val="left"/>
      </w:pPr>
      <w:r>
        <w:rPr/>
        <w:t>置对子公司的长期股权投资导致丧失对子公司控制权的，按</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w:t>
      </w:r>
      <w:r>
        <w:rPr>
          <w:spacing w:val="-59"/>
        </w:rPr>
        <w:t> </w:t>
      </w:r>
      <w:r>
        <w:rPr/>
        <w:t>述的相关会计政策处理。</w:t>
      </w:r>
    </w:p>
    <w:p>
      <w:pPr>
        <w:pStyle w:val="BodyText"/>
        <w:spacing w:line="312" w:lineRule="exact"/>
        <w:ind w:right="98" w:firstLine="480"/>
        <w:jc w:val="left"/>
      </w:pPr>
      <w:r>
        <w:rPr>
          <w:spacing w:val="-3"/>
        </w:rPr>
        <w:t>其他情形下的长期股权投资处置，对于处置的股权，其账面价值与实际取得价款的差额，</w:t>
      </w:r>
      <w:r>
        <w:rPr/>
        <w:t> 计入当期损益。</w:t>
      </w:r>
    </w:p>
    <w:p>
      <w:pPr>
        <w:pStyle w:val="BodyText"/>
        <w:spacing w:line="312" w:lineRule="exact"/>
        <w:ind w:right="239" w:firstLine="480"/>
        <w:jc w:val="both"/>
      </w:pPr>
      <w:r>
        <w:rPr/>
        <w:t>采用权益法核算的长期股权投资，处置后的剩余股权仍采用权益法核算的，在处置时将 原计入股东权益的其他综合收益部分按相应的比例采用与被投资单位直接处置相关资产或负</w:t>
      </w:r>
      <w:r>
        <w:rPr>
          <w:spacing w:val="-91"/>
        </w:rPr>
        <w:t> </w:t>
      </w:r>
      <w:r>
        <w:rPr>
          <w:spacing w:val="-91"/>
        </w:rPr>
      </w:r>
      <w:r>
        <w:rPr/>
        <w:t>债相同的基础进行会计处理。因被投资方除净损益、其他综合收益和利润分配以外的其他所</w:t>
      </w:r>
      <w:r>
        <w:rPr>
          <w:spacing w:val="-91"/>
        </w:rPr>
        <w:t> </w:t>
      </w:r>
      <w:r>
        <w:rPr>
          <w:spacing w:val="-91"/>
        </w:rPr>
      </w:r>
      <w:r>
        <w:rPr/>
        <w:t>有者权益变动而确认的所有者权益，按比例结转入当期损益。</w:t>
      </w:r>
    </w:p>
    <w:p>
      <w:pPr>
        <w:pStyle w:val="BodyText"/>
        <w:spacing w:line="312" w:lineRule="exact"/>
        <w:ind w:right="237" w:firstLine="480"/>
        <w:jc w:val="both"/>
      </w:pPr>
      <w:r>
        <w:rPr/>
        <w:t>采用成本法核算的长期股权投资，处置后剩余股权仍采用成本法核算的，其在取得对被 投资单位的控制之前因采用权益法核算或金融工具确认和计量准则核算而确认的其他综合收</w:t>
      </w:r>
      <w:r>
        <w:rPr>
          <w:spacing w:val="-90"/>
        </w:rPr>
        <w:t> </w:t>
      </w:r>
      <w:r>
        <w:rPr>
          <w:spacing w:val="-90"/>
        </w:rPr>
      </w:r>
      <w:r>
        <w:rPr/>
        <w:t>益，采用与被投资单位直接处置相关资产或负债相同的基础进行会计处理，并按比例结转当</w:t>
      </w:r>
    </w:p>
    <w:p>
      <w:pPr>
        <w:pStyle w:val="BodyText"/>
        <w:spacing w:line="312" w:lineRule="exact"/>
        <w:ind w:right="98"/>
        <w:jc w:val="left"/>
      </w:pPr>
      <w:r>
        <w:rPr/>
        <w:t>期损益；因采用权益法核算而确认的被投资单位净资产中除净损益、其他综合收益和利润分</w:t>
      </w:r>
      <w:r>
        <w:rPr>
          <w:spacing w:val="-91"/>
        </w:rPr>
        <w:t> </w:t>
      </w:r>
      <w:r>
        <w:rPr>
          <w:spacing w:val="-91"/>
        </w:rPr>
      </w:r>
      <w:r>
        <w:rPr/>
        <w:t>配以外的其他所有者权益变动按比例结转当期损益。</w:t>
      </w:r>
    </w:p>
    <w:p>
      <w:pPr>
        <w:pStyle w:val="BodyText"/>
        <w:spacing w:line="283" w:lineRule="exact"/>
        <w:ind w:left="633" w:right="98"/>
        <w:jc w:val="left"/>
      </w:pPr>
      <w:r>
        <w:rPr/>
        <w:t>本公司因处置部分股权投资丧失了对被投资单位的控制的，在编制个别财务报表时，处</w:t>
      </w:r>
    </w:p>
    <w:p>
      <w:pPr>
        <w:spacing w:after="0" w:line="283" w:lineRule="exact"/>
        <w:jc w:val="left"/>
        <w:sectPr>
          <w:pgSz w:w="11910" w:h="16840"/>
          <w:pgMar w:header="745" w:footer="979" w:top="1060" w:bottom="1160" w:left="980" w:right="900"/>
        </w:sectPr>
      </w:pPr>
    </w:p>
    <w:p>
      <w:pPr>
        <w:spacing w:line="240" w:lineRule="auto" w:before="6"/>
        <w:rPr>
          <w:rFonts w:ascii="宋体" w:hAnsi="宋体" w:cs="宋体" w:eastAsia="宋体" w:hint="default"/>
          <w:sz w:val="23"/>
          <w:szCs w:val="23"/>
        </w:rPr>
      </w:pPr>
    </w:p>
    <w:p>
      <w:pPr>
        <w:pStyle w:val="BodyText"/>
        <w:spacing w:line="237" w:lineRule="auto" w:before="28"/>
        <w:ind w:right="155"/>
        <w:jc w:val="both"/>
      </w:pPr>
      <w:r>
        <w:rPr/>
        <w:t>置后的剩余股权能够对被投资单位实施共同控制或施加重大影响的，改按权益法核算，并对</w:t>
      </w:r>
      <w:r>
        <w:rPr>
          <w:spacing w:val="-91"/>
        </w:rPr>
        <w:t> </w:t>
      </w:r>
      <w:r>
        <w:rPr>
          <w:spacing w:val="-91"/>
        </w:rPr>
      </w:r>
      <w:r>
        <w:rPr/>
        <w:t>该剩余股权视同自取得时即采用权益法核算进行调整；处置后的剩余股权不能对被投资单位</w:t>
      </w:r>
      <w:r>
        <w:rPr>
          <w:spacing w:val="-91"/>
        </w:rPr>
        <w:t> </w:t>
      </w:r>
      <w:r>
        <w:rPr>
          <w:spacing w:val="-91"/>
        </w:rPr>
      </w:r>
      <w:r>
        <w:rPr/>
        <w:t>实施共同控制或施加重大影响的，改按金融工具确认和计量准则的有关规定进行会计处理，</w:t>
      </w:r>
      <w:r>
        <w:rPr>
          <w:spacing w:val="-90"/>
        </w:rPr>
        <w:t> </w:t>
      </w:r>
      <w:r>
        <w:rPr>
          <w:spacing w:val="-90"/>
        </w:rPr>
      </w:r>
      <w:r>
        <w:rPr/>
        <w:t>其在丧失控制之日的公允价值与账面价值之间的差额计入当期损益。对于本公司取得对被投</w:t>
      </w:r>
      <w:r>
        <w:rPr>
          <w:spacing w:val="-91"/>
        </w:rPr>
        <w:t> </w:t>
      </w:r>
      <w:r>
        <w:rPr>
          <w:spacing w:val="-91"/>
        </w:rPr>
      </w:r>
      <w:r>
        <w:rPr/>
        <w:t>资单位的控制之前，因采用权益法核算或金融工具确认和计量准则核算而确认的其他综合收</w:t>
      </w:r>
      <w:r>
        <w:rPr>
          <w:spacing w:val="-91"/>
        </w:rPr>
        <w:t> </w:t>
      </w:r>
      <w:r>
        <w:rPr>
          <w:spacing w:val="-91"/>
        </w:rPr>
      </w:r>
      <w:r>
        <w:rPr/>
        <w:t>益，在丧失对被投资单位控制时采用与被投资单位直接处置相关资产或负债相同的基础进行</w:t>
      </w:r>
      <w:r>
        <w:rPr>
          <w:spacing w:val="-91"/>
        </w:rPr>
        <w:t> </w:t>
      </w:r>
      <w:r>
        <w:rPr>
          <w:spacing w:val="-91"/>
        </w:rPr>
      </w:r>
      <w:r>
        <w:rPr/>
        <w:t>会计处理，因采用权益法核算而确认的被投资单位净资产中除净损益、其他综合收益和利润</w:t>
      </w:r>
      <w:r>
        <w:rPr>
          <w:spacing w:val="-91"/>
        </w:rPr>
        <w:t> </w:t>
      </w:r>
      <w:r>
        <w:rPr>
          <w:spacing w:val="-91"/>
        </w:rPr>
      </w:r>
      <w:r>
        <w:rPr/>
        <w:t>分配以外的其他所有者权益变动在丧失对被投资单位控制时结转入当期损益。其中，处置后</w:t>
      </w:r>
      <w:r>
        <w:rPr>
          <w:spacing w:val="-91"/>
        </w:rPr>
        <w:t> </w:t>
      </w:r>
      <w:r>
        <w:rPr>
          <w:spacing w:val="-91"/>
        </w:rPr>
      </w:r>
      <w:r>
        <w:rPr/>
        <w:t>的剩余股权采用权益法核算的，其他综合收益和其他所有者权益按比例结转；处置后的剩余</w:t>
      </w:r>
      <w:r>
        <w:rPr>
          <w:spacing w:val="-88"/>
        </w:rPr>
        <w:t> </w:t>
      </w:r>
      <w:r>
        <w:rPr>
          <w:spacing w:val="-88"/>
        </w:rPr>
      </w:r>
      <w:r>
        <w:rPr/>
        <w:t>股权改按金融工具确认和计量准则进行会计处理的，其他综合收益和其他所有者权益全部结</w:t>
      </w:r>
      <w:r>
        <w:rPr>
          <w:spacing w:val="-91"/>
        </w:rPr>
        <w:t> </w:t>
      </w:r>
      <w:r>
        <w:rPr>
          <w:spacing w:val="-91"/>
        </w:rPr>
      </w:r>
      <w:r>
        <w:rPr/>
        <w:t>转。</w:t>
      </w:r>
    </w:p>
    <w:p>
      <w:pPr>
        <w:pStyle w:val="BodyText"/>
        <w:spacing w:line="312" w:lineRule="exact" w:before="29"/>
        <w:ind w:right="153" w:firstLine="480"/>
        <w:jc w:val="both"/>
      </w:pPr>
      <w:r>
        <w:rPr/>
        <w:t>本公司因处置部分股权投资丧失了对被投资单位的共同控制或重大影响的，处置后的剩 余股权改按金融工具确认和计量准则核算，其在丧失共同控制或重大影响之日的公允价值与</w:t>
      </w:r>
      <w:r>
        <w:rPr>
          <w:spacing w:val="-91"/>
        </w:rPr>
        <w:t> </w:t>
      </w:r>
      <w:r>
        <w:rPr>
          <w:spacing w:val="-91"/>
        </w:rPr>
      </w:r>
      <w:r>
        <w:rPr/>
        <w:t>账面价值之间的差额计入当期损益。原股权投资因采用权益法核算而确认的其他综合收益，</w:t>
      </w:r>
      <w:r>
        <w:rPr>
          <w:spacing w:val="-91"/>
        </w:rPr>
        <w:t> </w:t>
      </w:r>
      <w:r>
        <w:rPr>
          <w:spacing w:val="-91"/>
        </w:rPr>
      </w:r>
      <w:r>
        <w:rPr/>
        <w:t>在终止采用权益法核算时采用与被投资单位直接处置相关资产或负债相同的基础进行会计处</w:t>
      </w:r>
      <w:r>
        <w:rPr>
          <w:spacing w:val="-91"/>
        </w:rPr>
        <w:t> </w:t>
      </w:r>
      <w:r>
        <w:rPr>
          <w:spacing w:val="-91"/>
        </w:rPr>
      </w:r>
      <w:r>
        <w:rPr/>
        <w:t>理，因被投资方除净损益、其他综合收益和利润分配以外的其他所有者权益变动而确认的所</w:t>
      </w:r>
      <w:r>
        <w:rPr>
          <w:spacing w:val="-86"/>
        </w:rPr>
        <w:t> </w:t>
      </w:r>
      <w:r>
        <w:rPr>
          <w:spacing w:val="-86"/>
        </w:rPr>
      </w:r>
      <w:r>
        <w:rPr/>
        <w:t>有者权益，在终止采用权益法时全部转入当期投资收益。</w:t>
      </w:r>
    </w:p>
    <w:p>
      <w:pPr>
        <w:pStyle w:val="BodyText"/>
        <w:spacing w:line="312" w:lineRule="exact"/>
        <w:ind w:right="151" w:firstLine="480"/>
        <w:jc w:val="both"/>
      </w:pPr>
      <w:r>
        <w:rPr/>
        <w:t>本公司通过多次交易分步处置对子公司股权投资直至丧失控制权，如果上述交易属于一 揽子交易的，将各项交易作为一项处置子公司股权投资并丧失控制权的交易进行会计处理，</w:t>
      </w:r>
      <w:r>
        <w:rPr>
          <w:spacing w:val="-91"/>
        </w:rPr>
        <w:t> </w:t>
      </w:r>
      <w:r>
        <w:rPr>
          <w:spacing w:val="-91"/>
        </w:rPr>
      </w:r>
      <w:r>
        <w:rPr>
          <w:spacing w:val="6"/>
        </w:rPr>
        <w:t>在丧失控制权之前每一次处置价款与所处置的股权对应的长期股权投资账面价值之间的差</w:t>
      </w:r>
    </w:p>
    <w:p>
      <w:pPr>
        <w:pStyle w:val="BodyText"/>
        <w:spacing w:line="284" w:lineRule="exact"/>
        <w:ind w:right="0"/>
        <w:jc w:val="both"/>
      </w:pPr>
      <w:r>
        <w:rPr/>
        <w:t>额，先确认为其他综合收益，到丧失控制权时再一并转入丧失控制权的当期损益。</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16" w:lineRule="auto" w:before="0"/>
        <w:ind w:left="152" w:right="151" w:firstLine="0"/>
        <w:jc w:val="both"/>
        <w:rPr>
          <w:rFonts w:ascii="宋体" w:hAnsi="宋体" w:cs="宋体" w:eastAsia="宋体" w:hint="default"/>
          <w:sz w:val="18"/>
          <w:szCs w:val="18"/>
        </w:rPr>
      </w:pPr>
      <w:r>
        <w:rPr>
          <w:rFonts w:ascii="宋体" w:hAnsi="宋体" w:cs="宋体" w:eastAsia="宋体" w:hint="default"/>
          <w:spacing w:val="-2"/>
          <w:sz w:val="18"/>
          <w:szCs w:val="18"/>
        </w:rPr>
        <w:t>固定资产是指为生产商品、提供劳务、出租或经营管理而持有的，使用寿命超过一个会计年度的有形资产。固定资产仅在与</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其有关的经济利益很可能流入本公司，且其成本能够可靠地计量时才予以确认。固定资产按成本并考虑预计弃置费用因素的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影响进行初始计量。</w:t>
      </w:r>
    </w:p>
    <w:p>
      <w:pPr>
        <w:spacing w:line="240" w:lineRule="auto" w:before="11"/>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5"/>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9.5-19%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3"/>
        <w:rPr>
          <w:rFonts w:ascii="宋体" w:hAnsi="宋体" w:cs="宋体" w:eastAsia="宋体" w:hint="default"/>
          <w:b/>
          <w:bCs/>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16" w:lineRule="auto" w:before="0"/>
        <w:ind w:left="152" w:right="144" w:firstLine="0"/>
        <w:jc w:val="left"/>
        <w:rPr>
          <w:rFonts w:ascii="宋体" w:hAnsi="宋体" w:cs="宋体" w:eastAsia="宋体" w:hint="default"/>
          <w:sz w:val="18"/>
          <w:szCs w:val="18"/>
        </w:rPr>
      </w:pPr>
      <w:r>
        <w:rPr>
          <w:rFonts w:ascii="宋体" w:hAnsi="宋体" w:cs="宋体" w:eastAsia="宋体" w:hint="default"/>
          <w:spacing w:val="-2"/>
          <w:sz w:val="18"/>
          <w:szCs w:val="18"/>
        </w:rPr>
        <w:t>融资租赁为实质上转移了与资产所有权有关的全部风险和报酬的租赁，其所有权最终可能转移，也可能不转移。以融资租赁</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方式租入的固定资产采用与自有固定资产一致的政策计提租赁资产折旧。能够合理确定租赁期届满时取得租赁资产所有权的</w:t>
      </w:r>
    </w:p>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line="316" w:lineRule="auto" w:before="44"/>
        <w:ind w:left="472" w:right="96" w:firstLine="0"/>
        <w:jc w:val="left"/>
        <w:rPr>
          <w:rFonts w:ascii="宋体" w:hAnsi="宋体" w:cs="宋体" w:eastAsia="宋体" w:hint="default"/>
          <w:sz w:val="18"/>
          <w:szCs w:val="18"/>
        </w:rPr>
      </w:pPr>
      <w:r>
        <w:rPr>
          <w:rFonts w:ascii="宋体" w:hAnsi="宋体" w:cs="宋体" w:eastAsia="宋体" w:hint="default"/>
          <w:spacing w:val="-2"/>
          <w:sz w:val="18"/>
          <w:szCs w:val="18"/>
        </w:rPr>
        <w:t>在租赁资产使用寿命内计提折旧，无法合理确定租赁期届满能够取得租赁资产所有权的，在租赁期与租赁资产使用寿命两者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中较短的期间内计提折旧。</w:t>
      </w:r>
    </w:p>
    <w:p>
      <w:pPr>
        <w:spacing w:line="240" w:lineRule="auto" w:before="10"/>
        <w:rPr>
          <w:rFonts w:ascii="宋体" w:hAnsi="宋体" w:cs="宋体" w:eastAsia="宋体" w:hint="default"/>
          <w:sz w:val="22"/>
          <w:szCs w:val="22"/>
        </w:rPr>
      </w:pPr>
    </w:p>
    <w:p>
      <w:pPr>
        <w:spacing w:before="0"/>
        <w:ind w:left="47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left="472" w:right="239" w:firstLine="480"/>
        <w:jc w:val="both"/>
      </w:pPr>
      <w:r>
        <w:rPr/>
        <w:t>在建工程成本按实际工程支出确定，包括在建期间发生的各项工程支出、工程达到预定 可使用状态前的资本化的借款费用以及其他相关费用等。在建工程在达到预定可使用状态后</w:t>
      </w:r>
      <w:r>
        <w:rPr>
          <w:spacing w:val="-91"/>
        </w:rPr>
        <w:t> </w:t>
      </w:r>
      <w:r>
        <w:rPr>
          <w:spacing w:val="-91"/>
        </w:rPr>
      </w:r>
      <w:r>
        <w:rPr/>
        <w:t>结转为固定资产。</w:t>
      </w:r>
    </w:p>
    <w:p>
      <w:pPr>
        <w:pStyle w:val="BodyText"/>
        <w:tabs>
          <w:tab w:pos="472" w:val="left" w:leader="none"/>
        </w:tabs>
        <w:spacing w:line="302" w:lineRule="exact"/>
        <w:ind w:left="112" w:right="96"/>
        <w:jc w:val="left"/>
      </w:pPr>
      <w:r>
        <w:rPr>
          <w:rFonts w:ascii="宋体" w:hAnsi="宋体" w:cs="宋体" w:eastAsia="宋体" w:hint="default"/>
        </w:rPr>
        <w:t>3</w:t>
        <w:tab/>
      </w:r>
      <w:r>
        <w:rPr/>
        <w:t>在建工程的减值测试方法和减值准备计提方法详见</w:t>
      </w:r>
      <w:r>
        <w:rPr>
          <w:rFonts w:ascii="Times New Roman" w:hAnsi="Times New Roman" w:cs="Times New Roman" w:eastAsia="Times New Roman" w:hint="default"/>
        </w:rPr>
        <w:t>“</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spacing w:before="0"/>
        <w:ind w:left="47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left="472" w:right="239" w:firstLine="480"/>
        <w:jc w:val="both"/>
      </w:pPr>
      <w:r>
        <w:rPr/>
        <w:t>借款费用包括借款利息、折价或溢价的摊销、辅助费用以及因外币借款而发生的汇兑差 额等。可直接归属于符合资本化条件的资产的购建或者生产的借款费用，在资产支出已经发</w:t>
      </w:r>
      <w:r>
        <w:rPr>
          <w:spacing w:val="-91"/>
        </w:rPr>
        <w:t> </w:t>
      </w:r>
      <w:r>
        <w:rPr>
          <w:spacing w:val="-91"/>
        </w:rPr>
      </w:r>
      <w:r>
        <w:rPr/>
        <w:t>生、借款费用已经发生、为使资产达到预定可使用或可销售状态所必要的购建或生产活动已</w:t>
      </w:r>
      <w:r>
        <w:rPr>
          <w:spacing w:val="-91"/>
        </w:rPr>
        <w:t> </w:t>
      </w:r>
      <w:r>
        <w:rPr>
          <w:spacing w:val="-91"/>
        </w:rPr>
      </w:r>
      <w:r>
        <w:rPr/>
        <w:t>经开始时，开始资本化；构建或者生产的符合资本化条件的资产达到预定可使用状态或者可</w:t>
      </w:r>
      <w:r>
        <w:rPr>
          <w:spacing w:val="-91"/>
        </w:rPr>
        <w:t> </w:t>
      </w:r>
      <w:r>
        <w:rPr>
          <w:spacing w:val="-91"/>
        </w:rPr>
      </w:r>
      <w:r>
        <w:rPr/>
        <w:t>销售状态时，停止资本化。其余借款费用在发生当期确认为费用。</w:t>
      </w:r>
    </w:p>
    <w:p>
      <w:pPr>
        <w:pStyle w:val="BodyText"/>
        <w:spacing w:line="312" w:lineRule="exact"/>
        <w:ind w:left="472" w:right="236" w:firstLine="480"/>
        <w:jc w:val="both"/>
      </w:pPr>
      <w:r>
        <w:rPr/>
        <w:t>专门借款当期实际发生的利息费用，减去尚未动用的借款资金存入银行取得的利息收入 或进行暂时性投资取得的投资收益后的金额予以资本化；一般借款根据累计资产支出超过专</w:t>
      </w:r>
      <w:r>
        <w:rPr>
          <w:spacing w:val="-91"/>
        </w:rPr>
        <w:t> </w:t>
      </w:r>
      <w:r>
        <w:rPr>
          <w:spacing w:val="-91"/>
        </w:rPr>
      </w:r>
      <w:r>
        <w:rPr/>
        <w:t>门借款部分的资产支出加权平均数乘以所占用一般借款的资本化率，确定资本化金额。资本</w:t>
      </w:r>
    </w:p>
    <w:p>
      <w:pPr>
        <w:pStyle w:val="BodyText"/>
        <w:spacing w:line="312" w:lineRule="exact"/>
        <w:ind w:left="953" w:right="96" w:hanging="481"/>
        <w:jc w:val="left"/>
      </w:pPr>
      <w:r>
        <w:rPr/>
        <w:t>化率根据一般借款的加权平均利率计算确定。 资本化期间内，外币专门借款的汇兑差额全部予以资本化；外币一般借款的汇兑差额计</w:t>
      </w:r>
    </w:p>
    <w:p>
      <w:pPr>
        <w:pStyle w:val="BodyText"/>
        <w:spacing w:line="282" w:lineRule="exact"/>
        <w:ind w:left="472" w:right="96"/>
        <w:jc w:val="left"/>
      </w:pPr>
      <w:r>
        <w:rPr/>
        <w:t>入当期损益。</w:t>
      </w:r>
    </w:p>
    <w:p>
      <w:pPr>
        <w:pStyle w:val="BodyText"/>
        <w:spacing w:line="312" w:lineRule="exact" w:before="29"/>
        <w:ind w:left="472" w:right="96" w:firstLine="480"/>
        <w:jc w:val="left"/>
      </w:pPr>
      <w:r>
        <w:rPr/>
        <w:t>符合资本化条件的资产指需要经过相当长时间的购建或者生产活动才能达到预定可使用 或可销售状态的固定资产、投资性房地产和存货等资产。 </w:t>
      </w:r>
      <w:r>
        <w:rPr>
          <w:spacing w:val="3"/>
        </w:rPr>
        <w:t>如果符合资本化条件的资产在购建或生产过程中发生非正常中断、并且中断时间连续超过</w:t>
      </w:r>
      <w:r>
        <w:rPr>
          <w:rFonts w:ascii="Times New Roman" w:hAnsi="Times New Roman" w:cs="Times New Roman" w:eastAsia="Times New Roman" w:hint="default"/>
          <w:spacing w:val="3"/>
        </w:rPr>
        <w:t>3</w:t>
      </w:r>
      <w:r>
        <w:rPr>
          <w:rFonts w:ascii="Times New Roman" w:hAnsi="Times New Roman" w:cs="Times New Roman" w:eastAsia="Times New Roman" w:hint="default"/>
          <w:spacing w:val="-36"/>
        </w:rPr>
        <w:t> </w:t>
      </w:r>
      <w:r>
        <w:rPr/>
        <w:t>个月的，暂停借款费用的资本化，直至资产的购建或生产活动重新开始。</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spacing w:before="0"/>
        <w:ind w:left="47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47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left="472" w:right="239" w:firstLine="480"/>
        <w:jc w:val="both"/>
      </w:pPr>
      <w:r>
        <w:rPr/>
        <w:t>无形资产按成本进行初始计量。与无形资产有关的支出，如果相关的经济利益很可能流 入本公司且其成本能可靠地计量，则计入无形资产成本。除此以外的其他项目的支出，在发</w:t>
      </w:r>
      <w:r>
        <w:rPr>
          <w:spacing w:val="-91"/>
        </w:rPr>
        <w:t> </w:t>
      </w:r>
      <w:r>
        <w:rPr>
          <w:spacing w:val="-91"/>
        </w:rPr>
      </w:r>
      <w:r>
        <w:rPr/>
        <w:t>生时计入当期损益。</w:t>
      </w:r>
    </w:p>
    <w:p>
      <w:pPr>
        <w:pStyle w:val="BodyText"/>
        <w:spacing w:line="312" w:lineRule="exact"/>
        <w:ind w:left="472" w:right="96" w:firstLine="480"/>
        <w:jc w:val="left"/>
      </w:pPr>
      <w:r>
        <w:rPr/>
        <w:t>取得的土地使用权通常作为无形资产核算。自行开发建造厂房等建筑物，相关的土地使 </w:t>
      </w:r>
      <w:r>
        <w:rPr>
          <w:spacing w:val="-2"/>
        </w:rPr>
        <w:t>用权支出和建筑物建造成本则分别作为无形资产和固定资产核算。如为外购的房屋及建筑物，</w:t>
      </w:r>
      <w:r>
        <w:rPr/>
        <w:t> 则将有关价款在土地使用权和建筑物之间进行分配，难以合理分配的，全部作为固定资产处</w:t>
      </w:r>
      <w:r>
        <w:rPr>
          <w:spacing w:val="-86"/>
        </w:rPr>
        <w:t> </w:t>
      </w:r>
      <w:r>
        <w:rPr>
          <w:spacing w:val="-86"/>
        </w:rPr>
      </w:r>
      <w:r>
        <w:rPr/>
        <w:t>理。</w:t>
      </w:r>
    </w:p>
    <w:p>
      <w:pPr>
        <w:pStyle w:val="BodyText"/>
        <w:spacing w:line="312" w:lineRule="exact"/>
        <w:ind w:left="472" w:right="239" w:firstLine="480"/>
        <w:jc w:val="both"/>
      </w:pPr>
      <w:r>
        <w:rPr/>
        <w:t>使用寿命有限的无形资产自可供使用时起，对其原值减去预计净残值和已计提的减值准 备累计金额在其预计使用寿命内采用直线法分期平均摊销。使用寿命不确定的无形资产不予</w:t>
      </w:r>
      <w:r>
        <w:rPr>
          <w:spacing w:val="-91"/>
        </w:rPr>
        <w:t> </w:t>
      </w:r>
      <w:r>
        <w:rPr>
          <w:spacing w:val="-91"/>
        </w:rPr>
      </w:r>
      <w:r>
        <w:rPr/>
        <w:t>摊销。</w:t>
      </w:r>
    </w:p>
    <w:p>
      <w:pPr>
        <w:spacing w:after="0" w:line="312" w:lineRule="exact"/>
        <w:jc w:val="both"/>
        <w:sectPr>
          <w:pgSz w:w="11910" w:h="16840"/>
          <w:pgMar w:header="745" w:footer="979" w:top="1060" w:bottom="1160" w:left="660" w:right="900"/>
        </w:sectPr>
      </w:pPr>
    </w:p>
    <w:p>
      <w:pPr>
        <w:spacing w:line="240" w:lineRule="auto" w:before="6"/>
        <w:rPr>
          <w:rFonts w:ascii="宋体" w:hAnsi="宋体" w:cs="宋体" w:eastAsia="宋体" w:hint="default"/>
          <w:sz w:val="23"/>
          <w:szCs w:val="23"/>
        </w:rPr>
      </w:pPr>
    </w:p>
    <w:p>
      <w:pPr>
        <w:pStyle w:val="BodyText"/>
        <w:spacing w:line="312" w:lineRule="exact" w:before="56"/>
        <w:ind w:right="239" w:firstLine="480"/>
        <w:jc w:val="both"/>
      </w:pPr>
      <w:r>
        <w:rPr/>
        <w:t>期末，对使用寿命有限的无形资产的使用寿命和摊销方法进行复核，如发生变更则作为 会计估计变更处理。此外，还对使用寿命不确定的无形资产的使用寿命进行复核，如果有证</w:t>
      </w:r>
      <w:r>
        <w:rPr>
          <w:spacing w:val="-91"/>
        </w:rPr>
        <w:t> </w:t>
      </w:r>
      <w:r>
        <w:rPr>
          <w:spacing w:val="-91"/>
        </w:rPr>
      </w:r>
      <w:r>
        <w:rPr/>
        <w:t>据表明该无形资产为企业带来经济利益的期限是可预见的，则估计其使用寿命并按照使用寿</w:t>
      </w:r>
      <w:r>
        <w:rPr>
          <w:spacing w:val="-91"/>
        </w:rPr>
        <w:t> </w:t>
      </w:r>
      <w:r>
        <w:rPr>
          <w:spacing w:val="-91"/>
        </w:rPr>
      </w:r>
      <w:r>
        <w:rPr/>
        <w:t>命有限的无形资产的摊销政策进行摊销。</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spacing w:before="0"/>
        <w:ind w:left="152" w:right="643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left="633" w:right="98"/>
        <w:jc w:val="left"/>
      </w:pPr>
      <w:r>
        <w:rPr/>
        <w:t>研究阶段的支出，于发生时计入当期损益。 开发阶段的支出同时满足下列条件的，确认为无形资产，不能满足下述条件的开发阶段</w:t>
      </w:r>
    </w:p>
    <w:p>
      <w:pPr>
        <w:pStyle w:val="BodyText"/>
        <w:spacing w:line="283" w:lineRule="exact"/>
        <w:ind w:right="6434"/>
        <w:jc w:val="left"/>
      </w:pPr>
      <w:r>
        <w:rPr/>
        <w:t>的支出计入当期损益：</w:t>
      </w:r>
    </w:p>
    <w:p>
      <w:pPr>
        <w:pStyle w:val="BodyText"/>
        <w:spacing w:line="312" w:lineRule="exact"/>
        <w:ind w:left="633" w:right="98"/>
        <w:jc w:val="left"/>
      </w:pPr>
      <w:r>
        <w:rPr/>
        <w:t>①完成该无形资产以使其能够使用或出售在技术上具有可行性；</w:t>
      </w:r>
    </w:p>
    <w:p>
      <w:pPr>
        <w:pStyle w:val="BodyText"/>
        <w:spacing w:line="312" w:lineRule="exact"/>
        <w:ind w:left="633" w:right="98"/>
        <w:jc w:val="left"/>
      </w:pPr>
      <w:r>
        <w:rPr/>
        <w:t>②具有完成该无形资产并使用或出售的意图；</w:t>
      </w:r>
    </w:p>
    <w:p>
      <w:pPr>
        <w:pStyle w:val="BodyText"/>
        <w:spacing w:line="312" w:lineRule="exact" w:before="29"/>
        <w:ind w:right="240" w:firstLine="480"/>
        <w:jc w:val="both"/>
      </w:pPr>
      <w:r>
        <w:rPr/>
        <w:t>③无形资产产生经济利益的方式，包括能够证明运用该无形资产生产的产品存在市场或 无形资产自身存在市场，无形资产将在内部使用的，能够证明其有用性；</w:t>
      </w:r>
    </w:p>
    <w:p>
      <w:pPr>
        <w:pStyle w:val="BodyText"/>
        <w:spacing w:line="312" w:lineRule="exact"/>
        <w:ind w:right="240" w:firstLine="480"/>
        <w:jc w:val="both"/>
      </w:pPr>
      <w:r>
        <w:rPr/>
        <w:t>④有足够的技术、财务资源和其他资源支持，以完成该无形资产的开发，并有能力使用 或出售该无形资产；</w:t>
      </w:r>
    </w:p>
    <w:p>
      <w:pPr>
        <w:pStyle w:val="BodyText"/>
        <w:spacing w:line="312" w:lineRule="exact"/>
        <w:ind w:left="633" w:right="733"/>
        <w:jc w:val="left"/>
      </w:pPr>
      <w:r>
        <w:rPr/>
        <w:t>⑤归属于该无形资产开发阶段的支出能够可靠地计量。 无法区分研究阶段支出和开发阶段支出的，将发生的研发支出全部计入当期损益。</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spacing w:before="0"/>
        <w:ind w:left="152" w:right="75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、长期资产减值</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96" w:firstLine="480"/>
        <w:jc w:val="left"/>
      </w:pPr>
      <w:r>
        <w:rPr/>
        <w:t>对于固定资产、在建工程、使用寿命有限的无形资产、以成本模式计量的投资性房地产 及对子公司、合营企业、联营企业的长期股权投资等非流动非金融资产，本公司于资产负债</w:t>
      </w:r>
      <w:r>
        <w:rPr>
          <w:spacing w:val="-91"/>
        </w:rPr>
        <w:t> </w:t>
      </w:r>
      <w:r>
        <w:rPr>
          <w:spacing w:val="-91"/>
        </w:rPr>
      </w:r>
      <w:r>
        <w:rPr/>
        <w:t>表日判断是否存在减值迹象。如存在减值迹象的，则估计其可收回金额，进行减值测试。商</w:t>
      </w:r>
      <w:r>
        <w:rPr>
          <w:spacing w:val="-91"/>
        </w:rPr>
        <w:t> </w:t>
      </w:r>
      <w:r>
        <w:rPr>
          <w:spacing w:val="-91"/>
        </w:rPr>
      </w:r>
      <w:r>
        <w:rPr>
          <w:spacing w:val="-2"/>
        </w:rPr>
        <w:t>誉、使用寿命不确定的无形资产和尚未达到可使用状态的无形资产，无论是否存在减值迹象，</w:t>
      </w:r>
      <w:r>
        <w:rPr/>
        <w:t> 每年均进行减值测试。</w:t>
      </w:r>
    </w:p>
    <w:p>
      <w:pPr>
        <w:pStyle w:val="BodyText"/>
        <w:spacing w:line="312" w:lineRule="exact"/>
        <w:ind w:right="238" w:firstLine="480"/>
        <w:jc w:val="both"/>
      </w:pPr>
      <w:r>
        <w:rPr/>
        <w:t>减值测试结果表明资产的可收回金额低于其账面价值的，按其差额计提减值准备并计入 减值损失。可收回金额为资产的公允价值减去处置费用后的净额与资产预计未来现金流量的</w:t>
      </w:r>
      <w:r>
        <w:rPr>
          <w:spacing w:val="-91"/>
        </w:rPr>
        <w:t> </w:t>
      </w:r>
      <w:r>
        <w:rPr>
          <w:spacing w:val="-91"/>
        </w:rPr>
      </w:r>
      <w:r>
        <w:rPr/>
        <w:t>现值两者之间的较高者。资产的公允价值根据公平交易中销售协议价格确定；不存在销售协</w:t>
      </w:r>
    </w:p>
    <w:p>
      <w:pPr>
        <w:pStyle w:val="BodyText"/>
        <w:spacing w:line="312" w:lineRule="exact"/>
        <w:ind w:right="236"/>
        <w:jc w:val="both"/>
      </w:pPr>
      <w:r>
        <w:rPr/>
        <w:t>议但存在资产活跃市场的，公允价值按照该资产的买方出价确定；不存在销售协议和资产活</w:t>
      </w:r>
      <w:r>
        <w:rPr>
          <w:spacing w:val="-91"/>
        </w:rPr>
        <w:t> </w:t>
      </w:r>
      <w:r>
        <w:rPr>
          <w:spacing w:val="-91"/>
        </w:rPr>
      </w:r>
      <w:r>
        <w:rPr/>
        <w:t>跃市场的，则以可获取的最佳信息为基础估计资产的公允价值。处置费用包括与资产处置有</w:t>
      </w:r>
      <w:r>
        <w:rPr>
          <w:spacing w:val="-91"/>
        </w:rPr>
        <w:t> </w:t>
      </w:r>
      <w:r>
        <w:rPr>
          <w:spacing w:val="-91"/>
        </w:rPr>
      </w:r>
      <w:r>
        <w:rPr/>
        <w:t>关的法律费用、相关税费、搬运费以及为使资产达到可销售状态所发生的直接费用。资产预</w:t>
      </w:r>
      <w:r>
        <w:rPr>
          <w:spacing w:val="-91"/>
        </w:rPr>
        <w:t> </w:t>
      </w:r>
      <w:r>
        <w:rPr>
          <w:spacing w:val="-91"/>
        </w:rPr>
      </w:r>
      <w:r>
        <w:rPr/>
        <w:t>计未来现金流量的现值，按照资产在持续使用过程中和最终处置时所产生的预计未来现金流</w:t>
      </w:r>
      <w:r>
        <w:rPr>
          <w:spacing w:val="-91"/>
        </w:rPr>
        <w:t> </w:t>
      </w:r>
      <w:r>
        <w:rPr>
          <w:spacing w:val="-91"/>
        </w:rPr>
      </w:r>
      <w:r>
        <w:rPr/>
        <w:t>量，选择恰当的折现率对其进行折现后的金额加以确定。资产减值准备按单项资产为基础计</w:t>
      </w:r>
      <w:r>
        <w:rPr>
          <w:spacing w:val="-89"/>
        </w:rPr>
        <w:t> </w:t>
      </w:r>
      <w:r>
        <w:rPr>
          <w:spacing w:val="-89"/>
        </w:rPr>
      </w:r>
      <w:r>
        <w:rPr/>
        <w:t>算并确认，如果难以对单项资产的可收回金额进行估计的，以该资产所属的资产组确定资产</w:t>
      </w:r>
      <w:r>
        <w:rPr>
          <w:spacing w:val="-91"/>
        </w:rPr>
        <w:t> </w:t>
      </w:r>
      <w:r>
        <w:rPr>
          <w:spacing w:val="-91"/>
        </w:rPr>
      </w:r>
      <w:r>
        <w:rPr/>
        <w:t>组的可收回金额。资产组是能够独立产生现金流入的最小资产组合。</w:t>
      </w:r>
    </w:p>
    <w:p>
      <w:pPr>
        <w:pStyle w:val="BodyText"/>
        <w:spacing w:line="312" w:lineRule="exact"/>
        <w:ind w:right="239" w:firstLine="480"/>
        <w:jc w:val="both"/>
      </w:pPr>
      <w:r>
        <w:rPr/>
        <w:t>在财务报表中单独列示的商誉，在进行减值测试时，将商誉的账面价值分摊至预期从企 业合并的协同效应中受益的资产组或资产组组合。测试结果表明包含分摊的商誉的资产组或</w:t>
      </w:r>
      <w:r>
        <w:rPr>
          <w:spacing w:val="-91"/>
        </w:rPr>
        <w:t> </w:t>
      </w:r>
      <w:r>
        <w:rPr>
          <w:spacing w:val="-91"/>
        </w:rPr>
      </w:r>
      <w:r>
        <w:rPr/>
        <w:t>资产组组合的可收回金额低于其账面价值的，确认相应的减值损失。减值损失金额先抵减分</w:t>
      </w:r>
    </w:p>
    <w:p>
      <w:pPr>
        <w:pStyle w:val="BodyText"/>
        <w:spacing w:line="312" w:lineRule="exact"/>
        <w:ind w:right="98"/>
        <w:jc w:val="left"/>
      </w:pPr>
      <w:r>
        <w:rPr/>
        <w:t>摊至该资产组或资产组组合的商誉的账面价值，再根据资产组或资产组组合中除商誉以外的</w:t>
      </w:r>
      <w:r>
        <w:rPr>
          <w:spacing w:val="-91"/>
        </w:rPr>
        <w:t> </w:t>
      </w:r>
      <w:r>
        <w:rPr>
          <w:spacing w:val="-91"/>
        </w:rPr>
      </w:r>
      <w:r>
        <w:rPr/>
        <w:t>其他各项资产的账面价值所占比重，按比例抵减其他各项资产的账面价值。 上述资产减值损失一经确认，以后期间不予转回价值得以恢复的部分</w:t>
      </w:r>
    </w:p>
    <w:p>
      <w:pPr>
        <w:spacing w:after="0" w:line="312" w:lineRule="exact"/>
        <w:jc w:val="left"/>
        <w:sectPr>
          <w:pgSz w:w="11910" w:h="16840"/>
          <w:pgMar w:header="745" w:footer="979" w:top="1060" w:bottom="1160" w:left="980" w:right="900"/>
        </w:sectPr>
      </w:pPr>
    </w:p>
    <w:p>
      <w:pPr>
        <w:spacing w:line="240" w:lineRule="auto" w:before="10"/>
        <w:rPr>
          <w:rFonts w:ascii="宋体" w:hAnsi="宋体" w:cs="宋体" w:eastAsia="宋体" w:hint="default"/>
          <w:sz w:val="24"/>
          <w:szCs w:val="24"/>
        </w:rPr>
      </w:pPr>
    </w:p>
    <w:p>
      <w:pPr>
        <w:spacing w:before="36"/>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right="159" w:firstLine="480"/>
        <w:jc w:val="both"/>
      </w:pPr>
      <w:r>
        <w:rPr/>
        <w:t>长期待摊费用为已经发生但应由报告期和以后各期负担的分摊期限在一年以上的各项费 用。本公司的长期待摊费用主要包括装修费及认证费等。长期待摊费用在预计受益期间按直</w:t>
      </w:r>
      <w:r>
        <w:rPr>
          <w:spacing w:val="-91"/>
        </w:rPr>
        <w:t> </w:t>
      </w:r>
      <w:r>
        <w:rPr>
          <w:spacing w:val="-91"/>
        </w:rPr>
      </w:r>
      <w:r>
        <w:rPr/>
        <w:t>线法摊销。</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0"/>
        <w:rPr>
          <w:rFonts w:ascii="宋体" w:hAnsi="宋体" w:cs="宋体" w:eastAsia="宋体" w:hint="default"/>
          <w:b/>
          <w:bCs/>
          <w:sz w:val="25"/>
          <w:szCs w:val="25"/>
        </w:rPr>
      </w:pPr>
    </w:p>
    <w:p>
      <w:pPr>
        <w:pStyle w:val="BodyText"/>
        <w:spacing w:line="312" w:lineRule="exact"/>
        <w:ind w:right="189"/>
        <w:jc w:val="both"/>
      </w:pPr>
      <w:r>
        <w:rPr/>
        <w:t>短期薪酬主要包括工资、奖金、津贴和补贴、职工福利费、医疗保险费、生育保险费、工伤 保险费、住房公积金、工会经费和职工教育经费、非货币性福利等。本公司在职工为本公司 提供服务的会计期间将实际发生的短期职工薪酬确认为负债，并计入当期损益或相关资产成 本。其中非货币性福利按公允价值计量。</w:t>
      </w:r>
    </w:p>
    <w:p>
      <w:pPr>
        <w:spacing w:line="240" w:lineRule="auto" w:before="9"/>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160" w:firstLine="480"/>
        <w:jc w:val="both"/>
      </w:pPr>
      <w:r>
        <w:rPr/>
        <w:t>离职后福利主要包括设定提存计划，设定提存计划主要包括基本养老保险、失业保险以 及年金等，相应的应缴存金额于发生时计入相关资产成本或当期损益。</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right="158" w:firstLine="480"/>
        <w:jc w:val="both"/>
      </w:pPr>
      <w:r>
        <w:rPr/>
        <w:t>在职工劳动合同到期之前解除与职工的劳动关系，或为鼓励职工自愿接受裁减而提出给 予补偿的建议，在本公司不能单方面撤回因解除劳动关系计划或裁减建议所提供的辞退福利</w:t>
      </w:r>
      <w:r>
        <w:rPr>
          <w:spacing w:val="-91"/>
        </w:rPr>
        <w:t> </w:t>
      </w:r>
      <w:r>
        <w:rPr>
          <w:spacing w:val="-91"/>
        </w:rPr>
      </w:r>
      <w:r>
        <w:rPr/>
        <w:t>时，和本公司确认与涉及支付辞退福利的重组相关的成本两者孰早日，确认辞退福利产生的</w:t>
      </w:r>
      <w:r>
        <w:rPr>
          <w:spacing w:val="-89"/>
        </w:rPr>
        <w:t> </w:t>
      </w:r>
      <w:r>
        <w:rPr>
          <w:spacing w:val="-89"/>
        </w:rPr>
      </w:r>
      <w:r>
        <w:rPr/>
        <w:t>职工薪酬负债，并计入当期损益。但辞退福利预期在年度报告期结束后十二个月不能完全支</w:t>
      </w:r>
      <w:r>
        <w:rPr>
          <w:spacing w:val="-91"/>
        </w:rPr>
        <w:t> </w:t>
      </w:r>
      <w:r>
        <w:rPr>
          <w:spacing w:val="-91"/>
        </w:rPr>
      </w:r>
      <w:r>
        <w:rPr/>
        <w:t>付的，按照其他长期职工薪酬处理。</w:t>
      </w:r>
    </w:p>
    <w:p>
      <w:pPr>
        <w:pStyle w:val="BodyText"/>
        <w:spacing w:line="312" w:lineRule="exact"/>
        <w:ind w:right="159" w:firstLine="480"/>
        <w:jc w:val="both"/>
      </w:pPr>
      <w:r>
        <w:rPr/>
        <w:t>职工内部退休计划采用上述辞退福利相同的原则处理。本公司将自职工停止提供服务日 至正常退休日的期间拟支付的内退人员工资和缴纳的社会保险费等，在符合预计负债确认条</w:t>
      </w:r>
    </w:p>
    <w:p>
      <w:pPr>
        <w:pStyle w:val="BodyText"/>
        <w:spacing w:line="284" w:lineRule="exact"/>
        <w:ind w:right="0"/>
        <w:jc w:val="both"/>
      </w:pPr>
      <w:r>
        <w:rPr/>
        <w:t>件时，计入当期损益（辞退福利）。</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156" w:firstLine="480"/>
        <w:jc w:val="both"/>
      </w:pPr>
      <w:r>
        <w:rPr/>
        <w:t>职工内部退休计划采用上述辞退福利相同的原则处理。本公司将自职工停止提供服务日 至正常退休日的期间拟支付的内退人员工资和缴纳的社会保险费等，在符合预计负债确认条</w:t>
      </w:r>
      <w:r>
        <w:rPr>
          <w:spacing w:val="-88"/>
        </w:rPr>
        <w:t> </w:t>
      </w:r>
      <w:r>
        <w:rPr>
          <w:spacing w:val="-88"/>
        </w:rPr>
      </w:r>
      <w:r>
        <w:rPr/>
        <w:t>件时，计入当期损益（辞退福利）。</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240" w:lineRule="auto"/>
        <w:ind w:left="633" w:right="144"/>
        <w:jc w:val="left"/>
      </w:pPr>
      <w:r>
        <w:rPr>
          <w:spacing w:val="-3"/>
        </w:rPr>
        <w:t>当与或有事项相关的义务同时符合以下条件，确认为预计负债：（</w:t>
      </w:r>
      <w:r>
        <w:rPr>
          <w:rFonts w:ascii="Times New Roman" w:hAnsi="Times New Roman" w:cs="Times New Roman" w:eastAsia="Times New Roman" w:hint="default"/>
          <w:spacing w:val="-3"/>
        </w:rPr>
        <w:t>1</w:t>
      </w:r>
      <w:r>
        <w:rPr>
          <w:spacing w:val="-3"/>
        </w:rPr>
        <w:t>）该义务是本公司承</w:t>
      </w:r>
    </w:p>
    <w:p>
      <w:pPr>
        <w:spacing w:after="0" w:line="240" w:lineRule="auto"/>
        <w:jc w:val="left"/>
        <w:sectPr>
          <w:pgSz w:w="11910" w:h="16840"/>
          <w:pgMar w:header="745" w:footer="979" w:top="1060" w:bottom="1160" w:left="980" w:right="980"/>
        </w:sectPr>
      </w:pPr>
    </w:p>
    <w:p>
      <w:pPr>
        <w:spacing w:line="240" w:lineRule="auto" w:before="6"/>
        <w:rPr>
          <w:rFonts w:ascii="宋体" w:hAnsi="宋体" w:cs="宋体" w:eastAsia="宋体" w:hint="default"/>
          <w:sz w:val="23"/>
          <w:szCs w:val="23"/>
        </w:rPr>
      </w:pPr>
    </w:p>
    <w:p>
      <w:pPr>
        <w:pStyle w:val="BodyText"/>
        <w:spacing w:line="312" w:lineRule="exact" w:before="56"/>
        <w:ind w:right="233"/>
        <w:jc w:val="both"/>
      </w:pPr>
      <w:r>
        <w:rPr/>
        <w:t>担的现时义务；（</w:t>
      </w:r>
      <w:r>
        <w:rPr>
          <w:rFonts w:ascii="Times New Roman" w:hAnsi="Times New Roman" w:cs="Times New Roman" w:eastAsia="Times New Roman" w:hint="default"/>
        </w:rPr>
        <w:t>2</w:t>
      </w:r>
      <w:r>
        <w:rPr/>
        <w:t>）履行该义务很可能导致经济利益流出；（</w:t>
      </w:r>
      <w:r>
        <w:rPr>
          <w:rFonts w:ascii="Times New Roman" w:hAnsi="Times New Roman" w:cs="Times New Roman" w:eastAsia="Times New Roman" w:hint="default"/>
        </w:rPr>
        <w:t>3</w:t>
      </w:r>
      <w:r>
        <w:rPr/>
        <w:t>）该义务的金额能够可靠地</w:t>
      </w:r>
      <w:r>
        <w:rPr>
          <w:spacing w:val="-85"/>
        </w:rPr>
        <w:t> </w:t>
      </w:r>
      <w:r>
        <w:rPr>
          <w:spacing w:val="-85"/>
        </w:rPr>
      </w:r>
      <w:r>
        <w:rPr/>
        <w:t>计量。</w:t>
      </w:r>
    </w:p>
    <w:p>
      <w:pPr>
        <w:pStyle w:val="BodyText"/>
        <w:spacing w:line="312" w:lineRule="exact"/>
        <w:ind w:right="98" w:firstLine="480"/>
        <w:jc w:val="left"/>
      </w:pPr>
      <w:r>
        <w:rPr/>
        <w:t>在资产负债表日，考虑与或有事项有关的风险、不确定性和货币时间价值等因素，按照 履行相关现时义务所需支出的最佳估计数对预计负债进行计量。</w:t>
      </w:r>
    </w:p>
    <w:p>
      <w:pPr>
        <w:pStyle w:val="BodyText"/>
        <w:spacing w:line="312" w:lineRule="exact"/>
        <w:ind w:right="98" w:firstLine="480"/>
        <w:jc w:val="left"/>
      </w:pPr>
      <w:r>
        <w:rPr/>
        <w:t>如果清偿预计负债所需支出全部或部分预期由第三方补偿的，补偿金额在基本确定能够 收到时，作为资产单独确认，且确认的补偿金额不超过预计负债的账面价值。</w:t>
      </w:r>
    </w:p>
    <w:p>
      <w:pPr>
        <w:pStyle w:val="BodyText"/>
        <w:spacing w:line="312" w:lineRule="exact"/>
        <w:ind w:left="633" w:right="98"/>
        <w:jc w:val="left"/>
      </w:pPr>
      <w:r>
        <w:rPr/>
        <w:t>（</w:t>
      </w:r>
      <w:r>
        <w:rPr>
          <w:rFonts w:ascii="Times New Roman" w:hAnsi="Times New Roman" w:cs="Times New Roman" w:eastAsia="Times New Roman" w:hint="default"/>
        </w:rPr>
        <w:t>1</w:t>
      </w:r>
      <w:r>
        <w:rPr/>
        <w:t>）亏损合同 亏损合同是履行合同义务不可避免会发生的成本超过预期经济利益的合同。待执行合同</w:t>
      </w:r>
    </w:p>
    <w:p>
      <w:pPr>
        <w:pStyle w:val="BodyText"/>
        <w:spacing w:line="312" w:lineRule="exact"/>
        <w:ind w:right="239"/>
        <w:jc w:val="both"/>
      </w:pPr>
      <w:r>
        <w:rPr/>
        <w:t>变成亏损合同，且该亏损合同产生的义务满足上述预计负债的确认条件的，将合同预计损失</w:t>
      </w:r>
      <w:r>
        <w:rPr>
          <w:spacing w:val="-91"/>
        </w:rPr>
        <w:t> </w:t>
      </w:r>
      <w:r>
        <w:rPr>
          <w:spacing w:val="-91"/>
        </w:rPr>
      </w:r>
      <w:r>
        <w:rPr/>
        <w:t>超过合同标的资产已确认的减值损失（如有）的部分，确认为预计负债。</w:t>
      </w:r>
    </w:p>
    <w:p>
      <w:pPr>
        <w:pStyle w:val="BodyText"/>
        <w:spacing w:line="312" w:lineRule="exact"/>
        <w:ind w:left="633" w:right="98"/>
        <w:jc w:val="left"/>
      </w:pPr>
      <w:r>
        <w:rPr/>
        <w:t>（</w:t>
      </w:r>
      <w:r>
        <w:rPr>
          <w:rFonts w:ascii="Times New Roman" w:hAnsi="Times New Roman" w:cs="Times New Roman" w:eastAsia="Times New Roman" w:hint="default"/>
        </w:rPr>
        <w:t>2</w:t>
      </w:r>
      <w:r>
        <w:rPr/>
        <w:t>）重组义务 对于有详细、正式并且已经对外公告的重组计划，在满足前述预计负债的确认条件的情</w:t>
      </w:r>
    </w:p>
    <w:p>
      <w:pPr>
        <w:pStyle w:val="BodyText"/>
        <w:spacing w:line="312" w:lineRule="exact"/>
        <w:ind w:right="239"/>
        <w:jc w:val="both"/>
      </w:pPr>
      <w:r>
        <w:rPr/>
        <w:t>况下，按照与重组有关的直接支出确定预计负债金额。对于出售部分业务的重组义务，只有</w:t>
      </w:r>
      <w:r>
        <w:rPr>
          <w:spacing w:val="-91"/>
        </w:rPr>
        <w:t> </w:t>
      </w:r>
      <w:r>
        <w:rPr>
          <w:spacing w:val="-91"/>
        </w:rPr>
      </w:r>
      <w:r>
        <w:rPr/>
        <w:t>在本公司承诺出售部分业务（即签订了约束性出售协议时），才确认与重组相关的义务。</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left="633" w:right="98"/>
        <w:jc w:val="left"/>
      </w:pPr>
      <w:r>
        <w:rPr/>
        <w:t>（</w:t>
      </w:r>
      <w:r>
        <w:rPr>
          <w:rFonts w:ascii="Times New Roman" w:hAnsi="Times New Roman" w:cs="Times New Roman" w:eastAsia="Times New Roman" w:hint="default"/>
        </w:rPr>
        <w:t>1</w:t>
      </w:r>
      <w:r>
        <w:rPr/>
        <w:t>）股份支付的会计处理方法 股份支付是为了获取职工或其他方提供服务而授予权益工具或者承担以权益工具为基础</w:t>
      </w:r>
    </w:p>
    <w:p>
      <w:pPr>
        <w:pStyle w:val="BodyText"/>
        <w:spacing w:line="283" w:lineRule="exact"/>
        <w:ind w:right="0"/>
        <w:jc w:val="both"/>
      </w:pPr>
      <w:r>
        <w:rPr/>
        <w:t>确定的负债的交易。股份支付分为以权益结算的股份支付和以现金结算的股份支付。</w:t>
      </w:r>
    </w:p>
    <w:p>
      <w:pPr>
        <w:pStyle w:val="BodyText"/>
        <w:spacing w:line="312" w:lineRule="exact" w:before="29"/>
        <w:ind w:left="633" w:right="98"/>
        <w:jc w:val="left"/>
      </w:pPr>
      <w:r>
        <w:rPr/>
        <w:t>①以权益结算的股份支付 用以换取职工提供的服务的权益结算的股份支付，以授予职工权益工具在授予日的公允</w:t>
      </w:r>
    </w:p>
    <w:p>
      <w:pPr>
        <w:pStyle w:val="BodyText"/>
        <w:spacing w:line="312" w:lineRule="exact"/>
        <w:ind w:right="113"/>
        <w:jc w:val="both"/>
      </w:pPr>
      <w:r>
        <w:rPr>
          <w:spacing w:val="-2"/>
        </w:rPr>
        <w:t>价值计量。该公允价值的金额在完成等待期内的服务或达到规定业绩条件才可行权的情况下，</w:t>
      </w:r>
      <w:r>
        <w:rPr/>
        <w:t> </w:t>
      </w:r>
      <w:r>
        <w:rPr>
          <w:spacing w:val="-2"/>
        </w:rPr>
        <w:t>在等待期内以对可行权权益工具数量的最佳估计为基础，按直线法计算计入相关成本或费用。</w:t>
      </w:r>
      <w:r>
        <w:rPr/>
        <w:t> 在授予后立即可行权时，在授予日计入相关成本或费用，相应增加资本公积。</w:t>
      </w:r>
    </w:p>
    <w:p>
      <w:pPr>
        <w:pStyle w:val="BodyText"/>
        <w:spacing w:line="312" w:lineRule="exact"/>
        <w:ind w:right="96" w:firstLine="480"/>
        <w:jc w:val="left"/>
      </w:pPr>
      <w:r>
        <w:rPr/>
        <w:t>在等待期内每个资产负债表日，本公司根据最新取得的可行权职工人数变动等后续信息 </w:t>
      </w:r>
      <w:r>
        <w:rPr>
          <w:spacing w:val="-2"/>
        </w:rPr>
        <w:t>做出最佳估计，修正预计可行权的权益工具数量。上述估计的影响计入当期相关成本或费用，</w:t>
      </w:r>
      <w:r>
        <w:rPr/>
        <w:t> 并相应调整资本公积。</w:t>
      </w:r>
    </w:p>
    <w:p>
      <w:pPr>
        <w:pStyle w:val="BodyText"/>
        <w:spacing w:line="312" w:lineRule="exact"/>
        <w:ind w:right="98" w:firstLine="480"/>
        <w:jc w:val="left"/>
      </w:pPr>
      <w:r>
        <w:rPr>
          <w:spacing w:val="-3"/>
        </w:rPr>
        <w:t>用以换取其他方服务的权益结算的股份支付，如果其他方服务的公允价值能够可靠计量，</w:t>
      </w:r>
      <w:r>
        <w:rPr/>
        <w:t> 按照其他方服务在取得日的公允价值计量，如果其他方服务的公允价值不能可靠计量，但权</w:t>
      </w:r>
    </w:p>
    <w:p>
      <w:pPr>
        <w:pStyle w:val="BodyText"/>
        <w:spacing w:line="312" w:lineRule="exact"/>
        <w:ind w:right="239"/>
        <w:jc w:val="both"/>
      </w:pPr>
      <w:r>
        <w:rPr/>
        <w:t>益工具的公允价值能够可靠计量的，按照权益工具在服务取得日的公允价值计量，计入相关</w:t>
      </w:r>
      <w:r>
        <w:rPr>
          <w:spacing w:val="-91"/>
        </w:rPr>
        <w:t> </w:t>
      </w:r>
      <w:r>
        <w:rPr>
          <w:spacing w:val="-91"/>
        </w:rPr>
      </w:r>
      <w:r>
        <w:rPr/>
        <w:t>成本或费用，相应增加股东权益。</w:t>
      </w:r>
    </w:p>
    <w:p>
      <w:pPr>
        <w:pStyle w:val="Heading2"/>
        <w:spacing w:line="312" w:lineRule="exact"/>
        <w:ind w:right="98" w:firstLine="480"/>
        <w:jc w:val="left"/>
        <w:rPr>
          <w:i w:val="0"/>
        </w:rPr>
      </w:pPr>
      <w:r>
        <w:rPr>
          <w:w w:val="95"/>
        </w:rPr>
        <w:t>当授予权益工具的公允价值无法可靠计量时，在服务取得日、后续的每个资产负债表日</w:t>
      </w:r>
      <w:r>
        <w:rPr>
          <w:w w:val="95"/>
        </w:rPr>
        <w:t> </w:t>
      </w:r>
      <w:r>
        <w:rPr/>
        <w:t>以及结算日，按权益工具的内在价值计量，内在价值变动计入当期损益。</w:t>
      </w:r>
      <w:r>
        <w:rPr>
          <w:i w:val="0"/>
        </w:rPr>
      </w:r>
    </w:p>
    <w:p>
      <w:pPr>
        <w:pStyle w:val="BodyText"/>
        <w:spacing w:line="310" w:lineRule="exact" w:before="1"/>
        <w:ind w:left="633" w:right="98"/>
        <w:jc w:val="left"/>
      </w:pPr>
      <w:r>
        <w:rPr/>
        <w:t>②以现金结算的股份支付 以现金结算的股份支付，按照本公司承担的以股份或其他权益工具为基础确定的负债的</w:t>
      </w:r>
    </w:p>
    <w:p>
      <w:pPr>
        <w:pStyle w:val="BodyText"/>
        <w:spacing w:line="312" w:lineRule="exact"/>
        <w:ind w:right="239"/>
        <w:jc w:val="both"/>
      </w:pPr>
      <w:r>
        <w:rPr/>
        <w:t>公允价值计量。如授予后立即可行权，在授予日计入相关成本或费用，相应增加负债；如须</w:t>
      </w:r>
      <w:r>
        <w:rPr>
          <w:spacing w:val="-91"/>
        </w:rPr>
        <w:t> </w:t>
      </w:r>
      <w:r>
        <w:rPr>
          <w:spacing w:val="-91"/>
        </w:rPr>
      </w:r>
      <w:r>
        <w:rPr/>
        <w:t>完成等待期内的服务或达到规定业绩条件以后才可行权，在等待期的每个资产负债表日，以</w:t>
      </w:r>
      <w:r>
        <w:rPr>
          <w:spacing w:val="-91"/>
        </w:rPr>
        <w:t> </w:t>
      </w:r>
      <w:r>
        <w:rPr>
          <w:spacing w:val="-91"/>
        </w:rPr>
      </w:r>
      <w:r>
        <w:rPr/>
        <w:t>对可行权情况的最佳估计为基础，按照本公司承担负债的公允价值金额，将当期取得的服务</w:t>
      </w:r>
      <w:r>
        <w:rPr>
          <w:spacing w:val="-91"/>
        </w:rPr>
        <w:t> </w:t>
      </w:r>
      <w:r>
        <w:rPr>
          <w:spacing w:val="-91"/>
        </w:rPr>
      </w:r>
      <w:r>
        <w:rPr/>
        <w:t>计入成本或费用，相应增加负债。</w:t>
      </w:r>
    </w:p>
    <w:p>
      <w:pPr>
        <w:pStyle w:val="BodyText"/>
        <w:spacing w:line="312" w:lineRule="exact"/>
        <w:ind w:right="98" w:firstLine="480"/>
        <w:jc w:val="left"/>
      </w:pPr>
      <w:r>
        <w:rPr/>
        <w:t>在相关负债结算前的每个资产负债表日以及结算日，对负债的公允价值重新计量，其变 动计入当期损益。</w:t>
      </w:r>
    </w:p>
    <w:p>
      <w:pPr>
        <w:pStyle w:val="BodyText"/>
        <w:spacing w:line="302" w:lineRule="exact"/>
        <w:ind w:left="633" w:right="98"/>
        <w:jc w:val="left"/>
      </w:pPr>
      <w:r>
        <w:rPr/>
        <w:t>（</w:t>
      </w:r>
      <w:r>
        <w:rPr>
          <w:rFonts w:ascii="Times New Roman" w:hAnsi="Times New Roman" w:cs="Times New Roman" w:eastAsia="Times New Roman" w:hint="default"/>
        </w:rPr>
        <w:t>2</w:t>
      </w:r>
      <w:r>
        <w:rPr/>
        <w:t>）修改、终止股份支付计划的相关会计处理</w:t>
      </w:r>
    </w:p>
    <w:p>
      <w:pPr>
        <w:spacing w:after="0" w:line="302" w:lineRule="exact"/>
        <w:jc w:val="left"/>
        <w:sectPr>
          <w:pgSz w:w="11910" w:h="16840"/>
          <w:pgMar w:header="745" w:footer="979" w:top="1060" w:bottom="1160" w:left="980" w:right="900"/>
        </w:sectPr>
      </w:pPr>
    </w:p>
    <w:p>
      <w:pPr>
        <w:spacing w:line="240" w:lineRule="auto" w:before="6"/>
        <w:rPr>
          <w:rFonts w:ascii="宋体" w:hAnsi="宋体" w:cs="宋体" w:eastAsia="宋体" w:hint="default"/>
          <w:sz w:val="23"/>
          <w:szCs w:val="23"/>
        </w:rPr>
      </w:pPr>
    </w:p>
    <w:p>
      <w:pPr>
        <w:pStyle w:val="BodyText"/>
        <w:spacing w:line="312" w:lineRule="exact" w:before="56"/>
        <w:ind w:right="239" w:firstLine="480"/>
        <w:jc w:val="both"/>
      </w:pPr>
      <w:r>
        <w:rPr/>
        <w:t>本公司对股份支付计划进行修改时，若修改增加了所授予权益工具的公允价值，按照权 益工具公允价值的增加相应确认取得服务的增加。权益工具公允价值的增加是指修改前后的</w:t>
      </w:r>
      <w:r>
        <w:rPr>
          <w:spacing w:val="-91"/>
        </w:rPr>
        <w:t> </w:t>
      </w:r>
      <w:r>
        <w:rPr>
          <w:spacing w:val="-91"/>
        </w:rPr>
      </w:r>
      <w:r>
        <w:rPr/>
        <w:t>权益工具在修改日的公允价值之间的差额。若修改减少了股份支付公允价值总额或采用了其</w:t>
      </w:r>
      <w:r>
        <w:rPr>
          <w:spacing w:val="-91"/>
        </w:rPr>
        <w:t> </w:t>
      </w:r>
      <w:r>
        <w:rPr>
          <w:spacing w:val="-91"/>
        </w:rPr>
      </w:r>
      <w:r>
        <w:rPr/>
        <w:t>他不利于职工的方式，则仍继续对取得的服务进行会计处理，视同该变更从未发生，除非本</w:t>
      </w:r>
      <w:r>
        <w:rPr>
          <w:spacing w:val="-91"/>
        </w:rPr>
        <w:t> </w:t>
      </w:r>
      <w:r>
        <w:rPr>
          <w:spacing w:val="-91"/>
        </w:rPr>
      </w:r>
      <w:r>
        <w:rPr/>
        <w:t>公司取消了部分或全部已授予的权益工具。</w:t>
      </w:r>
    </w:p>
    <w:p>
      <w:pPr>
        <w:pStyle w:val="BodyText"/>
        <w:spacing w:line="312" w:lineRule="exact"/>
        <w:ind w:right="237" w:firstLine="480"/>
        <w:jc w:val="both"/>
      </w:pPr>
      <w:r>
        <w:rPr/>
        <w:t>在等待期内，如果取消了授予的权益工具，本公司对取消所授予的权益性工具作为加速 行权处理，将剩余等待期内应确认的金额立即计入当期损益，同时确认资本公积。职工或其</w:t>
      </w:r>
      <w:r>
        <w:rPr>
          <w:spacing w:val="-91"/>
        </w:rPr>
        <w:t> </w:t>
      </w:r>
      <w:r>
        <w:rPr>
          <w:spacing w:val="-91"/>
        </w:rPr>
      </w:r>
      <w:r>
        <w:rPr/>
        <w:t>他方能够选择满足非可行权条件但在等待期内未满足的，本公司将其作为授予权益工具的取</w:t>
      </w:r>
      <w:r>
        <w:rPr>
          <w:spacing w:val="-91"/>
        </w:rPr>
        <w:t> </w:t>
      </w:r>
      <w:r>
        <w:rPr>
          <w:spacing w:val="-91"/>
        </w:rPr>
      </w:r>
      <w:r>
        <w:rPr/>
        <w:t>消处理。</w:t>
      </w:r>
    </w:p>
    <w:p>
      <w:pPr>
        <w:pStyle w:val="BodyText"/>
        <w:spacing w:line="225" w:lineRule="auto"/>
        <w:ind w:left="633" w:right="98"/>
        <w:jc w:val="left"/>
      </w:pPr>
      <w:r>
        <w:rPr/>
        <w:t>（</w:t>
      </w:r>
      <w:r>
        <w:rPr>
          <w:rFonts w:ascii="Times New Roman" w:hAnsi="Times New Roman" w:cs="Times New Roman" w:eastAsia="Times New Roman" w:hint="default"/>
        </w:rPr>
        <w:t>3</w:t>
      </w:r>
      <w:r>
        <w:rPr/>
        <w:t>）涉及本公司与本公司股东或实际控制人的股份支付交易的会计处理 涉及本公司与本公司股东或实际控制人的股份支付交易，结算企业与接受服务企业中其</w:t>
      </w:r>
    </w:p>
    <w:p>
      <w:pPr>
        <w:pStyle w:val="BodyText"/>
        <w:spacing w:line="313" w:lineRule="exact"/>
        <w:ind w:right="98"/>
        <w:jc w:val="left"/>
      </w:pPr>
      <w:r>
        <w:rPr/>
        <w:t>一在本公司内，另一在本公司外的，在本公司合并财务报表中按照以下规定进行会计处理：</w:t>
      </w:r>
    </w:p>
    <w:p>
      <w:pPr>
        <w:pStyle w:val="BodyText"/>
        <w:spacing w:line="312" w:lineRule="exact" w:before="29"/>
        <w:ind w:right="98" w:firstLine="480"/>
        <w:jc w:val="left"/>
      </w:pPr>
      <w:r>
        <w:rPr>
          <w:spacing w:val="-3"/>
        </w:rPr>
        <w:t>①结算企业以其本身权益工具结算的，将该股份支付交易作为权益结算的股份支付处理；</w:t>
      </w:r>
      <w:r>
        <w:rPr/>
        <w:t> 除此之外，作为现金结算的股份支付处理。</w:t>
      </w:r>
    </w:p>
    <w:p>
      <w:pPr>
        <w:pStyle w:val="BodyText"/>
        <w:spacing w:line="312" w:lineRule="exact"/>
        <w:ind w:right="239" w:firstLine="480"/>
        <w:jc w:val="both"/>
      </w:pPr>
      <w:r>
        <w:rPr/>
        <w:t>结算企业是接受服务企业的投资者的，按照授予日权益工具的公允价值或应承担负债的 公允价值确认为对接受服务企业的长期股权投资，同时确认资本公积（其他资本公积）或负</w:t>
      </w:r>
      <w:r>
        <w:rPr>
          <w:spacing w:val="-91"/>
        </w:rPr>
        <w:t> </w:t>
      </w:r>
      <w:r>
        <w:rPr>
          <w:spacing w:val="-91"/>
        </w:rPr>
      </w:r>
      <w:r>
        <w:rPr/>
        <w:t>债。</w:t>
      </w:r>
    </w:p>
    <w:p>
      <w:pPr>
        <w:pStyle w:val="BodyText"/>
        <w:spacing w:line="312" w:lineRule="exact"/>
        <w:ind w:right="239" w:firstLine="480"/>
        <w:jc w:val="both"/>
      </w:pPr>
      <w:r>
        <w:rPr/>
        <w:t>②接受服务企业没有结算义务或授予本企业职工的是其本身权益工具的，将该股份支付 交易作为权益结算的股份支付处理；接受服务企业具有结算义务且授予本企业职工的并非其</w:t>
      </w:r>
      <w:r>
        <w:rPr>
          <w:spacing w:val="-91"/>
        </w:rPr>
        <w:t> </w:t>
      </w:r>
      <w:r>
        <w:rPr>
          <w:spacing w:val="-91"/>
        </w:rPr>
      </w:r>
      <w:r>
        <w:rPr/>
        <w:t>本身权益工具的，将该股份支付交易作为现金结算的股份支付处理。</w:t>
      </w:r>
    </w:p>
    <w:p>
      <w:pPr>
        <w:pStyle w:val="BodyText"/>
        <w:spacing w:line="312" w:lineRule="exact"/>
        <w:ind w:right="238" w:firstLine="480"/>
        <w:jc w:val="both"/>
      </w:pPr>
      <w:r>
        <w:rPr/>
        <w:t>本公司内各企业之间发生的股份支付交易，接受服务企业和结算企业不是同一企业的， 在接受服务企业和结算企业各自的个别财务报表中对该股份支付交易的确认和计量，比照上</w:t>
      </w:r>
      <w:r>
        <w:rPr>
          <w:spacing w:val="-89"/>
        </w:rPr>
        <w:t> </w:t>
      </w:r>
      <w:r>
        <w:rPr>
          <w:spacing w:val="-89"/>
        </w:rPr>
      </w:r>
      <w:r>
        <w:rPr/>
        <w:t>述原则处理。</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、优先股、永续债等其他金融工具</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left="633" w:right="98"/>
        <w:jc w:val="left"/>
      </w:pPr>
      <w:r>
        <w:rPr/>
        <w:t>（</w:t>
      </w:r>
      <w:r>
        <w:rPr>
          <w:rFonts w:ascii="Times New Roman" w:hAnsi="Times New Roman" w:cs="Times New Roman" w:eastAsia="Times New Roman" w:hint="default"/>
        </w:rPr>
        <w:t>1</w:t>
      </w:r>
      <w:r>
        <w:rPr/>
        <w:t>）商品销售收入 在已将商品所有权上的主要风险和报酬转移给买方，既没有保留通常与所有权相联系的</w:t>
      </w:r>
    </w:p>
    <w:p>
      <w:pPr>
        <w:pStyle w:val="BodyText"/>
        <w:spacing w:line="312" w:lineRule="exact"/>
        <w:ind w:right="239"/>
        <w:jc w:val="both"/>
      </w:pPr>
      <w:r>
        <w:rPr/>
        <w:t>继续管理权，也没有对已售商品实施有效控制，收入的金额能够可靠地计量，相关的经济利</w:t>
      </w:r>
      <w:r>
        <w:rPr>
          <w:spacing w:val="-91"/>
        </w:rPr>
        <w:t> </w:t>
      </w:r>
      <w:r>
        <w:rPr>
          <w:spacing w:val="-91"/>
        </w:rPr>
      </w:r>
      <w:r>
        <w:rPr/>
        <w:t>益很可能流入企业，相关的已发生或将发生的成本能够可靠地计量时，确认商品销售收入的</w:t>
      </w:r>
      <w:r>
        <w:rPr>
          <w:spacing w:val="-91"/>
        </w:rPr>
        <w:t> </w:t>
      </w:r>
      <w:r>
        <w:rPr>
          <w:spacing w:val="-91"/>
        </w:rPr>
      </w:r>
      <w:r>
        <w:rPr/>
        <w:t>实现。</w:t>
      </w:r>
    </w:p>
    <w:p>
      <w:pPr>
        <w:pStyle w:val="BodyText"/>
        <w:spacing w:line="312" w:lineRule="exact"/>
        <w:ind w:left="633" w:right="98"/>
        <w:jc w:val="left"/>
      </w:pPr>
      <w:r>
        <w:rPr/>
        <w:t>（</w:t>
      </w:r>
      <w:r>
        <w:rPr>
          <w:rFonts w:ascii="Times New Roman" w:hAnsi="Times New Roman" w:cs="Times New Roman" w:eastAsia="Times New Roman" w:hint="default"/>
        </w:rPr>
        <w:t>2</w:t>
      </w:r>
      <w:r>
        <w:rPr/>
        <w:t>）提供劳务收入 在提供劳务交易的结果能够可靠估计的情况下，于资产负债表日按照完工百分比法确认</w:t>
      </w:r>
    </w:p>
    <w:p>
      <w:pPr>
        <w:pStyle w:val="BodyText"/>
        <w:spacing w:line="312" w:lineRule="exact"/>
        <w:ind w:left="633" w:right="98" w:hanging="481"/>
        <w:jc w:val="left"/>
      </w:pPr>
      <w:r>
        <w:rPr/>
        <w:t>提供的劳务收入。劳务交易的完工进度按已经发生的劳务成本占估计总成本的比例确定。 提供劳务交易的结果能够可靠估计是指同时满足：①收入的金额能够可靠地计量；②相</w:t>
      </w:r>
    </w:p>
    <w:p>
      <w:pPr>
        <w:pStyle w:val="BodyText"/>
        <w:spacing w:line="312" w:lineRule="exact"/>
        <w:ind w:right="239"/>
        <w:jc w:val="both"/>
      </w:pPr>
      <w:r>
        <w:rPr/>
        <w:t>关的经济利益很可能流入企业；③交易的完工程度能够可靠地确定；④交易中已发生和将发</w:t>
      </w:r>
      <w:r>
        <w:rPr>
          <w:spacing w:val="-91"/>
        </w:rPr>
        <w:t> </w:t>
      </w:r>
      <w:r>
        <w:rPr>
          <w:spacing w:val="-91"/>
        </w:rPr>
      </w:r>
      <w:r>
        <w:rPr/>
        <w:t>生的成本能够可靠地计量。</w:t>
      </w:r>
    </w:p>
    <w:p>
      <w:pPr>
        <w:pStyle w:val="BodyText"/>
        <w:spacing w:line="283" w:lineRule="exact"/>
        <w:ind w:right="0" w:firstLine="480"/>
        <w:jc w:val="both"/>
      </w:pPr>
      <w:r>
        <w:rPr/>
        <w:t>如果提供劳务交易的结果不能够可靠估计，则按已经发生并预计能够得到补偿的劳务成</w:t>
      </w:r>
    </w:p>
    <w:p>
      <w:pPr>
        <w:pStyle w:val="BodyText"/>
        <w:spacing w:line="312" w:lineRule="exact" w:before="30"/>
        <w:ind w:right="239"/>
        <w:jc w:val="both"/>
      </w:pPr>
      <w:r>
        <w:rPr/>
        <w:t>本金额确认提供的劳务收入，并将已发生的劳务成本作为当期费用。已经发生的劳务成本如</w:t>
      </w:r>
      <w:r>
        <w:rPr>
          <w:spacing w:val="-91"/>
        </w:rPr>
        <w:t> </w:t>
      </w:r>
      <w:r>
        <w:rPr>
          <w:spacing w:val="-91"/>
        </w:rPr>
      </w:r>
      <w:r>
        <w:rPr/>
        <w:t>预计不能得到补偿的，则不确认收入。</w:t>
      </w:r>
    </w:p>
    <w:p>
      <w:pPr>
        <w:pStyle w:val="BodyText"/>
        <w:spacing w:line="283" w:lineRule="exact"/>
        <w:ind w:left="633" w:right="98"/>
        <w:jc w:val="left"/>
      </w:pPr>
      <w:r>
        <w:rPr/>
        <w:t>本公司与其他企业签订的合同或协议包括销售商品和提供劳务时，如销售商品部分和提</w:t>
      </w:r>
    </w:p>
    <w:p>
      <w:pPr>
        <w:spacing w:after="0" w:line="283" w:lineRule="exact"/>
        <w:jc w:val="left"/>
        <w:sectPr>
          <w:pgSz w:w="11910" w:h="16840"/>
          <w:pgMar w:header="745" w:footer="979" w:top="1060" w:bottom="1160" w:left="980" w:right="900"/>
        </w:sectPr>
      </w:pPr>
    </w:p>
    <w:p>
      <w:pPr>
        <w:spacing w:line="240" w:lineRule="auto" w:before="6"/>
        <w:rPr>
          <w:rFonts w:ascii="宋体" w:hAnsi="宋体" w:cs="宋体" w:eastAsia="宋体" w:hint="default"/>
          <w:sz w:val="23"/>
          <w:szCs w:val="23"/>
        </w:rPr>
      </w:pPr>
    </w:p>
    <w:p>
      <w:pPr>
        <w:pStyle w:val="BodyText"/>
        <w:spacing w:line="312" w:lineRule="exact" w:before="56"/>
        <w:ind w:right="237"/>
        <w:jc w:val="both"/>
      </w:pPr>
      <w:r>
        <w:rPr/>
        <w:t>供劳务部分能够区分并单独计量的，将销售商品部分和提供劳务部分分别处理；如销售商品</w:t>
      </w:r>
      <w:r>
        <w:rPr>
          <w:spacing w:val="-90"/>
        </w:rPr>
        <w:t> </w:t>
      </w:r>
      <w:r>
        <w:rPr>
          <w:spacing w:val="-90"/>
        </w:rPr>
      </w:r>
      <w:r>
        <w:rPr/>
        <w:t>部分和提供劳务部分不能够区分，或虽能区分但不能够单独计量的，将该合同全部作为销售</w:t>
      </w:r>
      <w:r>
        <w:rPr>
          <w:spacing w:val="-91"/>
        </w:rPr>
        <w:t> </w:t>
      </w:r>
      <w:r>
        <w:rPr>
          <w:spacing w:val="-91"/>
        </w:rPr>
      </w:r>
      <w:r>
        <w:rPr/>
        <w:t>商品处理。</w:t>
      </w:r>
    </w:p>
    <w:p>
      <w:pPr>
        <w:pStyle w:val="BodyText"/>
        <w:spacing w:line="286" w:lineRule="exact"/>
        <w:ind w:left="633" w:right="6434"/>
        <w:jc w:val="left"/>
      </w:pPr>
      <w:r>
        <w:rPr/>
        <w:t>（</w:t>
      </w:r>
      <w:r>
        <w:rPr>
          <w:rFonts w:ascii="Times New Roman" w:hAnsi="Times New Roman" w:cs="Times New Roman" w:eastAsia="Times New Roman" w:hint="default"/>
        </w:rPr>
        <w:t>3</w:t>
      </w:r>
      <w:r>
        <w:rPr/>
        <w:t>）建造合同收入</w:t>
      </w:r>
    </w:p>
    <w:p>
      <w:pPr>
        <w:pStyle w:val="Heading2"/>
        <w:spacing w:line="312" w:lineRule="exact" w:before="26"/>
        <w:ind w:right="239" w:firstLine="480"/>
        <w:jc w:val="right"/>
        <w:rPr>
          <w:i w:val="0"/>
        </w:rPr>
      </w:pPr>
      <w:r>
        <w:rPr>
          <w:w w:val="95"/>
        </w:rPr>
        <w:t>在建造合同的结果能够可靠估计的情况下，于资产负债表日按照完工百分比法确认合同</w:t>
      </w:r>
      <w:r>
        <w:rPr>
          <w:w w:val="95"/>
        </w:rPr>
        <w:t> </w:t>
      </w:r>
      <w:r>
        <w:rPr>
          <w:w w:val="95"/>
        </w:rPr>
        <w:t>收入和合同费用。合同完工进度按已经完成的合同工作量占合同预计总工作量的比例确定。</w:t>
      </w:r>
      <w:r>
        <w:rPr>
          <w:spacing w:val="-58"/>
          <w:w w:val="95"/>
        </w:rPr>
        <w:t> </w:t>
      </w:r>
      <w:r>
        <w:rPr>
          <w:w w:val="95"/>
        </w:rPr>
        <w:t>建造合同的结果能够可靠估计是指同时满足：①合同总收入能够可靠地计量；②与合同</w:t>
      </w:r>
      <w:r>
        <w:rPr>
          <w:w w:val="95"/>
        </w:rPr>
        <w:t> </w:t>
      </w:r>
      <w:r>
        <w:rPr>
          <w:w w:val="95"/>
        </w:rPr>
        <w:t>相关的经济利益很可能流入企业；③实际发生的合同成本能够清楚地区分和可靠地计量；④</w:t>
      </w:r>
      <w:r>
        <w:rPr>
          <w:i w:val="0"/>
        </w:rPr>
      </w:r>
    </w:p>
    <w:p>
      <w:pPr>
        <w:pStyle w:val="Heading2"/>
        <w:spacing w:line="312" w:lineRule="exact"/>
        <w:ind w:left="633" w:right="98" w:hanging="481"/>
        <w:jc w:val="left"/>
        <w:rPr>
          <w:i w:val="0"/>
        </w:rPr>
      </w:pPr>
      <w:r>
        <w:rPr/>
        <w:t>合同完工进度和为完成合同尚需发生的成本能够可靠地确定。</w:t>
      </w:r>
      <w:r>
        <w:rPr>
          <w:w w:val="96"/>
        </w:rPr>
        <w:t> </w:t>
      </w:r>
      <w:r>
        <w:rPr>
          <w:w w:val="95"/>
        </w:rPr>
        <w:t>如建造合同的结果不能可靠地估计，但合同成本能够收回的，合同收入根据能够收回的</w:t>
      </w:r>
      <w:r>
        <w:rPr>
          <w:i w:val="0"/>
        </w:rPr>
      </w:r>
    </w:p>
    <w:p>
      <w:pPr>
        <w:pStyle w:val="Heading2"/>
        <w:spacing w:line="312" w:lineRule="exact"/>
        <w:ind w:right="98"/>
        <w:jc w:val="left"/>
        <w:rPr>
          <w:i w:val="0"/>
        </w:rPr>
      </w:pPr>
      <w:r>
        <w:rPr>
          <w:spacing w:val="-3"/>
          <w:w w:val="95"/>
        </w:rPr>
        <w:t>实际合同成本予以确认，合同成本在其发生的当期确认为合同费用；合同成本不可能收回的，</w:t>
      </w:r>
      <w:r>
        <w:rPr>
          <w:spacing w:val="24"/>
          <w:w w:val="95"/>
        </w:rPr>
        <w:t> </w:t>
      </w:r>
      <w:r>
        <w:rPr>
          <w:spacing w:val="24"/>
          <w:w w:val="95"/>
        </w:rPr>
      </w:r>
      <w:r>
        <w:rPr>
          <w:w w:val="95"/>
        </w:rPr>
        <w:t>在发生时立即确认为合同费用，不确认合同收入。使建造合同的结果不能可靠估计的不确定</w:t>
      </w:r>
      <w:r>
        <w:rPr>
          <w:spacing w:val="11"/>
          <w:w w:val="95"/>
        </w:rPr>
        <w:t> </w:t>
      </w:r>
      <w:r>
        <w:rPr>
          <w:spacing w:val="11"/>
          <w:w w:val="95"/>
        </w:rPr>
      </w:r>
      <w:r>
        <w:rPr/>
        <w:t>因素不复存在的，按照完工百分比法确定与建造合同有关的收入和费用。</w:t>
      </w:r>
      <w:r>
        <w:rPr>
          <w:i w:val="0"/>
        </w:rPr>
      </w:r>
    </w:p>
    <w:p>
      <w:pPr>
        <w:pStyle w:val="BodyText"/>
        <w:spacing w:line="312" w:lineRule="exact"/>
        <w:ind w:left="633" w:right="98"/>
        <w:jc w:val="left"/>
      </w:pPr>
      <w:r>
        <w:rPr/>
        <w:t>合同预计总成本超过合同总收入的，将预计损失确认为当期费用。 </w:t>
      </w:r>
      <w:r>
        <w:rPr>
          <w:spacing w:val="2"/>
        </w:rPr>
        <w:t>在建合同累计已发生的成本和累计已确认的毛利</w:t>
      </w:r>
      <w:r>
        <w:rPr>
          <w:rFonts w:ascii="Times New Roman" w:hAnsi="Times New Roman" w:cs="Times New Roman" w:eastAsia="Times New Roman" w:hint="default"/>
          <w:spacing w:val="2"/>
        </w:rPr>
        <w:t>(</w:t>
      </w:r>
      <w:r>
        <w:rPr>
          <w:spacing w:val="2"/>
        </w:rPr>
        <w:t>亏损</w:t>
      </w:r>
      <w:r>
        <w:rPr>
          <w:rFonts w:ascii="Times New Roman" w:hAnsi="Times New Roman" w:cs="Times New Roman" w:eastAsia="Times New Roman" w:hint="default"/>
          <w:spacing w:val="2"/>
        </w:rPr>
        <w:t>)</w:t>
      </w:r>
      <w:r>
        <w:rPr>
          <w:spacing w:val="2"/>
        </w:rPr>
        <w:t>与已结算的价款在资产负债表中</w:t>
      </w:r>
    </w:p>
    <w:p>
      <w:pPr>
        <w:pStyle w:val="BodyText"/>
        <w:spacing w:line="312" w:lineRule="exact"/>
        <w:ind w:right="237"/>
        <w:jc w:val="both"/>
      </w:pPr>
      <w:r>
        <w:rPr>
          <w:spacing w:val="2"/>
        </w:rPr>
        <w:t>以抵销后的净额列示。在建合同累计已发生的成本和累计已确认的毛利</w:t>
      </w:r>
      <w:r>
        <w:rPr>
          <w:rFonts w:ascii="Times New Roman" w:hAnsi="Times New Roman" w:cs="Times New Roman" w:eastAsia="Times New Roman" w:hint="default"/>
          <w:spacing w:val="2"/>
        </w:rPr>
        <w:t>(</w:t>
      </w:r>
      <w:r>
        <w:rPr>
          <w:spacing w:val="2"/>
        </w:rPr>
        <w:t>亏损</w:t>
      </w:r>
      <w:r>
        <w:rPr>
          <w:rFonts w:ascii="Times New Roman" w:hAnsi="Times New Roman" w:cs="Times New Roman" w:eastAsia="Times New Roman" w:hint="default"/>
          <w:spacing w:val="2"/>
        </w:rPr>
        <w:t>)</w:t>
      </w:r>
      <w:r>
        <w:rPr>
          <w:spacing w:val="2"/>
        </w:rPr>
        <w:t>之和超过已结</w:t>
      </w:r>
      <w:r>
        <w:rPr>
          <w:spacing w:val="-100"/>
        </w:rPr>
        <w:t> </w:t>
      </w:r>
      <w:r>
        <w:rPr>
          <w:spacing w:val="-100"/>
        </w:rPr>
      </w:r>
      <w:r>
        <w:rPr/>
        <w:t>算价款的部分作为存货列示；在建合同已结算的价款超过累计已发生的成本与累计已确认的</w:t>
      </w:r>
      <w:r>
        <w:rPr>
          <w:spacing w:val="-91"/>
        </w:rPr>
        <w:t> </w:t>
      </w:r>
      <w:r>
        <w:rPr>
          <w:spacing w:val="-91"/>
        </w:rPr>
      </w:r>
      <w:r>
        <w:rPr/>
        <w:t>毛利</w:t>
      </w:r>
      <w:r>
        <w:rPr>
          <w:rFonts w:ascii="Times New Roman" w:hAnsi="Times New Roman" w:cs="Times New Roman" w:eastAsia="Times New Roman" w:hint="default"/>
        </w:rPr>
        <w:t>(</w:t>
      </w:r>
      <w:r>
        <w:rPr/>
        <w:t>亏损</w:t>
      </w:r>
      <w:r>
        <w:rPr>
          <w:rFonts w:ascii="Times New Roman" w:hAnsi="Times New Roman" w:cs="Times New Roman" w:eastAsia="Times New Roman" w:hint="default"/>
        </w:rPr>
        <w:t>)</w:t>
      </w:r>
      <w:r>
        <w:rPr/>
        <w:t>之和的部分作为预收款项列示。</w:t>
      </w:r>
    </w:p>
    <w:p>
      <w:pPr>
        <w:pStyle w:val="BodyText"/>
        <w:spacing w:line="286" w:lineRule="exact"/>
        <w:ind w:left="633" w:right="7514"/>
        <w:jc w:val="left"/>
      </w:pPr>
      <w:r>
        <w:rPr/>
        <w:t>（</w:t>
      </w:r>
      <w:r>
        <w:rPr>
          <w:rFonts w:ascii="Times New Roman" w:hAnsi="Times New Roman" w:cs="Times New Roman" w:eastAsia="Times New Roman" w:hint="default"/>
        </w:rPr>
        <w:t>4</w:t>
      </w:r>
      <w:r>
        <w:rPr/>
        <w:t>）使用费收入</w:t>
      </w:r>
    </w:p>
    <w:p>
      <w:pPr>
        <w:pStyle w:val="Heading2"/>
        <w:spacing w:line="310" w:lineRule="exact"/>
        <w:ind w:left="633" w:right="98"/>
        <w:jc w:val="left"/>
        <w:rPr>
          <w:i w:val="0"/>
        </w:rPr>
      </w:pPr>
      <w:r>
        <w:rPr/>
        <w:t>根据有关合同或协议，按权责发生制确认收入。</w:t>
      </w:r>
      <w:r>
        <w:rPr>
          <w:i w:val="0"/>
        </w:rPr>
      </w:r>
    </w:p>
    <w:p>
      <w:pPr>
        <w:pStyle w:val="BodyText"/>
        <w:spacing w:line="315" w:lineRule="exact"/>
        <w:ind w:left="633" w:right="7514"/>
        <w:jc w:val="left"/>
      </w:pPr>
      <w:r>
        <w:rPr/>
        <w:t>（</w:t>
      </w:r>
      <w:r>
        <w:rPr>
          <w:rFonts w:ascii="Times New Roman" w:hAnsi="Times New Roman" w:cs="Times New Roman" w:eastAsia="Times New Roman" w:hint="default"/>
        </w:rPr>
        <w:t>5</w:t>
      </w:r>
      <w:r>
        <w:rPr/>
        <w:t>）利息收入</w:t>
      </w:r>
    </w:p>
    <w:p>
      <w:pPr>
        <w:pStyle w:val="Heading2"/>
        <w:spacing w:line="311" w:lineRule="exact"/>
        <w:ind w:left="633" w:right="98"/>
        <w:jc w:val="left"/>
        <w:rPr>
          <w:i w:val="0"/>
        </w:rPr>
      </w:pPr>
      <w:r>
        <w:rPr/>
        <w:t>按照他人使用本公司货币资金的时间和实际利率计算确定</w:t>
      </w:r>
      <w:r>
        <w:rPr>
          <w:i w:val="0"/>
        </w:rPr>
      </w:r>
    </w:p>
    <w:p>
      <w:pPr>
        <w:spacing w:line="240" w:lineRule="auto" w:before="0"/>
        <w:rPr>
          <w:rFonts w:ascii="宋体" w:hAnsi="宋体" w:cs="宋体" w:eastAsia="宋体" w:hint="default"/>
          <w:i/>
          <w:sz w:val="24"/>
          <w:szCs w:val="24"/>
        </w:rPr>
      </w:pPr>
    </w:p>
    <w:p>
      <w:pPr>
        <w:spacing w:line="240" w:lineRule="auto" w:before="8"/>
        <w:rPr>
          <w:rFonts w:ascii="宋体" w:hAnsi="宋体" w:cs="宋体" w:eastAsia="宋体" w:hint="default"/>
          <w:i/>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line="249" w:lineRule="auto" w:before="0"/>
        <w:ind w:left="152" w:right="231" w:firstLine="0"/>
        <w:jc w:val="both"/>
        <w:rPr>
          <w:rFonts w:ascii="宋体" w:hAnsi="宋体" w:cs="宋体" w:eastAsia="宋体" w:hint="default"/>
          <w:sz w:val="23"/>
          <w:szCs w:val="23"/>
        </w:rPr>
      </w:pPr>
      <w:r>
        <w:rPr>
          <w:rFonts w:ascii="宋体" w:hAnsi="宋体" w:cs="宋体" w:eastAsia="宋体" w:hint="default"/>
          <w:spacing w:val="-2"/>
          <w:sz w:val="23"/>
          <w:szCs w:val="23"/>
        </w:rPr>
        <w:t>与资产相关的政府补助，是指企业取得的、用于购建或以其他方式形成长期资产的政府补助，包</w:t>
      </w:r>
      <w:r>
        <w:rPr>
          <w:rFonts w:ascii="宋体" w:hAnsi="宋体" w:cs="宋体" w:eastAsia="宋体" w:hint="default"/>
          <w:spacing w:val="-63"/>
          <w:sz w:val="23"/>
          <w:szCs w:val="23"/>
        </w:rPr>
        <w:t> </w:t>
      </w:r>
      <w:r>
        <w:rPr>
          <w:rFonts w:ascii="宋体" w:hAnsi="宋体" w:cs="宋体" w:eastAsia="宋体" w:hint="default"/>
          <w:spacing w:val="-63"/>
          <w:sz w:val="23"/>
          <w:szCs w:val="23"/>
        </w:rPr>
      </w:r>
      <w:r>
        <w:rPr>
          <w:rFonts w:ascii="宋体" w:hAnsi="宋体" w:cs="宋体" w:eastAsia="宋体" w:hint="default"/>
          <w:spacing w:val="-1"/>
          <w:sz w:val="23"/>
          <w:szCs w:val="23"/>
        </w:rPr>
        <w:t>括购买固定资产或无形资产的财政拨款、固定资产专门借款的财政贴息等。与资产相关的政府补</w:t>
      </w:r>
      <w:r>
        <w:rPr>
          <w:rFonts w:ascii="宋体" w:hAnsi="宋体" w:cs="宋体" w:eastAsia="宋体" w:hint="default"/>
          <w:spacing w:val="-98"/>
          <w:sz w:val="23"/>
          <w:szCs w:val="23"/>
        </w:rPr>
        <w:t> </w:t>
      </w:r>
      <w:r>
        <w:rPr>
          <w:rFonts w:ascii="宋体" w:hAnsi="宋体" w:cs="宋体" w:eastAsia="宋体" w:hint="default"/>
          <w:spacing w:val="-98"/>
          <w:sz w:val="23"/>
          <w:szCs w:val="23"/>
        </w:rPr>
      </w:r>
      <w:r>
        <w:rPr>
          <w:rFonts w:ascii="宋体" w:hAnsi="宋体" w:cs="宋体" w:eastAsia="宋体" w:hint="default"/>
          <w:sz w:val="23"/>
          <w:szCs w:val="23"/>
        </w:rPr>
        <w:t>助，确认为递延收益，按照所建造或购买的资产使用年限分期计入营业外收入。</w:t>
      </w:r>
    </w:p>
    <w:p>
      <w:pPr>
        <w:spacing w:line="240" w:lineRule="auto" w:before="7"/>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line="249" w:lineRule="auto" w:before="0"/>
        <w:ind w:left="152" w:right="98" w:firstLine="0"/>
        <w:jc w:val="left"/>
        <w:rPr>
          <w:rFonts w:ascii="宋体" w:hAnsi="宋体" w:cs="宋体" w:eastAsia="宋体" w:hint="default"/>
          <w:sz w:val="23"/>
          <w:szCs w:val="23"/>
        </w:rPr>
      </w:pPr>
      <w:r>
        <w:rPr>
          <w:rFonts w:ascii="宋体" w:hAnsi="宋体" w:cs="宋体" w:eastAsia="宋体" w:hint="default"/>
          <w:spacing w:val="-4"/>
          <w:sz w:val="23"/>
          <w:szCs w:val="23"/>
        </w:rPr>
        <w:t>与收益相关的政府补助，是指除与资产相关的政府补助之外的政府补助。与收益相关的政府补助，</w:t>
      </w:r>
      <w:r>
        <w:rPr>
          <w:rFonts w:ascii="宋体" w:hAnsi="宋体" w:cs="宋体" w:eastAsia="宋体" w:hint="default"/>
          <w:spacing w:val="-84"/>
          <w:sz w:val="23"/>
          <w:szCs w:val="23"/>
        </w:rPr>
        <w:t> </w:t>
      </w:r>
      <w:r>
        <w:rPr>
          <w:rFonts w:ascii="宋体" w:hAnsi="宋体" w:cs="宋体" w:eastAsia="宋体" w:hint="default"/>
          <w:spacing w:val="-84"/>
          <w:sz w:val="23"/>
          <w:szCs w:val="23"/>
        </w:rPr>
      </w:r>
      <w:r>
        <w:rPr>
          <w:rFonts w:ascii="宋体" w:hAnsi="宋体" w:cs="宋体" w:eastAsia="宋体" w:hint="default"/>
          <w:sz w:val="23"/>
          <w:szCs w:val="23"/>
        </w:rPr>
        <w:t>用于补偿企业以后期间的相关费用或损失的，取得时确认为递延收益，在确认相关费用的期间计</w:t>
      </w:r>
      <w:r>
        <w:rPr>
          <w:rFonts w:ascii="宋体" w:hAnsi="宋体" w:cs="宋体" w:eastAsia="宋体" w:hint="default"/>
          <w:w w:val="100"/>
          <w:sz w:val="23"/>
          <w:szCs w:val="23"/>
        </w:rPr>
        <w:t> </w:t>
      </w:r>
      <w:r>
        <w:rPr>
          <w:rFonts w:ascii="宋体" w:hAnsi="宋体" w:cs="宋体" w:eastAsia="宋体" w:hint="default"/>
          <w:spacing w:val="-4"/>
          <w:sz w:val="23"/>
          <w:szCs w:val="23"/>
        </w:rPr>
        <w:t>入当期营业外收入；用于补偿企业已发生的相关费用或损失的，取得时直接计入当期营业外收入。</w:t>
      </w:r>
    </w:p>
    <w:p>
      <w:pPr>
        <w:spacing w:line="240" w:lineRule="auto" w:before="6"/>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239" w:firstLine="480"/>
        <w:jc w:val="both"/>
      </w:pPr>
      <w:r>
        <w:rPr/>
        <w:t>某些资产、负债项目的账面价值与其计税基础之间的差额，以及未作为资产和负债确认 但按照税法规定可以确定其计税基础的项目的账面价值与计税基础之间的差额产生的暂时性</w:t>
      </w:r>
      <w:r>
        <w:rPr>
          <w:spacing w:val="-91"/>
        </w:rPr>
        <w:t> </w:t>
      </w:r>
      <w:r>
        <w:rPr>
          <w:spacing w:val="-91"/>
        </w:rPr>
      </w:r>
      <w:r>
        <w:rPr/>
        <w:t>差异，采用资产负债表债务法确认递延所得税资产及递延所得税负债。</w:t>
      </w:r>
    </w:p>
    <w:p>
      <w:pPr>
        <w:pStyle w:val="BodyText"/>
        <w:spacing w:line="283" w:lineRule="exact"/>
        <w:ind w:left="633" w:right="98"/>
        <w:jc w:val="left"/>
      </w:pPr>
      <w:r>
        <w:rPr/>
        <w:t>与商誉的初始确认有关，以及与既不是企业合并、发生时也不影响会计利润和应纳税所</w:t>
      </w:r>
    </w:p>
    <w:p>
      <w:pPr>
        <w:spacing w:after="0" w:line="283" w:lineRule="exact"/>
        <w:jc w:val="left"/>
        <w:sectPr>
          <w:pgSz w:w="11910" w:h="16840"/>
          <w:pgMar w:header="745" w:footer="979" w:top="1060" w:bottom="1160" w:left="980" w:right="900"/>
        </w:sectPr>
      </w:pPr>
    </w:p>
    <w:p>
      <w:pPr>
        <w:spacing w:line="240" w:lineRule="auto" w:before="6"/>
        <w:rPr>
          <w:rFonts w:ascii="宋体" w:hAnsi="宋体" w:cs="宋体" w:eastAsia="宋体" w:hint="default"/>
          <w:sz w:val="23"/>
          <w:szCs w:val="23"/>
        </w:rPr>
      </w:pPr>
    </w:p>
    <w:p>
      <w:pPr>
        <w:pStyle w:val="BodyText"/>
        <w:spacing w:line="312" w:lineRule="exact" w:before="56"/>
        <w:ind w:right="235"/>
        <w:jc w:val="both"/>
      </w:pPr>
      <w:r>
        <w:rPr/>
        <w:t>得额（或可抵扣亏损）的交易中产生的资产或负债的初始确认有关的应纳税暂时性差异，不</w:t>
      </w:r>
      <w:r>
        <w:rPr>
          <w:spacing w:val="-91"/>
        </w:rPr>
        <w:t> </w:t>
      </w:r>
      <w:r>
        <w:rPr>
          <w:spacing w:val="-91"/>
        </w:rPr>
      </w:r>
      <w:r>
        <w:rPr/>
        <w:t>予确认有关的递延所得税负债。此外，对与子公司、联营企业及合营企业投资相关的应纳税</w:t>
      </w:r>
      <w:r>
        <w:rPr>
          <w:spacing w:val="-91"/>
        </w:rPr>
        <w:t> </w:t>
      </w:r>
      <w:r>
        <w:rPr>
          <w:spacing w:val="-91"/>
        </w:rPr>
      </w:r>
      <w:r>
        <w:rPr/>
        <w:t>暂时性差异，如果本公司能够控制暂时性差异转回的时间，而且该暂时性差异在可预见的未</w:t>
      </w:r>
      <w:r>
        <w:rPr>
          <w:spacing w:val="-91"/>
        </w:rPr>
        <w:t> </w:t>
      </w:r>
      <w:r>
        <w:rPr>
          <w:spacing w:val="-91"/>
        </w:rPr>
      </w:r>
      <w:r>
        <w:rPr/>
        <w:t>来很可能不会转回，也不予确认有关的递延所得税负债。除上述例外情况，本公司确认其他</w:t>
      </w:r>
      <w:r>
        <w:rPr>
          <w:spacing w:val="-88"/>
        </w:rPr>
        <w:t> </w:t>
      </w:r>
      <w:r>
        <w:rPr>
          <w:spacing w:val="-88"/>
        </w:rPr>
      </w:r>
      <w:r>
        <w:rPr/>
        <w:t>所有应纳税暂时性差异产生的递延所得税负债。</w:t>
      </w:r>
    </w:p>
    <w:p>
      <w:pPr>
        <w:pStyle w:val="BodyText"/>
        <w:spacing w:line="312" w:lineRule="exact"/>
        <w:ind w:right="96" w:firstLine="480"/>
        <w:jc w:val="left"/>
      </w:pPr>
      <w:r>
        <w:rPr/>
        <w:t>与既不是企业合并、发生时也不影响会计利润和应纳税所得额（或可抵扣亏损）的交易 </w:t>
      </w:r>
      <w:r>
        <w:rPr>
          <w:spacing w:val="-2"/>
        </w:rPr>
        <w:t>中产生的资产或负债的初始确认有关的可抵扣暂时性差异，不予确认有关的递延所得税资产。</w:t>
      </w:r>
      <w:r>
        <w:rPr/>
        <w:t> 此外，对与子公司、联营企业及合营企业投资相关的可抵扣暂时性差异，如果暂时性差异在</w:t>
      </w:r>
      <w:r>
        <w:rPr>
          <w:spacing w:val="-91"/>
        </w:rPr>
        <w:t> </w:t>
      </w:r>
      <w:r>
        <w:rPr>
          <w:spacing w:val="-91"/>
        </w:rPr>
      </w:r>
      <w:r>
        <w:rPr/>
        <w:t>可预见的未来不是很可能转回，或者未来不是很可能获得用来抵扣可抵扣暂时性差异的应纳</w:t>
      </w:r>
      <w:r>
        <w:rPr>
          <w:spacing w:val="-91"/>
        </w:rPr>
        <w:t> </w:t>
      </w:r>
      <w:r>
        <w:rPr>
          <w:spacing w:val="-91"/>
        </w:rPr>
      </w:r>
      <w:r>
        <w:rPr/>
        <w:t>税所得额，不予确认有关的递延所得税资产。除上述例外情况，本公司以很可能取得用来抵</w:t>
      </w:r>
    </w:p>
    <w:p>
      <w:pPr>
        <w:pStyle w:val="BodyText"/>
        <w:spacing w:line="312" w:lineRule="exact"/>
        <w:ind w:right="235"/>
        <w:jc w:val="both"/>
      </w:pPr>
      <w:r>
        <w:rPr/>
        <w:t>扣可抵扣暂时性差异的应纳税所得额为限，确认其他可抵扣暂时性差异产生的递延所得税资</w:t>
      </w:r>
      <w:r>
        <w:rPr>
          <w:spacing w:val="-88"/>
        </w:rPr>
        <w:t> </w:t>
      </w:r>
      <w:r>
        <w:rPr>
          <w:spacing w:val="-88"/>
        </w:rPr>
      </w:r>
      <w:r>
        <w:rPr/>
        <w:t>产。</w:t>
      </w:r>
    </w:p>
    <w:p>
      <w:pPr>
        <w:pStyle w:val="BodyText"/>
        <w:spacing w:line="312" w:lineRule="exact"/>
        <w:ind w:right="98" w:firstLine="480"/>
        <w:jc w:val="left"/>
      </w:pPr>
      <w:r>
        <w:rPr/>
        <w:t>对于能够结转以后年度的可抵扣亏损和税款抵减，以很可能获得用来抵扣可抵扣亏损和 税款抵减的未来应纳税所得额为限，确认相应的递延所得税资产。</w:t>
      </w:r>
    </w:p>
    <w:p>
      <w:pPr>
        <w:pStyle w:val="BodyText"/>
        <w:spacing w:line="312" w:lineRule="exact"/>
        <w:ind w:right="98" w:firstLine="480"/>
        <w:jc w:val="left"/>
      </w:pPr>
      <w:r>
        <w:rPr/>
        <w:t>资产负债表日，对于递延所得税资产和递延所得税负债，根据税法规定，按照预期收回 相关资产或清偿相关负债期间的适用税率计量。</w:t>
      </w:r>
    </w:p>
    <w:p>
      <w:pPr>
        <w:pStyle w:val="BodyText"/>
        <w:spacing w:line="312" w:lineRule="exact"/>
        <w:ind w:right="239" w:firstLine="480"/>
        <w:jc w:val="both"/>
      </w:pPr>
      <w:r>
        <w:rPr/>
        <w:t>于资产负债表日，对递延所得税资产的账面价值进行复核，如果未来很可能无法获得足 够的应纳税所得额用以抵扣递延所得税资产的利益，则减记递延所得税资产的账面价值。在</w:t>
      </w:r>
      <w:r>
        <w:rPr>
          <w:spacing w:val="-91"/>
        </w:rPr>
        <w:t> </w:t>
      </w:r>
      <w:r>
        <w:rPr>
          <w:spacing w:val="-91"/>
        </w:rPr>
      </w:r>
      <w:r>
        <w:rPr/>
        <w:t>很可能获得足够的应纳税所得额时，减记的金额予以转回。</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spacing w:before="0"/>
        <w:ind w:left="152" w:right="75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643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left="633" w:right="98"/>
        <w:jc w:val="left"/>
      </w:pPr>
      <w:r>
        <w:rPr/>
        <w:t>（</w:t>
      </w:r>
      <w:r>
        <w:rPr>
          <w:rFonts w:ascii="Times New Roman" w:hAnsi="Times New Roman" w:cs="Times New Roman" w:eastAsia="Times New Roman" w:hint="default"/>
        </w:rPr>
        <w:t>1</w:t>
      </w:r>
      <w:r>
        <w:rPr/>
        <w:t>）本公司作为承租人记录经营租赁业务 经营租赁的租金支出在租赁期内的各个期间按直线法计入相关资产成本或当期损益。初</w:t>
      </w:r>
    </w:p>
    <w:p>
      <w:pPr>
        <w:pStyle w:val="BodyText"/>
        <w:spacing w:line="282" w:lineRule="exact"/>
        <w:ind w:right="98"/>
        <w:jc w:val="left"/>
      </w:pPr>
      <w:r>
        <w:rPr/>
        <w:t>始直接费用计入当期损益。或有租金于实际发生时计入当期损益。</w:t>
      </w:r>
    </w:p>
    <w:p>
      <w:pPr>
        <w:pStyle w:val="BodyText"/>
        <w:spacing w:line="235" w:lineRule="auto" w:before="4"/>
        <w:ind w:right="98" w:firstLine="480"/>
        <w:jc w:val="left"/>
      </w:pPr>
      <w:r>
        <w:rPr/>
        <w:t>（</w:t>
      </w:r>
      <w:r>
        <w:rPr>
          <w:rFonts w:ascii="Times New Roman" w:hAnsi="Times New Roman" w:cs="Times New Roman" w:eastAsia="Times New Roman" w:hint="default"/>
        </w:rPr>
        <w:t>2</w:t>
      </w:r>
      <w:r>
        <w:rPr/>
        <w:t>）本公司作为出租人记录经营租赁业务 经营租赁的租金收入在租赁期内的各个期间按直线法确认为当期损益。对金额较大的初始直</w:t>
      </w:r>
      <w:r>
        <w:rPr>
          <w:spacing w:val="-91"/>
        </w:rPr>
        <w:t> </w:t>
      </w:r>
      <w:r>
        <w:rPr>
          <w:spacing w:val="-91"/>
        </w:rPr>
      </w:r>
      <w:r>
        <w:rPr/>
        <w:t>接费用于发生时予以资本化，在整个租赁期间内按照与确认租金收入相同的基础分期计入当</w:t>
      </w:r>
      <w:r>
        <w:rPr>
          <w:spacing w:val="-91"/>
        </w:rPr>
        <w:t> </w:t>
      </w:r>
      <w:r>
        <w:rPr>
          <w:spacing w:val="-91"/>
        </w:rPr>
      </w:r>
      <w:r>
        <w:rPr/>
        <w:t>期损益；其他金额较小的初始直接费用于发生时计入当期损益。或有租金于实际发生时计入</w:t>
      </w:r>
      <w:r>
        <w:rPr>
          <w:spacing w:val="-91"/>
        </w:rPr>
        <w:t> </w:t>
      </w:r>
      <w:r>
        <w:rPr>
          <w:spacing w:val="-91"/>
        </w:rPr>
      </w:r>
      <w:r>
        <w:rPr/>
        <w:t>当期损益。</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4"/>
          <w:szCs w:val="24"/>
        </w:rPr>
      </w:pPr>
    </w:p>
    <w:p>
      <w:pPr>
        <w:spacing w:before="0"/>
        <w:ind w:left="152" w:right="643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left="633" w:right="98"/>
        <w:jc w:val="left"/>
      </w:pPr>
      <w:r>
        <w:rPr/>
        <w:t>（</w:t>
      </w:r>
      <w:r>
        <w:rPr>
          <w:rFonts w:ascii="Times New Roman" w:hAnsi="Times New Roman" w:cs="Times New Roman" w:eastAsia="Times New Roman" w:hint="default"/>
        </w:rPr>
        <w:t>1</w:t>
      </w:r>
      <w:r>
        <w:rPr/>
        <w:t>）本公司作为承租人记录融资租赁业务 于租赁期开始日，将租赁开始日租赁资产的公允价值与最低租赁付款额现值两者中较低</w:t>
      </w:r>
    </w:p>
    <w:p>
      <w:pPr>
        <w:pStyle w:val="BodyText"/>
        <w:spacing w:line="312" w:lineRule="exact"/>
        <w:ind w:right="98"/>
        <w:jc w:val="left"/>
      </w:pPr>
      <w:r>
        <w:rPr/>
        <w:t>者作为租入资产的入账价值，将最低租赁付款额作为长期应付款的入账价值，其差额作为未</w:t>
      </w:r>
      <w:r>
        <w:rPr>
          <w:spacing w:val="-91"/>
        </w:rPr>
        <w:t> </w:t>
      </w:r>
      <w:r>
        <w:rPr>
          <w:spacing w:val="-91"/>
        </w:rPr>
      </w:r>
      <w:r>
        <w:rPr/>
        <w:t>确认融资费用。此外，在租赁谈判和签订租赁合同过程中发生的，可归属于租赁项目的初始</w:t>
      </w:r>
    </w:p>
    <w:p>
      <w:pPr>
        <w:pStyle w:val="BodyText"/>
        <w:spacing w:line="312" w:lineRule="exact"/>
        <w:ind w:right="98"/>
        <w:jc w:val="left"/>
      </w:pPr>
      <w:r>
        <w:rPr/>
        <w:t>直接费用也计入租入资产价值。最低租赁付款额扣除未确认融资费用后的余额分别长期负债</w:t>
      </w:r>
      <w:r>
        <w:rPr>
          <w:spacing w:val="-91"/>
        </w:rPr>
        <w:t> </w:t>
      </w:r>
      <w:r>
        <w:rPr>
          <w:spacing w:val="-91"/>
        </w:rPr>
      </w:r>
      <w:r>
        <w:rPr/>
        <w:t>和一年内到期的长期负债列示。</w:t>
      </w:r>
    </w:p>
    <w:p>
      <w:pPr>
        <w:pStyle w:val="BodyText"/>
        <w:spacing w:line="283" w:lineRule="exact"/>
        <w:ind w:left="633" w:right="98"/>
        <w:jc w:val="left"/>
      </w:pPr>
      <w:r>
        <w:rPr/>
        <w:t>未确认融资费用在租赁期内采用实际利率法计算确认当期的融资费用。或有租金于实际</w:t>
      </w:r>
    </w:p>
    <w:p>
      <w:pPr>
        <w:spacing w:after="0" w:line="283" w:lineRule="exact"/>
        <w:jc w:val="left"/>
        <w:sectPr>
          <w:pgSz w:w="11910" w:h="16840"/>
          <w:pgMar w:header="745" w:footer="979" w:top="1060" w:bottom="1160" w:left="980" w:right="900"/>
        </w:sectPr>
      </w:pPr>
    </w:p>
    <w:p>
      <w:pPr>
        <w:spacing w:line="240" w:lineRule="auto" w:before="6"/>
        <w:rPr>
          <w:rFonts w:ascii="宋体" w:hAnsi="宋体" w:cs="宋体" w:eastAsia="宋体" w:hint="default"/>
          <w:sz w:val="23"/>
          <w:szCs w:val="23"/>
        </w:rPr>
      </w:pPr>
    </w:p>
    <w:p>
      <w:pPr>
        <w:pStyle w:val="BodyText"/>
        <w:spacing w:line="313" w:lineRule="exact" w:before="26"/>
        <w:ind w:right="0"/>
        <w:jc w:val="both"/>
      </w:pPr>
      <w:r>
        <w:rPr/>
        <w:t>发生时计入当期损益。</w:t>
      </w:r>
    </w:p>
    <w:p>
      <w:pPr>
        <w:pStyle w:val="BodyText"/>
        <w:spacing w:line="312" w:lineRule="exact" w:before="29"/>
        <w:ind w:left="633" w:right="144"/>
        <w:jc w:val="left"/>
      </w:pPr>
      <w:r>
        <w:rPr/>
        <w:t>（</w:t>
      </w:r>
      <w:r>
        <w:rPr>
          <w:rFonts w:ascii="Times New Roman" w:hAnsi="Times New Roman" w:cs="Times New Roman" w:eastAsia="Times New Roman" w:hint="default"/>
        </w:rPr>
        <w:t>2</w:t>
      </w:r>
      <w:r>
        <w:rPr/>
        <w:t>）本公司作为出租人记录融资租赁业务 于租赁期开始日，将租赁开始日最低租赁收款额与初始直接费用之和作为应收融资租赁</w:t>
      </w:r>
    </w:p>
    <w:p>
      <w:pPr>
        <w:pStyle w:val="BodyText"/>
        <w:spacing w:line="312" w:lineRule="exact"/>
        <w:ind w:right="159"/>
        <w:jc w:val="both"/>
      </w:pPr>
      <w:r>
        <w:rPr/>
        <w:t>款的入账价值，同时记录未担保余值；将最低租赁收款额、初始直接费用及未担保余值之和</w:t>
      </w:r>
      <w:r>
        <w:rPr>
          <w:spacing w:val="-91"/>
        </w:rPr>
        <w:t> </w:t>
      </w:r>
      <w:r>
        <w:rPr>
          <w:spacing w:val="-91"/>
        </w:rPr>
      </w:r>
      <w:r>
        <w:rPr/>
        <w:t>与其现值之和的差额确认为未实现融资收益。应收融资租赁款扣除未实现融资收益后的余额</w:t>
      </w:r>
      <w:r>
        <w:rPr>
          <w:spacing w:val="-91"/>
        </w:rPr>
        <w:t> </w:t>
      </w:r>
      <w:r>
        <w:rPr>
          <w:spacing w:val="-91"/>
        </w:rPr>
      </w:r>
      <w:r>
        <w:rPr/>
        <w:t>分别长期债权和一年内到期的长期债权列示。</w:t>
      </w:r>
    </w:p>
    <w:p>
      <w:pPr>
        <w:pStyle w:val="BodyText"/>
        <w:spacing w:line="312" w:lineRule="exact"/>
        <w:ind w:right="144" w:firstLine="480"/>
        <w:jc w:val="left"/>
      </w:pPr>
      <w:r>
        <w:rPr/>
        <w:t>未实现融资收益在租赁期内采用实际利率法计算确认当期的融资收入。或有租金于实际 发生时计入当期损益。</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、其他重要的会计政策和会计估计</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left="633" w:right="144"/>
        <w:jc w:val="left"/>
      </w:pPr>
      <w:r>
        <w:rPr/>
        <w:t>（</w:t>
      </w:r>
      <w:r>
        <w:rPr>
          <w:rFonts w:ascii="Times New Roman" w:hAnsi="Times New Roman" w:cs="Times New Roman" w:eastAsia="Times New Roman" w:hint="default"/>
        </w:rPr>
        <w:t>1</w:t>
      </w:r>
      <w:r>
        <w:rPr/>
        <w:t>）终止经营 终止经营，是指满足下列条件之一的已被本公司处置或划归为持有待售的、在经营和编</w:t>
      </w:r>
    </w:p>
    <w:p>
      <w:pPr>
        <w:pStyle w:val="BodyText"/>
        <w:spacing w:line="312" w:lineRule="exact"/>
        <w:ind w:right="159"/>
        <w:jc w:val="both"/>
      </w:pPr>
      <w:r>
        <w:rPr/>
        <w:t>制财务报表时能够单独区分的组成部分：①该组成部分代表一项独立的主要业务或一个主要</w:t>
      </w:r>
      <w:r>
        <w:rPr>
          <w:spacing w:val="-91"/>
        </w:rPr>
        <w:t> </w:t>
      </w:r>
      <w:r>
        <w:rPr>
          <w:spacing w:val="-91"/>
        </w:rPr>
      </w:r>
      <w:r>
        <w:rPr/>
        <w:t>经营地区；②该组成部分是拟对一项独立的主要业务或一个主要经营地区进行处置计划的一</w:t>
      </w:r>
      <w:r>
        <w:rPr>
          <w:spacing w:val="-91"/>
        </w:rPr>
        <w:t> </w:t>
      </w:r>
      <w:r>
        <w:rPr>
          <w:spacing w:val="-91"/>
        </w:rPr>
      </w:r>
      <w:r>
        <w:rPr/>
        <w:t>部分；③该组成部分是仅仅为了再出售而取得的子公司。</w:t>
      </w:r>
    </w:p>
    <w:p>
      <w:pPr>
        <w:pStyle w:val="BodyText"/>
        <w:spacing w:line="291" w:lineRule="exact"/>
        <w:ind w:left="633" w:right="144"/>
        <w:jc w:val="left"/>
      </w:pPr>
      <w:r>
        <w:rPr/>
        <w:t>终止经营的会计处理方法参见本附注四、</w:t>
      </w:r>
      <w:r>
        <w:rPr>
          <w:rFonts w:ascii="Times New Roman" w:hAnsi="Times New Roman" w:cs="Times New Roman" w:eastAsia="Times New Roman" w:hint="default"/>
        </w:rPr>
        <w:t>12“</w:t>
      </w:r>
      <w:r>
        <w:rPr/>
        <w:t>划分为持有待售资产</w:t>
      </w:r>
      <w:r>
        <w:rPr>
          <w:rFonts w:ascii="Times New Roman" w:hAnsi="Times New Roman" w:cs="Times New Roman" w:eastAsia="Times New Roman" w:hint="default"/>
        </w:rPr>
        <w:t>”</w:t>
      </w:r>
      <w:r>
        <w:rPr/>
        <w:t>相关描述。</w:t>
      </w:r>
    </w:p>
    <w:p>
      <w:pPr>
        <w:pStyle w:val="BodyText"/>
        <w:spacing w:line="312" w:lineRule="exact" w:before="20"/>
        <w:ind w:left="633" w:right="7733"/>
        <w:jc w:val="left"/>
      </w:pPr>
      <w:r>
        <w:rPr/>
        <w:t>（</w:t>
      </w:r>
      <w:r>
        <w:rPr>
          <w:rFonts w:ascii="Times New Roman" w:hAnsi="Times New Roman" w:cs="Times New Roman" w:eastAsia="Times New Roman" w:hint="default"/>
        </w:rPr>
        <w:t>2</w:t>
      </w:r>
      <w:r>
        <w:rPr/>
        <w:t>）套期会计 无。</w:t>
      </w:r>
    </w:p>
    <w:p>
      <w:pPr>
        <w:pStyle w:val="BodyText"/>
        <w:spacing w:line="312" w:lineRule="exact"/>
        <w:ind w:left="633" w:right="7733"/>
        <w:jc w:val="left"/>
      </w:pPr>
      <w:r>
        <w:rPr/>
        <w:t>（</w:t>
      </w:r>
      <w:r>
        <w:rPr>
          <w:rFonts w:ascii="Times New Roman" w:hAnsi="Times New Roman" w:cs="Times New Roman" w:eastAsia="Times New Roman" w:hint="default"/>
        </w:rPr>
        <w:t>3</w:t>
      </w:r>
      <w:r>
        <w:rPr/>
        <w:t>）回购股份 无。</w:t>
      </w:r>
    </w:p>
    <w:p>
      <w:pPr>
        <w:pStyle w:val="BodyText"/>
        <w:spacing w:line="312" w:lineRule="exact"/>
        <w:ind w:left="633" w:right="7493"/>
        <w:jc w:val="left"/>
      </w:pPr>
      <w:r>
        <w:rPr/>
        <w:t>（</w:t>
      </w:r>
      <w:r>
        <w:rPr>
          <w:rFonts w:ascii="Times New Roman" w:hAnsi="Times New Roman" w:cs="Times New Roman" w:eastAsia="Times New Roman" w:hint="default"/>
        </w:rPr>
        <w:t>4</w:t>
      </w:r>
      <w:r>
        <w:rPr/>
        <w:t>）资产证券化 无。</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6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根据《企业会计准则第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 </w:t>
            </w:r>
            <w:r>
              <w:rPr>
                <w:rFonts w:ascii="宋体" w:hAnsi="宋体" w:cs="宋体" w:eastAsia="宋体" w:hint="default"/>
                <w:spacing w:val="-6"/>
                <w:sz w:val="18"/>
                <w:szCs w:val="18"/>
              </w:rPr>
              <w:t>资》，将持有的不具有控制、共同控制或</w:t>
            </w:r>
            <w:r>
              <w:rPr>
                <w:rFonts w:ascii="宋体" w:hAnsi="宋体" w:cs="宋体" w:eastAsia="宋体" w:hint="default"/>
                <w:sz w:val="18"/>
                <w:szCs w:val="18"/>
              </w:rPr>
              <w:t> 重大影响且其在活跃市场中没有报价、 公允价值不可计量的长期股权投资重分 类调整至可供出售金融资产会计科目， 并进行追溯调整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经本公司第三届董事会</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82" w:lineRule="exact"/>
        <w:ind w:left="633" w:right="144"/>
        <w:jc w:val="left"/>
      </w:pPr>
      <w:r>
        <w:rPr/>
        <w:t>（</w:t>
      </w:r>
      <w:r>
        <w:rPr>
          <w:rFonts w:ascii="Times New Roman" w:hAnsi="Times New Roman" w:cs="Times New Roman" w:eastAsia="Times New Roman" w:hint="default"/>
        </w:rPr>
        <w:t>1</w:t>
      </w:r>
      <w:r>
        <w:rPr/>
        <w:t>）会计政策变更</w:t>
      </w:r>
    </w:p>
    <w:p>
      <w:pPr>
        <w:pStyle w:val="BodyText"/>
        <w:spacing w:line="303" w:lineRule="exact"/>
        <w:ind w:left="633" w:right="144"/>
        <w:jc w:val="left"/>
      </w:pPr>
      <w:r>
        <w:rPr/>
        <w:t>①因执行新企业会计准则导致的会计政策变更</w:t>
      </w:r>
    </w:p>
    <w:p>
      <w:pPr>
        <w:pStyle w:val="BodyText"/>
        <w:spacing w:line="312" w:lineRule="exact" w:before="30"/>
        <w:ind w:right="151" w:firstLine="480"/>
        <w:jc w:val="both"/>
      </w:pPr>
      <w:r>
        <w:rPr>
          <w:rFonts w:ascii="Times New Roman" w:hAnsi="Times New Roman" w:cs="Times New Roman" w:eastAsia="Times New Roman" w:hint="default"/>
          <w:spacing w:val="-5"/>
        </w:rPr>
        <w:t>2014</w:t>
      </w:r>
      <w:r>
        <w:rPr>
          <w:spacing w:val="-5"/>
        </w:rPr>
        <w:t>年初，财政部分别以财会</w:t>
      </w:r>
      <w:r>
        <w:rPr>
          <w:rFonts w:ascii="Times New Roman" w:hAnsi="Times New Roman" w:cs="Times New Roman" w:eastAsia="Times New Roman" w:hint="default"/>
          <w:spacing w:val="-5"/>
        </w:rPr>
        <w:t>[2014]6</w:t>
      </w:r>
      <w:r>
        <w:rPr>
          <w:spacing w:val="-5"/>
        </w:rPr>
        <w:t>号、</w:t>
      </w:r>
      <w:r>
        <w:rPr>
          <w:rFonts w:ascii="Times New Roman" w:hAnsi="Times New Roman" w:cs="Times New Roman" w:eastAsia="Times New Roman" w:hint="default"/>
          <w:spacing w:val="-5"/>
        </w:rPr>
        <w:t>7</w:t>
      </w:r>
      <w:r>
        <w:rPr>
          <w:spacing w:val="-5"/>
        </w:rPr>
        <w:t>号、</w:t>
      </w:r>
      <w:r>
        <w:rPr>
          <w:rFonts w:ascii="Times New Roman" w:hAnsi="Times New Roman" w:cs="Times New Roman" w:eastAsia="Times New Roman" w:hint="default"/>
          <w:spacing w:val="-5"/>
        </w:rPr>
        <w:t>8</w:t>
      </w:r>
      <w:r>
        <w:rPr>
          <w:spacing w:val="-5"/>
        </w:rPr>
        <w:t>号、</w:t>
      </w:r>
      <w:r>
        <w:rPr>
          <w:rFonts w:ascii="Times New Roman" w:hAnsi="Times New Roman" w:cs="Times New Roman" w:eastAsia="Times New Roman" w:hint="default"/>
          <w:spacing w:val="-5"/>
        </w:rPr>
        <w:t>10</w:t>
      </w:r>
      <w:r>
        <w:rPr>
          <w:spacing w:val="-5"/>
        </w:rPr>
        <w:t>号、</w:t>
      </w:r>
      <w:r>
        <w:rPr>
          <w:rFonts w:ascii="Times New Roman" w:hAnsi="Times New Roman" w:cs="Times New Roman" w:eastAsia="Times New Roman" w:hint="default"/>
          <w:spacing w:val="-5"/>
        </w:rPr>
        <w:t>11</w:t>
      </w:r>
      <w:r>
        <w:rPr>
          <w:spacing w:val="-5"/>
        </w:rPr>
        <w:t>号、</w:t>
      </w:r>
      <w:r>
        <w:rPr>
          <w:rFonts w:ascii="Times New Roman" w:hAnsi="Times New Roman" w:cs="Times New Roman" w:eastAsia="Times New Roman" w:hint="default"/>
          <w:spacing w:val="-5"/>
        </w:rPr>
        <w:t>14</w:t>
      </w:r>
      <w:r>
        <w:rPr>
          <w:spacing w:val="-5"/>
        </w:rPr>
        <w:t>号及</w:t>
      </w:r>
      <w:r>
        <w:rPr>
          <w:rFonts w:ascii="Times New Roman" w:hAnsi="Times New Roman" w:cs="Times New Roman" w:eastAsia="Times New Roman" w:hint="default"/>
          <w:spacing w:val="-5"/>
        </w:rPr>
        <w:t>16</w:t>
      </w:r>
      <w:r>
        <w:rPr>
          <w:spacing w:val="-5"/>
        </w:rPr>
        <w:t>号发布了《企</w:t>
      </w:r>
      <w:r>
        <w:rPr/>
        <w:t> 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w:t>
      </w:r>
      <w:r>
        <w:rPr>
          <w:rFonts w:ascii="Times New Roman" w:hAnsi="Times New Roman" w:cs="Times New Roman" w:eastAsia="Times New Roman" w:hint="default"/>
        </w:rPr>
        <w:t>2014</w:t>
      </w:r>
      <w:r>
        <w:rPr/>
        <w:t>年</w:t>
      </w:r>
      <w:r>
        <w:rPr>
          <w:spacing w:val="-88"/>
        </w:rPr>
        <w:t> </w:t>
      </w:r>
      <w:r>
        <w:rPr>
          <w:spacing w:val="-8"/>
        </w:rPr>
        <w:t>修订）》、《企业会计准则第</w:t>
      </w:r>
      <w:r>
        <w:rPr>
          <w:rFonts w:ascii="Times New Roman" w:hAnsi="Times New Roman" w:cs="Times New Roman" w:eastAsia="Times New Roman" w:hint="default"/>
          <w:spacing w:val="-8"/>
        </w:rPr>
        <w:t>9</w:t>
      </w:r>
      <w:r>
        <w:rPr>
          <w:spacing w:val="-8"/>
        </w:rPr>
        <w:t>号</w:t>
      </w:r>
      <w:r>
        <w:rPr>
          <w:rFonts w:ascii="Times New Roman" w:hAnsi="Times New Roman" w:cs="Times New Roman" w:eastAsia="Times New Roman" w:hint="default"/>
          <w:spacing w:val="-8"/>
        </w:rPr>
        <w:t>——</w:t>
      </w:r>
      <w:r>
        <w:rPr>
          <w:spacing w:val="-8"/>
        </w:rPr>
        <w:t>职工薪酬（</w:t>
      </w:r>
      <w:r>
        <w:rPr>
          <w:rFonts w:ascii="Times New Roman" w:hAnsi="Times New Roman" w:cs="Times New Roman" w:eastAsia="Times New Roman" w:hint="default"/>
          <w:spacing w:val="-8"/>
        </w:rPr>
        <w:t>2014</w:t>
      </w:r>
      <w:r>
        <w:rPr>
          <w:spacing w:val="-8"/>
        </w:rPr>
        <w:t>年修订）》、《企业会计准则第</w:t>
      </w:r>
      <w:r>
        <w:rPr>
          <w:rFonts w:ascii="Times New Roman" w:hAnsi="Times New Roman" w:cs="Times New Roman" w:eastAsia="Times New Roman" w:hint="default"/>
          <w:spacing w:val="-8"/>
        </w:rPr>
        <w:t>33</w:t>
      </w:r>
      <w:r>
        <w:rPr>
          <w:spacing w:val="-8"/>
        </w:rPr>
        <w:t>号</w:t>
      </w:r>
      <w:r>
        <w:rPr>
          <w:rFonts w:ascii="Times New Roman" w:hAnsi="Times New Roman" w:cs="Times New Roman" w:eastAsia="Times New Roman" w:hint="default"/>
          <w:spacing w:val="-8"/>
        </w:rPr>
        <w:t>——</w:t>
      </w:r>
      <w:r>
        <w:rPr>
          <w:rFonts w:ascii="Times New Roman" w:hAnsi="Times New Roman" w:cs="Times New Roman" w:eastAsia="Times New Roman" w:hint="default"/>
          <w:spacing w:val="-23"/>
        </w:rPr>
        <w:t> </w:t>
      </w:r>
      <w:r>
        <w:rPr/>
        <w:t>合并财务报表（</w:t>
      </w:r>
      <w:r>
        <w:rPr>
          <w:rFonts w:ascii="Times New Roman" w:hAnsi="Times New Roman" w:cs="Times New Roman" w:eastAsia="Times New Roman" w:hint="default"/>
        </w:rPr>
        <w:t>2014</w:t>
      </w:r>
      <w:r>
        <w:rPr/>
        <w:t>年修订）》、《企业会计准则第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合营安排》、《企业会计准则</w:t>
      </w:r>
    </w:p>
    <w:p>
      <w:pPr>
        <w:spacing w:after="0" w:line="312" w:lineRule="exact"/>
        <w:jc w:val="both"/>
        <w:sectPr>
          <w:pgSz w:w="11910" w:h="16840"/>
          <w:pgMar w:header="745" w:footer="979" w:top="1060" w:bottom="1160" w:left="980" w:right="980"/>
        </w:sectPr>
      </w:pPr>
    </w:p>
    <w:p>
      <w:pPr>
        <w:spacing w:line="240" w:lineRule="auto" w:before="6"/>
        <w:rPr>
          <w:rFonts w:ascii="宋体" w:hAnsi="宋体" w:cs="宋体" w:eastAsia="宋体" w:hint="default"/>
          <w:sz w:val="23"/>
          <w:szCs w:val="23"/>
        </w:rPr>
      </w:pPr>
    </w:p>
    <w:p>
      <w:pPr>
        <w:pStyle w:val="BodyText"/>
        <w:spacing w:line="312" w:lineRule="exact" w:before="56"/>
        <w:ind w:right="251"/>
        <w:jc w:val="both"/>
      </w:pPr>
      <w:r>
        <w:rPr>
          <w:spacing w:val="-2"/>
        </w:rPr>
        <w:t>第</w:t>
      </w:r>
      <w:r>
        <w:rPr>
          <w:rFonts w:ascii="Times New Roman" w:hAnsi="Times New Roman" w:cs="Times New Roman" w:eastAsia="Times New Roman" w:hint="default"/>
          <w:spacing w:val="-2"/>
        </w:rPr>
        <w:t>2</w:t>
      </w:r>
      <w:r>
        <w:rPr>
          <w:spacing w:val="-2"/>
        </w:rPr>
        <w:t>号</w:t>
      </w:r>
      <w:r>
        <w:rPr>
          <w:rFonts w:ascii="Times New Roman" w:hAnsi="Times New Roman" w:cs="Times New Roman" w:eastAsia="Times New Roman" w:hint="default"/>
          <w:spacing w:val="-2"/>
        </w:rPr>
        <w:t>——</w:t>
      </w:r>
      <w:r>
        <w:rPr>
          <w:spacing w:val="-2"/>
        </w:rPr>
        <w:t>长期股权投资（</w:t>
      </w:r>
      <w:r>
        <w:rPr>
          <w:rFonts w:ascii="Times New Roman" w:hAnsi="Times New Roman" w:cs="Times New Roman" w:eastAsia="Times New Roman" w:hint="default"/>
          <w:spacing w:val="-2"/>
        </w:rPr>
        <w:t>2014</w:t>
      </w:r>
      <w:r>
        <w:rPr>
          <w:spacing w:val="-2"/>
        </w:rPr>
        <w:t>年修订）》及《企业会计准则第</w:t>
      </w:r>
      <w:r>
        <w:rPr>
          <w:rFonts w:ascii="Times New Roman" w:hAnsi="Times New Roman" w:cs="Times New Roman" w:eastAsia="Times New Roman" w:hint="default"/>
          <w:spacing w:val="-2"/>
        </w:rPr>
        <w:t>41</w:t>
      </w:r>
      <w:r>
        <w:rPr>
          <w:spacing w:val="-2"/>
        </w:rPr>
        <w:t>号</w:t>
      </w:r>
      <w:r>
        <w:rPr>
          <w:rFonts w:ascii="Times New Roman" w:hAnsi="Times New Roman" w:cs="Times New Roman" w:eastAsia="Times New Roman" w:hint="default"/>
          <w:spacing w:val="-2"/>
        </w:rPr>
        <w:t>——</w:t>
      </w:r>
      <w:r>
        <w:rPr>
          <w:spacing w:val="-2"/>
        </w:rPr>
        <w:t>在其他主体中权益的</w:t>
      </w:r>
      <w:r>
        <w:rPr>
          <w:spacing w:val="-117"/>
        </w:rPr>
        <w:t> </w:t>
      </w:r>
      <w:r>
        <w:rPr/>
        <w:t>披露》，要求自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日起在所有执行企业会计准则的企业范围内施行，鼓励在境外上</w:t>
      </w:r>
      <w:r>
        <w:rPr>
          <w:spacing w:val="-89"/>
        </w:rPr>
        <w:t> </w:t>
      </w:r>
      <w:r>
        <w:rPr>
          <w:spacing w:val="-89"/>
        </w:rPr>
      </w:r>
      <w:r>
        <w:rPr>
          <w:spacing w:val="2"/>
        </w:rPr>
        <w:t>市的企业提前执行。同时，财政部以财会</w:t>
      </w:r>
      <w:r>
        <w:rPr>
          <w:rFonts w:ascii="Times New Roman" w:hAnsi="Times New Roman" w:cs="Times New Roman" w:eastAsia="Times New Roman" w:hint="default"/>
          <w:spacing w:val="2"/>
        </w:rPr>
        <w:t>[2014]23</w:t>
      </w:r>
      <w:r>
        <w:rPr>
          <w:spacing w:val="2"/>
        </w:rPr>
        <w:t>号发布了《企业会计准则第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w:t>
      </w:r>
      <w:r>
        <w:rPr>
          <w:spacing w:val="-104"/>
        </w:rPr>
        <w:t> </w:t>
      </w:r>
      <w:r>
        <w:rPr/>
        <w:t>工具列报（</w:t>
      </w:r>
      <w:r>
        <w:rPr>
          <w:rFonts w:ascii="Times New Roman" w:hAnsi="Times New Roman" w:cs="Times New Roman" w:eastAsia="Times New Roman" w:hint="default"/>
        </w:rPr>
        <w:t>2014</w:t>
      </w:r>
      <w:r>
        <w:rPr/>
        <w:t>年修订）》（以下简称</w:t>
      </w:r>
      <w:r>
        <w:rPr>
          <w:rFonts w:ascii="Times New Roman" w:hAnsi="Times New Roman" w:cs="Times New Roman" w:eastAsia="Times New Roman" w:hint="default"/>
        </w:rPr>
        <w:t>“</w:t>
      </w:r>
      <w:r>
        <w:rPr/>
        <w:t>金融工具列报准则</w:t>
      </w:r>
      <w:r>
        <w:rPr>
          <w:rFonts w:ascii="Times New Roman" w:hAnsi="Times New Roman" w:cs="Times New Roman" w:eastAsia="Times New Roman" w:hint="default"/>
        </w:rPr>
        <w:t>”</w:t>
      </w:r>
      <w:r>
        <w:rPr/>
        <w:t>），要求在</w:t>
      </w:r>
      <w:r>
        <w:rPr>
          <w:rFonts w:ascii="Times New Roman" w:hAnsi="Times New Roman" w:cs="Times New Roman" w:eastAsia="Times New Roman" w:hint="default"/>
        </w:rPr>
        <w:t>2014</w:t>
      </w:r>
      <w:r>
        <w:rPr/>
        <w:t>年年度及以后期</w:t>
      </w:r>
      <w:r>
        <w:rPr>
          <w:spacing w:val="-63"/>
        </w:rPr>
        <w:t> </w:t>
      </w:r>
      <w:r>
        <w:rPr>
          <w:spacing w:val="-63"/>
        </w:rPr>
      </w:r>
      <w:r>
        <w:rPr/>
        <w:t>间的财务报告中按照该准则的要求对金融工具进行列报。</w:t>
      </w:r>
    </w:p>
    <w:p>
      <w:pPr>
        <w:pStyle w:val="BodyText"/>
        <w:spacing w:line="312" w:lineRule="exact"/>
        <w:ind w:right="248" w:firstLine="480"/>
        <w:jc w:val="both"/>
      </w:pPr>
      <w:r>
        <w:rPr>
          <w:spacing w:val="3"/>
        </w:rPr>
        <w:t>本公司于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w:t>
      </w:r>
      <w:r>
        <w:rPr>
          <w:spacing w:val="3"/>
        </w:rPr>
        <w:t>日开始执行前述除金融工具列报准则以外的</w:t>
      </w:r>
      <w:r>
        <w:rPr>
          <w:rFonts w:ascii="Times New Roman" w:hAnsi="Times New Roman" w:cs="Times New Roman" w:eastAsia="Times New Roman" w:hint="default"/>
          <w:spacing w:val="3"/>
        </w:rPr>
        <w:t>7</w:t>
      </w:r>
      <w:r>
        <w:rPr>
          <w:spacing w:val="3"/>
        </w:rPr>
        <w:t>项新颁布或修订的企</w:t>
      </w:r>
      <w:r>
        <w:rPr/>
        <w:t> 业会计准则，在编制</w:t>
      </w:r>
      <w:r>
        <w:rPr>
          <w:rFonts w:ascii="Times New Roman" w:hAnsi="Times New Roman" w:cs="Times New Roman" w:eastAsia="Times New Roman" w:hint="default"/>
        </w:rPr>
        <w:t>2014</w:t>
      </w:r>
      <w:r>
        <w:rPr/>
        <w:t>年年度财务报告时开始执行金融工具列报准则，并根据各准则衔接</w:t>
      </w:r>
      <w:r>
        <w:rPr>
          <w:spacing w:val="-90"/>
        </w:rPr>
        <w:t> </w:t>
      </w:r>
      <w:r>
        <w:rPr>
          <w:spacing w:val="-90"/>
        </w:rPr>
      </w:r>
      <w:r>
        <w:rPr/>
        <w:t>要求进行了调整，对当期和列报前期财务报表项目及金额的影响如下：</w:t>
      </w:r>
    </w:p>
    <w:tbl>
      <w:tblPr>
        <w:tblW w:w="0" w:type="auto"/>
        <w:jc w:val="left"/>
        <w:tblInd w:w="145" w:type="dxa"/>
        <w:tblLayout w:type="fixed"/>
        <w:tblCellMar>
          <w:top w:w="0" w:type="dxa"/>
          <w:left w:w="0" w:type="dxa"/>
          <w:bottom w:w="0" w:type="dxa"/>
          <w:right w:w="0" w:type="dxa"/>
        </w:tblCellMar>
        <w:tblLook w:val="01E0"/>
      </w:tblPr>
      <w:tblGrid>
        <w:gridCol w:w="1527"/>
        <w:gridCol w:w="4254"/>
        <w:gridCol w:w="2127"/>
        <w:gridCol w:w="1841"/>
      </w:tblGrid>
      <w:tr>
        <w:trPr>
          <w:trHeight w:val="667" w:hRule="exact"/>
        </w:trPr>
        <w:tc>
          <w:tcPr>
            <w:tcW w:w="1527" w:type="dxa"/>
            <w:vMerge w:val="restart"/>
            <w:tcBorders>
              <w:top w:val="single" w:sz="6" w:space="0" w:color="000000"/>
              <w:left w:val="single" w:sz="6" w:space="0" w:color="000000"/>
              <w:right w:val="single" w:sz="6" w:space="0" w:color="000000"/>
            </w:tcBorders>
          </w:tcPr>
          <w:p>
            <w:pPr>
              <w:pStyle w:val="TableParagraph"/>
              <w:spacing w:line="273" w:lineRule="auto"/>
              <w:ind w:left="547" w:right="540"/>
              <w:jc w:val="center"/>
              <w:rPr>
                <w:rFonts w:ascii="宋体" w:hAnsi="宋体" w:cs="宋体" w:eastAsia="宋体" w:hint="default"/>
                <w:sz w:val="21"/>
                <w:szCs w:val="21"/>
              </w:rPr>
            </w:pPr>
            <w:r>
              <w:rPr>
                <w:rFonts w:ascii="宋体" w:hAnsi="宋体" w:cs="宋体" w:eastAsia="宋体" w:hint="default"/>
                <w:sz w:val="21"/>
                <w:szCs w:val="21"/>
              </w:rPr>
              <w:t>准则</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4254" w:type="dxa"/>
            <w:vMerge w:val="restart"/>
            <w:tcBorders>
              <w:top w:val="single" w:sz="6" w:space="0" w:color="000000"/>
              <w:left w:val="single" w:sz="6" w:space="0" w:color="000000"/>
              <w:right w:val="single" w:sz="6" w:space="0" w:color="000000"/>
            </w:tcBorders>
          </w:tcPr>
          <w:p>
            <w:pPr>
              <w:pStyle w:val="TableParagraph"/>
              <w:spacing w:line="273" w:lineRule="auto"/>
              <w:ind w:left="1174" w:right="958" w:hanging="209"/>
              <w:jc w:val="left"/>
              <w:rPr>
                <w:rFonts w:ascii="宋体" w:hAnsi="宋体" w:cs="宋体" w:eastAsia="宋体" w:hint="default"/>
                <w:sz w:val="21"/>
                <w:szCs w:val="21"/>
              </w:rPr>
            </w:pPr>
            <w:r>
              <w:rPr>
                <w:rFonts w:ascii="宋体" w:hAnsi="宋体" w:cs="宋体" w:eastAsia="宋体" w:hint="default"/>
                <w:sz w:val="21"/>
                <w:szCs w:val="21"/>
              </w:rPr>
              <w:t>会计政策变更的内容及其</w:t>
            </w:r>
            <w:r>
              <w:rPr>
                <w:rFonts w:ascii="宋体" w:hAnsi="宋体" w:cs="宋体" w:eastAsia="宋体" w:hint="default"/>
                <w:w w:val="100"/>
                <w:sz w:val="21"/>
                <w:szCs w:val="21"/>
              </w:rPr>
              <w:t> </w:t>
            </w:r>
            <w:r>
              <w:rPr>
                <w:rFonts w:ascii="宋体" w:hAnsi="宋体" w:cs="宋体" w:eastAsia="宋体" w:hint="default"/>
                <w:sz w:val="21"/>
                <w:szCs w:val="21"/>
              </w:rPr>
              <w:t>对本公司的影响说明</w:t>
            </w:r>
          </w:p>
        </w:tc>
        <w:tc>
          <w:tcPr>
            <w:tcW w:w="3968" w:type="dxa"/>
            <w:gridSpan w:val="2"/>
            <w:tcBorders>
              <w:top w:val="single" w:sz="6" w:space="0" w:color="000000"/>
              <w:left w:val="single" w:sz="6" w:space="0" w:color="000000"/>
              <w:bottom w:val="single" w:sz="12" w:space="0" w:color="000000"/>
              <w:right w:val="nil" w:sz="6" w:space="0" w:color="auto"/>
            </w:tcBorders>
          </w:tcPr>
          <w:p>
            <w:pPr>
              <w:pStyle w:val="TableParagraph"/>
              <w:spacing w:line="256" w:lineRule="auto"/>
              <w:ind w:left="609" w:right="615" w:firstLine="182"/>
              <w:jc w:val="left"/>
              <w:rPr>
                <w:rFonts w:ascii="宋体" w:hAnsi="宋体" w:cs="宋体" w:eastAsia="宋体" w:hint="default"/>
                <w:sz w:val="21"/>
                <w:szCs w:val="21"/>
              </w:rPr>
            </w:pPr>
            <w:r>
              <w:rPr>
                <w:rFonts w:ascii="宋体" w:hAnsi="宋体" w:cs="宋体" w:eastAsia="宋体" w:hint="default"/>
                <w:sz w:val="21"/>
                <w:szCs w:val="21"/>
              </w:rPr>
              <w:t>对</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r>
              <w:rPr>
                <w:rFonts w:ascii="Times New Roman" w:hAnsi="Times New Roman" w:cs="Times New Roman" w:eastAsia="Times New Roman" w:hint="default"/>
                <w:sz w:val="21"/>
                <w:szCs w:val="21"/>
              </w:rPr>
              <w:t>/2013</w:t>
            </w:r>
            <w:r>
              <w:rPr>
                <w:rFonts w:ascii="宋体" w:hAnsi="宋体" w:cs="宋体" w:eastAsia="宋体" w:hint="default"/>
                <w:sz w:val="21"/>
                <w:szCs w:val="21"/>
              </w:rPr>
              <w:t>年度</w:t>
            </w:r>
            <w:r>
              <w:rPr>
                <w:rFonts w:ascii="宋体" w:hAnsi="宋体" w:cs="宋体" w:eastAsia="宋体" w:hint="default"/>
                <w:w w:val="100"/>
                <w:sz w:val="21"/>
                <w:szCs w:val="21"/>
              </w:rPr>
              <w:t> </w:t>
            </w:r>
            <w:r>
              <w:rPr>
                <w:rFonts w:ascii="宋体" w:hAnsi="宋体" w:cs="宋体" w:eastAsia="宋体" w:hint="default"/>
                <w:spacing w:val="-2"/>
                <w:sz w:val="21"/>
                <w:szCs w:val="21"/>
              </w:rPr>
              <w:t>相关财务报表项目的影响金额</w:t>
            </w:r>
          </w:p>
        </w:tc>
      </w:tr>
      <w:tr>
        <w:trPr>
          <w:trHeight w:val="663" w:hRule="exact"/>
        </w:trPr>
        <w:tc>
          <w:tcPr>
            <w:tcW w:w="1527" w:type="dxa"/>
            <w:vMerge/>
            <w:tcBorders>
              <w:left w:val="single" w:sz="6" w:space="0" w:color="000000"/>
              <w:bottom w:val="single" w:sz="12" w:space="0" w:color="000000"/>
              <w:right w:val="single" w:sz="6" w:space="0" w:color="000000"/>
            </w:tcBorders>
          </w:tcPr>
          <w:p>
            <w:pPr/>
          </w:p>
        </w:tc>
        <w:tc>
          <w:tcPr>
            <w:tcW w:w="4254" w:type="dxa"/>
            <w:vMerge/>
            <w:tcBorders>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73" w:lineRule="auto"/>
              <w:ind w:left="369" w:right="372" w:firstLine="122"/>
              <w:jc w:val="left"/>
              <w:rPr>
                <w:rFonts w:ascii="Times New Roman" w:hAnsi="Times New Roman" w:cs="Times New Roman" w:eastAsia="Times New Roman" w:hint="default"/>
                <w:sz w:val="21"/>
                <w:szCs w:val="21"/>
              </w:rPr>
            </w:pPr>
            <w:r>
              <w:rPr>
                <w:rFonts w:ascii="宋体" w:hAnsi="宋体" w:cs="宋体" w:eastAsia="宋体" w:hint="default"/>
                <w:sz w:val="21"/>
                <w:szCs w:val="21"/>
              </w:rPr>
              <w:t>影响金额</w:t>
            </w:r>
            <w:r>
              <w:rPr>
                <w:rFonts w:ascii="宋体" w:hAnsi="宋体" w:cs="宋体" w:eastAsia="宋体" w:hint="default"/>
                <w:w w:val="100"/>
                <w:sz w:val="21"/>
                <w:szCs w:val="21"/>
              </w:rPr>
              <w:t> </w:t>
            </w:r>
            <w:r>
              <w:rPr>
                <w:rFonts w:ascii="宋体" w:hAnsi="宋体" w:cs="宋体" w:eastAsia="宋体" w:hint="default"/>
                <w:sz w:val="21"/>
                <w:szCs w:val="21"/>
              </w:rPr>
              <w:t>增加</w:t>
            </w:r>
            <w:r>
              <w:rPr>
                <w:rFonts w:ascii="Times New Roman" w:hAnsi="Times New Roman" w:cs="Times New Roman" w:eastAsia="Times New Roman" w:hint="default"/>
                <w:sz w:val="21"/>
                <w:szCs w:val="21"/>
              </w:rPr>
              <w:t>+/</w:t>
            </w:r>
            <w:r>
              <w:rPr>
                <w:rFonts w:ascii="宋体" w:hAnsi="宋体" w:cs="宋体" w:eastAsia="宋体" w:hint="default"/>
                <w:sz w:val="21"/>
                <w:szCs w:val="21"/>
              </w:rPr>
              <w:t>减少</w:t>
            </w:r>
            <w:r>
              <w:rPr>
                <w:rFonts w:ascii="Times New Roman" w:hAnsi="Times New Roman" w:cs="Times New Roman" w:eastAsia="Times New Roman" w:hint="default"/>
                <w:sz w:val="21"/>
                <w:szCs w:val="21"/>
              </w:rPr>
              <w:t>-</w:t>
            </w:r>
          </w:p>
        </w:tc>
      </w:tr>
      <w:tr>
        <w:trPr>
          <w:trHeight w:val="353" w:hRule="exact"/>
        </w:trPr>
        <w:tc>
          <w:tcPr>
            <w:tcW w:w="1527" w:type="dxa"/>
            <w:vMerge w:val="restart"/>
            <w:tcBorders>
              <w:top w:val="single" w:sz="12" w:space="0" w:color="000000"/>
              <w:left w:val="single" w:sz="6" w:space="0" w:color="000000"/>
              <w:right w:val="single" w:sz="6" w:space="0" w:color="000000"/>
            </w:tcBorders>
          </w:tcPr>
          <w:p>
            <w:pPr>
              <w:pStyle w:val="TableParagraph"/>
              <w:spacing w:line="264" w:lineRule="auto"/>
              <w:ind w:left="4" w:right="-10"/>
              <w:jc w:val="both"/>
              <w:rPr>
                <w:rFonts w:ascii="宋体" w:hAnsi="宋体" w:cs="宋体" w:eastAsia="宋体" w:hint="default"/>
                <w:sz w:val="21"/>
                <w:szCs w:val="21"/>
              </w:rPr>
            </w:pPr>
            <w:r>
              <w:rPr>
                <w:rFonts w:ascii="宋体" w:hAnsi="宋体" w:cs="宋体" w:eastAsia="宋体" w:hint="default"/>
                <w:spacing w:val="2"/>
                <w:sz w:val="21"/>
                <w:szCs w:val="21"/>
              </w:rPr>
              <w:t>企业会计准则第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号</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长期股权投</w:t>
            </w:r>
            <w:r>
              <w:rPr>
                <w:rFonts w:ascii="宋体" w:hAnsi="宋体" w:cs="宋体" w:eastAsia="宋体" w:hint="default"/>
                <w:spacing w:val="-83"/>
                <w:sz w:val="21"/>
                <w:szCs w:val="21"/>
              </w:rPr>
              <w:t> </w:t>
            </w:r>
            <w:r>
              <w:rPr>
                <w:rFonts w:ascii="宋体" w:hAnsi="宋体" w:cs="宋体" w:eastAsia="宋体" w:hint="default"/>
                <w:sz w:val="21"/>
                <w:szCs w:val="21"/>
              </w:rPr>
              <w:t>资</w:t>
            </w:r>
          </w:p>
        </w:tc>
        <w:tc>
          <w:tcPr>
            <w:tcW w:w="4254" w:type="dxa"/>
            <w:vMerge w:val="restart"/>
            <w:tcBorders>
              <w:top w:val="single" w:sz="12" w:space="0" w:color="000000"/>
              <w:left w:val="single" w:sz="6" w:space="0" w:color="000000"/>
              <w:right w:val="single" w:sz="6" w:space="0" w:color="000000"/>
            </w:tcBorders>
          </w:tcPr>
          <w:p>
            <w:pPr>
              <w:pStyle w:val="TableParagraph"/>
              <w:spacing w:line="273" w:lineRule="auto"/>
              <w:ind w:left="4" w:right="0"/>
              <w:jc w:val="both"/>
              <w:rPr>
                <w:rFonts w:ascii="宋体" w:hAnsi="宋体" w:cs="宋体" w:eastAsia="宋体" w:hint="default"/>
                <w:sz w:val="21"/>
                <w:szCs w:val="21"/>
              </w:rPr>
            </w:pPr>
            <w:r>
              <w:rPr>
                <w:rFonts w:ascii="宋体" w:hAnsi="宋体" w:cs="宋体" w:eastAsia="宋体" w:hint="default"/>
                <w:sz w:val="21"/>
                <w:szCs w:val="21"/>
              </w:rPr>
              <w:t>将持有的不具有控制、共同控制或重大影响且</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其在活跃市场中没有报价、公允价值不可计量</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的长期股权投资重分类调整至可供出售金融资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产会计科目，并进行追溯调整</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10,025,000.00</w:t>
            </w:r>
          </w:p>
        </w:tc>
      </w:tr>
      <w:tr>
        <w:trPr>
          <w:trHeight w:val="936" w:hRule="exact"/>
        </w:trPr>
        <w:tc>
          <w:tcPr>
            <w:tcW w:w="1527" w:type="dxa"/>
            <w:vMerge/>
            <w:tcBorders>
              <w:left w:val="single" w:sz="6" w:space="0" w:color="000000"/>
              <w:bottom w:val="single" w:sz="12" w:space="0" w:color="000000"/>
              <w:right w:val="single" w:sz="6" w:space="0" w:color="000000"/>
            </w:tcBorders>
          </w:tcPr>
          <w:p>
            <w:pPr/>
          </w:p>
        </w:tc>
        <w:tc>
          <w:tcPr>
            <w:tcW w:w="4254" w:type="dxa"/>
            <w:vMerge/>
            <w:tcBorders>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长期股权投资</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-10,025,000.00</w:t>
            </w:r>
          </w:p>
        </w:tc>
      </w:tr>
    </w:tbl>
    <w:p>
      <w:pPr>
        <w:pStyle w:val="BodyText"/>
        <w:spacing w:line="291" w:lineRule="exact"/>
        <w:ind w:left="633" w:right="0"/>
        <w:jc w:val="left"/>
      </w:pPr>
      <w:r>
        <w:rPr>
          <w:spacing w:val="-5"/>
        </w:rPr>
        <w:t>执行《企业会计准则第</w:t>
      </w:r>
      <w:r>
        <w:rPr>
          <w:rFonts w:ascii="Times New Roman" w:hAnsi="Times New Roman" w:cs="Times New Roman" w:eastAsia="Times New Roman" w:hint="default"/>
          <w:spacing w:val="-5"/>
        </w:rPr>
        <w:t>9</w:t>
      </w:r>
      <w:r>
        <w:rPr>
          <w:spacing w:val="-5"/>
        </w:rPr>
        <w:t>号</w:t>
      </w:r>
      <w:r>
        <w:rPr>
          <w:rFonts w:ascii="Times New Roman" w:hAnsi="Times New Roman" w:cs="Times New Roman" w:eastAsia="Times New Roman" w:hint="default"/>
          <w:spacing w:val="-5"/>
        </w:rPr>
        <w:t>——</w:t>
      </w:r>
      <w:r>
        <w:rPr>
          <w:spacing w:val="-5"/>
        </w:rPr>
        <w:t>职工薪酬》、《企业会计准则第</w:t>
      </w:r>
      <w:r>
        <w:rPr>
          <w:rFonts w:ascii="Times New Roman" w:hAnsi="Times New Roman" w:cs="Times New Roman" w:eastAsia="Times New Roman" w:hint="default"/>
          <w:spacing w:val="-5"/>
        </w:rPr>
        <w:t>30</w:t>
      </w:r>
      <w:r>
        <w:rPr>
          <w:spacing w:val="-5"/>
        </w:rPr>
        <w:t>号</w:t>
      </w:r>
      <w:r>
        <w:rPr>
          <w:rFonts w:ascii="Times New Roman" w:hAnsi="Times New Roman" w:cs="Times New Roman" w:eastAsia="Times New Roman" w:hint="default"/>
          <w:spacing w:val="-5"/>
        </w:rPr>
        <w:t>——</w:t>
      </w:r>
      <w:r>
        <w:rPr>
          <w:spacing w:val="-5"/>
        </w:rPr>
        <w:t>财务报表列报》、</w:t>
      </w:r>
    </w:p>
    <w:p>
      <w:pPr>
        <w:pStyle w:val="BodyText"/>
        <w:spacing w:line="312" w:lineRule="exact"/>
        <w:ind w:right="0"/>
        <w:jc w:val="left"/>
      </w:pPr>
      <w:r>
        <w:rPr/>
        <w:t>《企业会计准则第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w:t>
      </w:r>
    </w:p>
    <w:p>
      <w:pPr>
        <w:pStyle w:val="BodyText"/>
        <w:spacing w:line="312" w:lineRule="exact" w:before="20"/>
        <w:ind w:right="0"/>
        <w:jc w:val="left"/>
      </w:pPr>
      <w:r>
        <w:rPr/>
        <w:t>《企业会计准则第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合营安排》和《企业会计准则第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w:t>
      </w:r>
      <w:r>
        <w:rPr>
          <w:spacing w:val="-89"/>
        </w:rPr>
        <w:t> </w:t>
      </w:r>
      <w:r>
        <w:rPr>
          <w:spacing w:val="-89"/>
        </w:rPr>
      </w:r>
      <w:r>
        <w:rPr/>
        <w:t>露》的相关情况：</w:t>
      </w:r>
    </w:p>
    <w:p>
      <w:pPr>
        <w:pStyle w:val="BodyText"/>
        <w:spacing w:line="312" w:lineRule="exact"/>
        <w:ind w:right="253" w:firstLine="480"/>
        <w:jc w:val="both"/>
      </w:pPr>
      <w:r>
        <w:rPr/>
        <w:t>公司本次会计政策变更之前财务报表中关于职工薪酬、财务报表列报、合并财务报表、 公允价值计量、合营安排及与在其他主体中权益的相关业务及事项，自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日起按上</w:t>
      </w:r>
      <w:r>
        <w:rPr>
          <w:spacing w:val="-87"/>
        </w:rPr>
        <w:t> </w:t>
      </w:r>
      <w:r>
        <w:rPr>
          <w:spacing w:val="-87"/>
        </w:rPr>
      </w:r>
      <w:r>
        <w:rPr/>
        <w:t>述准则的规定进行核算与披露。由于新准则的实施而进行的会计政策变更不会对公司</w:t>
      </w:r>
      <w:r>
        <w:rPr>
          <w:rFonts w:ascii="Times New Roman" w:hAnsi="Times New Roman" w:cs="Times New Roman" w:eastAsia="Times New Roman" w:hint="default"/>
        </w:rPr>
        <w:t>2013</w:t>
      </w:r>
      <w:r>
        <w:rPr/>
        <w:t>年</w:t>
      </w:r>
      <w:r>
        <w:rPr>
          <w:spacing w:val="-88"/>
        </w:rPr>
        <w:t> </w:t>
      </w:r>
      <w:r>
        <w:rPr/>
        <w:t>度及本期财务报表产生影响，也无需进行追溯调整。</w:t>
      </w:r>
    </w:p>
    <w:p>
      <w:pPr>
        <w:spacing w:line="240" w:lineRule="auto" w:before="9"/>
        <w:rPr>
          <w:rFonts w:ascii="宋体" w:hAnsi="宋体" w:cs="宋体" w:eastAsia="宋体" w:hint="default"/>
          <w:sz w:val="22"/>
          <w:szCs w:val="22"/>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line="487" w:lineRule="auto" w:before="0"/>
        <w:ind w:left="152" w:right="808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3180"/>
        <w:gridCol w:w="3201"/>
        <w:gridCol w:w="3190"/>
      </w:tblGrid>
      <w:tr>
        <w:trPr>
          <w:trHeight w:val="401"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94"/>
              <w:jc w:val="left"/>
              <w:rPr>
                <w:rFonts w:ascii="宋体" w:hAnsi="宋体" w:cs="宋体" w:eastAsia="宋体" w:hint="default"/>
                <w:sz w:val="18"/>
                <w:szCs w:val="18"/>
              </w:rPr>
            </w:pPr>
            <w:r>
              <w:rPr>
                <w:rFonts w:ascii="宋体" w:hAnsi="宋体" w:cs="宋体" w:eastAsia="宋体" w:hint="default"/>
                <w:sz w:val="18"/>
                <w:szCs w:val="18"/>
              </w:rPr>
              <w:t>销项税，并按扣除当期允许抵扣的进项 税额后的差额计缴增值税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394" w:hRule="exact"/>
        </w:trPr>
        <w:tc>
          <w:tcPr>
            <w:tcW w:w="31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80"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按应税营业额的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计缴营业税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4"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按应缴纳的流转税的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按应缴纳的流转税的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88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3193"/>
        <w:gridCol w:w="3190"/>
        <w:gridCol w:w="3190"/>
      </w:tblGrid>
      <w:tr>
        <w:trPr>
          <w:trHeight w:val="40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按应缴纳的流转税的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4"/>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left="633" w:right="2373"/>
        <w:jc w:val="left"/>
      </w:pPr>
      <w:r>
        <w:rPr/>
        <w:t>（</w:t>
      </w:r>
      <w:r>
        <w:rPr>
          <w:rFonts w:ascii="Times New Roman" w:hAnsi="Times New Roman" w:cs="Times New Roman" w:eastAsia="Times New Roman" w:hint="default"/>
        </w:rPr>
        <w:t>1</w:t>
      </w:r>
      <w:r>
        <w:rPr/>
        <w:t>）企业所得税基本税率 本公司及下属的在中国境内的控股子公司企业所得税税率为</w:t>
      </w:r>
      <w:r>
        <w:rPr>
          <w:rFonts w:ascii="Times New Roman" w:hAnsi="Times New Roman" w:cs="Times New Roman" w:eastAsia="Times New Roman" w:hint="default"/>
        </w:rPr>
        <w:t>25%</w:t>
      </w:r>
      <w:r>
        <w:rPr/>
        <w:t>；</w:t>
      </w:r>
    </w:p>
    <w:p>
      <w:pPr>
        <w:pStyle w:val="BodyText"/>
        <w:spacing w:line="292" w:lineRule="exact"/>
        <w:ind w:left="633" w:right="144"/>
        <w:jc w:val="left"/>
      </w:pPr>
      <w:r>
        <w:rPr/>
        <w:t>（</w:t>
      </w:r>
      <w:r>
        <w:rPr>
          <w:rFonts w:ascii="Times New Roman" w:hAnsi="Times New Roman" w:cs="Times New Roman" w:eastAsia="Times New Roman" w:hint="default"/>
        </w:rPr>
        <w:t>2</w:t>
      </w:r>
      <w:r>
        <w:rPr/>
        <w:t>）企业所得税优惠税率及批文</w:t>
      </w:r>
    </w:p>
    <w:p>
      <w:pPr>
        <w:pStyle w:val="BodyText"/>
        <w:spacing w:line="312" w:lineRule="exact" w:before="21"/>
        <w:ind w:right="155" w:firstLine="48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日，经安徽省科学技术厅、安徽省财政厅、安徽省国家税务局、安徽省地方 税务局联合下发的《关于公示安徽省</w:t>
      </w:r>
      <w:r>
        <w:rPr>
          <w:rFonts w:ascii="Times New Roman" w:hAnsi="Times New Roman" w:cs="Times New Roman" w:eastAsia="Times New Roman" w:hint="default"/>
        </w:rPr>
        <w:t>2014</w:t>
      </w:r>
      <w:r>
        <w:rPr/>
        <w:t>年第一批拟认定高新技术企业名单的通知》（皖高</w:t>
      </w:r>
      <w:r>
        <w:rPr>
          <w:spacing w:val="-88"/>
        </w:rPr>
        <w:t> </w:t>
      </w:r>
      <w:r>
        <w:rPr>
          <w:spacing w:val="-88"/>
        </w:rPr>
      </w:r>
      <w:r>
        <w:rPr>
          <w:spacing w:val="-2"/>
        </w:rPr>
        <w:t>企认【</w:t>
      </w:r>
      <w:r>
        <w:rPr>
          <w:rFonts w:ascii="Times New Roman" w:hAnsi="Times New Roman" w:cs="Times New Roman" w:eastAsia="Times New Roman" w:hint="default"/>
          <w:spacing w:val="-2"/>
        </w:rPr>
        <w:t>2014</w:t>
      </w:r>
      <w:r>
        <w:rPr>
          <w:spacing w:val="-2"/>
        </w:rPr>
        <w:t>】</w:t>
      </w:r>
      <w:r>
        <w:rPr>
          <w:rFonts w:ascii="Times New Roman" w:hAnsi="Times New Roman" w:cs="Times New Roman" w:eastAsia="Times New Roman" w:hint="default"/>
          <w:spacing w:val="-2"/>
        </w:rPr>
        <w:t>19</w:t>
      </w:r>
      <w:r>
        <w:rPr>
          <w:spacing w:val="-2"/>
        </w:rPr>
        <w:t>号）认定，本公司通过高新技术企业认定，证书编号：</w:t>
      </w:r>
      <w:r>
        <w:rPr>
          <w:rFonts w:ascii="Times New Roman" w:hAnsi="Times New Roman" w:cs="Times New Roman" w:eastAsia="Times New Roman" w:hint="default"/>
          <w:spacing w:val="-2"/>
        </w:rPr>
        <w:t>GR201434000682</w:t>
      </w:r>
      <w:r>
        <w:rPr>
          <w:spacing w:val="-2"/>
        </w:rPr>
        <w:t>，有</w:t>
      </w:r>
      <w:r>
        <w:rPr>
          <w:spacing w:val="-90"/>
        </w:rPr>
        <w:t> </w:t>
      </w:r>
      <w:r>
        <w:rPr/>
        <w:t>效期三年。自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日起三年内，公司享受国家关于高新技术企业的相关优惠政策，按</w:t>
      </w:r>
      <w:r>
        <w:rPr>
          <w:spacing w:val="-89"/>
        </w:rPr>
        <w:t> </w:t>
      </w:r>
      <w:r>
        <w:rPr>
          <w:spacing w:val="-89"/>
        </w:rPr>
      </w:r>
      <w:r>
        <w:rPr>
          <w:rFonts w:ascii="Times New Roman" w:hAnsi="Times New Roman" w:cs="Times New Roman" w:eastAsia="Times New Roman" w:hint="default"/>
        </w:rPr>
        <w:t>15%</w:t>
      </w:r>
      <w:r>
        <w:rPr/>
        <w:t>的税率缴纳企业所得税。</w:t>
      </w:r>
    </w:p>
    <w:p>
      <w:pPr>
        <w:pStyle w:val="BodyText"/>
        <w:spacing w:line="312" w:lineRule="exact"/>
        <w:ind w:right="153" w:firstLine="480"/>
        <w:jc w:val="both"/>
      </w:pP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30</w:t>
      </w:r>
      <w:r>
        <w:rPr>
          <w:spacing w:val="-5"/>
        </w:rPr>
        <w:t>日，重庆市经济和信息化委员会下发的编号为（内）鼓励类确认（</w:t>
      </w:r>
      <w:r>
        <w:rPr>
          <w:rFonts w:ascii="Times New Roman" w:hAnsi="Times New Roman" w:cs="Times New Roman" w:eastAsia="Times New Roman" w:hint="default"/>
          <w:spacing w:val="-5"/>
        </w:rPr>
        <w:t>2012</w:t>
      </w:r>
      <w:r>
        <w:rPr>
          <w:spacing w:val="-5"/>
        </w:rPr>
        <w:t>）</w:t>
      </w:r>
      <w:r>
        <w:rPr>
          <w:rFonts w:ascii="Times New Roman" w:hAnsi="Times New Roman" w:cs="Times New Roman" w:eastAsia="Times New Roman" w:hint="default"/>
          <w:spacing w:val="-5"/>
        </w:rPr>
        <w:t>173</w:t>
      </w:r>
      <w:r>
        <w:rPr>
          <w:rFonts w:ascii="Times New Roman" w:hAnsi="Times New Roman" w:cs="Times New Roman" w:eastAsia="Times New Roman" w:hint="default"/>
        </w:rPr>
        <w:t> </w:t>
      </w:r>
      <w:r>
        <w:rPr/>
        <w:t>号国家鼓励类产业确认书认定重庆市隆泰稀土新材料有限责任公司为从事国家鼓励类产业的</w:t>
      </w:r>
      <w:r>
        <w:rPr>
          <w:spacing w:val="-91"/>
        </w:rPr>
        <w:t> </w:t>
      </w:r>
      <w:r>
        <w:rPr>
          <w:spacing w:val="-91"/>
        </w:rPr>
      </w:r>
      <w:r>
        <w:rPr/>
        <w:t>内资企业，按</w:t>
      </w:r>
      <w:r>
        <w:rPr>
          <w:rFonts w:ascii="Times New Roman" w:hAnsi="Times New Roman" w:cs="Times New Roman" w:eastAsia="Times New Roman" w:hint="default"/>
        </w:rPr>
        <w:t>15%</w:t>
      </w:r>
      <w:r>
        <w:rPr/>
        <w:t>的税率缴纳企业所得税。</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spacing w:line="487" w:lineRule="auto" w:before="0"/>
        <w:ind w:left="152" w:right="68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23,093.81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85,466.53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95,033,196.38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110,840,252.97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14,048,400.34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107,706,241.89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109,104,690.53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218,631,961.39</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66"/>
        <w:ind w:right="144"/>
        <w:jc w:val="left"/>
      </w:pPr>
      <w:r>
        <w:rPr/>
        <w:t>年末票据保证金</w:t>
      </w:r>
      <w:r>
        <w:rPr>
          <w:rFonts w:ascii="Times New Roman" w:hAnsi="Times New Roman" w:cs="Times New Roman" w:eastAsia="Times New Roman" w:hint="default"/>
        </w:rPr>
        <w:t>13,500,000.00</w:t>
      </w:r>
      <w:r>
        <w:rPr/>
        <w:t>元，银行出具保函保证金为</w:t>
      </w:r>
      <w:r>
        <w:rPr>
          <w:rFonts w:ascii="Times New Roman" w:hAnsi="Times New Roman" w:cs="Times New Roman" w:eastAsia="Times New Roman" w:hint="default"/>
        </w:rPr>
        <w:t>548,400.34</w:t>
      </w:r>
      <w:r>
        <w:rPr/>
        <w:t>元。</w:t>
      </w:r>
    </w:p>
    <w:p>
      <w:pPr>
        <w:spacing w:line="240" w:lineRule="auto" w:before="7"/>
        <w:rPr>
          <w:rFonts w:ascii="宋体" w:hAnsi="宋体" w:cs="宋体" w:eastAsia="宋体" w:hint="default"/>
          <w:sz w:val="23"/>
          <w:szCs w:val="23"/>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123,431,164.29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183,370,030.82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130,281,164.29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3" w:right="0"/>
              <w:jc w:val="left"/>
              <w:rPr>
                <w:rFonts w:ascii="Times New Roman" w:hAnsi="Times New Roman" w:cs="Times New Roman" w:eastAsia="Times New Roman" w:hint="default"/>
                <w:sz w:val="18"/>
                <w:szCs w:val="18"/>
              </w:rPr>
            </w:pPr>
            <w:r>
              <w:rPr>
                <w:rFonts w:ascii="Times New Roman"/>
                <w:sz w:val="18"/>
              </w:rPr>
              <w:t>183,370,030.82</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）期末公司已质押的应收票据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54,222,590.78</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54,222,590.78</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）期末公司已背书或贴现且在资产负债表日尚未到期的应收票据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83,709,540.98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83,709,540.98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）期末公司因出票人未履约而将其转应收账款的票据</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182,061,</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239.63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10,652,3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98.94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5.85%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171,408,8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40.69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167,452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,322.31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10,515,34</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3.63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6.28%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156,936,97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8.68</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182,061,</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239.63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10,652,3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98.94</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5.85%</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171,408,8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40.69</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167,452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,322.31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10,515,34</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3.63</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6.28%</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156,936,97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8.68</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5"/>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79" w:top="1060" w:bottom="1160" w:left="980" w:right="98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168,662,968.52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5,059,889.05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168,662,968.52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5,059,889.05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7,249,392.39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724,939.24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1,601,635.09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320,327.02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4,547,243.63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4,547,243.63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182,061,239.63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10,652,398.94</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54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9"/>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240" w:lineRule="auto" w:before="8"/>
        <w:rPr>
          <w:rFonts w:ascii="宋体" w:hAnsi="宋体" w:cs="宋体" w:eastAsia="宋体" w:hint="default"/>
          <w:sz w:val="21"/>
          <w:szCs w:val="21"/>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980"/>
        </w:sectPr>
      </w:pPr>
    </w:p>
    <w:p>
      <w:pPr>
        <w:spacing w:line="340" w:lineRule="auto" w:before="44"/>
        <w:ind w:left="152"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Times New Roman" w:hAnsi="Times New Roman" w:cs="Times New Roman" w:eastAsia="Times New Roman" w:hint="default"/>
          <w:sz w:val="18"/>
          <w:szCs w:val="18"/>
        </w:rPr>
        <w:t>-226,254.52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340" w:space="2490"/>
            <w:col w:w="112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应收款期限较长一批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68,996.89</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line="357" w:lineRule="auto" w:before="50"/>
        <w:ind w:left="152" w:right="2259" w:firstLine="0"/>
        <w:jc w:val="left"/>
        <w:rPr>
          <w:rFonts w:ascii="宋体" w:hAnsi="宋体" w:cs="宋体" w:eastAsia="宋体" w:hint="default"/>
          <w:sz w:val="18"/>
          <w:szCs w:val="18"/>
        </w:rPr>
      </w:pPr>
      <w:r>
        <w:rPr>
          <w:rFonts w:ascii="宋体" w:hAnsi="宋体" w:cs="宋体" w:eastAsia="宋体" w:hint="default"/>
          <w:sz w:val="18"/>
          <w:szCs w:val="18"/>
        </w:rPr>
        <w:t>应收账款核销说明： 报告期内，将一批欠款时间很长，金额较小且确实无法收回的款项予以核销，金额</w:t>
      </w:r>
      <w:r>
        <w:rPr>
          <w:rFonts w:ascii="Times New Roman" w:hAnsi="Times New Roman" w:cs="Times New Roman" w:eastAsia="Times New Roman" w:hint="default"/>
          <w:sz w:val="18"/>
          <w:szCs w:val="18"/>
        </w:rPr>
        <w:t>68996.89</w:t>
      </w:r>
      <w:r>
        <w:rPr>
          <w:rFonts w:ascii="宋体" w:hAnsi="宋体" w:cs="宋体" w:eastAsia="宋体" w:hint="default"/>
          <w:sz w:val="18"/>
          <w:szCs w:val="18"/>
        </w:rPr>
        <w:t>元。</w:t>
      </w:r>
    </w:p>
    <w:p>
      <w:pPr>
        <w:spacing w:line="240" w:lineRule="auto" w:before="9"/>
        <w:rPr>
          <w:rFonts w:ascii="宋体" w:hAnsi="宋体" w:cs="宋体" w:eastAsia="宋体" w:hint="default"/>
          <w:sz w:val="18"/>
          <w:szCs w:val="18"/>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left="633" w:right="144"/>
        <w:jc w:val="left"/>
      </w:pPr>
      <w:r>
        <w:rPr/>
        <w:t>本公司年末余额前五名应收账款金额为</w:t>
      </w:r>
      <w:r>
        <w:rPr>
          <w:rFonts w:ascii="Times New Roman" w:hAnsi="Times New Roman" w:cs="Times New Roman" w:eastAsia="Times New Roman" w:hint="default"/>
        </w:rPr>
        <w:t>40,541,698.10</w:t>
      </w:r>
      <w:r>
        <w:rPr/>
        <w:t>元，占应收账款年末余额合计数</w:t>
      </w:r>
    </w:p>
    <w:p>
      <w:pPr>
        <w:spacing w:after="0" w:line="240" w:lineRule="auto"/>
        <w:jc w:val="left"/>
        <w:sectPr>
          <w:type w:val="continuous"/>
          <w:pgSz w:w="11910" w:h="16840"/>
          <w:pgMar w:top="1060" w:bottom="1160" w:left="980" w:right="980"/>
        </w:sectPr>
      </w:pPr>
    </w:p>
    <w:p>
      <w:pPr>
        <w:spacing w:line="240" w:lineRule="auto" w:before="6"/>
        <w:rPr>
          <w:rFonts w:ascii="宋体" w:hAnsi="宋体" w:cs="宋体" w:eastAsia="宋体" w:hint="default"/>
          <w:sz w:val="23"/>
          <w:szCs w:val="23"/>
        </w:rPr>
      </w:pPr>
    </w:p>
    <w:p>
      <w:pPr>
        <w:pStyle w:val="BodyText"/>
        <w:spacing w:line="240" w:lineRule="auto" w:before="26"/>
        <w:ind w:right="144"/>
        <w:jc w:val="left"/>
      </w:pPr>
      <w:r>
        <w:rPr/>
        <w:t>的比例为</w:t>
      </w:r>
      <w:r>
        <w:rPr>
          <w:rFonts w:ascii="Times New Roman" w:hAnsi="Times New Roman" w:cs="Times New Roman" w:eastAsia="Times New Roman" w:hint="default"/>
        </w:rPr>
        <w:t>22.27%</w:t>
      </w:r>
      <w:r>
        <w:rPr/>
        <w:t>，相应计提的坏账准备年末余额汇总金额为</w:t>
      </w:r>
      <w:r>
        <w:rPr>
          <w:rFonts w:ascii="Times New Roman" w:hAnsi="Times New Roman" w:cs="Times New Roman" w:eastAsia="Times New Roman" w:hint="default"/>
        </w:rPr>
        <w:t>1,216,250.94</w:t>
      </w:r>
      <w:r>
        <w:rPr/>
        <w:t>元。</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6"/>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88,476,783.20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143,610,318.31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99.95%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497,987.65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26,241.99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46,083.40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88,974,770.85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143,682,643.70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3"/>
        <w:rPr>
          <w:rFonts w:ascii="宋体" w:hAnsi="宋体" w:cs="宋体" w:eastAsia="宋体" w:hint="default"/>
          <w:sz w:val="25"/>
          <w:szCs w:val="25"/>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right="144" w:firstLine="480"/>
        <w:jc w:val="left"/>
      </w:pPr>
      <w:r>
        <w:rPr>
          <w:spacing w:val="2"/>
        </w:rPr>
        <w:t>本公司按预付对象归集的年末余额前五名预付账款汇总金额为</w:t>
      </w:r>
      <w:r>
        <w:rPr>
          <w:rFonts w:ascii="Times New Roman" w:hAnsi="Times New Roman" w:cs="Times New Roman" w:eastAsia="Times New Roman" w:hint="default"/>
          <w:spacing w:val="2"/>
        </w:rPr>
        <w:t>87,067,760.62</w:t>
      </w:r>
      <w:r>
        <w:rPr>
          <w:spacing w:val="2"/>
        </w:rPr>
        <w:t>元，占预付 </w:t>
      </w:r>
      <w:r>
        <w:rPr/>
        <w:t>账款年末余额合计数的比例为</w:t>
      </w:r>
      <w:r>
        <w:rPr>
          <w:rFonts w:ascii="Times New Roman" w:hAnsi="Times New Roman" w:cs="Times New Roman" w:eastAsia="Times New Roman" w:hint="default"/>
        </w:rPr>
        <w:t>97.86%</w:t>
      </w:r>
      <w:r>
        <w:rPr/>
        <w:t>。</w:t>
      </w:r>
    </w:p>
    <w:p>
      <w:pPr>
        <w:spacing w:line="240" w:lineRule="auto" w:before="4"/>
        <w:rPr>
          <w:rFonts w:ascii="宋体" w:hAnsi="宋体" w:cs="宋体" w:eastAsia="宋体" w:hint="default"/>
          <w:sz w:val="28"/>
          <w:szCs w:val="28"/>
        </w:rPr>
      </w:pPr>
    </w:p>
    <w:p>
      <w:pPr>
        <w:spacing w:before="0"/>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1"/>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273,506.39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976,218.04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273,506.39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976,218.04</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5"/>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1" w:right="0"/>
              <w:jc w:val="left"/>
              <w:rPr>
                <w:rFonts w:ascii="宋体" w:hAnsi="宋体" w:cs="宋体" w:eastAsia="宋体" w:hint="default"/>
                <w:sz w:val="18"/>
                <w:szCs w:val="18"/>
              </w:rPr>
            </w:pPr>
            <w:r>
              <w:rPr>
                <w:rFonts w:ascii="宋体" w:hAnsi="宋体" w:cs="宋体" w:eastAsia="宋体" w:hint="default"/>
                <w:sz w:val="18"/>
                <w:szCs w:val="18"/>
              </w:rPr>
              <w:t>是否发生减值及其判断</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5"/>
      </w:tblGrid>
      <w:tr>
        <w:trPr>
          <w:trHeight w:val="36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依据</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2" w:type="dxa"/>
            <w:vMerge/>
            <w:tcBorders>
              <w:left w:val="single" w:sz="4" w:space="0" w:color="000000"/>
              <w:bottom w:val="single" w:sz="5"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2" w:type="dxa"/>
            <w:vMerge w:val="restart"/>
            <w:tcBorders>
              <w:top w:val="single" w:sz="5" w:space="0" w:color="FFFFFF"/>
              <w:left w:val="single" w:sz="4" w:space="0" w:color="000000"/>
              <w:right w:val="single" w:sz="4" w:space="0" w:color="000000"/>
            </w:tcBorders>
            <w:shd w:val="clear" w:color="auto" w:fill="D2D2D2"/>
          </w:tcPr>
          <w:p>
            <w:pPr/>
          </w:p>
        </w:tc>
        <w:tc>
          <w:tcPr>
            <w:tcW w:w="77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5,299,37</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9.62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771,354.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14.56%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4,528,025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5,861,9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58.00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997,608.5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17.02%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4,864,349.4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163"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5,299,37</w:t>
            </w:r>
          </w:p>
          <w:p>
            <w:pPr>
              <w:pStyle w:val="TableParagraph"/>
              <w:spacing w:line="240" w:lineRule="auto" w:before="102"/>
              <w:ind w:left="422" w:right="0"/>
              <w:jc w:val="left"/>
              <w:rPr>
                <w:rFonts w:ascii="Times New Roman" w:hAnsi="Times New Roman" w:cs="Times New Roman" w:eastAsia="Times New Roman" w:hint="default"/>
                <w:sz w:val="18"/>
                <w:szCs w:val="18"/>
              </w:rPr>
            </w:pPr>
            <w:r>
              <w:rPr>
                <w:rFonts w:ascii="Times New Roman"/>
                <w:sz w:val="18"/>
              </w:rPr>
              <w:t>9.62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771,354.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01</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14.56%</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4,528,025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.61</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5,861,9</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58.00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997,608.5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17.02%</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4,864,349.4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4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4,253,111.83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127,593.36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4,253,111.83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127,593.36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355,663.11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35,566.31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103,012.92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20,602.58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587,591.76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587,591.76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5,299,379.62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771,354.01</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527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4"/>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16"/>
          <w:pgSz w:w="11910" w:h="16840"/>
          <w:pgMar w:footer="979" w:header="745" w:top="1060" w:bottom="1160" w:left="980" w:right="980"/>
        </w:sectPr>
      </w:pPr>
    </w:p>
    <w:p>
      <w:pPr>
        <w:spacing w:line="338" w:lineRule="auto" w:before="44"/>
        <w:ind w:left="152" w:right="-9"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226,254.52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323" w:space="250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2,939,700.87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1,909,101.35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员工借支备用金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1,870,789.10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1,302,427.40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237,885.21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237,885.21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标书费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210,747.16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657,377.70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1,017,911.90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40,257.28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737,254.44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5,299,379.62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5,861,958.00</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953,000.00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28,590.00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476,342.00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95,268.40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312,191.00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9,365.73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2,791,533.00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52.68%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164,724.13</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83"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37,683,240.57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37,683,240.57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42,155,019.86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42,155,019.86</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47,783,703.52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47,783,703.52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45,586,181.39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45,586,181.39</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69,631,993.06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69,631,993.06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67,550,816.65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67,550,816.65</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214,049.86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214,049.86</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155,098,937.15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155,098,937.15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155,506,067.76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155,506,067.76</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after="0" w:line="240" w:lineRule="auto"/>
        <w:jc w:val="center"/>
        <w:rPr>
          <w:rFonts w:ascii="宋体" w:hAnsi="宋体" w:cs="宋体" w:eastAsia="宋体" w:hint="default"/>
          <w:sz w:val="18"/>
          <w:szCs w:val="18"/>
        </w:rPr>
        <w:sectPr>
          <w:footerReference w:type="default" r:id="rId17"/>
          <w:pgSz w:w="11910" w:h="16840"/>
          <w:pgMar w:footer="979" w:header="745" w:top="1060" w:bottom="1160" w:left="980" w:right="980"/>
          <w:pgNumType w:start="101"/>
        </w:sectPr>
      </w:pPr>
    </w:p>
    <w:p>
      <w:pPr>
        <w:spacing w:line="240" w:lineRule="auto" w:before="10"/>
        <w:rPr>
          <w:rFonts w:ascii="宋体" w:hAnsi="宋体" w:cs="宋体" w:eastAsia="宋体" w:hint="default"/>
          <w:sz w:val="25"/>
          <w:szCs w:val="25"/>
        </w:rPr>
      </w:pPr>
    </w:p>
    <w:p>
      <w:pPr>
        <w:spacing w:before="44"/>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1"/>
        <w:gridCol w:w="1195"/>
        <w:gridCol w:w="1198"/>
        <w:gridCol w:w="1196"/>
        <w:gridCol w:w="1248"/>
        <w:gridCol w:w="1369"/>
        <w:gridCol w:w="1366"/>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10,025,000.00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10,025,000.00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10,025,000.00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10,025,000.00</w:t>
            </w: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10,025,000.00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10,025,000.00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10,025,000.00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10,025,000.00</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）期末按公允价值计量的可供出售金融资产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7"/>
        <w:gridCol w:w="1916"/>
        <w:gridCol w:w="1916"/>
        <w:gridCol w:w="1916"/>
        <w:gridCol w:w="1915"/>
      </w:tblGrid>
      <w:tr>
        <w:trPr>
          <w:trHeight w:val="715" w:hRule="exact"/>
        </w:trPr>
        <w:tc>
          <w:tcPr>
            <w:tcW w:w="1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15" w:right="23" w:hanging="384"/>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1" w:hanging="92"/>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）期末按成本计量的可供出售金融资产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2"/>
        <w:gridCol w:w="869"/>
        <w:gridCol w:w="871"/>
      </w:tblGrid>
      <w:tr>
        <w:trPr>
          <w:trHeight w:val="402"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6"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安徽华菱 西厨设备 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9,975,000.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9,975,000.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4.67%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台山市农 村信用合 作联社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50,000.00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50,000.00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10,025,000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10,025,000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220,000.00</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）报告期内可供出售金融资产减值的变动情况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2"/>
        <w:gridCol w:w="1325"/>
        <w:gridCol w:w="1330"/>
        <w:gridCol w:w="1328"/>
        <w:gridCol w:w="1327"/>
        <w:gridCol w:w="1328"/>
        <w:gridCol w:w="1330"/>
      </w:tblGrid>
      <w:tr>
        <w:trPr>
          <w:trHeight w:val="714"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16" w:right="74" w:hanging="540"/>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80" w:right="26" w:hanging="452"/>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08" w:right="27"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9" w:right="27" w:hanging="92"/>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79" w:right="29" w:hanging="452"/>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）可供出售权益工具期末公允价值严重下跌或非暂时性下跌但未计提减值准备的相关说明</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9" w:right="46" w:hanging="361"/>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6"/>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20"/>
        <w:gridCol w:w="1198"/>
        <w:gridCol w:w="1195"/>
        <w:gridCol w:w="1196"/>
        <w:gridCol w:w="1195"/>
        <w:gridCol w:w="1287"/>
        <w:gridCol w:w="1368"/>
      </w:tblGrid>
      <w:tr>
        <w:trPr>
          <w:trHeight w:val="403"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164,149,688.17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106,277,582.36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4,244,085.22</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2,545,661.30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277,217,017.05</w:t>
            </w:r>
          </w:p>
        </w:tc>
      </w:tr>
      <w:tr>
        <w:trPr>
          <w:trHeight w:val="401"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19,611,411.46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9,647,677.49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141,102.40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56,654.36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29,456,845.71</w:t>
            </w:r>
          </w:p>
        </w:tc>
      </w:tr>
      <w:tr>
        <w:trPr>
          <w:trHeight w:val="404"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19,611,411.46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9,310,443.44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141,102.40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56,654.36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29,119,611.66</w:t>
            </w:r>
          </w:p>
        </w:tc>
      </w:tr>
      <w:tr>
        <w:trPr>
          <w:trHeight w:val="401"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337,234.05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337,234.05</w:t>
            </w:r>
          </w:p>
        </w:tc>
      </w:tr>
      <w:tr>
        <w:trPr>
          <w:trHeight w:val="403"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183,761,099.63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115,925,259.85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4,385,187.62</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2,602,315.66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306,673,862.76</w:t>
            </w:r>
          </w:p>
        </w:tc>
      </w:tr>
      <w:tr>
        <w:trPr>
          <w:trHeight w:val="404"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15,660,993.07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38,806,740.60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2,841,609.02</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1,276,928.18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58,586,270.87</w:t>
            </w:r>
          </w:p>
        </w:tc>
      </w:tr>
      <w:tr>
        <w:trPr>
          <w:trHeight w:val="403"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5,668,580.32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10,454,303.96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542,730.94</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368,354.83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17,033,970.05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32"/>
        <w:gridCol w:w="1198"/>
        <w:gridCol w:w="1195"/>
        <w:gridCol w:w="1196"/>
        <w:gridCol w:w="1195"/>
        <w:gridCol w:w="1287"/>
        <w:gridCol w:w="1368"/>
      </w:tblGrid>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5,668,580.32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10,454,303.96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542,730.94</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368,354.83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17,033,970.05</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21,329,573.39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49,261,044.56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3,384,339.96</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1,645,283.01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75,620,240.92</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162,431,526.24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66,664,215.29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1,000,847.66</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957,032.65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231,053,621.84</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148,488,695.10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67,470,841.76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1,402,476.20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1,268,733.12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218,630,746.18</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）暂时闲置的固定资产情况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191"/>
        <w:gridCol w:w="3192"/>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子公司的房产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85,886,902.49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有关手续在办理中</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97"/>
        <w:ind w:right="139" w:firstLine="480"/>
        <w:jc w:val="both"/>
      </w:pPr>
      <w:r>
        <w:rPr>
          <w:spacing w:val="6"/>
        </w:rPr>
        <w:t>企业位于马鞍山市当涂县工业园区内的固定资产，权证标号为：房地权当房</w:t>
      </w:r>
      <w:r>
        <w:rPr>
          <w:rFonts w:ascii="Times New Roman" w:hAnsi="Times New Roman" w:cs="Times New Roman" w:eastAsia="Times New Roman" w:hint="default"/>
          <w:spacing w:val="6"/>
        </w:rPr>
        <w:t>2008</w:t>
      </w:r>
      <w:r>
        <w:rPr>
          <w:spacing w:val="6"/>
        </w:rPr>
        <w:t>字第</w:t>
      </w:r>
      <w:r>
        <w:rPr>
          <w:spacing w:val="9"/>
        </w:rPr>
        <w:t> </w:t>
      </w:r>
      <w:r>
        <w:rPr>
          <w:rFonts w:ascii="Times New Roman" w:hAnsi="Times New Roman" w:cs="Times New Roman" w:eastAsia="Times New Roman" w:hint="default"/>
        </w:rPr>
        <w:t>000762</w:t>
      </w:r>
      <w:r>
        <w:rPr/>
        <w:t>号、房地权当房</w:t>
      </w:r>
      <w:r>
        <w:rPr>
          <w:rFonts w:ascii="Times New Roman" w:hAnsi="Times New Roman" w:cs="Times New Roman" w:eastAsia="Times New Roman" w:hint="default"/>
        </w:rPr>
        <w:t>2008</w:t>
      </w:r>
      <w:r>
        <w:rPr/>
        <w:t>字第</w:t>
      </w:r>
      <w:r>
        <w:rPr>
          <w:rFonts w:ascii="Times New Roman" w:hAnsi="Times New Roman" w:cs="Times New Roman" w:eastAsia="Times New Roman" w:hint="default"/>
        </w:rPr>
        <w:t>000763</w:t>
      </w:r>
      <w:r>
        <w:rPr/>
        <w:t>、号房地权当房</w:t>
      </w:r>
      <w:r>
        <w:rPr>
          <w:rFonts w:ascii="Times New Roman" w:hAnsi="Times New Roman" w:cs="Times New Roman" w:eastAsia="Times New Roman" w:hint="default"/>
        </w:rPr>
        <w:t>2008</w:t>
      </w:r>
      <w:r>
        <w:rPr/>
        <w:t>字第</w:t>
      </w:r>
      <w:r>
        <w:rPr>
          <w:rFonts w:ascii="Times New Roman" w:hAnsi="Times New Roman" w:cs="Times New Roman" w:eastAsia="Times New Roman" w:hint="default"/>
        </w:rPr>
        <w:t>003295</w:t>
      </w:r>
      <w:r>
        <w:rPr/>
        <w:t>号，作为企业向中国</w:t>
      </w:r>
      <w:r>
        <w:rPr>
          <w:spacing w:val="-84"/>
        </w:rPr>
        <w:t> </w:t>
      </w:r>
      <w:r>
        <w:rPr>
          <w:spacing w:val="-84"/>
        </w:rPr>
      </w:r>
      <w:r>
        <w:rPr/>
        <w:t>进出口银行和中国建设银行贷款抵押物。</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6"/>
                <w:sz w:val="18"/>
                <w:szCs w:val="18"/>
              </w:rPr>
              <w:t>在建工程（零星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113,000.00</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pict>
          <v:group style="position:absolute;margin-left:125.419998pt;margin-top:-53.316319pt;width:66.75pt;height:20.65pt;mso-position-horizontal-relative:page;mso-position-vertical-relative:paragraph;z-index:-716680" coordorigin="2508,-1066" coordsize="1335,413">
            <v:group style="position:absolute;left:2519;top:-1056;width:2;height:392" coordorigin="2519,-1056" coordsize="2,392">
              <v:shape style="position:absolute;left:2519;top:-1056;width:2;height:392" coordorigin="2519,-1056" coordsize="0,392" path="m2519,-1056l2519,-664e" filled="false" stroked="true" strokeweight="1.08pt" strokecolor="#ffffff">
                <v:path arrowok="t"/>
              </v:shape>
            </v:group>
            <v:group style="position:absolute;left:2530;top:-1056;width:1314;height:392" coordorigin="2530,-1056" coordsize="1314,392">
              <v:shape style="position:absolute;left:2530;top:-1056;width:1314;height:392" coordorigin="2530,-1056" coordsize="1314,392" path="m2530,-664l3843,-664,3843,-1056,2530,-1056,2530,-664xe" filled="true" fillcolor="#ffffff" stroked="false">
                <v:path arrowok="t"/>
                <v:fill type="solid"/>
              </v:shape>
            </v:group>
            <w10:wrap type="none"/>
          </v:group>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9"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2"/>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一期拉 丝机大 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10,256.4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10,256.4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三期拉 丝机大 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6,259.83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6,259.83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镀锌拉 丝工程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119,432.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119,432.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轨枕钢 丝工程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88,285.6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88,285.6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227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绞线机、 水箱拉 </w:t>
            </w:r>
            <w:r>
              <w:rPr>
                <w:rFonts w:ascii="宋体" w:hAnsi="宋体" w:cs="宋体" w:eastAsia="宋体" w:hint="default"/>
                <w:spacing w:val="-11"/>
                <w:sz w:val="18"/>
                <w:szCs w:val="18"/>
              </w:rPr>
              <w:t>丝机、酸</w:t>
            </w:r>
            <w:r>
              <w:rPr>
                <w:rFonts w:ascii="宋体" w:hAnsi="宋体" w:cs="宋体" w:eastAsia="宋体" w:hint="default"/>
                <w:sz w:val="18"/>
                <w:szCs w:val="18"/>
              </w:rPr>
              <w:t> 雾吸收 塔及车 配套工</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113,000.</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113,000.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8"/>
        <w:gridCol w:w="736"/>
        <w:gridCol w:w="734"/>
        <w:gridCol w:w="737"/>
        <w:gridCol w:w="737"/>
        <w:gridCol w:w="736"/>
        <w:gridCol w:w="736"/>
      </w:tblGrid>
      <w:tr>
        <w:trPr>
          <w:trHeight w:val="716"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224,234.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337,234.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0"/>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、固定资产清理</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63"/>
        <w:gridCol w:w="1397"/>
        <w:gridCol w:w="1368"/>
        <w:gridCol w:w="1382"/>
        <w:gridCol w:w="1381"/>
        <w:gridCol w:w="1579"/>
      </w:tblGrid>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57,772,763.79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57,922,763.79</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57,772,763.79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57,922,763.79</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4,814,208.18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4,964,208.18</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1,235,373.71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1,235,373.71</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1,235,373.71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1,235,373.71</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63"/>
        <w:gridCol w:w="1397"/>
        <w:gridCol w:w="1368"/>
        <w:gridCol w:w="1382"/>
        <w:gridCol w:w="1381"/>
        <w:gridCol w:w="1579"/>
      </w:tblGrid>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6,049,581.89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150,000.00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6,199,581.89</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9"/>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9"/>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51,723,181.90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51,723,181.90</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9"/>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52,958,555.61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52,958,555.61</w:t>
            </w:r>
          </w:p>
        </w:tc>
      </w:tr>
    </w:tbl>
    <w:p>
      <w:pPr>
        <w:spacing w:before="49"/>
        <w:ind w:left="152" w:right="94"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0"/>
        <w:rPr>
          <w:rFonts w:ascii="宋体" w:hAnsi="宋体" w:cs="宋体" w:eastAsia="宋体" w:hint="default"/>
          <w:sz w:val="18"/>
          <w:szCs w:val="18"/>
        </w:rPr>
      </w:pPr>
    </w:p>
    <w:p>
      <w:pPr>
        <w:spacing w:before="118"/>
        <w:ind w:left="15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）未办妥产权证书的土地使用权情况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9"/>
        <w:ind w:left="152" w:right="9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99"/>
        <w:ind w:right="94" w:firstLine="480"/>
        <w:jc w:val="left"/>
      </w:pPr>
      <w:r>
        <w:rPr/>
        <w:t>（</w:t>
      </w:r>
      <w:r>
        <w:rPr>
          <w:rFonts w:ascii="Times New Roman" w:hAnsi="Times New Roman" w:cs="Times New Roman" w:eastAsia="Times New Roman" w:hint="default"/>
        </w:rPr>
        <w:t>1</w:t>
      </w:r>
      <w:r>
        <w:rPr/>
        <w:t>）企业位于马鞍山市当涂县工业园区内的土地使用权，权证标号为：马国用（</w:t>
      </w:r>
      <w:r>
        <w:rPr>
          <w:rFonts w:ascii="Times New Roman" w:hAnsi="Times New Roman" w:cs="Times New Roman" w:eastAsia="Times New Roman" w:hint="default"/>
        </w:rPr>
        <w:t>2008</w:t>
      </w:r>
      <w:r>
        <w:rPr/>
        <w:t>） 第</w:t>
      </w:r>
      <w:r>
        <w:rPr>
          <w:rFonts w:ascii="Times New Roman" w:hAnsi="Times New Roman" w:cs="Times New Roman" w:eastAsia="Times New Roman" w:hint="default"/>
        </w:rPr>
        <w:t>0330</w:t>
      </w:r>
      <w:r>
        <w:rPr/>
        <w:t>号、当国用（</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0329</w:t>
      </w:r>
      <w:r>
        <w:rPr/>
        <w:t>号，作为企业向中国进出口银行和中国建设银行贷款抵押</w:t>
      </w:r>
      <w:r>
        <w:rPr>
          <w:spacing w:val="-91"/>
        </w:rPr>
        <w:t> </w:t>
      </w:r>
      <w:r>
        <w:rPr>
          <w:spacing w:val="-91"/>
        </w:rPr>
      </w:r>
      <w:r>
        <w:rPr/>
        <w:t>物。见注六、</w:t>
      </w:r>
      <w:r>
        <w:rPr>
          <w:rFonts w:ascii="Times New Roman" w:hAnsi="Times New Roman" w:cs="Times New Roman" w:eastAsia="Times New Roman" w:hint="default"/>
        </w:rPr>
        <w:t>39</w:t>
      </w:r>
      <w:r>
        <w:rPr/>
        <w:t>、所有权或使用权受限制的资产</w:t>
      </w:r>
    </w:p>
    <w:p>
      <w:pPr>
        <w:pStyle w:val="BodyText"/>
        <w:spacing w:line="312" w:lineRule="exact"/>
        <w:ind w:right="188" w:firstLine="480"/>
        <w:jc w:val="both"/>
      </w:pPr>
      <w:r>
        <w:rPr>
          <w:spacing w:val="-3"/>
        </w:rPr>
        <w:t>（</w:t>
      </w:r>
      <w:r>
        <w:rPr>
          <w:rFonts w:ascii="Times New Roman" w:hAnsi="Times New Roman" w:cs="Times New Roman" w:eastAsia="Times New Roman" w:hint="default"/>
          <w:spacing w:val="-3"/>
        </w:rPr>
        <w:t>2</w:t>
      </w:r>
      <w:r>
        <w:rPr>
          <w:spacing w:val="-3"/>
        </w:rPr>
        <w:t>）其全资子公司重庆市隆泰稀土新材料有限责任公司为企业向中国进出口银行贷款做</w:t>
      </w:r>
      <w:r>
        <w:rPr/>
        <w:t> 担保，以其位于重庆市武隆县白马镇园区东路的权证标号为</w:t>
      </w:r>
      <w:r>
        <w:rPr>
          <w:rFonts w:ascii="Times New Roman" w:hAnsi="Times New Roman" w:cs="Times New Roman" w:eastAsia="Times New Roman" w:hint="default"/>
        </w:rPr>
        <w:t>307</w:t>
      </w:r>
      <w:r>
        <w:rPr/>
        <w:t>发房地证</w:t>
      </w:r>
      <w:r>
        <w:rPr>
          <w:rFonts w:ascii="Times New Roman" w:hAnsi="Times New Roman" w:cs="Times New Roman" w:eastAsia="Times New Roman" w:hint="default"/>
        </w:rPr>
        <w:t>TD2011</w:t>
      </w:r>
      <w:r>
        <w:rPr/>
        <w:t>字第</w:t>
      </w:r>
      <w:r>
        <w:rPr>
          <w:rFonts w:ascii="Times New Roman" w:hAnsi="Times New Roman" w:cs="Times New Roman" w:eastAsia="Times New Roman" w:hint="default"/>
        </w:rPr>
        <w:t>12</w:t>
      </w:r>
      <w:r>
        <w:rPr/>
        <w:t>号作</w:t>
      </w:r>
      <w:r>
        <w:rPr>
          <w:spacing w:val="-52"/>
        </w:rPr>
        <w:t> </w:t>
      </w:r>
      <w:r>
        <w:rPr/>
        <w:t>为企业贷款抵押物。</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spacing w:before="0"/>
        <w:ind w:left="15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401" w:hRule="exact"/>
        </w:trPr>
        <w:tc>
          <w:tcPr>
            <w:tcW w:w="11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04" w:right="53" w:hanging="452"/>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9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spacing w:before="36"/>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6" w:right="48" w:hanging="1"/>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line="360" w:lineRule="auto" w:before="49"/>
        <w:ind w:left="152" w:right="5094"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 其他说明</w:t>
      </w:r>
    </w:p>
    <w:p>
      <w:pPr>
        <w:spacing w:line="240" w:lineRule="auto" w:before="2"/>
        <w:rPr>
          <w:rFonts w:ascii="宋体" w:hAnsi="宋体" w:cs="宋体" w:eastAsia="宋体" w:hint="default"/>
          <w:sz w:val="20"/>
          <w:szCs w:val="20"/>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5"/>
      </w:tblGrid>
      <w:tr>
        <w:trPr>
          <w:trHeight w:val="207"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11,423,752.95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1,713,562.95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11,512,952.16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1,726,942.82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11,423,752.95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1,713,562.95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11,512,952.16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1,726,942.82</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）未经抵销的递延所得税负债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4"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25"/>
        <w:gridCol w:w="1905"/>
        <w:gridCol w:w="1914"/>
        <w:gridCol w:w="1915"/>
        <w:gridCol w:w="1914"/>
      </w:tblGrid>
      <w:tr>
        <w:trPr>
          <w:trHeight w:val="161" w:hRule="exact"/>
        </w:trPr>
        <w:tc>
          <w:tcPr>
            <w:tcW w:w="1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00"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4" w:right="0"/>
              <w:jc w:val="left"/>
              <w:rPr>
                <w:rFonts w:ascii="Times New Roman" w:hAnsi="Times New Roman" w:cs="Times New Roman" w:eastAsia="Times New Roman" w:hint="default"/>
                <w:sz w:val="18"/>
                <w:szCs w:val="18"/>
              </w:rPr>
            </w:pPr>
            <w:r>
              <w:rPr>
                <w:rFonts w:ascii="Times New Roman"/>
                <w:sz w:val="18"/>
              </w:rPr>
              <w:t>1,713,562.95</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4" w:right="0"/>
              <w:jc w:val="left"/>
              <w:rPr>
                <w:rFonts w:ascii="Times New Roman" w:hAnsi="Times New Roman" w:cs="Times New Roman" w:eastAsia="Times New Roman" w:hint="default"/>
                <w:sz w:val="18"/>
                <w:szCs w:val="18"/>
              </w:rPr>
            </w:pPr>
            <w:r>
              <w:rPr>
                <w:rFonts w:ascii="Times New Roman"/>
                <w:sz w:val="18"/>
              </w:rPr>
              <w:t>1,726,942.82</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）未确认递延所得税资产的可抵扣亏损将于以下年度到期</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9,660,000.00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2,979,000.00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817,589.55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9,738,200.00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3,796,589.55</w:t>
            </w:r>
          </w:p>
        </w:tc>
      </w:tr>
    </w:tbl>
    <w:p>
      <w:pPr>
        <w:spacing w:line="357" w:lineRule="auto" w:before="49"/>
        <w:ind w:left="152" w:right="4329" w:firstLine="0"/>
        <w:jc w:val="left"/>
        <w:rPr>
          <w:rFonts w:ascii="宋体" w:hAnsi="宋体" w:cs="宋体" w:eastAsia="宋体" w:hint="default"/>
          <w:sz w:val="18"/>
          <w:szCs w:val="18"/>
        </w:rPr>
      </w:pPr>
      <w:r>
        <w:rPr>
          <w:rFonts w:ascii="宋体" w:hAnsi="宋体" w:cs="宋体" w:eastAsia="宋体" w:hint="default"/>
          <w:sz w:val="18"/>
          <w:szCs w:val="18"/>
        </w:rPr>
        <w:t>其他说明： 预付款</w:t>
      </w:r>
      <w:r>
        <w:rPr>
          <w:rFonts w:ascii="Times New Roman" w:hAnsi="Times New Roman" w:cs="Times New Roman" w:eastAsia="Times New Roman" w:hint="default"/>
          <w:sz w:val="18"/>
          <w:szCs w:val="18"/>
        </w:rPr>
        <w:t>9,615,600.00</w:t>
      </w:r>
      <w:r>
        <w:rPr>
          <w:rFonts w:ascii="宋体" w:hAnsi="宋体" w:cs="宋体" w:eastAsia="宋体" w:hint="default"/>
          <w:sz w:val="18"/>
          <w:szCs w:val="18"/>
        </w:rPr>
        <w:t>元是公司支付给安徽当涂经济开发区拟购土地款。</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4"/>
          <w:szCs w:val="24"/>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184,060,000.00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118,500,000.00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334,060,000.00</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44"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、以公允价值计量且其变动计入当期损益的金融负债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、衍生金融负债</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56,350,000.00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56,350,000.00</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0"/>
        <w:rPr>
          <w:rFonts w:ascii="宋体" w:hAnsi="宋体" w:cs="宋体" w:eastAsia="宋体" w:hint="default"/>
          <w:sz w:val="18"/>
          <w:szCs w:val="18"/>
        </w:rPr>
      </w:pPr>
    </w:p>
    <w:p>
      <w:pPr>
        <w:spacing w:before="121"/>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13,885,713.53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9,413,971.86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92,952.59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1,038,406.20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306,818.28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383,533.80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332,342.38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85,419.08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14,617,826.78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10,921,330.94</w:t>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10" w:h="16840"/>
          <w:pgMar w:footer="979" w:header="745" w:top="1060" w:bottom="1160" w:left="980" w:right="980"/>
          <w:pgNumType w:start="110"/>
        </w:sectPr>
      </w:pPr>
    </w:p>
    <w:p>
      <w:pPr>
        <w:spacing w:line="240" w:lineRule="auto" w:before="10"/>
        <w:rPr>
          <w:rFonts w:ascii="宋体" w:hAnsi="宋体" w:cs="宋体" w:eastAsia="宋体" w:hint="default"/>
          <w:sz w:val="24"/>
          <w:szCs w:val="24"/>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3,420,479.23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1,219,649.47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288,834.22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429,921.70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225,951.66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6,168.92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3,935,265.11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1,655,740.09</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年的重要预收款项</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）期末建造合同形成的已结算未完工项目情况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1,661,607.38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34,406,026.40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33,614,266.28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2,453,367.50</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3,639,726.11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3,639,726.11</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1,661,607.38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38,045,752.51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37,253,992.39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2,453,367.50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1,661,607.38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30,746,260.89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29,954,500.77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2,453,367.50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1,743,740.34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1,743,740.34</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1,789,568.38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1,789,568.38</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1,453,430.47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1,453,430.47</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224,453.85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224,453.85</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111,684.06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111,684.06</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23,314.53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23,314.53</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103,142.26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103,142.26</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1,661,607.38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34,406,026.40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33,614,266.28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2,453,367.50</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3,320,431.19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3,320,431.19</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319,294.92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319,294.92</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3,639,726.11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3,639,726.11</w:t>
            </w: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32" w:lineRule="auto" w:before="74"/>
        <w:ind w:right="152" w:firstLine="480"/>
        <w:jc w:val="both"/>
      </w:pPr>
      <w:r>
        <w:rPr/>
        <w:t>本公司按规定参加由政府机构设立的养老保险、失业保险计划，根据该等计划，本公司 分别按员工基本工资的</w:t>
      </w:r>
      <w:r>
        <w:rPr>
          <w:rFonts w:ascii="Times New Roman" w:hAnsi="Times New Roman" w:cs="Times New Roman" w:eastAsia="Times New Roman" w:hint="default"/>
        </w:rPr>
        <w:t>20%</w:t>
      </w:r>
      <w:r>
        <w:rPr/>
        <w:t>、</w:t>
      </w:r>
      <w:r>
        <w:rPr>
          <w:rFonts w:ascii="Times New Roman" w:hAnsi="Times New Roman" w:cs="Times New Roman" w:eastAsia="Times New Roman" w:hint="default"/>
        </w:rPr>
        <w:t>1%</w:t>
      </w:r>
      <w:r>
        <w:rPr/>
        <w:t>每月向该等计划缴存费用。除上述每月缴存费用外，本公司 不再承担进一步支付义务。相应的支出于发生时计入当期损益或相关资产的成本。</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4"/>
          <w:szCs w:val="24"/>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17,159,902.27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1,669,797.91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3,466,365.78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5,550,324.09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3,034,723.29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2,342,774.51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268,186.89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217,601.27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148,721.97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118,370.64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85,628.49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65,394.23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264,694.72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1,120.40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97,560.08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214,400.83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185,822.12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24,643,744.64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10,247,644.85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2,493,518.00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2,288,185.22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772,122.01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1,243,408.78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3,265,640.01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3,531,594.00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5"/>
        <w:ind w:left="0" w:right="1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99"/>
        <w:ind w:right="116" w:firstLine="480"/>
        <w:jc w:val="both"/>
      </w:pPr>
      <w:r>
        <w:rPr>
          <w:spacing w:val="-2"/>
        </w:rPr>
        <w:t>本公司承担了国家发展和改革委员会</w:t>
      </w:r>
      <w:r>
        <w:rPr>
          <w:rFonts w:ascii="Times New Roman" w:hAnsi="Times New Roman" w:cs="Times New Roman" w:eastAsia="Times New Roman" w:hint="default"/>
          <w:spacing w:val="-2"/>
        </w:rPr>
        <w:t>2005</w:t>
      </w:r>
      <w:r>
        <w:rPr>
          <w:spacing w:val="-2"/>
        </w:rPr>
        <w:t>年重点行业机构调整《年产</w:t>
      </w:r>
      <w:r>
        <w:rPr>
          <w:rFonts w:ascii="Times New Roman" w:hAnsi="Times New Roman" w:cs="Times New Roman" w:eastAsia="Times New Roman" w:hint="default"/>
          <w:spacing w:val="-2"/>
        </w:rPr>
        <w:t>8</w:t>
      </w:r>
      <w:r>
        <w:rPr>
          <w:spacing w:val="-2"/>
        </w:rPr>
        <w:t>万吨稀土多元合金</w:t>
      </w:r>
      <w:r>
        <w:rPr/>
        <w:t> </w:t>
      </w:r>
      <w:r>
        <w:rPr>
          <w:spacing w:val="-2"/>
        </w:rPr>
        <w:t>镀层装备系列产品》，此项目中央预算内专项补助资金</w:t>
      </w:r>
      <w:r>
        <w:rPr>
          <w:rFonts w:ascii="Times New Roman" w:hAnsi="Times New Roman" w:cs="Times New Roman" w:eastAsia="Times New Roman" w:hint="default"/>
          <w:spacing w:val="-2"/>
        </w:rPr>
        <w:t>664</w:t>
      </w:r>
      <w:r>
        <w:rPr>
          <w:spacing w:val="-2"/>
        </w:rPr>
        <w:t>万元（国债贴息），地方预算内专</w:t>
      </w:r>
      <w:r>
        <w:rPr/>
        <w:t> 项资金人民币</w:t>
      </w:r>
      <w:r>
        <w:rPr>
          <w:rFonts w:ascii="Times New Roman" w:hAnsi="Times New Roman" w:cs="Times New Roman" w:eastAsia="Times New Roman" w:hint="default"/>
        </w:rPr>
        <w:t>664</w:t>
      </w:r>
      <w:r>
        <w:rPr/>
        <w:t>万元。根据安徽当涂经济开发区管理委员会（原名</w:t>
      </w:r>
      <w:r>
        <w:rPr>
          <w:rFonts w:ascii="Times New Roman" w:hAnsi="Times New Roman" w:cs="Times New Roman" w:eastAsia="Times New Roman" w:hint="default"/>
        </w:rPr>
        <w:t>“</w:t>
      </w:r>
      <w:r>
        <w:rPr/>
        <w:t>当涂工业园区管委会</w:t>
      </w:r>
      <w:r>
        <w:rPr>
          <w:rFonts w:ascii="Times New Roman" w:hAnsi="Times New Roman" w:cs="Times New Roman" w:eastAsia="Times New Roman" w:hint="default"/>
        </w:rPr>
        <w:t>”</w:t>
      </w:r>
      <w:r>
        <w:rPr/>
        <w:t>） 与本公司</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4</w:t>
      </w:r>
      <w:r>
        <w:rPr/>
        <w:t>日签订转贷国债资金的协议及</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日签订的补充协议，由安徽</w:t>
      </w:r>
      <w:r>
        <w:rPr>
          <w:spacing w:val="-89"/>
        </w:rPr>
        <w:t> </w:t>
      </w:r>
      <w:r>
        <w:rPr>
          <w:spacing w:val="-89"/>
        </w:rPr>
      </w:r>
      <w:r>
        <w:rPr>
          <w:spacing w:val="-2"/>
        </w:rPr>
        <w:t>当涂经济开发区管理委员会提供地方专项转贷国债资金人民币</w:t>
      </w:r>
      <w:r>
        <w:rPr>
          <w:rFonts w:ascii="Times New Roman" w:hAnsi="Times New Roman" w:cs="Times New Roman" w:eastAsia="Times New Roman" w:hint="default"/>
          <w:spacing w:val="-2"/>
        </w:rPr>
        <w:t>664</w:t>
      </w:r>
      <w:r>
        <w:rPr>
          <w:spacing w:val="-2"/>
        </w:rPr>
        <w:t>万元，国债转贷资金的年利</w:t>
      </w:r>
      <w:r>
        <w:rPr>
          <w:spacing w:val="-117"/>
        </w:rPr>
        <w:t> </w:t>
      </w:r>
      <w:r>
        <w:rPr>
          <w:spacing w:val="-117"/>
        </w:rPr>
      </w:r>
      <w:r>
        <w:rPr/>
        <w:t>率按起息日中国人民银行公布的一年期存款利率加</w:t>
      </w:r>
      <w:r>
        <w:rPr>
          <w:rFonts w:ascii="Times New Roman" w:hAnsi="Times New Roman" w:cs="Times New Roman" w:eastAsia="Times New Roman" w:hint="default"/>
        </w:rPr>
        <w:t>0.3%</w:t>
      </w:r>
      <w:r>
        <w:rPr/>
        <w:t>确定。</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714,158.47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488,632.47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6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627,730.89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694,429.23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130,324.27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64,763.46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1,472,213.63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1,247,825.16</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0"/>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、划分为持有待售的负债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9"/>
        <w:gridCol w:w="799"/>
        <w:gridCol w:w="797"/>
        <w:gridCol w:w="799"/>
        <w:gridCol w:w="797"/>
        <w:gridCol w:w="797"/>
        <w:gridCol w:w="798"/>
        <w:gridCol w:w="796"/>
        <w:gridCol w:w="797"/>
        <w:gridCol w:w="797"/>
        <w:gridCol w:w="797"/>
      </w:tblGrid>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3" w:right="31"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6,640,000.00</w:t>
            </w:r>
          </w:p>
        </w:tc>
      </w:tr>
    </w:tbl>
    <w:p>
      <w:pPr>
        <w:spacing w:line="348" w:lineRule="auto" w:before="49"/>
        <w:ind w:left="152" w:right="3924" w:firstLine="0"/>
        <w:jc w:val="left"/>
        <w:rPr>
          <w:rFonts w:ascii="宋体" w:hAnsi="宋体" w:cs="宋体" w:eastAsia="宋体" w:hint="default"/>
          <w:sz w:val="18"/>
          <w:szCs w:val="18"/>
        </w:rPr>
      </w:pPr>
      <w:r>
        <w:rPr>
          <w:rFonts w:ascii="宋体" w:hAnsi="宋体" w:cs="宋体" w:eastAsia="宋体" w:hint="default"/>
          <w:sz w:val="18"/>
          <w:szCs w:val="18"/>
        </w:rPr>
        <w:t>长期借款分类的说明： 长期借款中</w:t>
      </w:r>
      <w:r>
        <w:rPr>
          <w:rFonts w:ascii="Times New Roman" w:hAnsi="Times New Roman" w:cs="Times New Roman" w:eastAsia="Times New Roman" w:hint="default"/>
          <w:sz w:val="18"/>
          <w:szCs w:val="18"/>
        </w:rPr>
        <w:t>4700</w:t>
      </w:r>
      <w:r>
        <w:rPr>
          <w:rFonts w:ascii="宋体" w:hAnsi="宋体" w:cs="宋体" w:eastAsia="宋体" w:hint="default"/>
          <w:sz w:val="18"/>
          <w:szCs w:val="18"/>
        </w:rPr>
        <w:t>万元是公司在中国进出口银行安徽分行的借款，期限</w:t>
      </w:r>
      <w:r>
        <w:rPr>
          <w:rFonts w:ascii="Times New Roman" w:hAnsi="Times New Roman" w:cs="Times New Roman" w:eastAsia="Times New Roman" w:hint="default"/>
          <w:sz w:val="18"/>
          <w:szCs w:val="18"/>
        </w:rPr>
        <w:t>2</w:t>
      </w:r>
      <w:r>
        <w:rPr>
          <w:rFonts w:ascii="宋体" w:hAnsi="宋体" w:cs="宋体" w:eastAsia="宋体" w:hint="default"/>
          <w:sz w:val="18"/>
          <w:szCs w:val="18"/>
        </w:rPr>
        <w:t>年。 其他说明，包括利率区间：</w:t>
      </w:r>
    </w:p>
    <w:p>
      <w:pPr>
        <w:spacing w:line="240" w:lineRule="auto" w:before="11"/>
        <w:rPr>
          <w:rFonts w:ascii="宋体" w:hAnsi="宋体" w:cs="宋体" w:eastAsia="宋体" w:hint="default"/>
          <w:sz w:val="20"/>
          <w:szCs w:val="20"/>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）应付债券的增减变动（不包括划分为金融负债的优先股、永续债等其他金融工具）</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9"/>
        <w:gridCol w:w="799"/>
        <w:gridCol w:w="797"/>
        <w:gridCol w:w="799"/>
        <w:gridCol w:w="797"/>
        <w:gridCol w:w="797"/>
        <w:gridCol w:w="798"/>
        <w:gridCol w:w="796"/>
        <w:gridCol w:w="797"/>
        <w:gridCol w:w="797"/>
        <w:gridCol w:w="797"/>
      </w:tblGrid>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3" w:right="31"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653" w:space="417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3"/>
        <w:gridCol w:w="1062"/>
        <w:gridCol w:w="1061"/>
      </w:tblGrid>
      <w:tr>
        <w:trPr>
          <w:trHeight w:val="403"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49"/>
        <w:ind w:left="152" w:right="6534"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2"/>
        <w:rPr>
          <w:rFonts w:ascii="宋体" w:hAnsi="宋体" w:cs="宋体" w:eastAsia="宋体" w:hint="default"/>
          <w:sz w:val="20"/>
          <w:szCs w:val="20"/>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、长期应付款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）按款项性质列示长期应付款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spacing w:before="36"/>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、长期应付职工薪酬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）长期应付职工薪酬表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）设定受益计划变动情况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44"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8"/>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52" w:right="144"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0" w:lineRule="auto" w:before="49"/>
        <w:ind w:left="152" w:right="2574"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5"/>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、专项应付款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、递延收益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bl>
    <w:p>
      <w:pPr>
        <w:spacing w:before="50"/>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1"/>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77,830,780.00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77,830,780.00</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、其他权益工具</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）期末发行在外的优先股、永续债等其他金融工具基本情况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）期末发行在外的优先股、永续债等金融工具变动情况表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3"/>
        <w:gridCol w:w="1062"/>
        <w:gridCol w:w="1061"/>
      </w:tblGrid>
      <w:tr>
        <w:trPr>
          <w:trHeight w:val="401"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49"/>
        <w:ind w:left="152" w:right="3654"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6"/>
        <w:rPr>
          <w:rFonts w:ascii="宋体" w:hAnsi="宋体" w:cs="宋体" w:eastAsia="宋体" w:hint="default"/>
          <w:sz w:val="20"/>
          <w:szCs w:val="20"/>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579,996,139.78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579,996,139.78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579,996,139.78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579,996,139.78</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before="36"/>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、库存股</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0"/>
        <w:gridCol w:w="1068"/>
        <w:gridCol w:w="936"/>
        <w:gridCol w:w="1150"/>
        <w:gridCol w:w="936"/>
        <w:gridCol w:w="937"/>
        <w:gridCol w:w="936"/>
        <w:gridCol w:w="799"/>
      </w:tblGrid>
      <w:tr>
        <w:trPr>
          <w:trHeight w:val="401" w:hRule="exact"/>
        </w:trPr>
        <w:tc>
          <w:tcPr>
            <w:tcW w:w="2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7" w:hRule="exact"/>
        </w:trPr>
        <w:tc>
          <w:tcPr>
            <w:tcW w:w="2810"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 w:right="27"/>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5"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9"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、专项储备</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spacing w:before="12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22,910,233.27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4,072,271.73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26,982,505.00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22,910,233.27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4,072,271.73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26,982,505.00</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312" w:lineRule="exact" w:before="97"/>
        <w:ind w:right="144" w:firstLine="480"/>
        <w:jc w:val="left"/>
      </w:pPr>
      <w:r>
        <w:rPr/>
        <w:t>根据公司法、章程的规定，本公司按净利润的</w:t>
      </w:r>
      <w:r>
        <w:rPr>
          <w:rFonts w:ascii="Times New Roman" w:hAnsi="Times New Roman" w:cs="Times New Roman" w:eastAsia="Times New Roman" w:hint="default"/>
        </w:rPr>
        <w:t>10%</w:t>
      </w:r>
      <w:r>
        <w:rPr/>
        <w:t>提取法定盈余公积金。法定盈余公积</w:t>
      </w:r>
      <w:r>
        <w:rPr>
          <w:spacing w:val="2"/>
        </w:rPr>
        <w:t> </w:t>
      </w:r>
      <w:r>
        <w:rPr/>
        <w:t>累计额为本公司注册资本</w:t>
      </w:r>
      <w:r>
        <w:rPr>
          <w:rFonts w:ascii="Times New Roman" w:hAnsi="Times New Roman" w:cs="Times New Roman" w:eastAsia="Times New Roman" w:hint="default"/>
        </w:rPr>
        <w:t>50%</w:t>
      </w:r>
      <w:r>
        <w:rPr/>
        <w:t>以上的，可不再提取。</w:t>
      </w:r>
    </w:p>
    <w:p>
      <w:pPr>
        <w:spacing w:line="240" w:lineRule="auto" w:before="9"/>
        <w:rPr>
          <w:rFonts w:ascii="宋体" w:hAnsi="宋体" w:cs="宋体" w:eastAsia="宋体" w:hint="default"/>
          <w:sz w:val="22"/>
          <w:szCs w:val="22"/>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44,166,188.55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34,525,727.74</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44,166,188.55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34,525,727.74</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24,124,414.93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40,280,988.95</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4,072,271.73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3,399,755.14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31,132,312.00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27,240,773.00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33,086,019.75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44,166,188.55</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5"/>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103"/>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3"/>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1"/>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3"/>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3"/>
        <w:rPr>
          <w:rFonts w:ascii="宋体" w:hAnsi="宋体" w:cs="宋体" w:eastAsia="宋体" w:hint="default"/>
          <w:sz w:val="26"/>
          <w:szCs w:val="26"/>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810,673,003.69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705,785,116.77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717,098,016.98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620,983,399.88</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1,972,893.21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4,896,638.02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77,721.58</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812,645,896.90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705,785,116.77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721,994,655.00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621,061,121.46</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814,993.46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906,604.48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488,996.07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543,327.63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325,997.38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363,276.77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1,629,986.91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1,813,208.88</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17,303,888.77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17,606,407.07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4,725,121.97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1,119,017.00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3,196,346.65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3,436,152.00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3,161,122.32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3,737,610.96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1,615,433.23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964,339.18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1,604,500.30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1,494,847.07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交际应酬费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720,041.30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941,450.60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标书费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717,473.65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328,068.49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185,315.01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177,156.66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1,373,636.73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3,129,699.72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34,602,879.93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32,934,748.75</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5,716,827.82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5,582,181.13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5,452,609.02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4,001,843.81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4,611,346.26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4,045,756.81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绿化费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2,493,697.71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2,403,661.65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2,686,831.91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2,330,535.81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2,236,402.30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1,743,740.34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1,915,832.74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1,175,684.11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1,081,765.40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交际应酬费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665,052.20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867,868.78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教育及工会经费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590,649.06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696,042.10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2,766,701.50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2,134,191.06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29,950,505.48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25,248,716.04</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1"/>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12,859,577.10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11,875,220.73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2,129,492.42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1,939,455.49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-317,684.37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165,003.99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280,365.37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419,941.78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617,987.74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11,310,753.42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10,520,711.01</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footerReference w:type="default" r:id="rId19"/>
          <w:pgSz w:w="11910" w:h="16840"/>
          <w:pgMar w:footer="979" w:header="745" w:top="1060" w:bottom="1160" w:left="980" w:right="980"/>
          <w:pgNumType w:start="120"/>
        </w:sectPr>
      </w:pPr>
    </w:p>
    <w:p>
      <w:pPr>
        <w:spacing w:line="240" w:lineRule="auto" w:before="10"/>
        <w:rPr>
          <w:rFonts w:ascii="宋体" w:hAnsi="宋体" w:cs="宋体" w:eastAsia="宋体" w:hint="default"/>
          <w:sz w:val="24"/>
          <w:szCs w:val="24"/>
        </w:rPr>
      </w:pPr>
    </w:p>
    <w:p>
      <w:pPr>
        <w:spacing w:before="36"/>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54</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-20,202.32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2,115,505.94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-20,202.32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2,115,505.94</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55</w:t>
      </w:r>
      <w:r>
        <w:rPr>
          <w:rFonts w:ascii="宋体" w:hAnsi="宋体" w:cs="宋体" w:eastAsia="宋体" w:hint="default"/>
          <w:b/>
          <w:bCs/>
          <w:sz w:val="21"/>
          <w:szCs w:val="21"/>
        </w:rPr>
        <w:t>、公允价值变动收益</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投资期货取得的收益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-3,444,624.40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-1,550,644.46</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理财产品持有期间取得的投资收益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945,864.70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-2,278,759.70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-1,340,644.46</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57</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23,560.24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20,395,600.00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59,138.40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216,944.10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59,138.40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1,379,138.40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20,636,104.34</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5"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6"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组织部付国家级博士后科研 工作站张良安博士补助资金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贸易摩擦应对资金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年第二批次国际市场开 拓资金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4,000.00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出口创汇奖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纳税大户奖励资金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市管局付县政府奖励金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监控补助（市环保局）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8,000.00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市人才办专项资金奖励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知识产权局付省专利资助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年度科技计划项目经费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商务局支付企业政策兑现资 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31,000.00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当涂县安监局付企业标准化 达标奖金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2,000.00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年应用技术研究与开发资 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人社局付年产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万吨稀土多元 合金镀层钢</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创新建设资金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33,000.00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pacing w:val="-5"/>
                <w:sz w:val="18"/>
                <w:szCs w:val="18"/>
              </w:rPr>
              <w:t>企业政策性补贴（</w:t>
            </w:r>
            <w:r>
              <w:rPr>
                <w:rFonts w:ascii="Times New Roman" w:hAnsi="Times New Roman" w:cs="Times New Roman" w:eastAsia="Times New Roman" w:hint="default"/>
                <w:spacing w:val="-5"/>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年度安 全生产标准化）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2,000.00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民营经济发展资金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年工业经济目标考核奖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98"/>
              <w:jc w:val="left"/>
              <w:rPr>
                <w:rFonts w:ascii="宋体" w:hAnsi="宋体" w:cs="宋体" w:eastAsia="宋体" w:hint="default"/>
                <w:sz w:val="18"/>
                <w:szCs w:val="18"/>
              </w:rPr>
            </w:pPr>
            <w:r>
              <w:rPr>
                <w:rFonts w:ascii="宋体" w:hAnsi="宋体" w:cs="宋体" w:eastAsia="宋体" w:hint="default"/>
                <w:sz w:val="18"/>
                <w:szCs w:val="18"/>
              </w:rPr>
              <w:t>武隆经信委支付的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年新 型工业化奖励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引智项目经费</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当涂开发管理委员会奖励款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外贸促进资金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企业政策兑现资金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外贸奖励政策资金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外贸促进资金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清洁生产补助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引进国外技术人才项目经费</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产业转移政策兑现资金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民营经济发展专项资金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外贸促进资金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先进企业奖金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政府奖励基金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工业经济考核奖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收武隆县财政支付的补贴款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稳增长专项资金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出口补助款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 </w:t>
            </w:r>
            <w:r>
              <w:rPr>
                <w:rFonts w:ascii="宋体" w:hAnsi="宋体" w:cs="宋体" w:eastAsia="宋体" w:hint="default"/>
                <w:sz w:val="18"/>
                <w:szCs w:val="18"/>
              </w:rPr>
              <w:t>制品项目补助资金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21" w:right="0"/>
              <w:jc w:val="left"/>
              <w:rPr>
                <w:rFonts w:ascii="Times New Roman" w:hAnsi="Times New Roman" w:cs="Times New Roman" w:eastAsia="Times New Roman" w:hint="default"/>
                <w:sz w:val="18"/>
                <w:szCs w:val="18"/>
              </w:rPr>
            </w:pPr>
            <w:r>
              <w:rPr>
                <w:rFonts w:ascii="Times New Roman"/>
                <w:sz w:val="18"/>
              </w:rPr>
              <w:t>1,320,000.00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20,395,600.00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58</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赔偿金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451,000.00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418,659.45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121,310.77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54,349.10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572,310.77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473,008.55</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59</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3,777,129.84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7,106,544.95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-264,439.65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3,790,509.71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6,842,105.30</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27,914,924.64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4,187,238.70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95,149.53</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研发加计扣除的影响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-458,878.52</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3,790,509.71</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60</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0"/>
        <w:rPr>
          <w:rFonts w:ascii="宋体" w:hAnsi="宋体" w:cs="宋体" w:eastAsia="宋体" w:hint="default"/>
          <w:sz w:val="18"/>
          <w:szCs w:val="18"/>
        </w:rPr>
      </w:pPr>
    </w:p>
    <w:p>
      <w:pPr>
        <w:spacing w:before="121"/>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61</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1,855,986.03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1,023,229.23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1,837,740.00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1,261,610.96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2,052,155.60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4,437,596.99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4,913,124.83</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spacing w:before="12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17,273,888.77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17,667,294.65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1,365,093.50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1,319,993.38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2,770,184.41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2,553,529.47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业务办公费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2,505,850.82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3,533,275.17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898,353.11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419,941.78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557,956.90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420,909.45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16,751,002.03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15,961,378.11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42,122,329.54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41,876,322.01</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52" w:right="144"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spacing w:before="12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107,706,241.89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10,567,467.00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107,706,241.89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10,567,467.00</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14,048,400.34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107,706,241.89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14,048,400.34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107,706,241.89</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spacing w:before="121"/>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62</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24,124,414.93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40,280,988.95</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-20,202.32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2,115,505.94</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17,033,970.05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15,501,045.28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1,235,373.71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1,175,277.13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223.369995pt;margin-top:147.919983pt;width:151.25pt;height:20.65pt;mso-position-horizontal-relative:page;mso-position-vertical-relative:page;z-index:-716656" coordorigin="4467,2958" coordsize="3025,413">
            <v:group style="position:absolute;left:4478;top:2969;width:2;height:392" coordorigin="4478,2969" coordsize="2,392">
              <v:shape style="position:absolute;left:4478;top:2969;width:2;height:392" coordorigin="4478,2969" coordsize="0,392" path="m4478,2969l4478,3360e" filled="false" stroked="true" strokeweight="1.08pt" strokecolor="#ffffff">
                <v:path arrowok="t"/>
              </v:shape>
            </v:group>
            <v:group style="position:absolute;left:4489;top:2969;width:3003;height:392" coordorigin="4489,2969" coordsize="3003,392">
              <v:shape style="position:absolute;left:4489;top:2969;width:3003;height:392" coordorigin="4489,2969" coordsize="3003,392" path="m4489,3360l7492,3360,7492,2969,4489,2969,4489,3360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197"/>
        <w:gridCol w:w="1872"/>
        <w:gridCol w:w="3185"/>
      </w:tblGrid>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-24,252.55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12,633,048.34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12,027,318.76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2,278,759.70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1,340,644.46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9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123" w:right="0"/>
              <w:jc w:val="left"/>
              <w:rPr>
                <w:rFonts w:ascii="Times New Roman" w:hAnsi="Times New Roman" w:cs="Times New Roman" w:eastAsia="Times New Roman" w:hint="default"/>
                <w:sz w:val="18"/>
                <w:szCs w:val="18"/>
              </w:rPr>
            </w:pPr>
            <w:r>
              <w:rPr>
                <w:rFonts w:ascii="Times New Roman"/>
                <w:sz w:val="18"/>
              </w:rPr>
              <w:t>13,379.87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-303,328.65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407,130.61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-27,579,365.23</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82,543,877.38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13,197,709.90</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8,294,933.31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-172,010,669.70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148,544,685.58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-114,279,125.71</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39,556,290.19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110,925,719.50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9" w:right="0"/>
              <w:jc w:val="left"/>
              <w:rPr>
                <w:rFonts w:ascii="Times New Roman" w:hAnsi="Times New Roman" w:cs="Times New Roman" w:eastAsia="Times New Roman" w:hint="default"/>
                <w:sz w:val="18"/>
                <w:szCs w:val="18"/>
              </w:rPr>
            </w:pPr>
            <w:r>
              <w:rPr>
                <w:rFonts w:ascii="Times New Roman"/>
                <w:sz w:val="18"/>
              </w:rPr>
              <w:t>110,925,719.50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113,676,847.34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33" w:right="0"/>
              <w:jc w:val="left"/>
              <w:rPr>
                <w:rFonts w:ascii="Times New Roman" w:hAnsi="Times New Roman" w:cs="Times New Roman" w:eastAsia="Times New Roman" w:hint="default"/>
                <w:sz w:val="18"/>
                <w:szCs w:val="18"/>
              </w:rPr>
            </w:pPr>
            <w:r>
              <w:rPr>
                <w:rFonts w:ascii="Times New Roman"/>
                <w:sz w:val="18"/>
              </w:rPr>
              <w:t>-71,369,429.31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-2,751,127.84</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）本期支付的取得子公司的现金净额</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70"/>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）本期收到的处置子公司的现金净额</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70"/>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before="44"/>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39,556,290.19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110,925,719.50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23,093.81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85,466.53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39,533,196.38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110,840,252.97</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39,556,290.19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110,925,719.50</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547" w:lineRule="auto" w:before="118"/>
        <w:ind w:left="152" w:right="43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63</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64</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4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14,048,400.34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银行承兑汇票保证金、保函</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54,222,590.78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28,989,424.72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抵押贷款用</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36,058,992.20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133,319,408.04</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1"/>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65</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4"/>
        <w:gridCol w:w="2304"/>
        <w:gridCol w:w="2391"/>
        <w:gridCol w:w="2391"/>
      </w:tblGrid>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580,615.25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6.1190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3,552,784.71</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3,056,634.23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6.1190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18,703,544.85</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预收账款（美元）</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261,610.84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6.1190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1,600,796.73</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line="259" w:lineRule="auto"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）境外经营实体说明，包括对于重要的境外经营实体，应披露其境外主要经营地、记账本位币及选择</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依据，记账本位币发生变化的还应披露原因。</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、套期</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spacing w:line="487" w:lineRule="auto" w:before="118"/>
        <w:ind w:left="152" w:right="73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spacing w:before="81"/>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3"/>
        <w:gridCol w:w="1061"/>
      </w:tblGrid>
      <w:tr>
        <w:trPr>
          <w:trHeight w:val="102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7" w:right="77" w:hanging="361"/>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）合并成本及商誉</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60" w:lineRule="auto" w:before="0"/>
        <w:ind w:left="152" w:right="5094"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7"/>
        <w:ind w:left="152"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）被购买方于购买日可辨认资产、负债</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60" w:lineRule="auto" w:before="0"/>
        <w:ind w:left="152" w:right="6550"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2"/>
        <w:rPr>
          <w:rFonts w:ascii="宋体" w:hAnsi="宋体" w:cs="宋体" w:eastAsia="宋体" w:hint="default"/>
          <w:sz w:val="20"/>
          <w:szCs w:val="20"/>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）购买日或合并当期期末无法合理确定合并对价或被购买方可辨认资产、负债公允价值的相关说明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）本期发生的同一控制下企业合并</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4"/>
        <w:gridCol w:w="1066"/>
        <w:gridCol w:w="1063"/>
      </w:tblGrid>
      <w:tr>
        <w:trPr>
          <w:trHeight w:val="1337"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36"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9"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57" w:lineRule="auto" w:before="0"/>
        <w:ind w:left="152" w:right="7614"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6"/>
        <w:rPr>
          <w:rFonts w:ascii="宋体" w:hAnsi="宋体" w:cs="宋体" w:eastAsia="宋体" w:hint="default"/>
          <w:sz w:val="20"/>
          <w:szCs w:val="20"/>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）合并日被合并方资产、负债的账面价值</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60" w:lineRule="auto" w:before="0"/>
        <w:ind w:left="152" w:right="6534"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2"/>
        <w:rPr>
          <w:rFonts w:ascii="宋体" w:hAnsi="宋体" w:cs="宋体" w:eastAsia="宋体" w:hint="default"/>
          <w:sz w:val="20"/>
          <w:szCs w:val="20"/>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、反向购买</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16" w:lineRule="auto" w:before="0"/>
        <w:ind w:left="152" w:right="144"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性交易处理时调整权益的金额及其计算：</w:t>
      </w:r>
    </w:p>
    <w:p>
      <w:pPr>
        <w:spacing w:line="240" w:lineRule="auto" w:before="11"/>
        <w:rPr>
          <w:rFonts w:ascii="宋体" w:hAnsi="宋体" w:cs="宋体" w:eastAsia="宋体" w:hint="default"/>
          <w:sz w:val="22"/>
          <w:szCs w:val="22"/>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、处置子公司</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40" w:lineRule="auto" w:before="115"/>
        <w:ind w:left="152" w:right="40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1"/>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line="487" w:lineRule="auto" w:before="36"/>
        <w:ind w:left="152" w:right="72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before="84"/>
        <w:ind w:left="152" w:right="75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5"/>
              <w:jc w:val="both"/>
              <w:rPr>
                <w:rFonts w:ascii="Times New Roman" w:hAnsi="Times New Roman" w:cs="Times New Roman" w:eastAsia="Times New Roman" w:hint="default"/>
                <w:sz w:val="18"/>
                <w:szCs w:val="18"/>
              </w:rPr>
            </w:pPr>
            <w:r>
              <w:rPr>
                <w:rFonts w:ascii="宋体" w:hAnsi="宋体" w:cs="宋体" w:eastAsia="宋体" w:hint="default"/>
                <w:sz w:val="18"/>
                <w:szCs w:val="18"/>
              </w:rPr>
              <w:t>重庆市隆泰稀土 新材料有限责任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隆泰稀土</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四川重庆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57" w:lineRule="auto" w:before="49"/>
        <w:ind w:left="152" w:right="1934"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6"/>
        <w:ind w:left="152" w:right="679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pStyle w:val="BodyText"/>
        <w:spacing w:line="312" w:lineRule="exact" w:before="10"/>
        <w:ind w:right="98" w:firstLine="434"/>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日，本公司第一届董事会十五次会议审议通过了《关于设立全资子公司的议 </w:t>
      </w:r>
      <w:r>
        <w:rPr>
          <w:spacing w:val="-6"/>
        </w:rPr>
        <w:t>案》。根据协议、章程的规定，拟设全资子公司隆泰稀土注册资本为人民币</w:t>
      </w:r>
      <w:r>
        <w:rPr>
          <w:rFonts w:ascii="Times New Roman" w:hAnsi="Times New Roman" w:cs="Times New Roman" w:eastAsia="Times New Roman" w:hint="default"/>
          <w:spacing w:val="-6"/>
        </w:rPr>
        <w:t>1,000</w:t>
      </w:r>
      <w:r>
        <w:rPr>
          <w:spacing w:val="-6"/>
        </w:rPr>
        <w:t>万元，于</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45"/>
        </w:rPr>
        <w:t> </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8</w:t>
      </w:r>
      <w:r>
        <w:rPr>
          <w:spacing w:val="-3"/>
        </w:rPr>
        <w:t>日前由本公司一次缴足。截至</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8</w:t>
      </w:r>
      <w:r>
        <w:rPr>
          <w:spacing w:val="-3"/>
        </w:rPr>
        <w:t>日止，公司已向隆泰稀土货币出资</w:t>
      </w:r>
      <w:r>
        <w:rPr>
          <w:rFonts w:ascii="Times New Roman" w:hAnsi="Times New Roman" w:cs="Times New Roman" w:eastAsia="Times New Roman" w:hint="default"/>
          <w:spacing w:val="-3"/>
        </w:rPr>
        <w:t>1,000</w:t>
      </w:r>
      <w:r>
        <w:rPr>
          <w:spacing w:val="-3"/>
        </w:rPr>
        <w:t>万元。</w:t>
      </w:r>
      <w:r>
        <w:rPr/>
        <w:t>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日，隆泰稀土取得了重庆市武隆县工商行政管理局颁发的企业法人营业执照。</w:t>
      </w:r>
    </w:p>
    <w:p>
      <w:pPr>
        <w:pStyle w:val="BodyText"/>
        <w:spacing w:line="312" w:lineRule="exact"/>
        <w:ind w:right="228" w:firstLine="434"/>
        <w:jc w:val="both"/>
      </w:pP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10</w:t>
      </w:r>
      <w:r>
        <w:rPr>
          <w:spacing w:val="-1"/>
        </w:rPr>
        <w:t>日，本公司</w:t>
      </w:r>
      <w:r>
        <w:rPr>
          <w:rFonts w:ascii="Times New Roman" w:hAnsi="Times New Roman" w:cs="Times New Roman" w:eastAsia="Times New Roman" w:hint="default"/>
          <w:spacing w:val="-1"/>
        </w:rPr>
        <w:t>2011</w:t>
      </w:r>
      <w:r>
        <w:rPr>
          <w:spacing w:val="-1"/>
        </w:rPr>
        <w:t>年第一次临时股东大会审议通过了《关于使用部分超募资金</w:t>
      </w:r>
      <w:r>
        <w:rPr/>
        <w:t> </w:t>
      </w:r>
      <w:r>
        <w:rPr>
          <w:spacing w:val="2"/>
        </w:rPr>
        <w:t>对全资子公司增资以实施年产</w:t>
      </w:r>
      <w:r>
        <w:rPr>
          <w:rFonts w:ascii="Times New Roman" w:hAnsi="Times New Roman" w:cs="Times New Roman" w:eastAsia="Times New Roman" w:hint="default"/>
          <w:spacing w:val="2"/>
        </w:rPr>
        <w:t>6</w:t>
      </w:r>
      <w:r>
        <w:rPr>
          <w:spacing w:val="2"/>
        </w:rPr>
        <w:t>万吨高铁</w:t>
      </w:r>
      <w:r>
        <w:rPr>
          <w:rFonts w:ascii="Times New Roman" w:hAnsi="Times New Roman" w:cs="Times New Roman" w:eastAsia="Times New Roman" w:hint="default"/>
          <w:spacing w:val="2"/>
        </w:rPr>
        <w:t>PC</w:t>
      </w:r>
      <w:r>
        <w:rPr>
          <w:spacing w:val="2"/>
        </w:rPr>
        <w:t>制品项目的议案》，决定对隆泰稀土以货币增资</w:t>
      </w:r>
      <w:r>
        <w:rPr>
          <w:spacing w:val="-117"/>
        </w:rPr>
        <w:t> </w:t>
      </w:r>
      <w:r>
        <w:rPr>
          <w:spacing w:val="-117"/>
        </w:rPr>
      </w:r>
      <w:r>
        <w:rPr>
          <w:spacing w:val="-2"/>
        </w:rPr>
        <w:t>人民币</w:t>
      </w:r>
      <w:r>
        <w:rPr>
          <w:rFonts w:ascii="Times New Roman" w:hAnsi="Times New Roman" w:cs="Times New Roman" w:eastAsia="Times New Roman" w:hint="default"/>
          <w:spacing w:val="-2"/>
        </w:rPr>
        <w:t>4,000</w:t>
      </w:r>
      <w:r>
        <w:rPr>
          <w:spacing w:val="-2"/>
        </w:rPr>
        <w:t>万元。截至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22</w:t>
      </w:r>
      <w:r>
        <w:rPr>
          <w:spacing w:val="-2"/>
        </w:rPr>
        <w:t>日止，公司向隆泰稀土货币增资</w:t>
      </w:r>
      <w:r>
        <w:rPr>
          <w:rFonts w:ascii="Times New Roman" w:hAnsi="Times New Roman" w:cs="Times New Roman" w:eastAsia="Times New Roman" w:hint="default"/>
          <w:spacing w:val="-2"/>
        </w:rPr>
        <w:t>4,000</w:t>
      </w:r>
      <w:r>
        <w:rPr>
          <w:spacing w:val="-2"/>
        </w:rPr>
        <w:t>万元。</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19</w:t>
      </w:r>
      <w:r>
        <w:rPr>
          <w:rFonts w:ascii="Times New Roman" w:hAnsi="Times New Roman" w:cs="Times New Roman" w:eastAsia="Times New Roman" w:hint="default"/>
          <w:spacing w:val="-36"/>
        </w:rPr>
        <w:t> </w:t>
      </w:r>
      <w:r>
        <w:rPr/>
        <w:t>日取得增资后的营业执照。</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spacing w:before="0"/>
        <w:ind w:left="152" w:right="643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5"/>
      </w:tblGrid>
      <w:tr>
        <w:trPr>
          <w:trHeight w:val="76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592"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line="357" w:lineRule="auto" w:before="50"/>
        <w:ind w:left="152" w:right="553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6"/>
        <w:rPr>
          <w:rFonts w:ascii="宋体" w:hAnsi="宋体" w:cs="宋体" w:eastAsia="宋体" w:hint="default"/>
          <w:sz w:val="20"/>
          <w:szCs w:val="20"/>
        </w:rPr>
      </w:pPr>
    </w:p>
    <w:p>
      <w:pPr>
        <w:spacing w:before="0"/>
        <w:ind w:left="152" w:right="9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4415"/>
        <w:gridCol w:w="4403"/>
      </w:tblGrid>
      <w:tr>
        <w:trPr>
          <w:trHeight w:val="403"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4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5"/>
        <w:gridCol w:w="734"/>
        <w:gridCol w:w="736"/>
        <w:gridCol w:w="736"/>
        <w:gridCol w:w="737"/>
        <w:gridCol w:w="734"/>
        <w:gridCol w:w="726"/>
      </w:tblGrid>
      <w:tr>
        <w:trPr>
          <w:trHeight w:val="716"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92" w:hanging="181"/>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0"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2"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spacing w:before="49"/>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4"/>
        <w:gridCol w:w="1063"/>
        <w:gridCol w:w="1055"/>
      </w:tblGrid>
      <w:tr>
        <w:trPr>
          <w:trHeight w:val="402"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9" w:right="6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）使用企业集团资产和清偿企业集团债务的重大限制</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、在子公司的所有者权益份额发生变化且仍控制子公司的交易</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）交易对于少数股东权益及归属于母公司所有者权益的影响</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、在合营安排或联营企业中的权益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7"/>
        <w:ind w:left="152" w:right="144"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13"/>
        <w:rPr>
          <w:rFonts w:ascii="宋体" w:hAnsi="宋体" w:cs="宋体" w:eastAsia="宋体" w:hint="default"/>
          <w:sz w:val="25"/>
          <w:szCs w:val="25"/>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）重要合营企业的主要财务信息</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）不重要的合营企业和联营企业的汇总财务信息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）合营企业或联营企业向本公司转移资金的能力存在重大限制的说明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）与合营企业投资相关的未确认承诺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）与合营企业或联营企业投资相关的或有负债</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、重要的共同经营</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0" w:lineRule="auto" w:before="49"/>
        <w:ind w:left="152" w:right="4554"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5"/>
        <w:ind w:left="152"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1"/>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0"/>
        <w:rPr>
          <w:rFonts w:ascii="宋体" w:hAnsi="宋体" w:cs="宋体" w:eastAsia="宋体" w:hint="default"/>
          <w:sz w:val="18"/>
          <w:szCs w:val="18"/>
        </w:rPr>
      </w:pPr>
    </w:p>
    <w:p>
      <w:pPr>
        <w:spacing w:before="118"/>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610" w:lineRule="atLeast" w:before="2"/>
        <w:ind w:left="633" w:right="144" w:hanging="481"/>
        <w:jc w:val="left"/>
        <w:rPr>
          <w:rFonts w:ascii="宋体" w:hAnsi="宋体" w:cs="宋体" w:eastAsia="宋体" w:hint="default"/>
          <w:sz w:val="24"/>
          <w:szCs w:val="24"/>
        </w:rPr>
      </w:pPr>
      <w:r>
        <w:rPr>
          <w:rFonts w:ascii="宋体" w:hAnsi="宋体" w:cs="宋体" w:eastAsia="宋体" w:hint="default"/>
          <w:b/>
          <w:bCs/>
          <w:sz w:val="24"/>
          <w:szCs w:val="24"/>
        </w:rPr>
        <w:t>十、与金融工具相关的风险</w:t>
      </w:r>
      <w:r>
        <w:rPr>
          <w:rFonts w:ascii="宋体" w:hAnsi="宋体" w:cs="宋体" w:eastAsia="宋体" w:hint="default"/>
          <w:b/>
          <w:bCs/>
          <w:w w:val="99"/>
          <w:sz w:val="24"/>
          <w:szCs w:val="24"/>
        </w:rPr>
        <w:t> </w:t>
      </w:r>
      <w:r>
        <w:rPr>
          <w:rFonts w:ascii="宋体" w:hAnsi="宋体" w:cs="宋体" w:eastAsia="宋体" w:hint="default"/>
          <w:sz w:val="24"/>
          <w:szCs w:val="24"/>
        </w:rPr>
        <w:t>本公司的主要金融工具包括股权投资、借款、应收账款、应付账款、以公允价值计量且</w:t>
      </w:r>
    </w:p>
    <w:p>
      <w:pPr>
        <w:pStyle w:val="BodyText"/>
        <w:spacing w:line="312" w:lineRule="exact" w:before="28"/>
        <w:ind w:right="158"/>
        <w:jc w:val="both"/>
      </w:pPr>
      <w:r>
        <w:rPr/>
        <w:t>变动计入当期损益的金融资产等，各项金融工具的详细情况说明见本附注六相关项目。与这</w:t>
      </w:r>
      <w:r>
        <w:rPr>
          <w:spacing w:val="-91"/>
        </w:rPr>
        <w:t> </w:t>
      </w:r>
      <w:r>
        <w:rPr>
          <w:spacing w:val="-91"/>
        </w:rPr>
      </w:r>
      <w:r>
        <w:rPr/>
        <w:t>些金融工具有关的风险，以及本公司为降低这些风险所采取的风险管理政策如下所述。本公</w:t>
      </w:r>
      <w:r>
        <w:rPr>
          <w:spacing w:val="-91"/>
        </w:rPr>
        <w:t> </w:t>
      </w:r>
      <w:r>
        <w:rPr>
          <w:spacing w:val="-91"/>
        </w:rPr>
      </w:r>
      <w:r>
        <w:rPr/>
        <w:t>司管理层对这些风险敞口进行管理和监控以确保将上述风险控制在限定的范围之内。</w:t>
      </w:r>
    </w:p>
    <w:p>
      <w:pPr>
        <w:pStyle w:val="BodyText"/>
        <w:spacing w:line="283" w:lineRule="exact"/>
        <w:ind w:left="633" w:right="144"/>
        <w:jc w:val="left"/>
      </w:pPr>
      <w:r>
        <w:rPr/>
        <w:t>本公司采用敏感性分析技术分析风险变量的合理、可能变化对当期损益或股东权益可能</w:t>
      </w:r>
    </w:p>
    <w:p>
      <w:pPr>
        <w:spacing w:after="0" w:line="283" w:lineRule="exact"/>
        <w:jc w:val="left"/>
        <w:sectPr>
          <w:pgSz w:w="11910" w:h="16840"/>
          <w:pgMar w:header="745" w:footer="979" w:top="1060" w:bottom="1160" w:left="980" w:right="980"/>
        </w:sectPr>
      </w:pPr>
    </w:p>
    <w:p>
      <w:pPr>
        <w:spacing w:line="240" w:lineRule="auto" w:before="6"/>
        <w:rPr>
          <w:rFonts w:ascii="宋体" w:hAnsi="宋体" w:cs="宋体" w:eastAsia="宋体" w:hint="default"/>
          <w:sz w:val="23"/>
          <w:szCs w:val="23"/>
        </w:rPr>
      </w:pPr>
    </w:p>
    <w:p>
      <w:pPr>
        <w:pStyle w:val="BodyText"/>
        <w:spacing w:line="312" w:lineRule="exact" w:before="56"/>
        <w:ind w:right="359"/>
        <w:jc w:val="both"/>
      </w:pPr>
      <w:r>
        <w:rPr/>
        <w:t>产生的影响。由于任何风险变量很少孤立地发生变化，而变量之间存在的相关性对某一风险</w:t>
      </w:r>
      <w:r>
        <w:rPr>
          <w:spacing w:val="-91"/>
        </w:rPr>
        <w:t> </w:t>
      </w:r>
      <w:r>
        <w:rPr>
          <w:spacing w:val="-91"/>
        </w:rPr>
      </w:r>
      <w:r>
        <w:rPr/>
        <w:t>变量的变化的最终影响金额将产生重大作用，因此下述内容是在假设每一变量的变化是在独</w:t>
      </w:r>
      <w:r>
        <w:rPr>
          <w:spacing w:val="-91"/>
        </w:rPr>
        <w:t> </w:t>
      </w:r>
      <w:r>
        <w:rPr>
          <w:spacing w:val="-91"/>
        </w:rPr>
      </w:r>
      <w:r>
        <w:rPr/>
        <w:t>立的情况下进行的。</w:t>
      </w:r>
    </w:p>
    <w:p>
      <w:pPr>
        <w:pStyle w:val="BodyText"/>
        <w:spacing w:line="312" w:lineRule="exact"/>
        <w:ind w:left="633" w:right="0"/>
        <w:jc w:val="left"/>
      </w:pPr>
      <w:r>
        <w:rPr/>
        <w:t>（一）风险管理目标和政策 本公司从事风险管理的目标是在风险和收益之间取得适当的平衡，将风险对本公司经营</w:t>
      </w:r>
    </w:p>
    <w:p>
      <w:pPr>
        <w:pStyle w:val="BodyText"/>
        <w:spacing w:line="312" w:lineRule="exact"/>
        <w:ind w:right="358"/>
        <w:jc w:val="both"/>
      </w:pPr>
      <w:r>
        <w:rPr/>
        <w:t>业绩的负面影响降低到最低水平，使股东及其其他权益投资者的利益最大化。基于该风险管</w:t>
      </w:r>
      <w:r>
        <w:rPr>
          <w:spacing w:val="-91"/>
        </w:rPr>
        <w:t> </w:t>
      </w:r>
      <w:r>
        <w:rPr>
          <w:spacing w:val="-91"/>
        </w:rPr>
      </w:r>
      <w:r>
        <w:rPr/>
        <w:t>理目标，本公司风险管理的基本策略是确定和分析本公司所面临的各种风险，建立适当的风</w:t>
      </w:r>
      <w:r>
        <w:rPr>
          <w:spacing w:val="-91"/>
        </w:rPr>
        <w:t> </w:t>
      </w:r>
      <w:r>
        <w:rPr>
          <w:spacing w:val="-91"/>
        </w:rPr>
      </w:r>
      <w:r>
        <w:rPr/>
        <w:t>险承受底线和进行风险管理，并及时可靠地对各种风险进行监督，将风险控制在限定的范围</w:t>
      </w:r>
      <w:r>
        <w:rPr>
          <w:spacing w:val="-91"/>
        </w:rPr>
        <w:t> </w:t>
      </w:r>
      <w:r>
        <w:rPr>
          <w:spacing w:val="-91"/>
        </w:rPr>
      </w:r>
      <w:r>
        <w:rPr/>
        <w:t>之内。</w:t>
      </w:r>
    </w:p>
    <w:p>
      <w:pPr>
        <w:pStyle w:val="BodyText"/>
        <w:spacing w:line="292" w:lineRule="exact"/>
        <w:ind w:left="633" w:right="0"/>
        <w:jc w:val="left"/>
      </w:pPr>
      <w:r>
        <w:rPr>
          <w:rFonts w:ascii="Times New Roman" w:hAnsi="Times New Roman" w:cs="Times New Roman" w:eastAsia="Times New Roman" w:hint="default"/>
        </w:rPr>
        <w:t>1</w:t>
      </w:r>
      <w:r>
        <w:rPr/>
        <w:t>、市场风险</w:t>
      </w:r>
    </w:p>
    <w:p>
      <w:pPr>
        <w:pStyle w:val="BodyText"/>
        <w:spacing w:line="312" w:lineRule="exact" w:before="21"/>
        <w:ind w:left="633" w:right="0"/>
        <w:jc w:val="left"/>
      </w:pPr>
      <w:r>
        <w:rPr/>
        <w:t>（</w:t>
      </w:r>
      <w:r>
        <w:rPr>
          <w:rFonts w:ascii="Times New Roman" w:hAnsi="Times New Roman" w:cs="Times New Roman" w:eastAsia="Times New Roman" w:hint="default"/>
        </w:rPr>
        <w:t>1</w:t>
      </w:r>
      <w:r>
        <w:rPr/>
        <w:t>）外汇风险 </w:t>
      </w:r>
      <w:r>
        <w:rPr>
          <w:spacing w:val="-3"/>
        </w:rPr>
        <w:t>外汇风险指因汇率变动产生损失的风险。本公司承受外汇风险主要与美元有关，本公司、</w:t>
      </w:r>
    </w:p>
    <w:p>
      <w:pPr>
        <w:pStyle w:val="BodyText"/>
        <w:spacing w:line="312" w:lineRule="exact"/>
        <w:ind w:right="354"/>
        <w:jc w:val="both"/>
      </w:pPr>
      <w:r>
        <w:rPr/>
        <w:t>隆泰稀土以美元进行部分销售，本公司的其他主要业务活动以人民币计价结算。于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8"/>
        </w:rPr>
        <w:t> </w:t>
      </w:r>
      <w:r>
        <w:rPr/>
        <w:t>月</w:t>
      </w:r>
      <w:r>
        <w:rPr>
          <w:rFonts w:ascii="Times New Roman" w:hAnsi="Times New Roman" w:cs="Times New Roman" w:eastAsia="Times New Roman" w:hint="default"/>
        </w:rPr>
        <w:t>31</w:t>
      </w:r>
      <w:r>
        <w:rPr/>
        <w:t>日，附注六、</w:t>
      </w:r>
      <w:r>
        <w:rPr>
          <w:rFonts w:ascii="Times New Roman" w:hAnsi="Times New Roman" w:cs="Times New Roman" w:eastAsia="Times New Roman" w:hint="default"/>
        </w:rPr>
        <w:t>40</w:t>
      </w:r>
      <w:r>
        <w:rPr/>
        <w:t>所列项目为外币外，本公司的资产及负债均为人民币余额。该等外币余</w:t>
      </w:r>
      <w:r>
        <w:rPr>
          <w:spacing w:val="-87"/>
        </w:rPr>
        <w:t> </w:t>
      </w:r>
      <w:r>
        <w:rPr>
          <w:spacing w:val="-87"/>
        </w:rPr>
      </w:r>
      <w:r>
        <w:rPr/>
        <w:t>额的资产和负债产生的外汇风险可能对本公司的经营业绩产生影响。</w:t>
      </w:r>
    </w:p>
    <w:p>
      <w:pPr>
        <w:pStyle w:val="BodyText"/>
        <w:spacing w:line="312" w:lineRule="exact"/>
        <w:ind w:left="633" w:right="0"/>
        <w:jc w:val="left"/>
      </w:pPr>
      <w:r>
        <w:rPr/>
        <w:t>外汇风险敏感性分析： 外汇风险敏感性分析假设：所有境外经营净投资套期及现金流量套期均高度有效。在上</w:t>
      </w:r>
    </w:p>
    <w:p>
      <w:pPr>
        <w:pStyle w:val="BodyText"/>
        <w:spacing w:line="312" w:lineRule="exact"/>
        <w:ind w:right="359"/>
        <w:jc w:val="both"/>
      </w:pPr>
      <w:r>
        <w:rPr/>
        <w:t>述假设的基础上，在其他变量不变的情况下，汇率可能发生的合理变动对当期损益和股东权</w:t>
      </w:r>
      <w:r>
        <w:rPr>
          <w:spacing w:val="-91"/>
        </w:rPr>
        <w:t> </w:t>
      </w:r>
      <w:r>
        <w:rPr>
          <w:spacing w:val="-91"/>
        </w:rPr>
      </w:r>
      <w:r>
        <w:rPr/>
        <w:t>益的税前影响如下：</w:t>
      </w:r>
    </w:p>
    <w:tbl>
      <w:tblPr>
        <w:tblW w:w="0" w:type="auto"/>
        <w:jc w:val="left"/>
        <w:tblInd w:w="145" w:type="dxa"/>
        <w:tblLayout w:type="fixed"/>
        <w:tblCellMar>
          <w:top w:w="0" w:type="dxa"/>
          <w:left w:w="0" w:type="dxa"/>
          <w:bottom w:w="0" w:type="dxa"/>
          <w:right w:w="0" w:type="dxa"/>
        </w:tblCellMar>
        <w:tblLook w:val="01E0"/>
      </w:tblPr>
      <w:tblGrid>
        <w:gridCol w:w="1085"/>
        <w:gridCol w:w="1849"/>
        <w:gridCol w:w="1538"/>
        <w:gridCol w:w="1923"/>
        <w:gridCol w:w="1539"/>
        <w:gridCol w:w="1923"/>
      </w:tblGrid>
      <w:tr>
        <w:trPr>
          <w:trHeight w:val="355" w:hRule="exact"/>
        </w:trPr>
        <w:tc>
          <w:tcPr>
            <w:tcW w:w="1085" w:type="dxa"/>
            <w:vMerge w:val="restart"/>
            <w:tcBorders>
              <w:top w:val="single" w:sz="6" w:space="0" w:color="000000"/>
              <w:left w:val="single" w:sz="6" w:space="0" w:color="000000"/>
              <w:right w:val="single" w:sz="6" w:space="0" w:color="000000"/>
            </w:tcBorders>
          </w:tcPr>
          <w:p>
            <w:pPr>
              <w:pStyle w:val="TableParagraph"/>
              <w:spacing w:line="240" w:lineRule="auto" w:before="17"/>
              <w:ind w:left="35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849" w:type="dxa"/>
            <w:vMerge w:val="restart"/>
            <w:tcBorders>
              <w:top w:val="single" w:sz="6" w:space="0" w:color="000000"/>
              <w:left w:val="single" w:sz="6" w:space="0" w:color="000000"/>
              <w:right w:val="single" w:sz="6" w:space="0" w:color="000000"/>
            </w:tcBorders>
          </w:tcPr>
          <w:p>
            <w:pPr>
              <w:pStyle w:val="TableParagraph"/>
              <w:spacing w:line="240" w:lineRule="auto" w:before="17"/>
              <w:ind w:left="556"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3461"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本年度</w:t>
            </w:r>
          </w:p>
        </w:tc>
        <w:tc>
          <w:tcPr>
            <w:tcW w:w="3462"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7"/>
              <w:jc w:val="center"/>
              <w:rPr>
                <w:rFonts w:ascii="宋体" w:hAnsi="宋体" w:cs="宋体" w:eastAsia="宋体" w:hint="default"/>
                <w:sz w:val="18"/>
                <w:szCs w:val="18"/>
              </w:rPr>
            </w:pPr>
            <w:r>
              <w:rPr>
                <w:rFonts w:ascii="宋体" w:hAnsi="宋体" w:cs="宋体" w:eastAsia="宋体" w:hint="default"/>
                <w:sz w:val="18"/>
                <w:szCs w:val="18"/>
              </w:rPr>
              <w:t>上年度</w:t>
            </w:r>
          </w:p>
        </w:tc>
      </w:tr>
      <w:tr>
        <w:trPr>
          <w:trHeight w:val="351" w:hRule="exact"/>
        </w:trPr>
        <w:tc>
          <w:tcPr>
            <w:tcW w:w="1085" w:type="dxa"/>
            <w:vMerge/>
            <w:tcBorders>
              <w:left w:val="single" w:sz="6" w:space="0" w:color="000000"/>
              <w:bottom w:val="single" w:sz="12" w:space="0" w:color="000000"/>
              <w:right w:val="single" w:sz="6" w:space="0" w:color="000000"/>
            </w:tcBorders>
          </w:tcPr>
          <w:p>
            <w:pPr/>
          </w:p>
        </w:tc>
        <w:tc>
          <w:tcPr>
            <w:tcW w:w="1849" w:type="dxa"/>
            <w:vMerge/>
            <w:tcBorders>
              <w:left w:val="single" w:sz="6" w:space="0" w:color="000000"/>
              <w:bottom w:val="single" w:sz="12" w:space="0" w:color="000000"/>
              <w:right w:val="single" w:sz="6" w:space="0" w:color="000000"/>
            </w:tcBorders>
          </w:tcPr>
          <w:p>
            <w:pPr/>
          </w:p>
        </w:tc>
        <w:tc>
          <w:tcPr>
            <w:tcW w:w="15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20" w:right="0"/>
              <w:jc w:val="left"/>
              <w:rPr>
                <w:rFonts w:ascii="宋体" w:hAnsi="宋体" w:cs="宋体" w:eastAsia="宋体" w:hint="default"/>
                <w:sz w:val="18"/>
                <w:szCs w:val="18"/>
              </w:rPr>
            </w:pPr>
            <w:r>
              <w:rPr>
                <w:rFonts w:ascii="宋体" w:hAnsi="宋体" w:cs="宋体" w:eastAsia="宋体" w:hint="default"/>
                <w:sz w:val="18"/>
                <w:szCs w:val="18"/>
              </w:rPr>
              <w:t>对利润的影响</w:t>
            </w:r>
          </w:p>
        </w:tc>
        <w:tc>
          <w:tcPr>
            <w:tcW w:w="19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35" w:right="0"/>
              <w:jc w:val="left"/>
              <w:rPr>
                <w:rFonts w:ascii="宋体" w:hAnsi="宋体" w:cs="宋体" w:eastAsia="宋体" w:hint="default"/>
                <w:sz w:val="18"/>
                <w:szCs w:val="18"/>
              </w:rPr>
            </w:pPr>
            <w:r>
              <w:rPr>
                <w:rFonts w:ascii="宋体" w:hAnsi="宋体" w:cs="宋体" w:eastAsia="宋体" w:hint="default"/>
                <w:sz w:val="18"/>
                <w:szCs w:val="18"/>
              </w:rPr>
              <w:t>对股东权益的影响</w:t>
            </w:r>
          </w:p>
        </w:tc>
        <w:tc>
          <w:tcPr>
            <w:tcW w:w="15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20" w:right="0"/>
              <w:jc w:val="left"/>
              <w:rPr>
                <w:rFonts w:ascii="宋体" w:hAnsi="宋体" w:cs="宋体" w:eastAsia="宋体" w:hint="default"/>
                <w:sz w:val="18"/>
                <w:szCs w:val="18"/>
              </w:rPr>
            </w:pPr>
            <w:r>
              <w:rPr>
                <w:rFonts w:ascii="宋体" w:hAnsi="宋体" w:cs="宋体" w:eastAsia="宋体" w:hint="default"/>
                <w:sz w:val="18"/>
                <w:szCs w:val="18"/>
              </w:rPr>
              <w:t>对利润的影响</w:t>
            </w:r>
          </w:p>
        </w:tc>
        <w:tc>
          <w:tcPr>
            <w:tcW w:w="19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235" w:right="0"/>
              <w:jc w:val="left"/>
              <w:rPr>
                <w:rFonts w:ascii="宋体" w:hAnsi="宋体" w:cs="宋体" w:eastAsia="宋体" w:hint="default"/>
                <w:sz w:val="18"/>
                <w:szCs w:val="18"/>
              </w:rPr>
            </w:pPr>
            <w:r>
              <w:rPr>
                <w:rFonts w:ascii="宋体" w:hAnsi="宋体" w:cs="宋体" w:eastAsia="宋体" w:hint="default"/>
                <w:sz w:val="18"/>
                <w:szCs w:val="18"/>
              </w:rPr>
              <w:t>对股东权益的影响</w:t>
            </w:r>
          </w:p>
        </w:tc>
      </w:tr>
      <w:tr>
        <w:trPr>
          <w:trHeight w:val="353" w:hRule="exact"/>
        </w:trPr>
        <w:tc>
          <w:tcPr>
            <w:tcW w:w="10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78" w:right="0"/>
              <w:jc w:val="left"/>
              <w:rPr>
                <w:rFonts w:ascii="宋体" w:hAnsi="宋体" w:cs="宋体" w:eastAsia="宋体" w:hint="default"/>
                <w:sz w:val="18"/>
                <w:szCs w:val="18"/>
              </w:rPr>
            </w:pPr>
            <w:r>
              <w:rPr>
                <w:rFonts w:ascii="宋体" w:hAnsi="宋体" w:cs="宋体" w:eastAsia="宋体" w:hint="default"/>
                <w:sz w:val="18"/>
                <w:szCs w:val="18"/>
              </w:rPr>
              <w:t>所有外币</w:t>
            </w:r>
          </w:p>
        </w:tc>
        <w:tc>
          <w:tcPr>
            <w:tcW w:w="18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5%</w:t>
            </w:r>
          </w:p>
        </w:tc>
        <w:tc>
          <w:tcPr>
            <w:tcW w:w="15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1,032,776.64</w:t>
            </w:r>
          </w:p>
        </w:tc>
        <w:tc>
          <w:tcPr>
            <w:tcW w:w="19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1,032,776.64</w:t>
            </w:r>
          </w:p>
        </w:tc>
        <w:tc>
          <w:tcPr>
            <w:tcW w:w="15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1,126,788.69</w:t>
            </w:r>
          </w:p>
        </w:tc>
        <w:tc>
          <w:tcPr>
            <w:tcW w:w="19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1,126,788.69</w:t>
            </w:r>
          </w:p>
        </w:tc>
      </w:tr>
      <w:tr>
        <w:trPr>
          <w:trHeight w:val="353" w:hRule="exact"/>
        </w:trPr>
        <w:tc>
          <w:tcPr>
            <w:tcW w:w="10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78" w:right="0"/>
              <w:jc w:val="left"/>
              <w:rPr>
                <w:rFonts w:ascii="宋体" w:hAnsi="宋体" w:cs="宋体" w:eastAsia="宋体" w:hint="default"/>
                <w:sz w:val="18"/>
                <w:szCs w:val="18"/>
              </w:rPr>
            </w:pPr>
            <w:r>
              <w:rPr>
                <w:rFonts w:ascii="宋体" w:hAnsi="宋体" w:cs="宋体" w:eastAsia="宋体" w:hint="default"/>
                <w:sz w:val="18"/>
                <w:szCs w:val="18"/>
              </w:rPr>
              <w:t>所有外币</w:t>
            </w:r>
          </w:p>
        </w:tc>
        <w:tc>
          <w:tcPr>
            <w:tcW w:w="18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对人民币贬值</w:t>
            </w:r>
            <w:r>
              <w:rPr>
                <w:rFonts w:ascii="Times New Roman" w:hAnsi="Times New Roman" w:cs="Times New Roman" w:eastAsia="Times New Roman" w:hint="default"/>
                <w:sz w:val="18"/>
                <w:szCs w:val="18"/>
              </w:rPr>
              <w:t>5%</w:t>
            </w:r>
          </w:p>
        </w:tc>
        <w:tc>
          <w:tcPr>
            <w:tcW w:w="15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-1,032,776.64</w:t>
            </w:r>
          </w:p>
        </w:tc>
        <w:tc>
          <w:tcPr>
            <w:tcW w:w="19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-1,032,776.64</w:t>
            </w:r>
          </w:p>
        </w:tc>
        <w:tc>
          <w:tcPr>
            <w:tcW w:w="15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-1,126,788.69</w:t>
            </w:r>
          </w:p>
        </w:tc>
        <w:tc>
          <w:tcPr>
            <w:tcW w:w="19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-1,126,788.69</w:t>
            </w:r>
          </w:p>
        </w:tc>
      </w:tr>
    </w:tbl>
    <w:p>
      <w:pPr>
        <w:pStyle w:val="BodyText"/>
        <w:spacing w:line="312" w:lineRule="exact"/>
        <w:ind w:left="633" w:right="0"/>
        <w:jc w:val="left"/>
      </w:pPr>
      <w:r>
        <w:rPr/>
        <w:t>（</w:t>
      </w:r>
      <w:r>
        <w:rPr>
          <w:rFonts w:ascii="Times New Roman" w:hAnsi="Times New Roman" w:cs="Times New Roman" w:eastAsia="Times New Roman" w:hint="default"/>
        </w:rPr>
        <w:t>2</w:t>
      </w:r>
      <w:r>
        <w:rPr/>
        <w:t>）利率风险－现金流量变动风险 本公司因利率变动引起金融工具现金流量变动的风险主要与浮动利率银行借款及票据贴</w:t>
      </w:r>
    </w:p>
    <w:p>
      <w:pPr>
        <w:pStyle w:val="BodyText"/>
        <w:spacing w:line="312" w:lineRule="exact"/>
        <w:ind w:left="633" w:right="4454" w:hanging="481"/>
        <w:jc w:val="left"/>
      </w:pPr>
      <w:r>
        <w:rPr/>
        <w:t>现有关。本公司的政策是保持这些借款的浮动利率。 利率风险敏感性分析： 利率风险敏感性分析基于下述假设：</w:t>
      </w:r>
    </w:p>
    <w:p>
      <w:pPr>
        <w:pStyle w:val="BodyText"/>
        <w:spacing w:line="312" w:lineRule="exact"/>
        <w:ind w:left="1053" w:right="0"/>
        <w:jc w:val="left"/>
      </w:pPr>
      <w:r>
        <w:rPr/>
        <w:t>市场利率变化影响可变利率金融工具的利息收入或费用； </w:t>
      </w:r>
      <w:r>
        <w:rPr>
          <w:spacing w:val="2"/>
        </w:rPr>
        <w:t>对于以公允价值计量的固定利率金融工具，市场利率变化仅仅影响其利息收入或费</w:t>
      </w:r>
      <w:r>
        <w:rPr/>
      </w:r>
    </w:p>
    <w:p>
      <w:pPr>
        <w:pStyle w:val="BodyText"/>
        <w:spacing w:line="312" w:lineRule="exact"/>
        <w:ind w:left="1053" w:right="0"/>
        <w:jc w:val="left"/>
      </w:pPr>
      <w:r>
        <w:rPr/>
        <w:t>用； </w:t>
      </w:r>
      <w:r>
        <w:rPr>
          <w:spacing w:val="2"/>
        </w:rPr>
        <w:t>对于指定为套期工具的衍生金融工具，市场利率变化影响其公允价值，并且所有利</w:t>
      </w:r>
      <w:r>
        <w:rPr>
          <w:spacing w:val="-110"/>
        </w:rPr>
        <w:t> </w:t>
      </w:r>
      <w:r>
        <w:rPr>
          <w:spacing w:val="-110"/>
        </w:rPr>
      </w:r>
      <w:r>
        <w:rPr/>
        <w:t>率套期预计都是高度有效的； </w:t>
      </w:r>
      <w:r>
        <w:rPr>
          <w:spacing w:val="2"/>
        </w:rPr>
        <w:t>以资产负债表日市场利率采用现金流量折现法计算衍生金融工具及其他金融资产和</w:t>
      </w:r>
      <w:r>
        <w:rPr>
          <w:spacing w:val="-109"/>
        </w:rPr>
        <w:t> </w:t>
      </w:r>
      <w:r>
        <w:rPr>
          <w:spacing w:val="-109"/>
        </w:rPr>
      </w:r>
      <w:r>
        <w:rPr/>
        <w:t>负债的公允价值变化。</w:t>
      </w:r>
    </w:p>
    <w:p>
      <w:pPr>
        <w:pStyle w:val="BodyText"/>
        <w:spacing w:line="312" w:lineRule="exact"/>
        <w:ind w:right="0" w:firstLine="480"/>
        <w:jc w:val="left"/>
      </w:pPr>
      <w:r>
        <w:rPr/>
        <w:t>在上述假设的基础上，在其他变量不变的情况下，利率可能发生的合理变动对当期损益 和股东权益的税前影响如下：</w:t>
      </w:r>
    </w:p>
    <w:tbl>
      <w:tblPr>
        <w:tblW w:w="0" w:type="auto"/>
        <w:jc w:val="left"/>
        <w:tblInd w:w="145" w:type="dxa"/>
        <w:tblLayout w:type="fixed"/>
        <w:tblCellMar>
          <w:top w:w="0" w:type="dxa"/>
          <w:left w:w="0" w:type="dxa"/>
          <w:bottom w:w="0" w:type="dxa"/>
          <w:right w:w="0" w:type="dxa"/>
        </w:tblCellMar>
        <w:tblLook w:val="01E0"/>
      </w:tblPr>
      <w:tblGrid>
        <w:gridCol w:w="1383"/>
        <w:gridCol w:w="994"/>
        <w:gridCol w:w="1844"/>
        <w:gridCol w:w="1844"/>
        <w:gridCol w:w="1645"/>
        <w:gridCol w:w="2148"/>
      </w:tblGrid>
      <w:tr>
        <w:trPr>
          <w:trHeight w:val="355" w:hRule="exact"/>
        </w:trPr>
        <w:tc>
          <w:tcPr>
            <w:tcW w:w="1383"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1"/>
              <w:ind w:left="91" w:right="0"/>
              <w:jc w:val="left"/>
              <w:rPr>
                <w:rFonts w:ascii="宋体" w:hAnsi="宋体" w:cs="宋体" w:eastAsia="宋体" w:hint="default"/>
                <w:sz w:val="20"/>
                <w:szCs w:val="20"/>
              </w:rPr>
            </w:pPr>
            <w:r>
              <w:rPr>
                <w:rFonts w:ascii="宋体" w:hAnsi="宋体" w:cs="宋体" w:eastAsia="宋体" w:hint="default"/>
                <w:sz w:val="20"/>
                <w:szCs w:val="20"/>
              </w:rPr>
              <w:t>利率变动</w:t>
            </w:r>
          </w:p>
        </w:tc>
        <w:tc>
          <w:tcPr>
            <w:tcW w:w="3687"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本年度</w:t>
            </w:r>
          </w:p>
        </w:tc>
        <w:tc>
          <w:tcPr>
            <w:tcW w:w="3793"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right="2"/>
              <w:jc w:val="center"/>
              <w:rPr>
                <w:rFonts w:ascii="宋体" w:hAnsi="宋体" w:cs="宋体" w:eastAsia="宋体" w:hint="default"/>
                <w:sz w:val="20"/>
                <w:szCs w:val="20"/>
              </w:rPr>
            </w:pPr>
            <w:r>
              <w:rPr>
                <w:rFonts w:ascii="宋体" w:hAnsi="宋体" w:cs="宋体" w:eastAsia="宋体" w:hint="default"/>
                <w:sz w:val="20"/>
                <w:szCs w:val="20"/>
              </w:rPr>
              <w:t>上年度</w:t>
            </w:r>
          </w:p>
        </w:tc>
      </w:tr>
      <w:tr>
        <w:trPr>
          <w:trHeight w:val="350" w:hRule="exact"/>
        </w:trPr>
        <w:tc>
          <w:tcPr>
            <w:tcW w:w="1383" w:type="dxa"/>
            <w:vMerge/>
            <w:tcBorders>
              <w:left w:val="single" w:sz="6" w:space="0" w:color="000000"/>
              <w:bottom w:val="single" w:sz="12" w:space="0" w:color="000000"/>
              <w:right w:val="single" w:sz="6" w:space="0" w:color="000000"/>
            </w:tcBorders>
          </w:tcPr>
          <w:p>
            <w:pPr/>
          </w:p>
        </w:tc>
        <w:tc>
          <w:tcPr>
            <w:tcW w:w="994" w:type="dxa"/>
            <w:vMerge/>
            <w:tcBorders>
              <w:left w:val="single" w:sz="6" w:space="0" w:color="000000"/>
              <w:bottom w:val="single" w:sz="12" w:space="0" w:color="000000"/>
              <w:right w:val="single" w:sz="6" w:space="0" w:color="000000"/>
            </w:tcBorders>
          </w:tcPr>
          <w:p>
            <w:pP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317" w:right="0"/>
              <w:jc w:val="left"/>
              <w:rPr>
                <w:rFonts w:ascii="宋体" w:hAnsi="宋体" w:cs="宋体" w:eastAsia="宋体" w:hint="default"/>
                <w:sz w:val="20"/>
                <w:szCs w:val="20"/>
              </w:rPr>
            </w:pPr>
            <w:r>
              <w:rPr>
                <w:rFonts w:ascii="宋体" w:hAnsi="宋体" w:cs="宋体" w:eastAsia="宋体" w:hint="default"/>
                <w:sz w:val="20"/>
                <w:szCs w:val="20"/>
              </w:rPr>
              <w:t>对利润的影响</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115" w:right="0"/>
              <w:jc w:val="left"/>
              <w:rPr>
                <w:rFonts w:ascii="宋体" w:hAnsi="宋体" w:cs="宋体" w:eastAsia="宋体" w:hint="default"/>
                <w:sz w:val="20"/>
                <w:szCs w:val="20"/>
              </w:rPr>
            </w:pPr>
            <w:r>
              <w:rPr>
                <w:rFonts w:ascii="宋体" w:hAnsi="宋体" w:cs="宋体" w:eastAsia="宋体" w:hint="default"/>
                <w:sz w:val="20"/>
                <w:szCs w:val="20"/>
              </w:rPr>
              <w:t>对股东权益的影响</w:t>
            </w:r>
          </w:p>
        </w:tc>
        <w:tc>
          <w:tcPr>
            <w:tcW w:w="1645"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215" w:right="0"/>
              <w:jc w:val="left"/>
              <w:rPr>
                <w:rFonts w:ascii="宋体" w:hAnsi="宋体" w:cs="宋体" w:eastAsia="宋体" w:hint="default"/>
                <w:sz w:val="20"/>
                <w:szCs w:val="20"/>
              </w:rPr>
            </w:pPr>
            <w:r>
              <w:rPr>
                <w:rFonts w:ascii="宋体" w:hAnsi="宋体" w:cs="宋体" w:eastAsia="宋体" w:hint="default"/>
                <w:sz w:val="20"/>
                <w:szCs w:val="20"/>
              </w:rPr>
              <w:t>对利润的影响</w:t>
            </w:r>
          </w:p>
        </w:tc>
        <w:tc>
          <w:tcPr>
            <w:tcW w:w="2148" w:type="dxa"/>
            <w:tcBorders>
              <w:top w:val="single" w:sz="12" w:space="0" w:color="000000"/>
              <w:left w:val="single" w:sz="6" w:space="0" w:color="000000"/>
              <w:bottom w:val="single" w:sz="12" w:space="0" w:color="000000"/>
              <w:right w:val="nil" w:sz="6" w:space="0" w:color="auto"/>
            </w:tcBorders>
          </w:tcPr>
          <w:p>
            <w:pPr>
              <w:pStyle w:val="TableParagraph"/>
              <w:spacing w:line="254" w:lineRule="exact"/>
              <w:ind w:left="268" w:right="0"/>
              <w:jc w:val="left"/>
              <w:rPr>
                <w:rFonts w:ascii="宋体" w:hAnsi="宋体" w:cs="宋体" w:eastAsia="宋体" w:hint="default"/>
                <w:sz w:val="20"/>
                <w:szCs w:val="20"/>
              </w:rPr>
            </w:pPr>
            <w:r>
              <w:rPr>
                <w:rFonts w:ascii="宋体" w:hAnsi="宋体" w:cs="宋体" w:eastAsia="宋体" w:hint="default"/>
                <w:sz w:val="20"/>
                <w:szCs w:val="20"/>
              </w:rPr>
              <w:t>对股东权益的影响</w:t>
            </w:r>
          </w:p>
        </w:tc>
      </w:tr>
      <w:tr>
        <w:trPr>
          <w:trHeight w:val="665" w:hRule="exact"/>
        </w:trPr>
        <w:tc>
          <w:tcPr>
            <w:tcW w:w="1383"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4" w:right="-34"/>
              <w:jc w:val="left"/>
              <w:rPr>
                <w:rFonts w:ascii="宋体" w:hAnsi="宋体" w:cs="宋体" w:eastAsia="宋体" w:hint="default"/>
                <w:sz w:val="20"/>
                <w:szCs w:val="20"/>
              </w:rPr>
            </w:pPr>
            <w:r>
              <w:rPr>
                <w:rFonts w:ascii="宋体" w:hAnsi="宋体" w:cs="宋体" w:eastAsia="宋体" w:hint="default"/>
                <w:spacing w:val="27"/>
                <w:sz w:val="20"/>
                <w:szCs w:val="20"/>
              </w:rPr>
              <w:t>短期借款及票</w:t>
            </w:r>
            <w:r>
              <w:rPr>
                <w:rFonts w:ascii="宋体" w:hAnsi="宋体" w:cs="宋体" w:eastAsia="宋体" w:hint="default"/>
                <w:spacing w:val="-67"/>
                <w:sz w:val="20"/>
                <w:szCs w:val="20"/>
              </w:rPr>
              <w:t> </w:t>
            </w:r>
            <w:r>
              <w:rPr>
                <w:rFonts w:ascii="宋体" w:hAnsi="宋体" w:cs="宋体" w:eastAsia="宋体" w:hint="default"/>
                <w:sz w:val="20"/>
                <w:szCs w:val="20"/>
              </w:rPr>
              <w:t>据贴现</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增加</w:t>
            </w:r>
            <w:r>
              <w:rPr>
                <w:rFonts w:ascii="Times New Roman" w:hAnsi="Times New Roman" w:cs="Times New Roman" w:eastAsia="Times New Roman" w:hint="default"/>
                <w:sz w:val="20"/>
                <w:szCs w:val="20"/>
              </w:rPr>
              <w:t>5%</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w w:val="95"/>
                <w:sz w:val="20"/>
              </w:rPr>
              <w:t>-642,978.86</w:t>
            </w:r>
            <w:r>
              <w:rPr>
                <w:rFonts w:ascii="Times New Roman"/>
                <w:sz w:val="20"/>
              </w:rPr>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w w:val="95"/>
                <w:sz w:val="20"/>
              </w:rPr>
              <w:t>-642,978.86</w:t>
            </w:r>
            <w:r>
              <w:rPr>
                <w:rFonts w:ascii="Times New Roman"/>
                <w:sz w:val="20"/>
              </w:rPr>
            </w:r>
          </w:p>
        </w:tc>
        <w:tc>
          <w:tcPr>
            <w:tcW w:w="16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w w:val="95"/>
                <w:sz w:val="20"/>
              </w:rPr>
              <w:t>-593,761.04</w:t>
            </w:r>
            <w:r>
              <w:rPr>
                <w:rFonts w:ascii="Times New Roman"/>
                <w:sz w:val="20"/>
              </w:rPr>
            </w:r>
          </w:p>
        </w:tc>
        <w:tc>
          <w:tcPr>
            <w:tcW w:w="21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6"/>
              <w:jc w:val="right"/>
              <w:rPr>
                <w:rFonts w:ascii="Times New Roman" w:hAnsi="Times New Roman" w:cs="Times New Roman" w:eastAsia="Times New Roman" w:hint="default"/>
                <w:sz w:val="20"/>
                <w:szCs w:val="20"/>
              </w:rPr>
            </w:pPr>
            <w:r>
              <w:rPr>
                <w:rFonts w:ascii="Times New Roman"/>
                <w:w w:val="95"/>
                <w:sz w:val="20"/>
              </w:rPr>
              <w:t>-593,761.04</w:t>
            </w:r>
            <w:r>
              <w:rPr>
                <w:rFonts w:ascii="Times New Roman"/>
                <w:sz w:val="20"/>
              </w:rPr>
            </w:r>
          </w:p>
        </w:tc>
      </w:tr>
      <w:tr>
        <w:trPr>
          <w:trHeight w:val="665" w:hRule="exact"/>
        </w:trPr>
        <w:tc>
          <w:tcPr>
            <w:tcW w:w="1383"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4" w:right="-34"/>
              <w:jc w:val="left"/>
              <w:rPr>
                <w:rFonts w:ascii="宋体" w:hAnsi="宋体" w:cs="宋体" w:eastAsia="宋体" w:hint="default"/>
                <w:sz w:val="20"/>
                <w:szCs w:val="20"/>
              </w:rPr>
            </w:pPr>
            <w:r>
              <w:rPr>
                <w:rFonts w:ascii="宋体" w:hAnsi="宋体" w:cs="宋体" w:eastAsia="宋体" w:hint="default"/>
                <w:spacing w:val="27"/>
                <w:sz w:val="20"/>
                <w:szCs w:val="20"/>
              </w:rPr>
              <w:t>短期借款及票</w:t>
            </w:r>
            <w:r>
              <w:rPr>
                <w:rFonts w:ascii="宋体" w:hAnsi="宋体" w:cs="宋体" w:eastAsia="宋体" w:hint="default"/>
                <w:spacing w:val="-67"/>
                <w:sz w:val="20"/>
                <w:szCs w:val="20"/>
              </w:rPr>
              <w:t> </w:t>
            </w:r>
            <w:r>
              <w:rPr>
                <w:rFonts w:ascii="宋体" w:hAnsi="宋体" w:cs="宋体" w:eastAsia="宋体" w:hint="default"/>
                <w:sz w:val="20"/>
                <w:szCs w:val="20"/>
              </w:rPr>
              <w:t>据贴现</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69"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减少</w:t>
            </w:r>
            <w:r>
              <w:rPr>
                <w:rFonts w:ascii="Times New Roman" w:hAnsi="Times New Roman" w:cs="Times New Roman" w:eastAsia="Times New Roman" w:hint="default"/>
                <w:sz w:val="20"/>
                <w:szCs w:val="20"/>
              </w:rPr>
              <w:t>5%</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w w:val="95"/>
                <w:sz w:val="20"/>
              </w:rPr>
              <w:t>642,978.86</w:t>
            </w:r>
            <w:r>
              <w:rPr>
                <w:rFonts w:ascii="Times New Roman"/>
                <w:sz w:val="20"/>
              </w:rPr>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w w:val="95"/>
                <w:sz w:val="20"/>
              </w:rPr>
              <w:t>642,978.86</w:t>
            </w:r>
            <w:r>
              <w:rPr>
                <w:rFonts w:ascii="Times New Roman"/>
                <w:sz w:val="20"/>
              </w:rPr>
            </w:r>
          </w:p>
        </w:tc>
        <w:tc>
          <w:tcPr>
            <w:tcW w:w="16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w w:val="95"/>
                <w:sz w:val="20"/>
              </w:rPr>
              <w:t>593,761.04</w:t>
            </w:r>
            <w:r>
              <w:rPr>
                <w:rFonts w:ascii="Times New Roman"/>
                <w:sz w:val="20"/>
              </w:rPr>
            </w:r>
          </w:p>
        </w:tc>
        <w:tc>
          <w:tcPr>
            <w:tcW w:w="21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0"/>
                <w:szCs w:val="20"/>
              </w:rPr>
            </w:pPr>
            <w:r>
              <w:rPr>
                <w:rFonts w:ascii="Times New Roman"/>
                <w:w w:val="95"/>
                <w:sz w:val="20"/>
              </w:rPr>
              <w:t>593,761.04</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45" w:footer="979" w:top="1060" w:bottom="1160" w:left="980" w:right="780"/>
        </w:sectPr>
      </w:pPr>
    </w:p>
    <w:p>
      <w:pPr>
        <w:spacing w:line="240" w:lineRule="auto" w:before="6"/>
        <w:rPr>
          <w:rFonts w:ascii="宋体" w:hAnsi="宋体" w:cs="宋体" w:eastAsia="宋体" w:hint="default"/>
          <w:sz w:val="23"/>
          <w:szCs w:val="23"/>
        </w:rPr>
      </w:pPr>
    </w:p>
    <w:p>
      <w:pPr>
        <w:pStyle w:val="BodyText"/>
        <w:spacing w:line="312" w:lineRule="exact" w:before="56"/>
        <w:ind w:left="633" w:right="0"/>
        <w:jc w:val="left"/>
      </w:pPr>
      <w:r>
        <w:rPr/>
        <w:t>（</w:t>
      </w:r>
      <w:r>
        <w:rPr>
          <w:rFonts w:ascii="Times New Roman" w:hAnsi="Times New Roman" w:cs="Times New Roman" w:eastAsia="Times New Roman" w:hint="default"/>
        </w:rPr>
        <w:t>3</w:t>
      </w:r>
      <w:r>
        <w:rPr/>
        <w:t>）其他价格风险 本公司生产用主要原材料是线材和锌，近年来，线材和锌的价格波动幅度较大，主要原</w:t>
      </w:r>
    </w:p>
    <w:p>
      <w:pPr>
        <w:pStyle w:val="BodyText"/>
        <w:spacing w:line="312" w:lineRule="exact"/>
        <w:ind w:right="354"/>
        <w:jc w:val="both"/>
      </w:pPr>
      <w:r>
        <w:rPr/>
        <w:t>材料价格的波动可能对公司的生产经营产生不利影响。同时，部分客户也提出签订远期交货</w:t>
      </w:r>
      <w:r>
        <w:rPr>
          <w:spacing w:val="-91"/>
        </w:rPr>
        <w:t> </w:t>
      </w:r>
      <w:r>
        <w:rPr>
          <w:spacing w:val="-91"/>
        </w:rPr>
      </w:r>
      <w:r>
        <w:rPr/>
        <w:t>的现货合同的要求，为充分利用期货市场的套期保值功能，规避和减轻生产经营中使用的原</w:t>
      </w:r>
      <w:r>
        <w:rPr>
          <w:spacing w:val="-91"/>
        </w:rPr>
        <w:t> </w:t>
      </w:r>
      <w:r>
        <w:rPr>
          <w:spacing w:val="-91"/>
        </w:rPr>
      </w:r>
      <w:r>
        <w:rPr/>
        <w:t>材料价格风险，减少因原材料价格波动造成的产品成本波动，保证产品成本的相对稳定，降</w:t>
      </w:r>
      <w:r>
        <w:rPr>
          <w:spacing w:val="-91"/>
        </w:rPr>
        <w:t> </w:t>
      </w:r>
      <w:r>
        <w:rPr>
          <w:spacing w:val="-91"/>
        </w:rPr>
      </w:r>
      <w:r>
        <w:rPr/>
        <w:t>低对公司正常经营的影响，鼎泰新材开展了境内螺纹钢、锌等商品的套期保值业务。公司第</w:t>
      </w:r>
      <w:r>
        <w:rPr>
          <w:spacing w:val="-86"/>
        </w:rPr>
        <w:t> </w:t>
      </w:r>
      <w:r>
        <w:rPr>
          <w:spacing w:val="-86"/>
        </w:rPr>
      </w:r>
      <w:r>
        <w:rPr/>
        <w:t>一届董事会第十一次会议审议通过了《关于开展境内期货套期保值业务的议案》。</w:t>
      </w:r>
    </w:p>
    <w:p>
      <w:pPr>
        <w:spacing w:line="240" w:lineRule="auto" w:before="6"/>
        <w:rPr>
          <w:rFonts w:ascii="宋体" w:hAnsi="宋体" w:cs="宋体" w:eastAsia="宋体" w:hint="default"/>
          <w:sz w:val="21"/>
          <w:szCs w:val="21"/>
        </w:rPr>
      </w:pPr>
    </w:p>
    <w:p>
      <w:pPr>
        <w:pStyle w:val="BodyText"/>
        <w:spacing w:line="322" w:lineRule="exact"/>
        <w:ind w:left="633" w:right="0"/>
        <w:jc w:val="left"/>
      </w:pPr>
      <w:r>
        <w:rPr>
          <w:rFonts w:ascii="Times New Roman" w:hAnsi="Times New Roman" w:cs="Times New Roman" w:eastAsia="Times New Roman" w:hint="default"/>
        </w:rPr>
        <w:t>2</w:t>
      </w:r>
      <w:r>
        <w:rPr/>
        <w:t>、信用风险</w:t>
      </w:r>
    </w:p>
    <w:p>
      <w:pPr>
        <w:pStyle w:val="BodyText"/>
        <w:spacing w:line="312" w:lineRule="exact" w:before="20"/>
        <w:ind w:right="0" w:firstLine="48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日，可能引起本公司财务损失的最大信用风险敞口主要来自于合同另一方 未能履行义务而导致本公司金融资产产生的损失以及本公司承担的财务担保，具体包括：</w:t>
      </w:r>
    </w:p>
    <w:p>
      <w:pPr>
        <w:pStyle w:val="BodyText"/>
        <w:spacing w:line="312" w:lineRule="exact"/>
        <w:ind w:right="0" w:firstLine="480"/>
        <w:jc w:val="left"/>
      </w:pPr>
      <w:r>
        <w:rPr>
          <w:spacing w:val="-3"/>
        </w:rPr>
        <w:t>合并资产负债表中已确认的金融资产的账面金额；对于以公允价值计量的金融工具而言，</w:t>
      </w:r>
      <w:r>
        <w:rPr/>
        <w:t> 账面价值反映了其风险敞口，但并非最大风险敞口，其最大风险敞口将随着未来公允价值的</w:t>
      </w:r>
      <w:r>
        <w:rPr>
          <w:spacing w:val="-91"/>
        </w:rPr>
        <w:t> </w:t>
      </w:r>
      <w:r>
        <w:rPr>
          <w:spacing w:val="-91"/>
        </w:rPr>
      </w:r>
      <w:r>
        <w:rPr/>
        <w:t>变化而改变。</w:t>
      </w:r>
    </w:p>
    <w:p>
      <w:pPr>
        <w:pStyle w:val="BodyText"/>
        <w:spacing w:line="312" w:lineRule="exact"/>
        <w:ind w:right="0" w:firstLine="480"/>
        <w:jc w:val="left"/>
      </w:pPr>
      <w:r>
        <w:rPr>
          <w:spacing w:val="-3"/>
        </w:rPr>
        <w:t>为降低信用风险，本公司制定了相关的内部控制政策负责确定信用额度、进行信用审批，</w:t>
      </w:r>
      <w:r>
        <w:rPr/>
        <w:t> 并执行其他监控程序以确保采取必要的措施回收过期债权。此外，本公司于每个资产负债表</w:t>
      </w:r>
      <w:r>
        <w:rPr>
          <w:spacing w:val="-91"/>
        </w:rPr>
        <w:t> </w:t>
      </w:r>
      <w:r>
        <w:rPr>
          <w:spacing w:val="-91"/>
        </w:rPr>
      </w:r>
      <w:r>
        <w:rPr/>
        <w:t>日审核每一单项应收款的回收情况，以确保就无法回收的款项计提充分的坏账准备。因此，</w:t>
      </w:r>
      <w:r>
        <w:rPr>
          <w:spacing w:val="-91"/>
        </w:rPr>
        <w:t> </w:t>
      </w:r>
      <w:r>
        <w:rPr>
          <w:spacing w:val="-91"/>
        </w:rPr>
      </w:r>
      <w:r>
        <w:rPr/>
        <w:t>本公司管理层认为本公司所承担的信用风险已经大为降低。</w:t>
      </w:r>
    </w:p>
    <w:p>
      <w:pPr>
        <w:pStyle w:val="BodyText"/>
        <w:spacing w:line="282" w:lineRule="exact"/>
        <w:ind w:left="633" w:right="0"/>
        <w:jc w:val="left"/>
      </w:pPr>
      <w:r>
        <w:rPr/>
        <w:t>本公司的流动资金存放在信用评级较高的银行，故流动资金的信用风险较低。</w:t>
      </w:r>
    </w:p>
    <w:p>
      <w:pPr>
        <w:pStyle w:val="BodyText"/>
        <w:spacing w:line="312" w:lineRule="exact" w:before="29"/>
        <w:ind w:left="633" w:right="5053"/>
        <w:jc w:val="left"/>
      </w:pPr>
      <w:r>
        <w:rPr/>
        <w:t>（</w:t>
      </w:r>
      <w:r>
        <w:rPr>
          <w:rFonts w:ascii="Times New Roman" w:hAnsi="Times New Roman" w:cs="Times New Roman" w:eastAsia="Times New Roman" w:hint="default"/>
        </w:rPr>
        <w:t>1</w:t>
      </w:r>
      <w:r>
        <w:rPr/>
        <w:t>）已逾期未减值的金融资产的账龄分析 本公司无已逾期未计提减值的金融资产。</w:t>
      </w:r>
    </w:p>
    <w:p>
      <w:pPr>
        <w:pStyle w:val="BodyText"/>
        <w:spacing w:line="312" w:lineRule="exact"/>
        <w:ind w:left="633" w:right="253"/>
        <w:jc w:val="left"/>
      </w:pPr>
      <w:r>
        <w:rPr/>
        <w:t>（</w:t>
      </w:r>
      <w:r>
        <w:rPr>
          <w:rFonts w:ascii="Times New Roman" w:hAnsi="Times New Roman" w:cs="Times New Roman" w:eastAsia="Times New Roman" w:hint="default"/>
        </w:rPr>
        <w:t>2</w:t>
      </w:r>
      <w:r>
        <w:rPr/>
        <w:t>）已发生单项减值的金融资产的分析，包括判断该金融资产发生减值所考虑的因素。 本公司本期无单项减值的金融资产。</w:t>
      </w:r>
    </w:p>
    <w:p>
      <w:pPr>
        <w:pStyle w:val="BodyText"/>
        <w:spacing w:line="312" w:lineRule="exact"/>
        <w:ind w:left="633" w:right="0"/>
        <w:jc w:val="left"/>
      </w:pPr>
      <w:r>
        <w:rPr>
          <w:rFonts w:ascii="Times New Roman" w:hAnsi="Times New Roman" w:cs="Times New Roman" w:eastAsia="Times New Roman" w:hint="default"/>
        </w:rPr>
        <w:t>3</w:t>
      </w:r>
      <w:r>
        <w:rPr/>
        <w:t>、流动风险 管理流动风险时，本公司保持管理层认为充分的现金及现金等价物并对其进行监控，以</w:t>
      </w:r>
    </w:p>
    <w:p>
      <w:pPr>
        <w:pStyle w:val="BodyText"/>
        <w:spacing w:line="312" w:lineRule="exact"/>
        <w:ind w:right="359"/>
        <w:jc w:val="both"/>
      </w:pPr>
      <w:r>
        <w:rPr/>
        <w:t>满足本公司经营需要，并降低现金流量波动的影响。本公司管理层对银行借款的使用情况进</w:t>
      </w:r>
      <w:r>
        <w:rPr>
          <w:spacing w:val="-91"/>
        </w:rPr>
        <w:t> </w:t>
      </w:r>
      <w:r>
        <w:rPr>
          <w:spacing w:val="-91"/>
        </w:rPr>
      </w:r>
      <w:r>
        <w:rPr/>
        <w:t>行监控并确保遵守借款协议。</w:t>
      </w:r>
    </w:p>
    <w:p>
      <w:pPr>
        <w:pStyle w:val="BodyText"/>
        <w:spacing w:line="283" w:lineRule="exact"/>
        <w:ind w:left="633" w:right="0"/>
        <w:jc w:val="left"/>
      </w:pPr>
      <w:r>
        <w:rPr/>
        <w:t>本公司持有的金融资产、金融负债按未折现剩余合同义务的到期期限分析如下：</w:t>
      </w:r>
    </w:p>
    <w:p>
      <w:pPr>
        <w:spacing w:line="240" w:lineRule="auto" w:before="12"/>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660"/>
        <w:gridCol w:w="1843"/>
        <w:gridCol w:w="1575"/>
        <w:gridCol w:w="1820"/>
        <w:gridCol w:w="1959"/>
      </w:tblGrid>
      <w:tr>
        <w:trPr>
          <w:trHeight w:val="355" w:hRule="exact"/>
        </w:trPr>
        <w:tc>
          <w:tcPr>
            <w:tcW w:w="2660"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88" w:lineRule="exact"/>
              <w:ind w:left="54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575" w:type="dxa"/>
            <w:tcBorders>
              <w:top w:val="single" w:sz="6" w:space="0" w:color="000000"/>
              <w:left w:val="single" w:sz="6" w:space="0" w:color="000000"/>
              <w:bottom w:val="single" w:sz="12" w:space="0" w:color="000000"/>
              <w:right w:val="single" w:sz="6" w:space="0" w:color="000000"/>
            </w:tcBorders>
          </w:tcPr>
          <w:p>
            <w:pPr>
              <w:pStyle w:val="TableParagraph"/>
              <w:spacing w:line="288" w:lineRule="exact"/>
              <w:ind w:left="46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至</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1820" w:type="dxa"/>
            <w:tcBorders>
              <w:top w:val="single" w:sz="6" w:space="0" w:color="000000"/>
              <w:left w:val="single" w:sz="6" w:space="0" w:color="000000"/>
              <w:bottom w:val="single" w:sz="12" w:space="0" w:color="000000"/>
              <w:right w:val="single" w:sz="6" w:space="0" w:color="000000"/>
            </w:tcBorders>
          </w:tcPr>
          <w:p>
            <w:pPr>
              <w:pStyle w:val="TableParagraph"/>
              <w:spacing w:line="288" w:lineRule="exact"/>
              <w:ind w:left="58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至</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1959" w:type="dxa"/>
            <w:tcBorders>
              <w:top w:val="single" w:sz="6" w:space="0" w:color="000000"/>
              <w:left w:val="single" w:sz="6" w:space="0" w:color="000000"/>
              <w:bottom w:val="single" w:sz="12" w:space="0" w:color="000000"/>
              <w:right w:val="nil" w:sz="6" w:space="0" w:color="auto"/>
            </w:tcBorders>
          </w:tcPr>
          <w:p>
            <w:pPr>
              <w:pStyle w:val="TableParagraph"/>
              <w:spacing w:line="288" w:lineRule="exact"/>
              <w:ind w:left="6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r>
      <w:tr>
        <w:trPr>
          <w:trHeight w:val="350" w:hRule="exact"/>
        </w:trPr>
        <w:tc>
          <w:tcPr>
            <w:tcW w:w="2660"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168" w:right="0"/>
              <w:jc w:val="left"/>
              <w:rPr>
                <w:rFonts w:ascii="宋体" w:hAnsi="宋体" w:cs="宋体" w:eastAsia="宋体" w:hint="default"/>
                <w:sz w:val="21"/>
                <w:szCs w:val="21"/>
              </w:rPr>
            </w:pPr>
            <w:r>
              <w:rPr>
                <w:rFonts w:ascii="宋体" w:hAnsi="宋体" w:cs="宋体" w:eastAsia="宋体" w:hint="default"/>
                <w:sz w:val="21"/>
                <w:szCs w:val="21"/>
              </w:rPr>
              <w:t>非衍生金融资产及负债：</w:t>
            </w:r>
          </w:p>
        </w:tc>
        <w:tc>
          <w:tcPr>
            <w:tcW w:w="1843" w:type="dxa"/>
            <w:tcBorders>
              <w:top w:val="single" w:sz="12" w:space="0" w:color="000000"/>
              <w:left w:val="single" w:sz="6" w:space="0" w:color="000000"/>
              <w:bottom w:val="single" w:sz="12" w:space="0" w:color="000000"/>
              <w:right w:val="single" w:sz="6" w:space="0" w:color="000000"/>
            </w:tcBorders>
          </w:tcPr>
          <w:p>
            <w:pPr/>
          </w:p>
        </w:tc>
        <w:tc>
          <w:tcPr>
            <w:tcW w:w="1575" w:type="dxa"/>
            <w:tcBorders>
              <w:top w:val="single" w:sz="12" w:space="0" w:color="000000"/>
              <w:left w:val="single" w:sz="6" w:space="0" w:color="000000"/>
              <w:bottom w:val="single" w:sz="12" w:space="0" w:color="000000"/>
              <w:right w:val="single" w:sz="6" w:space="0" w:color="000000"/>
            </w:tcBorders>
          </w:tcPr>
          <w:p>
            <w:pPr/>
          </w:p>
        </w:tc>
        <w:tc>
          <w:tcPr>
            <w:tcW w:w="1820" w:type="dxa"/>
            <w:tcBorders>
              <w:top w:val="single" w:sz="12" w:space="0" w:color="000000"/>
              <w:left w:val="single" w:sz="6" w:space="0" w:color="000000"/>
              <w:bottom w:val="single" w:sz="12" w:space="0" w:color="000000"/>
              <w:right w:val="single" w:sz="6" w:space="0" w:color="000000"/>
            </w:tcBorders>
          </w:tcPr>
          <w:p>
            <w:pPr/>
          </w:p>
        </w:tc>
        <w:tc>
          <w:tcPr>
            <w:tcW w:w="1959"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660"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319"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7"/>
              <w:ind w:right="-3"/>
              <w:jc w:val="right"/>
              <w:rPr>
                <w:rFonts w:ascii="Times New Roman" w:hAnsi="Times New Roman" w:cs="Times New Roman" w:eastAsia="Times New Roman" w:hint="default"/>
                <w:sz w:val="21"/>
                <w:szCs w:val="21"/>
              </w:rPr>
            </w:pPr>
            <w:r>
              <w:rPr>
                <w:rFonts w:ascii="Times New Roman"/>
                <w:spacing w:val="-1"/>
                <w:sz w:val="21"/>
              </w:rPr>
              <w:t>130,281,164.29</w:t>
            </w:r>
          </w:p>
        </w:tc>
        <w:tc>
          <w:tcPr>
            <w:tcW w:w="15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7"/>
              <w:ind w:right="1"/>
              <w:jc w:val="right"/>
              <w:rPr>
                <w:rFonts w:ascii="Times New Roman" w:hAnsi="Times New Roman" w:cs="Times New Roman" w:eastAsia="Times New Roman" w:hint="default"/>
                <w:sz w:val="21"/>
                <w:szCs w:val="21"/>
              </w:rPr>
            </w:pPr>
            <w:r>
              <w:rPr>
                <w:rFonts w:ascii="Times New Roman"/>
                <w:w w:val="100"/>
                <w:sz w:val="21"/>
              </w:rPr>
              <w:t>-</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7"/>
              <w:ind w:right="1"/>
              <w:jc w:val="right"/>
              <w:rPr>
                <w:rFonts w:ascii="Times New Roman" w:hAnsi="Times New Roman" w:cs="Times New Roman" w:eastAsia="Times New Roman" w:hint="default"/>
                <w:sz w:val="21"/>
                <w:szCs w:val="21"/>
              </w:rPr>
            </w:pPr>
            <w:r>
              <w:rPr>
                <w:rFonts w:ascii="Times New Roman"/>
                <w:w w:val="100"/>
                <w:sz w:val="21"/>
              </w:rPr>
              <w:t>-</w:t>
            </w:r>
          </w:p>
        </w:tc>
        <w:tc>
          <w:tcPr>
            <w:tcW w:w="19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7"/>
              <w:ind w:right="6"/>
              <w:jc w:val="right"/>
              <w:rPr>
                <w:rFonts w:ascii="Times New Roman" w:hAnsi="Times New Roman" w:cs="Times New Roman" w:eastAsia="Times New Roman" w:hint="default"/>
                <w:sz w:val="21"/>
                <w:szCs w:val="21"/>
              </w:rPr>
            </w:pPr>
            <w:r>
              <w:rPr>
                <w:rFonts w:ascii="Times New Roman"/>
                <w:w w:val="100"/>
                <w:sz w:val="21"/>
              </w:rPr>
              <w:t>-</w:t>
            </w:r>
          </w:p>
        </w:tc>
      </w:tr>
      <w:tr>
        <w:trPr>
          <w:trHeight w:val="353" w:hRule="exact"/>
        </w:trPr>
        <w:tc>
          <w:tcPr>
            <w:tcW w:w="2660"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168,662,968.52</w:t>
            </w:r>
          </w:p>
        </w:tc>
        <w:tc>
          <w:tcPr>
            <w:tcW w:w="15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7,249,392.39</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1,601,635.09</w:t>
            </w:r>
          </w:p>
        </w:tc>
        <w:tc>
          <w:tcPr>
            <w:tcW w:w="19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4,547,243.63</w:t>
            </w:r>
          </w:p>
        </w:tc>
      </w:tr>
      <w:tr>
        <w:trPr>
          <w:trHeight w:val="350" w:hRule="exact"/>
        </w:trPr>
        <w:tc>
          <w:tcPr>
            <w:tcW w:w="2660"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4,253,111.83</w:t>
            </w:r>
          </w:p>
        </w:tc>
        <w:tc>
          <w:tcPr>
            <w:tcW w:w="15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355,663.11</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103,012.92</w:t>
            </w:r>
          </w:p>
        </w:tc>
        <w:tc>
          <w:tcPr>
            <w:tcW w:w="19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587,591.76</w:t>
            </w:r>
          </w:p>
        </w:tc>
      </w:tr>
      <w:tr>
        <w:trPr>
          <w:trHeight w:val="353" w:hRule="exact"/>
        </w:trPr>
        <w:tc>
          <w:tcPr>
            <w:tcW w:w="2660"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319"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3"/>
              <w:jc w:val="right"/>
              <w:rPr>
                <w:rFonts w:ascii="Times New Roman" w:hAnsi="Times New Roman" w:cs="Times New Roman" w:eastAsia="Times New Roman" w:hint="default"/>
                <w:sz w:val="21"/>
                <w:szCs w:val="21"/>
              </w:rPr>
            </w:pPr>
            <w:r>
              <w:rPr>
                <w:rFonts w:ascii="Times New Roman"/>
                <w:spacing w:val="-1"/>
                <w:sz w:val="21"/>
              </w:rPr>
              <w:t>97,000,000.00</w:t>
            </w:r>
          </w:p>
        </w:tc>
        <w:tc>
          <w:tcPr>
            <w:tcW w:w="15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w w:val="100"/>
                <w:sz w:val="21"/>
              </w:rPr>
              <w:t>-</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w w:val="100"/>
                <w:sz w:val="21"/>
              </w:rPr>
              <w:t>-</w:t>
            </w:r>
          </w:p>
        </w:tc>
        <w:tc>
          <w:tcPr>
            <w:tcW w:w="19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6"/>
              <w:jc w:val="right"/>
              <w:rPr>
                <w:rFonts w:ascii="Times New Roman" w:hAnsi="Times New Roman" w:cs="Times New Roman" w:eastAsia="Times New Roman" w:hint="default"/>
                <w:sz w:val="21"/>
                <w:szCs w:val="21"/>
              </w:rPr>
            </w:pPr>
            <w:r>
              <w:rPr>
                <w:rFonts w:ascii="Times New Roman"/>
                <w:w w:val="100"/>
                <w:sz w:val="21"/>
              </w:rPr>
              <w:t>-</w:t>
            </w:r>
          </w:p>
        </w:tc>
      </w:tr>
      <w:tr>
        <w:trPr>
          <w:trHeight w:val="353" w:hRule="exact"/>
        </w:trPr>
        <w:tc>
          <w:tcPr>
            <w:tcW w:w="2660"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45,000,000.00</w:t>
            </w:r>
          </w:p>
        </w:tc>
        <w:tc>
          <w:tcPr>
            <w:tcW w:w="15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w w:val="100"/>
                <w:sz w:val="21"/>
              </w:rPr>
              <w:t>-</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w w:val="100"/>
                <w:sz w:val="21"/>
              </w:rPr>
              <w:t>-</w:t>
            </w:r>
          </w:p>
        </w:tc>
        <w:tc>
          <w:tcPr>
            <w:tcW w:w="19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w w:val="100"/>
                <w:sz w:val="21"/>
              </w:rPr>
              <w:t>-</w:t>
            </w:r>
          </w:p>
        </w:tc>
      </w:tr>
      <w:tr>
        <w:trPr>
          <w:trHeight w:val="350" w:hRule="exact"/>
        </w:trPr>
        <w:tc>
          <w:tcPr>
            <w:tcW w:w="2660"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7"/>
              <w:ind w:right="-3"/>
              <w:jc w:val="right"/>
              <w:rPr>
                <w:rFonts w:ascii="Times New Roman" w:hAnsi="Times New Roman" w:cs="Times New Roman" w:eastAsia="Times New Roman" w:hint="default"/>
                <w:sz w:val="22"/>
                <w:szCs w:val="22"/>
              </w:rPr>
            </w:pPr>
            <w:r>
              <w:rPr>
                <w:rFonts w:ascii="Times New Roman"/>
                <w:spacing w:val="-1"/>
                <w:sz w:val="22"/>
              </w:rPr>
              <w:t>13,885,713.53</w:t>
            </w:r>
          </w:p>
        </w:tc>
        <w:tc>
          <w:tcPr>
            <w:tcW w:w="15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7"/>
              <w:ind w:right="-1"/>
              <w:jc w:val="right"/>
              <w:rPr>
                <w:rFonts w:ascii="Times New Roman" w:hAnsi="Times New Roman" w:cs="Times New Roman" w:eastAsia="Times New Roman" w:hint="default"/>
                <w:sz w:val="22"/>
                <w:szCs w:val="22"/>
              </w:rPr>
            </w:pPr>
            <w:r>
              <w:rPr>
                <w:rFonts w:ascii="Times New Roman"/>
                <w:sz w:val="22"/>
              </w:rPr>
              <w:t>92,952.59</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306,818.28</w:t>
            </w:r>
          </w:p>
        </w:tc>
        <w:tc>
          <w:tcPr>
            <w:tcW w:w="19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332,342.38</w:t>
            </w:r>
          </w:p>
        </w:tc>
      </w:tr>
      <w:tr>
        <w:trPr>
          <w:trHeight w:val="353" w:hRule="exact"/>
        </w:trPr>
        <w:tc>
          <w:tcPr>
            <w:tcW w:w="2660"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319"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3"/>
              <w:jc w:val="right"/>
              <w:rPr>
                <w:rFonts w:ascii="Times New Roman" w:hAnsi="Times New Roman" w:cs="Times New Roman" w:eastAsia="Times New Roman" w:hint="default"/>
                <w:sz w:val="21"/>
                <w:szCs w:val="21"/>
              </w:rPr>
            </w:pPr>
            <w:r>
              <w:rPr>
                <w:rFonts w:ascii="Times New Roman"/>
                <w:spacing w:val="-1"/>
                <w:sz w:val="21"/>
              </w:rPr>
              <w:t>344,011.27</w:t>
            </w:r>
          </w:p>
        </w:tc>
        <w:tc>
          <w:tcPr>
            <w:tcW w:w="15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w w:val="100"/>
                <w:sz w:val="21"/>
              </w:rPr>
              <w:t>-</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1"/>
                <w:sz w:val="21"/>
              </w:rPr>
              <w:t>223,359.00</w:t>
            </w:r>
          </w:p>
        </w:tc>
        <w:tc>
          <w:tcPr>
            <w:tcW w:w="19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79,061.36</w:t>
            </w:r>
          </w:p>
        </w:tc>
      </w:tr>
      <w:tr>
        <w:trPr>
          <w:trHeight w:val="353" w:hRule="exact"/>
        </w:trPr>
        <w:tc>
          <w:tcPr>
            <w:tcW w:w="2660"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w w:val="100"/>
                <w:sz w:val="21"/>
              </w:rPr>
              <w:t>-</w:t>
            </w:r>
          </w:p>
        </w:tc>
        <w:tc>
          <w:tcPr>
            <w:tcW w:w="15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47,000,000.00</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w w:val="100"/>
                <w:sz w:val="21"/>
              </w:rPr>
              <w:t>-</w:t>
            </w:r>
          </w:p>
        </w:tc>
        <w:tc>
          <w:tcPr>
            <w:tcW w:w="19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6,640,000.00</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79" w:top="1060" w:bottom="1160" w:left="980" w:right="7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、以公允价值计量的资产和负债的期末公允价值</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2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5"/>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、持续和非持续第三层次公允价值计量项目，采用的估值技术和重要参数的定性及定量信息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、持续的第三层次公允价值计量项目，期初与期末账面价值间的调节信息及不可观察参数敏感性分析</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、持续的公允价值计量项目，本期内发生各层级之间转换的，转换的原因及确定转换时点的政策</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、本期内发生的估值技术变更及变更原因</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487" w:lineRule="auto" w:before="0"/>
        <w:ind w:left="152" w:right="72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line="357" w:lineRule="auto" w:before="49"/>
        <w:ind w:left="152" w:right="7714"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 其他说明：</w:t>
      </w:r>
    </w:p>
    <w:p>
      <w:pPr>
        <w:pStyle w:val="Heading3"/>
        <w:spacing w:line="295" w:lineRule="exact"/>
        <w:ind w:left="635" w:right="0"/>
        <w:jc w:val="left"/>
        <w:rPr>
          <w:b w:val="0"/>
          <w:bCs w:val="0"/>
        </w:rPr>
      </w:pPr>
      <w:r>
        <w:rPr/>
        <w:t>本公司的控股股东情况</w:t>
      </w:r>
      <w:r>
        <w:rPr>
          <w:b w:val="0"/>
          <w:bCs w:val="0"/>
        </w:rPr>
      </w:r>
    </w:p>
    <w:p>
      <w:pPr>
        <w:spacing w:line="240" w:lineRule="auto" w:before="12"/>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1700"/>
        <w:gridCol w:w="1402"/>
        <w:gridCol w:w="1860"/>
        <w:gridCol w:w="2268"/>
        <w:gridCol w:w="2516"/>
      </w:tblGrid>
      <w:tr>
        <w:trPr>
          <w:trHeight w:val="353" w:hRule="exact"/>
        </w:trPr>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214" w:right="0"/>
              <w:jc w:val="left"/>
              <w:rPr>
                <w:rFonts w:ascii="宋体" w:hAnsi="宋体" w:cs="宋体" w:eastAsia="宋体" w:hint="default"/>
                <w:sz w:val="21"/>
                <w:szCs w:val="21"/>
              </w:rPr>
            </w:pPr>
            <w:r>
              <w:rPr>
                <w:rFonts w:ascii="宋体" w:hAnsi="宋体" w:cs="宋体" w:eastAsia="宋体" w:hint="default"/>
                <w:sz w:val="21"/>
                <w:szCs w:val="21"/>
              </w:rPr>
              <w:t>控股股东名称</w:t>
            </w:r>
          </w:p>
        </w:tc>
        <w:tc>
          <w:tcPr>
            <w:tcW w:w="1402"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860"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503" w:right="0"/>
              <w:jc w:val="left"/>
              <w:rPr>
                <w:rFonts w:ascii="宋体" w:hAnsi="宋体" w:cs="宋体" w:eastAsia="宋体" w:hint="default"/>
                <w:sz w:val="21"/>
                <w:szCs w:val="21"/>
              </w:rPr>
            </w:pPr>
            <w:r>
              <w:rPr>
                <w:rFonts w:ascii="宋体" w:hAnsi="宋体" w:cs="宋体" w:eastAsia="宋体" w:hint="default"/>
                <w:sz w:val="21"/>
                <w:szCs w:val="21"/>
              </w:rPr>
              <w:t>持股金额</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180" w:right="0"/>
              <w:jc w:val="left"/>
              <w:rPr>
                <w:rFonts w:ascii="宋体" w:hAnsi="宋体" w:cs="宋体" w:eastAsia="宋体" w:hint="default"/>
                <w:sz w:val="21"/>
                <w:szCs w:val="21"/>
              </w:rPr>
            </w:pPr>
            <w:r>
              <w:rPr>
                <w:rFonts w:ascii="宋体" w:hAnsi="宋体" w:cs="宋体" w:eastAsia="宋体" w:hint="default"/>
                <w:sz w:val="21"/>
                <w:szCs w:val="21"/>
              </w:rPr>
              <w:t>对本企业的持股比例</w:t>
            </w:r>
          </w:p>
        </w:tc>
        <w:tc>
          <w:tcPr>
            <w:tcW w:w="2516"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left="199" w:right="0"/>
              <w:jc w:val="left"/>
              <w:rPr>
                <w:rFonts w:ascii="宋体" w:hAnsi="宋体" w:cs="宋体" w:eastAsia="宋体" w:hint="default"/>
                <w:sz w:val="21"/>
                <w:szCs w:val="21"/>
              </w:rPr>
            </w:pPr>
            <w:r>
              <w:rPr>
                <w:rFonts w:ascii="宋体" w:hAnsi="宋体" w:cs="宋体" w:eastAsia="宋体" w:hint="default"/>
                <w:sz w:val="21"/>
                <w:szCs w:val="21"/>
              </w:rPr>
              <w:t>对本企业的表决权比例</w:t>
            </w:r>
          </w:p>
        </w:tc>
      </w:tr>
      <w:tr>
        <w:trPr>
          <w:trHeight w:val="353" w:hRule="exact"/>
        </w:trPr>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刘冀鲁</w:t>
            </w:r>
          </w:p>
        </w:tc>
        <w:tc>
          <w:tcPr>
            <w:tcW w:w="1402"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8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635" w:right="0"/>
              <w:jc w:val="left"/>
              <w:rPr>
                <w:rFonts w:ascii="Times New Roman" w:hAnsi="Times New Roman" w:cs="Times New Roman" w:eastAsia="Times New Roman" w:hint="default"/>
                <w:sz w:val="21"/>
                <w:szCs w:val="21"/>
              </w:rPr>
            </w:pPr>
            <w:r>
              <w:rPr>
                <w:rFonts w:ascii="Times New Roman"/>
                <w:sz w:val="21"/>
              </w:rPr>
              <w:t>35,708,113.00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z w:val="21"/>
              </w:rPr>
              <w:t>45.88%</w:t>
            </w:r>
          </w:p>
        </w:tc>
        <w:tc>
          <w:tcPr>
            <w:tcW w:w="25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4"/>
              <w:jc w:val="right"/>
              <w:rPr>
                <w:rFonts w:ascii="Times New Roman" w:hAnsi="Times New Roman" w:cs="Times New Roman" w:eastAsia="Times New Roman" w:hint="default"/>
                <w:sz w:val="21"/>
                <w:szCs w:val="21"/>
              </w:rPr>
            </w:pPr>
            <w:r>
              <w:rPr>
                <w:rFonts w:ascii="Times New Roman"/>
                <w:sz w:val="21"/>
              </w:rPr>
              <w:t>45.88%</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79" w:top="1060" w:bottom="1160" w:left="980" w:right="880"/>
        </w:sectPr>
      </w:pPr>
    </w:p>
    <w:p>
      <w:pPr>
        <w:spacing w:line="240" w:lineRule="auto" w:before="10"/>
        <w:rPr>
          <w:rFonts w:ascii="宋体" w:hAnsi="宋体" w:cs="宋体" w:eastAsia="宋体" w:hint="default"/>
          <w:b/>
          <w:bCs/>
          <w:sz w:val="24"/>
          <w:szCs w:val="24"/>
        </w:rPr>
      </w:pPr>
    </w:p>
    <w:p>
      <w:pPr>
        <w:spacing w:line="544" w:lineRule="auto" w:before="36"/>
        <w:ind w:left="152" w:right="40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pacing w:val="-4"/>
          <w:sz w:val="18"/>
          <w:szCs w:val="18"/>
        </w:rPr>
        <w:t>本企业子公司的情况详见附注七、</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、在子公司中的权益。。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60" w:lineRule="auto" w:before="49"/>
        <w:ind w:left="152" w:right="131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67"/>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spacing w:before="44"/>
        <w:ind w:left="0" w:right="156" w:firstLine="0"/>
        <w:jc w:val="right"/>
        <w:rPr>
          <w:rFonts w:ascii="宋体" w:hAnsi="宋体" w:cs="宋体" w:eastAsia="宋体" w:hint="default"/>
          <w:sz w:val="18"/>
          <w:szCs w:val="18"/>
        </w:rPr>
      </w:pPr>
      <w:r>
        <w:rPr/>
        <w:pict>
          <v:shape style="position:absolute;margin-left:56.400002pt;margin-top:-61.088306pt;width:479.3pt;height:317.7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刘凌云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总经理，持有公司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7.68%</w:t>
                        </w:r>
                        <w:r>
                          <w:rPr>
                            <w:rFonts w:ascii="宋体" w:hAnsi="宋体" w:cs="宋体" w:eastAsia="宋体" w:hint="default"/>
                            <w:sz w:val="18"/>
                            <w:szCs w:val="18"/>
                          </w:rPr>
                          <w:t>的股权</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宫为平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副总经理，持有公司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2.80%</w:t>
                        </w:r>
                        <w:r>
                          <w:rPr>
                            <w:rFonts w:ascii="宋体" w:hAnsi="宋体" w:cs="宋体" w:eastAsia="宋体" w:hint="default"/>
                            <w:sz w:val="18"/>
                            <w:szCs w:val="18"/>
                          </w:rPr>
                          <w:t>的股权</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黄学春</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副总经理兼财务总监、董事会秘书，持有公司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2.61%</w:t>
                        </w:r>
                        <w:r>
                          <w:rPr>
                            <w:rFonts w:ascii="宋体" w:hAnsi="宋体" w:cs="宋体" w:eastAsia="宋体" w:hint="default"/>
                            <w:sz w:val="18"/>
                            <w:szCs w:val="18"/>
                          </w:rPr>
                          <w:t>的股权 离任财务总监日期：</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赵颖坤</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董事，任期起始日期：</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胡卫红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董事，任期起始日期：</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陈炬</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董事，任期起始日期：</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戴卫星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监事会主席，任期起始日期：</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齐跃进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监事，任期起始日期：</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唐成宽</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董事，持有公司</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1.75%</w:t>
                        </w:r>
                        <w:r>
                          <w:rPr>
                            <w:rFonts w:ascii="宋体" w:hAnsi="宋体" w:cs="宋体" w:eastAsia="宋体" w:hint="default"/>
                            <w:spacing w:val="-3"/>
                            <w:sz w:val="18"/>
                            <w:szCs w:val="18"/>
                          </w:rPr>
                          <w:t>的股权，任免日期：</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吴翠华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董事，持有公司</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的股权，任免日期：</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袁福祥</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监事，持有公司</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0.70%</w:t>
                        </w:r>
                        <w:r>
                          <w:rPr>
                            <w:rFonts w:ascii="宋体" w:hAnsi="宋体" w:cs="宋体" w:eastAsia="宋体" w:hint="default"/>
                            <w:spacing w:val="-3"/>
                            <w:sz w:val="18"/>
                            <w:szCs w:val="18"/>
                          </w:rPr>
                          <w:t>的股权，任免日期：</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史志民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副总经理，持有公司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0.12%</w:t>
                        </w:r>
                        <w:r>
                          <w:rPr>
                            <w:rFonts w:ascii="宋体" w:hAnsi="宋体" w:cs="宋体" w:eastAsia="宋体" w:hint="default"/>
                            <w:sz w:val="18"/>
                            <w:szCs w:val="18"/>
                          </w:rPr>
                          <w:t>的股权</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章大林</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副总经理，持有公司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0.12%</w:t>
                        </w:r>
                        <w:r>
                          <w:rPr>
                            <w:rFonts w:ascii="宋体" w:hAnsi="宋体" w:cs="宋体" w:eastAsia="宋体" w:hint="default"/>
                            <w:sz w:val="18"/>
                            <w:szCs w:val="18"/>
                          </w:rPr>
                          <w:t>的股权</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副总经理，持有公司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0.19%</w:t>
                        </w:r>
                        <w:r>
                          <w:rPr>
                            <w:rFonts w:ascii="宋体" w:hAnsi="宋体" w:cs="宋体" w:eastAsia="宋体" w:hint="default"/>
                            <w:sz w:val="18"/>
                            <w:szCs w:val="18"/>
                          </w:rPr>
                          <w:t>的股权</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0"/>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44"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7"/>
        <w:gridCol w:w="2260"/>
        <w:gridCol w:w="2258"/>
        <w:gridCol w:w="2643"/>
      </w:tblGrid>
      <w:tr>
        <w:trPr>
          <w:trHeight w:val="403"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7"/>
        <w:gridCol w:w="2260"/>
        <w:gridCol w:w="2258"/>
        <w:gridCol w:w="2643"/>
      </w:tblGrid>
      <w:tr>
        <w:trPr>
          <w:trHeight w:val="401"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0"/>
        <w:rPr>
          <w:rFonts w:ascii="宋体" w:hAnsi="宋体" w:cs="宋体" w:eastAsia="宋体" w:hint="default"/>
          <w:sz w:val="18"/>
          <w:szCs w:val="18"/>
        </w:rPr>
      </w:pPr>
    </w:p>
    <w:p>
      <w:pPr>
        <w:spacing w:before="12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）关联受托管理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承包及委托管理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出包情况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44"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7" w:right="20"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1"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9" w:lineRule="auto"/>
        <w:jc w:val="left"/>
        <w:rPr>
          <w:rFonts w:ascii="宋体" w:hAnsi="宋体" w:cs="宋体" w:eastAsia="宋体" w:hint="default"/>
          <w:sz w:val="18"/>
          <w:szCs w:val="18"/>
        </w:rPr>
        <w:sectPr>
          <w:pgSz w:w="11910" w:h="16840"/>
          <w:pgMar w:header="745" w:footer="979" w:top="1060" w:bottom="1160" w:left="980" w:right="980"/>
        </w:sectPr>
      </w:pPr>
    </w:p>
    <w:p>
      <w:pPr>
        <w:spacing w:line="338" w:lineRule="auto" w:before="49"/>
        <w:ind w:left="152" w:right="-19"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544" w:space="6285"/>
            <w:col w:w="11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0"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1"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13"/>
        <w:rPr>
          <w:rFonts w:ascii="宋体" w:hAnsi="宋体" w:cs="宋体" w:eastAsia="宋体" w:hint="default"/>
          <w:sz w:val="25"/>
          <w:szCs w:val="25"/>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44"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9"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44"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0"/>
        <w:ind w:left="152" w:right="144"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4"/>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1,098,000.00</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唐成宽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2" w:right="0"/>
              <w:jc w:val="left"/>
              <w:rPr>
                <w:rFonts w:ascii="Times New Roman" w:hAnsi="Times New Roman" w:cs="Times New Roman" w:eastAsia="Times New Roman" w:hint="default"/>
                <w:sz w:val="18"/>
                <w:szCs w:val="18"/>
              </w:rPr>
            </w:pPr>
            <w:r>
              <w:rPr>
                <w:rFonts w:ascii="Times New Roman"/>
                <w:sz w:val="18"/>
              </w:rPr>
              <w:t>13,300.00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1" w:right="0"/>
              <w:jc w:val="left"/>
              <w:rPr>
                <w:rFonts w:ascii="Times New Roman" w:hAnsi="Times New Roman" w:cs="Times New Roman" w:eastAsia="Times New Roman" w:hint="default"/>
                <w:sz w:val="18"/>
                <w:szCs w:val="18"/>
              </w:rPr>
            </w:pPr>
            <w:r>
              <w:rPr>
                <w:rFonts w:ascii="Times New Roman"/>
                <w:sz w:val="18"/>
              </w:rPr>
              <w:t>2,660.00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2" w:right="0"/>
              <w:jc w:val="left"/>
              <w:rPr>
                <w:rFonts w:ascii="Times New Roman" w:hAnsi="Times New Roman" w:cs="Times New Roman" w:eastAsia="Times New Roman" w:hint="default"/>
                <w:sz w:val="18"/>
                <w:szCs w:val="18"/>
              </w:rPr>
            </w:pPr>
            <w:r>
              <w:rPr>
                <w:rFonts w:ascii="Times New Roman"/>
                <w:sz w:val="18"/>
              </w:rPr>
              <w:t>14,500.00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1" w:right="0"/>
              <w:jc w:val="left"/>
              <w:rPr>
                <w:rFonts w:ascii="Times New Roman" w:hAnsi="Times New Roman" w:cs="Times New Roman" w:eastAsia="Times New Roman" w:hint="default"/>
                <w:sz w:val="18"/>
                <w:szCs w:val="18"/>
              </w:rPr>
            </w:pPr>
            <w:r>
              <w:rPr>
                <w:rFonts w:ascii="Times New Roman"/>
                <w:sz w:val="18"/>
              </w:rPr>
              <w:t>1,450.00</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齐跃进</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、关联方承诺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487" w:lineRule="auto" w:before="0"/>
        <w:ind w:left="152" w:right="777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2"/>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before="36"/>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、以现金结算的股份支付情况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487" w:lineRule="auto" w:before="0"/>
        <w:ind w:left="152" w:right="73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2"/>
        <w:ind w:left="152" w:right="144"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68"/>
        <w:ind w:left="801" w:right="144"/>
        <w:jc w:val="left"/>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日，本公司不存在应披露的承诺事项。</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right="144" w:firstLine="480"/>
        <w:jc w:val="left"/>
      </w:pPr>
      <w:r>
        <w:rPr>
          <w:spacing w:val="12"/>
        </w:rPr>
        <w:t>截至</w:t>
      </w:r>
      <w:r>
        <w:rPr>
          <w:spacing w:val="-9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8"/>
        </w:rPr>
        <w:t> </w:t>
      </w:r>
      <w:r>
        <w:rPr/>
        <w:t>年</w:t>
      </w:r>
      <w:r>
        <w:rPr>
          <w:spacing w:val="-95"/>
        </w:rPr>
        <w:t> </w:t>
      </w:r>
      <w:r>
        <w:rPr>
          <w:rFonts w:ascii="Times New Roman" w:hAnsi="Times New Roman" w:cs="Times New Roman" w:eastAsia="Times New Roman" w:hint="default"/>
        </w:rPr>
        <w:t>12</w:t>
      </w:r>
      <w:r>
        <w:rPr>
          <w:rFonts w:ascii="Times New Roman" w:hAnsi="Times New Roman" w:cs="Times New Roman" w:eastAsia="Times New Roman" w:hint="default"/>
          <w:spacing w:val="-38"/>
        </w:rPr>
        <w:t> </w:t>
      </w:r>
      <w:r>
        <w:rPr/>
        <w:t>月</w:t>
      </w:r>
      <w:r>
        <w:rPr>
          <w:spacing w:val="-95"/>
        </w:rPr>
        <w:t> </w:t>
      </w:r>
      <w:r>
        <w:rPr>
          <w:rFonts w:ascii="Times New Roman" w:hAnsi="Times New Roman" w:cs="Times New Roman" w:eastAsia="Times New Roman" w:hint="default"/>
        </w:rPr>
        <w:t>31</w:t>
      </w:r>
      <w:r>
        <w:rPr>
          <w:rFonts w:ascii="Times New Roman" w:hAnsi="Times New Roman" w:cs="Times New Roman" w:eastAsia="Times New Roman" w:hint="default"/>
          <w:spacing w:val="-35"/>
        </w:rPr>
        <w:t> </w:t>
      </w:r>
      <w:r>
        <w:rPr>
          <w:spacing w:val="10"/>
        </w:rPr>
        <w:t>日，</w:t>
      </w:r>
      <w:r>
        <w:rPr>
          <w:spacing w:val="-96"/>
        </w:rPr>
        <w:t> </w:t>
      </w:r>
      <w:r>
        <w:rPr>
          <w:spacing w:val="20"/>
        </w:rPr>
        <w:t>本公司以未到期承兑汇票背书给第三方，</w:t>
      </w:r>
      <w:r>
        <w:rPr>
          <w:spacing w:val="-96"/>
        </w:rPr>
        <w:t> </w:t>
      </w:r>
      <w:r>
        <w:rPr>
          <w:spacing w:val="19"/>
        </w:rPr>
        <w:t>金额共计人民币</w:t>
      </w:r>
      <w:r>
        <w:rPr/>
        <w:t> </w:t>
      </w:r>
      <w:r>
        <w:rPr>
          <w:rFonts w:ascii="Times New Roman" w:hAnsi="Times New Roman" w:cs="Times New Roman" w:eastAsia="Times New Roman" w:hint="default"/>
        </w:rPr>
        <w:t>83,709,540.98</w:t>
      </w:r>
      <w:r>
        <w:rPr/>
        <w:t>元。</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0"/>
        <w:rPr>
          <w:rFonts w:ascii="宋体" w:hAnsi="宋体" w:cs="宋体" w:eastAsia="宋体" w:hint="default"/>
          <w:sz w:val="18"/>
          <w:szCs w:val="18"/>
        </w:rPr>
      </w:pPr>
    </w:p>
    <w:p>
      <w:pPr>
        <w:spacing w:line="487" w:lineRule="auto" w:before="118"/>
        <w:ind w:left="152" w:right="68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4"/>
        <w:gridCol w:w="2391"/>
        <w:gridCol w:w="2391"/>
      </w:tblGrid>
      <w:tr>
        <w:trPr>
          <w:trHeight w:val="71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before="36"/>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3"/>
        <w:gridCol w:w="4587"/>
      </w:tblGrid>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、销售退回</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11"/>
        <w:rPr>
          <w:rFonts w:ascii="宋体" w:hAnsi="宋体" w:cs="宋体" w:eastAsia="宋体" w:hint="default"/>
          <w:b/>
          <w:bCs/>
          <w:sz w:val="24"/>
          <w:szCs w:val="24"/>
        </w:rPr>
      </w:pPr>
    </w:p>
    <w:p>
      <w:pPr>
        <w:pStyle w:val="BodyText"/>
        <w:spacing w:line="312" w:lineRule="exact"/>
        <w:ind w:right="151" w:firstLine="48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27</w:t>
      </w:r>
      <w:r>
        <w:rPr>
          <w:spacing w:val="-2"/>
        </w:rPr>
        <w:t>日，本公司第三届董事会第七次会议通过了</w:t>
      </w:r>
      <w:r>
        <w:rPr>
          <w:rFonts w:ascii="Times New Roman" w:hAnsi="Times New Roman" w:cs="Times New Roman" w:eastAsia="Times New Roman" w:hint="default"/>
          <w:spacing w:val="-2"/>
        </w:rPr>
        <w:t>2014</w:t>
      </w:r>
      <w:r>
        <w:rPr>
          <w:spacing w:val="-2"/>
        </w:rPr>
        <w:t>年度利润分配预案，公司拟</w:t>
      </w:r>
      <w:r>
        <w:rPr/>
        <w:t> 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日的股本总数</w:t>
      </w:r>
      <w:r>
        <w:rPr>
          <w:rFonts w:ascii="Times New Roman" w:hAnsi="Times New Roman" w:cs="Times New Roman" w:eastAsia="Times New Roman" w:hint="default"/>
        </w:rPr>
        <w:t>77,830,780</w:t>
      </w:r>
      <w:r>
        <w:rPr/>
        <w:t>为基数，每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股，该预案待</w:t>
      </w:r>
      <w:r>
        <w:rPr>
          <w:rFonts w:ascii="Times New Roman" w:hAnsi="Times New Roman" w:cs="Times New Roman" w:eastAsia="Times New Roman" w:hint="default"/>
        </w:rPr>
        <w:t>2014</w:t>
      </w:r>
      <w:r>
        <w:rPr/>
        <w:t>年度股东大</w:t>
      </w:r>
      <w:r>
        <w:rPr>
          <w:spacing w:val="-88"/>
        </w:rPr>
        <w:t> </w:t>
      </w:r>
      <w:r>
        <w:rPr>
          <w:spacing w:val="-88"/>
        </w:rPr>
      </w:r>
      <w:r>
        <w:rPr/>
        <w:t>会审议。</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3"/>
        <w:spacing w:line="240" w:lineRule="auto"/>
        <w:ind w:right="144"/>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4"/>
        <w:gridCol w:w="2391"/>
        <w:gridCol w:w="2391"/>
      </w:tblGrid>
      <w:tr>
        <w:trPr>
          <w:trHeight w:val="71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0" w:right="108"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4"/>
        <w:rPr>
          <w:rFonts w:ascii="宋体" w:hAnsi="宋体" w:cs="宋体" w:eastAsia="宋体" w:hint="default"/>
          <w:b/>
          <w:bCs/>
          <w:sz w:val="19"/>
          <w:szCs w:val="19"/>
        </w:rPr>
      </w:pPr>
    </w:p>
    <w:p>
      <w:pPr>
        <w:spacing w:before="36"/>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、资产置换</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6" w:right="0"/>
              <w:jc w:val="left"/>
              <w:rPr>
                <w:rFonts w:ascii="宋体" w:hAnsi="宋体" w:cs="宋体" w:eastAsia="宋体" w:hint="default"/>
                <w:sz w:val="18"/>
                <w:szCs w:val="18"/>
              </w:rPr>
            </w:pPr>
            <w:r>
              <w:rPr>
                <w:rFonts w:ascii="宋体" w:hAnsi="宋体" w:cs="宋体" w:eastAsia="宋体" w:hint="default"/>
                <w:sz w:val="18"/>
                <w:szCs w:val="18"/>
              </w:rPr>
              <w:t>归属于母公司所</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67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499" w:right="48" w:hanging="452"/>
              <w:jc w:val="left"/>
              <w:rPr>
                <w:rFonts w:ascii="宋体" w:hAnsi="宋体" w:cs="宋体" w:eastAsia="宋体" w:hint="default"/>
                <w:sz w:val="18"/>
                <w:szCs w:val="18"/>
              </w:rPr>
            </w:pPr>
            <w:r>
              <w:rPr>
                <w:rFonts w:ascii="宋体" w:hAnsi="宋体" w:cs="宋体" w:eastAsia="宋体" w:hint="default"/>
                <w:sz w:val="18"/>
                <w:szCs w:val="18"/>
              </w:rPr>
              <w:t>有者的终止经营 利润</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、分部信息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、其他对投资者决策有影响的重要交易和事项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487" w:lineRule="auto" w:before="0"/>
        <w:ind w:left="152" w:right="59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84"/>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396"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150,179,</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569.30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9,534,91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4.70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6.35%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140,644,6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54.60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167,186</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,092.21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10,467,98</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9.95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6.26%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156,718,10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2.26</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150,179,</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569.30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9,534,91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4.70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6.35%</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140,644,6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54.60</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167,186</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,092.21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10,467,98</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9.95</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6.26%</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156,718,10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2.26</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3" w:space="4536"/>
            <w:col w:w="112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4"/>
        <w:gridCol w:w="2391"/>
        <w:gridCol w:w="2393"/>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4"/>
        <w:gridCol w:w="2391"/>
        <w:gridCol w:w="2391"/>
      </w:tblGrid>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138,845,267.43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4,165,358.02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138,845,267.43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4,165,358.02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5,204,075.47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520,407.55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1,601,346.59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320,269.32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4,528,879.81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4,528,879.81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150,179,569.30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9,534,914.70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54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9"/>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240" w:lineRule="auto" w:before="7"/>
        <w:rPr>
          <w:rFonts w:ascii="宋体" w:hAnsi="宋体" w:cs="宋体" w:eastAsia="宋体" w:hint="default"/>
          <w:sz w:val="21"/>
          <w:szCs w:val="21"/>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spacing w:line="340" w:lineRule="auto" w:before="44"/>
        <w:ind w:left="152"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Times New Roman" w:hAnsi="Times New Roman" w:cs="Times New Roman" w:eastAsia="Times New Roman" w:hint="default"/>
          <w:sz w:val="18"/>
          <w:szCs w:val="18"/>
        </w:rPr>
        <w:t>-864,078.44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340" w:space="2490"/>
            <w:col w:w="112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4"/>
        <w:gridCol w:w="4587"/>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应收款期限较长一批</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68,996.81</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line="357" w:lineRule="auto" w:before="50"/>
        <w:ind w:left="152" w:right="2259" w:firstLine="0"/>
        <w:jc w:val="left"/>
        <w:rPr>
          <w:rFonts w:ascii="宋体" w:hAnsi="宋体" w:cs="宋体" w:eastAsia="宋体" w:hint="default"/>
          <w:sz w:val="18"/>
          <w:szCs w:val="18"/>
        </w:rPr>
      </w:pPr>
      <w:r>
        <w:rPr>
          <w:rFonts w:ascii="宋体" w:hAnsi="宋体" w:cs="宋体" w:eastAsia="宋体" w:hint="default"/>
          <w:sz w:val="18"/>
          <w:szCs w:val="18"/>
        </w:rPr>
        <w:t>应收账款核销说明： 报告期内，将一批欠款时间很长，金额较小且确实无法收回的款项予以核销，金额</w:t>
      </w:r>
      <w:r>
        <w:rPr>
          <w:rFonts w:ascii="Times New Roman" w:hAnsi="Times New Roman" w:cs="Times New Roman" w:eastAsia="Times New Roman" w:hint="default"/>
          <w:sz w:val="18"/>
          <w:szCs w:val="18"/>
        </w:rPr>
        <w:t>68996.89</w:t>
      </w:r>
      <w:r>
        <w:rPr>
          <w:rFonts w:ascii="宋体" w:hAnsi="宋体" w:cs="宋体" w:eastAsia="宋体" w:hint="default"/>
          <w:sz w:val="18"/>
          <w:szCs w:val="18"/>
        </w:rPr>
        <w:t>元。</w:t>
      </w:r>
    </w:p>
    <w:p>
      <w:pPr>
        <w:spacing w:line="240" w:lineRule="auto" w:before="9"/>
        <w:rPr>
          <w:rFonts w:ascii="宋体" w:hAnsi="宋体" w:cs="宋体" w:eastAsia="宋体" w:hint="default"/>
          <w:sz w:val="18"/>
          <w:szCs w:val="18"/>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144" w:firstLine="480"/>
        <w:jc w:val="left"/>
      </w:pPr>
      <w:r>
        <w:rPr/>
        <w:t>本公司年末余额前五名应收账款金额为</w:t>
      </w:r>
      <w:r>
        <w:rPr>
          <w:rFonts w:ascii="Times New Roman" w:hAnsi="Times New Roman" w:cs="Times New Roman" w:eastAsia="Times New Roman" w:hint="default"/>
        </w:rPr>
        <w:t>31,467,485.77</w:t>
      </w:r>
      <w:r>
        <w:rPr/>
        <w:t>元，占应收账款年末余额合计数的 比例为</w:t>
      </w:r>
      <w:r>
        <w:rPr>
          <w:rFonts w:ascii="Times New Roman" w:hAnsi="Times New Roman" w:cs="Times New Roman" w:eastAsia="Times New Roman" w:hint="default"/>
        </w:rPr>
        <w:t>20.95%</w:t>
      </w:r>
      <w:r>
        <w:rPr/>
        <w:t>，相应计提的坏账准备年末余额汇总金额为</w:t>
      </w:r>
      <w:r>
        <w:rPr>
          <w:rFonts w:ascii="Times New Roman" w:hAnsi="Times New Roman" w:cs="Times New Roman" w:eastAsia="Times New Roman" w:hint="default"/>
        </w:rPr>
        <w:t>944,024.57</w:t>
      </w:r>
      <w:r>
        <w:rPr/>
        <w:t>元。</w:t>
      </w:r>
    </w:p>
    <w:p>
      <w:pPr>
        <w:spacing w:after="0" w:line="312" w:lineRule="exact"/>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148,971,</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305.31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97.96%</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148,971,3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05.31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148,971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,305.31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96.98%</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148,971,30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5.31</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3,109,80</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0.49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680,765.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21.89%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2,429,035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4,645,9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55.48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939,635.6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20.22%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3,706,319.8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152,081,</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105.80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1.86%</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680,765.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0.45%</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151,400,3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40.40</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153,617</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,260.79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939,635.6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0.61%</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152,677,62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5.15</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5"/>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148,971,305.31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148,971,305.31</w:t>
            </w:r>
          </w:p>
        </w:tc>
        <w:tc>
          <w:tcPr>
            <w:tcW w:w="1913" w:type="dxa"/>
            <w:tcBorders>
              <w:top w:val="single" w:sz="4" w:space="0" w:color="000000"/>
              <w:left w:val="single" w:sz="4" w:space="0" w:color="000000"/>
              <w:bottom w:val="single" w:sz="4" w:space="0" w:color="000000"/>
              <w:right w:val="single" w:sz="13" w:space="0" w:color="D2D2D2"/>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3" w:space="4536"/>
            <w:col w:w="112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5"/>
        <w:gridCol w:w="2294"/>
        <w:gridCol w:w="2391"/>
        <w:gridCol w:w="2391"/>
      </w:tblGrid>
      <w:tr>
        <w:trPr>
          <w:trHeight w:val="402" w:hRule="exact"/>
        </w:trPr>
        <w:tc>
          <w:tcPr>
            <w:tcW w:w="24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5" w:type="dxa"/>
            <w:vMerge/>
            <w:tcBorders>
              <w:left w:val="single" w:sz="4" w:space="0" w:color="000000"/>
              <w:bottom w:val="single" w:sz="4" w:space="0" w:color="000000"/>
              <w:right w:val="single" w:sz="4" w:space="0" w:color="000000"/>
            </w:tcBorders>
            <w:shd w:val="clear" w:color="auto" w:fill="D2D2D2"/>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2,091,505.97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62,745.18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2,091,505.97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62,745.18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354,742.11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35,474.21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4"/>
        <w:gridCol w:w="2391"/>
        <w:gridCol w:w="2391"/>
      </w:tblGrid>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101,258.00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20,251.60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562,294.41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562,294.41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3,109,800.49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680,765.40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527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3"/>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spacing w:line="338" w:lineRule="auto" w:before="44"/>
        <w:ind w:left="152"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Times New Roman" w:hAnsi="Times New Roman" w:cs="Times New Roman" w:eastAsia="Times New Roman" w:hint="default"/>
          <w:sz w:val="18"/>
          <w:szCs w:val="18"/>
        </w:rPr>
        <w:t>-258,870.24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340" w:space="2490"/>
            <w:col w:w="112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3"/>
        <w:gridCol w:w="457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148,971,305.31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148,971,305.31</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1,774,467.25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1,482,456.99</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886,465.87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1,809,066.35</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标书费</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210,747.16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657,377.70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238,120.21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697,054.44</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152,081,105.80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153,617,260.79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隆泰稀土</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148,971,305.31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97.96%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476,342.00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14,290.26</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312,191.00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9,365.73</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299,485.87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8,984.58</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214,790.00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6,443.70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150,274,114.18</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98.82%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39,084.27</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8"/>
        <w:gridCol w:w="1933"/>
      </w:tblGrid>
      <w:tr>
        <w:trPr>
          <w:trHeight w:val="715"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3"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00"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隆泰稀土</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8" w:right="0"/>
              <w:jc w:val="left"/>
              <w:rPr>
                <w:rFonts w:ascii="Times New Roman" w:hAnsi="Times New Roman" w:cs="Times New Roman" w:eastAsia="Times New Roman" w:hint="default"/>
                <w:sz w:val="18"/>
                <w:szCs w:val="18"/>
              </w:rPr>
            </w:pPr>
            <w:r>
              <w:rPr>
                <w:rFonts w:ascii="Times New Roman"/>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8" w:right="0"/>
              <w:jc w:val="left"/>
              <w:rPr>
                <w:rFonts w:ascii="Times New Roman" w:hAnsi="Times New Roman" w:cs="Times New Roman" w:eastAsia="Times New Roman" w:hint="default"/>
                <w:sz w:val="18"/>
                <w:szCs w:val="18"/>
              </w:rPr>
            </w:pPr>
            <w:r>
              <w:rPr>
                <w:rFonts w:ascii="Times New Roman"/>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）对联营、合营企业投资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5"/>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548,855,001.97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460,093,166.64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575,668,255.17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489,728,579.59</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1,891,720.28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973,258.99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49,850,956.85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47,654,607.26</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550,746,722.25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461,066,425.63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625,519,212.02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537,383,186.85</w:t>
            </w:r>
          </w:p>
        </w:tc>
      </w:tr>
    </w:tbl>
    <w:p>
      <w:pPr>
        <w:spacing w:before="49"/>
        <w:ind w:left="152" w:right="1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3"/>
        <w:gridCol w:w="3060"/>
        <w:gridCol w:w="3185"/>
      </w:tblGrid>
      <w:tr>
        <w:trPr>
          <w:trHeight w:val="401"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17,609,376.53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13,383,598.98</w:t>
            </w:r>
          </w:p>
        </w:tc>
      </w:tr>
      <w:tr>
        <w:trPr>
          <w:trHeight w:val="401"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投资期货取得的收益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-3,444,624.40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-1,550,644.46</w:t>
            </w:r>
          </w:p>
        </w:tc>
      </w:tr>
      <w:tr>
        <w:trPr>
          <w:trHeight w:val="401"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理财产品持有期间取得的投资收益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945,864.70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15,120,616.83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11,832,954.52</w:t>
            </w:r>
          </w:p>
        </w:tc>
      </w:tr>
    </w:tbl>
    <w:p>
      <w:pPr>
        <w:spacing w:line="240" w:lineRule="auto" w:before="3"/>
        <w:rPr>
          <w:rFonts w:ascii="宋体" w:hAnsi="宋体" w:cs="宋体" w:eastAsia="宋体" w:hint="default"/>
          <w:sz w:val="19"/>
          <w:szCs w:val="19"/>
        </w:rPr>
      </w:pPr>
    </w:p>
    <w:p>
      <w:pPr>
        <w:spacing w:before="36"/>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Heading3"/>
        <w:spacing w:line="240" w:lineRule="auto"/>
        <w:ind w:right="144"/>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-513,172.37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122,718.54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684,109.09</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52" w:right="13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3"/>
        <w:gridCol w:w="3082"/>
        <w:gridCol w:w="1913"/>
        <w:gridCol w:w="1913"/>
      </w:tblGrid>
      <w:tr>
        <w:trPr>
          <w:trHeight w:val="204"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7"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0.31</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0.30</w:t>
            </w:r>
          </w:p>
        </w:tc>
      </w:tr>
    </w:tbl>
    <w:p>
      <w:pPr>
        <w:spacing w:line="240" w:lineRule="auto" w:before="3"/>
        <w:rPr>
          <w:rFonts w:ascii="宋体" w:hAnsi="宋体" w:cs="宋体" w:eastAsia="宋体" w:hint="default"/>
          <w:b/>
          <w:bCs/>
          <w:sz w:val="19"/>
          <w:szCs w:val="19"/>
        </w:rPr>
      </w:pPr>
    </w:p>
    <w:p>
      <w:pPr>
        <w:spacing w:before="36"/>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6"/>
          <w:szCs w:val="26"/>
        </w:rPr>
      </w:pPr>
    </w:p>
    <w:p>
      <w:pPr>
        <w:spacing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）同时按照境外会计准则与按中国会计准则披露的财务报告中净利润和净资产差异情况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line="259" w:lineRule="auto" w:before="0"/>
        <w:ind w:left="15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）境内外会计准则下会计数据差异原因说明，对已经境外审计机构审计的数据进行差异调节的，应注</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明该境外机构的名称</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、会计政策变更相关补充资料</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5" w:right="144"/>
        <w:jc w:val="left"/>
        <w:rPr>
          <w:b w:val="0"/>
          <w:bCs w:val="0"/>
        </w:rPr>
      </w:pPr>
      <w:bookmarkStart w:name="_TOC_250000" w:id="12"/>
      <w:r>
        <w:rPr/>
        <w:t>第十二节</w:t>
      </w:r>
      <w:r>
        <w:rPr>
          <w:spacing w:val="-6"/>
        </w:rPr>
        <w:t> </w:t>
      </w:r>
      <w:r>
        <w:rPr/>
        <w:t>备查文件目录</w:t>
      </w:r>
      <w:bookmarkEnd w:id="12"/>
      <w:r>
        <w:rPr>
          <w:b w:val="0"/>
          <w:bCs w:val="0"/>
        </w:rPr>
      </w:r>
    </w:p>
    <w:p>
      <w:pPr>
        <w:spacing w:line="240" w:lineRule="auto" w:before="12"/>
        <w:rPr>
          <w:rFonts w:ascii="宋体" w:hAnsi="宋体" w:cs="宋体" w:eastAsia="宋体" w:hint="default"/>
          <w:b/>
          <w:bCs/>
          <w:sz w:val="40"/>
          <w:szCs w:val="40"/>
        </w:rPr>
      </w:pPr>
    </w:p>
    <w:p>
      <w:pPr>
        <w:spacing w:line="537" w:lineRule="auto" w:before="0"/>
        <w:ind w:left="152" w:right="144" w:firstLine="0"/>
        <w:jc w:val="left"/>
        <w:rPr>
          <w:rFonts w:ascii="宋体" w:hAnsi="宋体" w:cs="宋体" w:eastAsia="宋体" w:hint="default"/>
          <w:sz w:val="21"/>
          <w:szCs w:val="21"/>
        </w:rPr>
      </w:pPr>
      <w:r>
        <w:rPr>
          <w:rFonts w:ascii="宋体" w:hAnsi="宋体" w:cs="宋体" w:eastAsia="宋体" w:hint="default"/>
          <w:sz w:val="21"/>
          <w:szCs w:val="21"/>
        </w:rPr>
        <w:t>一、载有公司董事长签署、公司盖章的</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年度报告全文及摘要文本；</w:t>
      </w:r>
      <w:r>
        <w:rPr>
          <w:rFonts w:ascii="宋体" w:hAnsi="宋体" w:cs="宋体" w:eastAsia="宋体" w:hint="default"/>
          <w:w w:val="100"/>
          <w:sz w:val="21"/>
          <w:szCs w:val="21"/>
        </w:rPr>
        <w:t> </w:t>
      </w:r>
      <w:r>
        <w:rPr>
          <w:rFonts w:ascii="宋体" w:hAnsi="宋体" w:cs="宋体" w:eastAsia="宋体" w:hint="default"/>
          <w:sz w:val="21"/>
          <w:szCs w:val="21"/>
        </w:rPr>
        <w:t>二、载有法定代表人、主管会计工作负责人、会计机构负责人签名盖章的会计报表；</w:t>
      </w:r>
      <w:r>
        <w:rPr>
          <w:rFonts w:ascii="宋体" w:hAnsi="宋体" w:cs="宋体" w:eastAsia="宋体" w:hint="default"/>
          <w:w w:val="100"/>
          <w:sz w:val="21"/>
          <w:szCs w:val="21"/>
        </w:rPr>
        <w:t> </w:t>
      </w:r>
      <w:r>
        <w:rPr>
          <w:rFonts w:ascii="宋体" w:hAnsi="宋体" w:cs="宋体" w:eastAsia="宋体" w:hint="default"/>
          <w:spacing w:val="-2"/>
          <w:sz w:val="21"/>
          <w:szCs w:val="21"/>
        </w:rPr>
        <w:t>三、载有瑞华会计师事务所（特殊普通合伙）盖章、注册会计师亲笔签名并盖章的审计报告原件；</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四、报告期内在中国证监会指定网站上公开披露过的所有公司文件的正本及公告的原稿；</w:t>
      </w:r>
      <w:r>
        <w:rPr>
          <w:rFonts w:ascii="宋体" w:hAnsi="宋体" w:cs="宋体" w:eastAsia="宋体" w:hint="default"/>
          <w:w w:val="100"/>
          <w:sz w:val="21"/>
          <w:szCs w:val="21"/>
        </w:rPr>
        <w:t> </w:t>
      </w:r>
      <w:r>
        <w:rPr>
          <w:rFonts w:ascii="宋体" w:hAnsi="宋体" w:cs="宋体" w:eastAsia="宋体" w:hint="default"/>
          <w:sz w:val="21"/>
          <w:szCs w:val="21"/>
        </w:rPr>
        <w:t>五、以上文件置备于公司证券部备查。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08" w:lineRule="auto" w:before="155"/>
        <w:ind w:left="7063" w:right="144" w:hanging="634"/>
        <w:jc w:val="left"/>
        <w:rPr>
          <w:rFonts w:ascii="宋体" w:hAnsi="宋体" w:cs="宋体" w:eastAsia="宋体" w:hint="default"/>
          <w:sz w:val="21"/>
          <w:szCs w:val="21"/>
        </w:rPr>
      </w:pPr>
      <w:r>
        <w:rPr>
          <w:rFonts w:ascii="宋体" w:hAnsi="宋体" w:cs="宋体" w:eastAsia="宋体" w:hint="default"/>
          <w:spacing w:val="-2"/>
          <w:sz w:val="21"/>
          <w:szCs w:val="21"/>
        </w:rPr>
        <w:t>马鞍山鼎泰稀土新材料股份有限公司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法定代表人：刘冀鲁</w:t>
      </w:r>
    </w:p>
    <w:p>
      <w:pPr>
        <w:spacing w:before="46"/>
        <w:ind w:left="0" w:right="1197" w:firstLine="0"/>
        <w:jc w:val="right"/>
        <w:rPr>
          <w:rFonts w:ascii="宋体" w:hAnsi="宋体" w:cs="宋体" w:eastAsia="宋体" w:hint="default"/>
          <w:sz w:val="21"/>
          <w:szCs w:val="21"/>
        </w:rPr>
      </w:pPr>
      <w:r>
        <w:rPr>
          <w:rFonts w:ascii="宋体" w:hAnsi="宋体" w:cs="宋体" w:eastAsia="宋体" w:hint="default"/>
          <w:spacing w:val="-1"/>
          <w:sz w:val="21"/>
          <w:szCs w:val="21"/>
        </w:rPr>
        <w:t>2015</w:t>
      </w:r>
      <w:r>
        <w:rPr>
          <w:rFonts w:ascii="宋体" w:hAnsi="宋体" w:cs="宋体" w:eastAsia="宋体" w:hint="default"/>
          <w:spacing w:val="-1"/>
          <w:sz w:val="21"/>
          <w:szCs w:val="21"/>
        </w:rPr>
        <w:t>年</w:t>
      </w:r>
      <w:r>
        <w:rPr>
          <w:rFonts w:ascii="宋体" w:hAnsi="宋体" w:cs="宋体" w:eastAsia="宋体" w:hint="default"/>
          <w:spacing w:val="-1"/>
          <w:sz w:val="21"/>
          <w:szCs w:val="21"/>
        </w:rPr>
        <w:t>4</w:t>
      </w:r>
      <w:r>
        <w:rPr>
          <w:rFonts w:ascii="宋体" w:hAnsi="宋体" w:cs="宋体" w:eastAsia="宋体" w:hint="default"/>
          <w:spacing w:val="-1"/>
          <w:sz w:val="21"/>
          <w:szCs w:val="21"/>
        </w:rPr>
        <w:t>月</w:t>
      </w:r>
      <w:r>
        <w:rPr>
          <w:rFonts w:ascii="宋体" w:hAnsi="宋体" w:cs="宋体" w:eastAsia="宋体" w:hint="default"/>
          <w:spacing w:val="-1"/>
          <w:sz w:val="21"/>
          <w:szCs w:val="21"/>
        </w:rPr>
        <w:t>29</w:t>
      </w:r>
      <w:r>
        <w:rPr>
          <w:rFonts w:ascii="宋体" w:hAnsi="宋体" w:cs="宋体" w:eastAsia="宋体" w:hint="default"/>
          <w:spacing w:val="-1"/>
          <w:sz w:val="21"/>
          <w:szCs w:val="21"/>
        </w:rPr>
        <w:t>日</w:t>
      </w:r>
    </w:p>
    <w:sectPr>
      <w:pgSz w:w="11910" w:h="16840"/>
      <w:pgMar w:header="745"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7170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717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7169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716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716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716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070007pt;margin-top:36.265610pt;width:231.75pt;height:11.5pt;mso-position-horizontal-relative:page;mso-position-vertical-relative:page;z-index:-7170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马鞍山鼎泰稀土新材料股份有限公司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24"/>
      <w:szCs w:val="24"/>
    </w:rPr>
  </w:style>
  <w:style w:styleId="Heading1" w:type="paragraph">
    <w:name w:val="Heading 1"/>
    <w:basedOn w:val="Normal"/>
    <w:uiPriority w:val="1"/>
    <w:qFormat/>
    <w:pPr>
      <w:ind w:left="2060"/>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i/>
      <w:sz w:val="25"/>
      <w:szCs w:val="25"/>
    </w:rPr>
  </w:style>
  <w:style w:styleId="Heading3" w:type="paragraph">
    <w:name w:val="Heading 3"/>
    <w:basedOn w:val="Normal"/>
    <w:uiPriority w:val="1"/>
    <w:qFormat/>
    <w:pPr>
      <w:ind w:left="152"/>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dingtaicn.com/" TargetMode="External"/><Relationship Id="rId10" Type="http://schemas.openxmlformats.org/officeDocument/2006/relationships/hyperlink" Target="mailto:dtxc@dingtaicn.com" TargetMode="External"/><Relationship Id="rId11" Type="http://schemas.openxmlformats.org/officeDocument/2006/relationships/hyperlink" Target="http://www.cninfo.com/" TargetMode="External"/><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www.cninfo.com.cn/" TargetMode="Externa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马鞍山鼎泰稀土新材料股份有限公司</dc:creator>
  <dc:title>马鞍山鼎泰稀土新材料股份有限公司2014年年度报告全文</dc:title>
  <dcterms:created xsi:type="dcterms:W3CDTF">2020-05-06T17:00:43Z</dcterms:created>
  <dcterms:modified xsi:type="dcterms:W3CDTF">2020-05-06T17:00:43Z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2015-04-27T00:00:00Z</vt:filetime>
  </property>
  <property fmtid="{D5CDD505-2E9C-101B-9397-08002B2CF9AE}" pid="3" name="Creator">
    <vt:lpwstr>Microsoft Office Word 2007</vt:lpwstr>
  </property>
  <property fmtid="{D5CDD505-2E9C-101B-9397-08002B2CF9AE}" pid="4" name="LastSaved">
    <vt:filetime>2020-05-06T00:00:00Z</vt:filetime>
  </property>
</Properties>
</file>