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2490"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drawing>
          <wp:inline distT="0" distB="0" distL="0" distR="0">
            <wp:extent cx="1409020" cy="15811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020" cy="1581150"/>
                    </a:xfrm>
                    <a:prstGeom prst="rect">
                      <a:avLst/>
                    </a:prstGeom>
                  </pic:spPr>
                </pic:pic>
              </a:graphicData>
            </a:graphic>
          </wp:inline>
        </w:drawing>
      </w:r>
      <w:r>
        <w:rPr>
          <w:rFonts w:ascii="Times New Roman" w:hAnsi="Times New Roman" w:cs="Times New Roman" w:eastAsia="Times New Roman" w:hint="default"/>
          <w:position w:val="-49"/>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024" w:right="1359" w:firstLine="0"/>
        <w:jc w:val="center"/>
        <w:rPr>
          <w:rFonts w:ascii="宋体" w:hAnsi="宋体" w:cs="宋体" w:eastAsia="宋体" w:hint="default"/>
          <w:sz w:val="36"/>
          <w:szCs w:val="36"/>
        </w:rPr>
      </w:pPr>
      <w:r>
        <w:rPr>
          <w:rFonts w:ascii="宋体" w:hAnsi="宋体" w:cs="宋体" w:eastAsia="宋体" w:hint="default"/>
          <w:b/>
          <w:bCs/>
          <w:sz w:val="36"/>
          <w:szCs w:val="36"/>
        </w:rPr>
        <w:t>马鞍山鼎泰稀土新材料股份有限公司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016" w:right="135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2017" w:right="1359" w:firstLine="0"/>
        <w:jc w:val="center"/>
        <w:rPr>
          <w:rFonts w:ascii="Times New Roman" w:hAnsi="Times New Roman" w:cs="Times New Roman" w:eastAsia="Times New Roman" w:hint="default"/>
          <w:sz w:val="22"/>
          <w:szCs w:val="22"/>
        </w:rPr>
      </w:pPr>
      <w:r>
        <w:rPr>
          <w:rFonts w:ascii="Times New Roman"/>
          <w:b/>
          <w:sz w:val="22"/>
        </w:rPr>
        <w:t>2015-13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2"/>
        <w:ind w:left="2016" w:right="135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7" w:footer="1016" w:top="1100" w:bottom="1200" w:left="102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before="0"/>
        <w:ind w:left="2764" w:right="0" w:firstLine="0"/>
        <w:jc w:val="left"/>
        <w:rPr>
          <w:rFonts w:ascii="宋体" w:hAnsi="宋体" w:cs="宋体" w:eastAsia="宋体" w:hint="default"/>
          <w:sz w:val="32"/>
          <w:szCs w:val="32"/>
        </w:rPr>
      </w:pPr>
      <w:bookmarkStart w:name="_bookmark0" w:id="1"/>
      <w:bookmarkEnd w:id="1"/>
      <w:r>
        <w:rPr/>
      </w:r>
      <w:r>
        <w:rPr>
          <w:rFonts w:ascii="宋体" w:hAnsi="宋体" w:cs="宋体" w:eastAsia="宋体" w:hint="default"/>
          <w:b/>
          <w:bCs/>
          <w:sz w:val="32"/>
          <w:szCs w:val="32"/>
        </w:rPr>
        <w:t>第一节</w:t>
      </w:r>
      <w:r>
        <w:rPr>
          <w:rFonts w:ascii="宋体" w:hAnsi="宋体" w:cs="宋体" w:eastAsia="宋体" w:hint="default"/>
          <w:b/>
          <w:bCs/>
          <w:spacing w:val="-11"/>
          <w:sz w:val="32"/>
          <w:szCs w:val="32"/>
        </w:rPr>
        <w:t> </w:t>
      </w:r>
      <w:r>
        <w:rPr>
          <w:rFonts w:ascii="宋体" w:hAnsi="宋体" w:cs="宋体" w:eastAsia="宋体" w:hint="default"/>
          <w:b/>
          <w:bCs/>
          <w:sz w:val="32"/>
          <w:szCs w:val="32"/>
        </w:rPr>
        <w:t>重要提示、目录和释义</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408" w:lineRule="auto" w:before="212"/>
        <w:ind w:left="112" w:right="248"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0"/>
        <w:ind w:left="112" w:right="247" w:firstLine="561"/>
        <w:jc w:val="both"/>
        <w:rPr>
          <w:rFonts w:ascii="宋体" w:hAnsi="宋体" w:cs="宋体" w:eastAsia="宋体" w:hint="default"/>
          <w:sz w:val="28"/>
          <w:szCs w:val="28"/>
        </w:rPr>
      </w:pPr>
      <w:r>
        <w:rPr>
          <w:rFonts w:ascii="宋体" w:hAnsi="宋体" w:cs="宋体" w:eastAsia="宋体" w:hint="default"/>
          <w:b/>
          <w:bCs/>
          <w:spacing w:val="-1"/>
          <w:sz w:val="28"/>
          <w:szCs w:val="28"/>
        </w:rPr>
        <w:t>公司负责人刘冀鲁、主管会计工作负责人张彦及会计机构负责人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张彦声明：保证年度报告中财务报告的真实、准确、完整。</w:t>
      </w:r>
      <w:r>
        <w:rPr>
          <w:rFonts w:ascii="宋体" w:hAnsi="宋体" w:cs="宋体" w:eastAsia="宋体" w:hint="default"/>
          <w:sz w:val="28"/>
          <w:szCs w:val="28"/>
        </w:rPr>
      </w:r>
    </w:p>
    <w:p>
      <w:pPr>
        <w:spacing w:line="475" w:lineRule="auto" w:before="148"/>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本报告中所涉及未来的经营计划和经营目标，并不代表公司的盈利预测，</w:t>
      </w:r>
      <w:r>
        <w:rPr>
          <w:rFonts w:ascii="宋体" w:hAnsi="宋体" w:cs="宋体" w:eastAsia="宋体" w:hint="default"/>
          <w:spacing w:val="2"/>
          <w:sz w:val="28"/>
          <w:szCs w:val="28"/>
        </w:rPr>
      </w:r>
    </w:p>
    <w:p>
      <w:pPr>
        <w:spacing w:line="350" w:lineRule="exact" w:before="0"/>
        <w:ind w:left="112"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也不构成公司对投资者的实质承诺，能否实现取决于市场状况变化等多种因素，</w:t>
      </w:r>
      <w:r>
        <w:rPr>
          <w:rFonts w:ascii="宋体" w:hAnsi="宋体" w:cs="宋体" w:eastAsia="宋体" w:hint="default"/>
          <w:spacing w:val="-3"/>
          <w:sz w:val="28"/>
          <w:szCs w:val="28"/>
        </w:rPr>
      </w:r>
    </w:p>
    <w:p>
      <w:pPr>
        <w:spacing w:line="240" w:lineRule="auto" w:before="9"/>
        <w:rPr>
          <w:rFonts w:ascii="宋体" w:hAnsi="宋体" w:cs="宋体" w:eastAsia="宋体" w:hint="default"/>
          <w:b/>
          <w:bCs/>
          <w:sz w:val="19"/>
          <w:szCs w:val="19"/>
        </w:rPr>
      </w:pPr>
    </w:p>
    <w:p>
      <w:pPr>
        <w:spacing w:line="408" w:lineRule="auto" w:before="0"/>
        <w:ind w:left="112" w:right="247" w:firstLine="0"/>
        <w:jc w:val="both"/>
        <w:rPr>
          <w:rFonts w:ascii="宋体" w:hAnsi="宋体" w:cs="宋体" w:eastAsia="宋体" w:hint="default"/>
          <w:sz w:val="28"/>
          <w:szCs w:val="28"/>
        </w:rPr>
      </w:pPr>
      <w:r>
        <w:rPr>
          <w:rFonts w:ascii="宋体" w:hAnsi="宋体" w:cs="宋体" w:eastAsia="宋体" w:hint="default"/>
          <w:b/>
          <w:bCs/>
          <w:spacing w:val="2"/>
          <w:sz w:val="28"/>
          <w:szCs w:val="28"/>
        </w:rPr>
        <w:t>存在不确定性，请投资者注意投资风险。公司在发展过程中，存在政策风险、</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经营风险、汇率风险、财务风险等风险因素，敬请广大投资者注意投资风险，</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详细内容见本报告中第四节第九小节“公司未来发展的展望”中“可能面临的</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36"/>
          <w:w w:val="99"/>
          <w:sz w:val="28"/>
          <w:szCs w:val="28"/>
        </w:rPr>
        <w:t>风险”。</w:t>
      </w:r>
      <w:r>
        <w:rPr>
          <w:rFonts w:ascii="宋体" w:hAnsi="宋体" w:cs="宋体" w:eastAsia="宋体" w:hint="default"/>
          <w:spacing w:val="-36"/>
          <w:sz w:val="28"/>
          <w:szCs w:val="28"/>
        </w:rPr>
      </w: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39"/>
          <w:szCs w:val="39"/>
        </w:rPr>
      </w:pPr>
    </w:p>
    <w:p>
      <w:pPr>
        <w:spacing w:line="386" w:lineRule="auto" w:before="0"/>
        <w:ind w:left="112" w:right="250" w:firstLine="561"/>
        <w:jc w:val="both"/>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59"/>
          <w:sz w:val="28"/>
          <w:szCs w:val="28"/>
        </w:rPr>
        <w:t> </w:t>
      </w:r>
      <w:r>
        <w:rPr>
          <w:rFonts w:ascii="Times New Roman" w:hAnsi="Times New Roman" w:cs="Times New Roman" w:eastAsia="Times New Roman" w:hint="default"/>
          <w:b/>
          <w:bCs/>
          <w:spacing w:val="-3"/>
          <w:sz w:val="28"/>
          <w:szCs w:val="28"/>
        </w:rPr>
        <w:t>116746170</w:t>
      </w:r>
      <w:r>
        <w:rPr>
          <w:rFonts w:ascii="Times New Roman" w:hAnsi="Times New Roman" w:cs="Times New Roman" w:eastAsia="Times New Roman" w:hint="default"/>
          <w:b/>
          <w:bCs/>
          <w:spacing w:val="7"/>
          <w:sz w:val="28"/>
          <w:szCs w:val="28"/>
        </w:rPr>
        <w:t> </w:t>
      </w:r>
      <w:r>
        <w:rPr>
          <w:rFonts w:ascii="宋体" w:hAnsi="宋体" w:cs="宋体" w:eastAsia="宋体" w:hint="default"/>
          <w:b/>
          <w:bCs/>
          <w:spacing w:val="2"/>
          <w:sz w:val="28"/>
          <w:szCs w:val="28"/>
        </w:rPr>
        <w:t>为基数，向</w:t>
      </w:r>
      <w:r>
        <w:rPr>
          <w:rFonts w:ascii="宋体" w:hAnsi="宋体" w:cs="宋体" w:eastAsia="宋体" w:hint="default"/>
          <w:b/>
          <w:bCs/>
          <w:w w:val="99"/>
          <w:sz w:val="28"/>
          <w:szCs w:val="28"/>
        </w:rPr>
        <w:t> </w:t>
      </w:r>
      <w:r>
        <w:rPr>
          <w:rFonts w:ascii="宋体" w:hAnsi="宋体" w:cs="宋体" w:eastAsia="宋体" w:hint="default"/>
          <w:b/>
          <w:bCs/>
          <w:spacing w:val="-1"/>
          <w:w w:val="99"/>
          <w:sz w:val="28"/>
          <w:szCs w:val="28"/>
        </w:rPr>
        <w:t>全体股东每</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100"/>
          <w:sz w:val="28"/>
          <w:szCs w:val="28"/>
        </w:rPr>
        <w:t>10 </w:t>
      </w:r>
      <w:r>
        <w:rPr>
          <w:rFonts w:ascii="宋体" w:hAnsi="宋体" w:cs="宋体" w:eastAsia="宋体" w:hint="default"/>
          <w:b/>
          <w:bCs/>
          <w:w w:val="99"/>
          <w:sz w:val="28"/>
          <w:szCs w:val="28"/>
        </w:rPr>
        <w:t>股派发现金红利</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100"/>
          <w:sz w:val="28"/>
          <w:szCs w:val="28"/>
        </w:rPr>
        <w:t>1.4 </w:t>
      </w:r>
      <w:r>
        <w:rPr>
          <w:rFonts w:ascii="宋体" w:hAnsi="宋体" w:cs="宋体" w:eastAsia="宋体" w:hint="default"/>
          <w:b/>
          <w:bCs/>
          <w:spacing w:val="-16"/>
          <w:w w:val="99"/>
          <w:sz w:val="28"/>
          <w:szCs w:val="28"/>
        </w:rPr>
        <w:t>元（含税），送红股</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spacing w:val="-15"/>
          <w:w w:val="99"/>
          <w:sz w:val="28"/>
          <w:szCs w:val="28"/>
        </w:rPr>
        <w:t>股（含税），以资本公</w:t>
      </w:r>
      <w:r>
        <w:rPr>
          <w:rFonts w:ascii="宋体" w:hAnsi="宋体" w:cs="宋体" w:eastAsia="宋体" w:hint="default"/>
          <w:b/>
          <w:bCs/>
          <w:w w:val="99"/>
          <w:sz w:val="28"/>
          <w:szCs w:val="28"/>
        </w:rPr>
        <w:t> </w:t>
      </w:r>
      <w:r>
        <w:rPr>
          <w:rFonts w:ascii="宋体" w:hAnsi="宋体" w:cs="宋体" w:eastAsia="宋体" w:hint="default"/>
          <w:b/>
          <w:bCs/>
          <w:sz w:val="28"/>
          <w:szCs w:val="28"/>
        </w:rPr>
        <w:t>积金向全体股东每</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1016" w:header="787" w:top="1100" w:bottom="1200" w:left="1020" w:right="8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spacing w:line="460" w:lineRule="exact" w:before="0"/>
        <w:ind w:left="3711" w:right="37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2"/>
            <w:tabs>
              <w:tab w:pos="9741"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0">
            <w:r>
              <w:rPr>
                <w:b w:val="0"/>
                <w:bCs w:val="0"/>
                <w:i w:val="0"/>
                <w:sz w:val="18"/>
                <w:szCs w:val="18"/>
              </w:rPr>
              <w:t>\l - _Toc300000084</w:t>
            </w:r>
          </w:hyperlink>
          <w:r>
            <w:rPr>
              <w:b w:val="0"/>
              <w:bCs w:val="0"/>
              <w:i w:val="0"/>
              <w:sz w:val="18"/>
              <w:szCs w:val="18"/>
            </w:rPr>
            <w:t> </w:t>
          </w:r>
          <w:hyperlink w:history="true" w:anchor="_bookmark1">
            <w:r>
              <w:rPr>
                <w:rFonts w:ascii="宋体" w:hAnsi="宋体" w:cs="宋体" w:eastAsia="宋体" w:hint="default"/>
                <w:i w:val="0"/>
                <w:sz w:val="24"/>
                <w:szCs w:val="24"/>
              </w:rPr>
              <w:t>第一节</w:t>
            </w:r>
            <w:r>
              <w:rPr>
                <w:rFonts w:ascii="宋体" w:hAnsi="宋体" w:cs="宋体" w:eastAsia="宋体" w:hint="default"/>
                <w:i w:val="0"/>
                <w:spacing w:val="-1"/>
                <w:sz w:val="24"/>
                <w:szCs w:val="24"/>
              </w:rPr>
              <w:t> </w:t>
            </w:r>
            <w:r>
              <w:rPr>
                <w:rFonts w:ascii="宋体" w:hAnsi="宋体" w:cs="宋体" w:eastAsia="宋体" w:hint="default"/>
                <w:i w:val="0"/>
                <w:sz w:val="24"/>
                <w:szCs w:val="24"/>
              </w:rPr>
              <w:t>重要提示、目录和释义</w:t>
            </w:r>
            <w:r>
              <w:rPr>
                <w:rFonts w:ascii="Times New Roman" w:hAnsi="Times New Roman" w:cs="Times New Roman" w:eastAsia="Times New Roman" w:hint="default"/>
                <w:b w:val="0"/>
                <w:bCs w:val="0"/>
                <w:i w:val="0"/>
                <w:sz w:val="24"/>
                <w:szCs w:val="24"/>
              </w:rPr>
              <w:tab/>
            </w:r>
            <w:r>
              <w:rPr>
                <w:rFonts w:ascii="Times New Roman" w:hAnsi="Times New Roman" w:cs="Times New Roman" w:eastAsia="Times New Roman" w:hint="default"/>
                <w:i w:val="0"/>
                <w:sz w:val="24"/>
                <w:szCs w:val="24"/>
              </w:rPr>
              <w:t>5</w:t>
            </w:r>
            <w:r>
              <w:rPr>
                <w:rFonts w:ascii="Times New Roman" w:hAnsi="Times New Roman" w:cs="Times New Roman" w:eastAsia="Times New Roman" w:hint="default"/>
                <w:b w:val="0"/>
                <w:bCs w:val="0"/>
                <w:i w:val="0"/>
                <w:sz w:val="24"/>
                <w:szCs w:val="24"/>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w:t>
            </w:r>
            <w:r>
              <w:rPr>
                <w:rFonts w:ascii="Times New Roman" w:hAnsi="Times New Roman" w:cs="Times New Roman" w:eastAsia="Times New Roman" w:hint="default"/>
                <w:b w:val="0"/>
                <w:bCs w:val="0"/>
              </w:rPr>
            </w:r>
          </w:hyperlink>
        </w:p>
        <w:p>
          <w:pPr>
            <w:pStyle w:val="TOC1"/>
            <w:tabs>
              <w:tab w:pos="9746"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5"/>
              </w:rPr>
              <w:t>11</w:t>
            </w:r>
            <w:r>
              <w:rPr>
                <w:rFonts w:ascii="Times New Roman" w:hAnsi="Times New Roman" w:cs="Times New Roman" w:eastAsia="Times New Roman" w:hint="default"/>
                <w:b w:val="0"/>
                <w:bCs w:val="0"/>
                <w:spacing w:val="-5"/>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2"/>
              </w:rPr>
              <w:t> </w:t>
            </w:r>
            <w:r>
              <w:rPr/>
              <w:t>管理层讨论与分析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2"/>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150</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87" w:footer="1016" w:top="1100" w:bottom="1200" w:left="1020" w:right="1020"/>
        </w:sectPr>
      </w:pPr>
    </w:p>
    <w:p>
      <w:pPr>
        <w:spacing w:before="908"/>
        <w:ind w:left="4591" w:right="453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公司、本公司、鼎泰新材</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隆泰稀土、子公司、全资子公司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广海分公司、分公司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马鞍山鼎泰稀土新材料股份有限公司广海分公司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马鞍山鼎泰稀土新材料股份有限公司监事会</w:t>
            </w:r>
          </w:p>
        </w:tc>
      </w:tr>
    </w:tbl>
    <w:p>
      <w:pPr>
        <w:spacing w:after="0" w:line="240" w:lineRule="auto"/>
        <w:jc w:val="left"/>
        <w:rPr>
          <w:rFonts w:ascii="宋体" w:hAnsi="宋体" w:cs="宋体" w:eastAsia="宋体" w:hint="default"/>
          <w:sz w:val="18"/>
          <w:szCs w:val="18"/>
        </w:rPr>
        <w:sectPr>
          <w:headerReference w:type="default" r:id="rId9"/>
          <w:pgSz w:w="11910" w:h="16840"/>
          <w:pgMar w:header="907" w:footer="1016" w:top="1100" w:bottom="1200" w:left="1020" w:right="10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2606" w:right="0"/>
        <w:jc w:val="left"/>
        <w:rPr>
          <w:b w:val="0"/>
          <w:bCs w:val="0"/>
        </w:rPr>
      </w:pPr>
      <w:bookmarkStart w:name="_bookmark1" w:id="2"/>
      <w:bookmarkEnd w:id="2"/>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鼎泰新材</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002352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鼎泰新材</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Maanshan Dingtai Rare Earth &amp; New Materials    Co.,</w:t>
            </w:r>
            <w:r>
              <w:rPr>
                <w:rFonts w:ascii="Times New Roman"/>
                <w:spacing w:val="-21"/>
                <w:sz w:val="18"/>
              </w:rPr>
              <w:t> </w:t>
            </w:r>
            <w:r>
              <w:rPr>
                <w:rFonts w:ascii="Times New Roman"/>
                <w:sz w:val="18"/>
              </w:rPr>
              <w:t>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Ding </w:t>
            </w:r>
            <w:r>
              <w:rPr>
                <w:rFonts w:ascii="Times New Roman"/>
                <w:spacing w:val="-4"/>
                <w:sz w:val="18"/>
              </w:rPr>
              <w:t>Tai </w:t>
            </w:r>
            <w:r>
              <w:rPr>
                <w:rFonts w:ascii="Times New Roman"/>
                <w:sz w:val="18"/>
              </w:rPr>
              <w:t>New</w:t>
            </w:r>
            <w:r>
              <w:rPr>
                <w:rFonts w:ascii="Times New Roman"/>
                <w:spacing w:val="-8"/>
                <w:sz w:val="18"/>
              </w:rPr>
              <w:t> </w:t>
            </w:r>
            <w:r>
              <w:rPr>
                <w:rFonts w:ascii="Times New Roman"/>
                <w:sz w:val="18"/>
              </w:rPr>
              <w:t>Materials</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刘冀鲁</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安徽省马鞍山市当涂工业园</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243100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安徽省马鞍山市当涂工业园</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243100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hyperlink r:id="rId10">
              <w:r>
                <w:rPr>
                  <w:rFonts w:ascii="Times New Roman"/>
                  <w:sz w:val="18"/>
                </w:rPr>
                <w:t>www.dingtaicn.com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1">
              <w:r>
                <w:rPr>
                  <w:rFonts w:ascii="Times New Roman"/>
                  <w:sz w:val="18"/>
                </w:rPr>
                <w:t>dtxc@dingtaicn.com</w:t>
              </w:r>
            </w:hyperlink>
          </w:p>
        </w:tc>
      </w:tr>
    </w:tbl>
    <w:p>
      <w:pPr>
        <w:spacing w:line="240" w:lineRule="auto" w:before="13"/>
        <w:rPr>
          <w:rFonts w:ascii="宋体" w:hAnsi="宋体" w:cs="宋体" w:eastAsia="宋体" w:hint="default"/>
          <w:b/>
          <w:bCs/>
          <w:sz w:val="17"/>
          <w:szCs w:val="17"/>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杨涛</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安徽省马鞍山市当涂经济开发区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安徽省马鞍山市当涂经济开发区</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0555-6615924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0555-6615924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0555-2916511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0555-2916511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hyperlink r:id="rId11">
              <w:r>
                <w:rPr>
                  <w:rFonts w:ascii="Times New Roman"/>
                  <w:sz w:val="18"/>
                </w:rPr>
                <w:t>dtxc@dingtaicn.com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hyperlink r:id="rId11">
              <w:r>
                <w:rPr>
                  <w:rFonts w:ascii="Times New Roman"/>
                  <w:sz w:val="18"/>
                </w:rPr>
                <w:t>dtxc@dingtaicn.com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www.cninfo.com</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1080"/>
        </w:sectPr>
      </w:pPr>
    </w:p>
    <w:p>
      <w:pPr>
        <w:spacing w:line="240" w:lineRule="auto" w:before="9"/>
        <w:rPr>
          <w:rFonts w:ascii="宋体" w:hAnsi="宋体" w:cs="宋体" w:eastAsia="宋体" w:hint="default"/>
          <w:b/>
          <w:bCs/>
          <w:sz w:val="20"/>
          <w:szCs w:val="20"/>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91340500150660397M</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pacing w:val="-5"/>
                <w:sz w:val="18"/>
                <w:szCs w:val="18"/>
              </w:rPr>
              <w:t>公司上市以来主营业务的变化情况（如</w:t>
            </w:r>
            <w:r>
              <w:rPr>
                <w:rFonts w:ascii="宋体" w:hAnsi="宋体" w:cs="宋体" w:eastAsia="宋体" w:hint="default"/>
                <w:sz w:val="18"/>
                <w:szCs w:val="18"/>
              </w:rPr>
              <w:t>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郑龙兴、李梅</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57" w:lineRule="auto" w:before="117"/>
        <w:ind w:left="112" w:right="5714" w:firstLine="0"/>
        <w:jc w:val="left"/>
        <w:rPr>
          <w:rFonts w:ascii="宋体" w:hAnsi="宋体" w:cs="宋体" w:eastAsia="宋体" w:hint="default"/>
          <w:sz w:val="18"/>
          <w:szCs w:val="18"/>
        </w:rPr>
      </w:pPr>
      <w:r>
        <w:rPr>
          <w:rFonts w:ascii="宋体" w:hAnsi="宋体" w:cs="宋体" w:eastAsia="宋体" w:hint="default"/>
          <w:sz w:val="18"/>
          <w:szCs w:val="18"/>
        </w:rPr>
        <w:t>□ 适用 √ 不适用 公司聘请的报告期内履行持续督导职责的财务顾问</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668,465,543.43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812,645,896.90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721,994,655.00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25,130,574.02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24,124,414.93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40,280,988.95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23,897,015.60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23,440,305.84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23,142,395.03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105,899,164.73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148,544,685.58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-114,279,125.71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0.22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0.21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0.22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0.21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4.76%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3.48%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3.31%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5.57%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74" w:right="142" w:hanging="632"/>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885,411,507.34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963,923,502.20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1,151,219,084.02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708,002,167.55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717,895,444.53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724,903,341.60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8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12" w:right="3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12" w:right="16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161,929,174.71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195,359,965.41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165,459,606.00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145,716,797.31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6,307,807.52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7,554,791.97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7,081,045.46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4,186,929.07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5,801,356.51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7,263,170.07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6,828,698.19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4,003,790.83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23,214,617.24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16,195,139.92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82,197,380.82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-15,707,973.25</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23,560.24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1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2,694,241.72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20,395,600.00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2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-1,101,596.76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-513,172.37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-256,064.45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359,086.54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122,718.54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3,024,501.87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1,233,558.42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684,109.09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17,138,593.92</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line="300" w:lineRule="auto" w:before="49"/>
        <w:ind w:left="112" w:right="97"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号——非经常性损益》定义界定的非经常性损益项目，以及把《公</w:t>
      </w:r>
      <w:r>
        <w:rPr>
          <w:rFonts w:ascii="宋体" w:hAnsi="宋体" w:cs="宋体" w:eastAsia="宋体" w:hint="default"/>
          <w:sz w:val="18"/>
          <w:szCs w:val="18"/>
        </w:rPr>
        <w:t> 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号——非经常性损益》中列举的非经常性损益项目界定为经常性损益的项目，应</w:t>
      </w:r>
    </w:p>
    <w:p>
      <w:pPr>
        <w:spacing w:after="0" w:line="300" w:lineRule="auto"/>
        <w:jc w:val="left"/>
        <w:rPr>
          <w:rFonts w:ascii="宋体" w:hAnsi="宋体" w:cs="宋体" w:eastAsia="宋体" w:hint="default"/>
          <w:sz w:val="18"/>
          <w:szCs w:val="18"/>
        </w:rPr>
        <w:sectPr>
          <w:headerReference w:type="default" r:id="rId13"/>
          <w:pgSz w:w="11910" w:h="16840"/>
          <w:pgMar w:header="907" w:footer="1016" w:top="1100" w:bottom="1200" w:left="1020" w:right="102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7"/>
        <w:ind w:left="112" w:right="9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91" w:right="3491"/>
        <w:jc w:val="center"/>
        <w:rPr>
          <w:b w:val="0"/>
          <w:bCs w:val="0"/>
        </w:rPr>
      </w:pPr>
      <w:bookmarkStart w:name="_bookmark2" w:id="3"/>
      <w:bookmarkEnd w:id="3"/>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105"/>
        <w:jc w:val="left"/>
        <w:rPr>
          <w:b w:val="0"/>
          <w:bCs w:val="0"/>
        </w:rPr>
      </w:pPr>
      <w:r>
        <w:rPr/>
        <w:t>一、报告期内公司从事的主要业务</w:t>
      </w:r>
      <w:r>
        <w:rPr>
          <w:b w:val="0"/>
          <w:bCs w:val="0"/>
        </w:rPr>
      </w:r>
    </w:p>
    <w:p>
      <w:pPr>
        <w:spacing w:line="240" w:lineRule="auto" w:before="9"/>
        <w:rPr>
          <w:rFonts w:ascii="宋体" w:hAnsi="宋体" w:cs="宋体" w:eastAsia="宋体" w:hint="default"/>
          <w:b/>
          <w:bCs/>
          <w:sz w:val="24"/>
          <w:szCs w:val="24"/>
        </w:rPr>
      </w:pPr>
    </w:p>
    <w:p>
      <w:pPr>
        <w:spacing w:line="273" w:lineRule="auto" w:before="0"/>
        <w:ind w:left="112" w:right="210" w:firstLine="420"/>
        <w:jc w:val="both"/>
        <w:rPr>
          <w:rFonts w:ascii="宋体" w:hAnsi="宋体" w:cs="宋体" w:eastAsia="宋体" w:hint="default"/>
          <w:sz w:val="21"/>
          <w:szCs w:val="21"/>
        </w:rPr>
      </w:pPr>
      <w:r>
        <w:rPr>
          <w:rFonts w:ascii="宋体" w:hAnsi="宋体" w:cs="宋体" w:eastAsia="宋体" w:hint="default"/>
          <w:w w:val="95"/>
          <w:sz w:val="21"/>
          <w:szCs w:val="21"/>
        </w:rPr>
        <w:t>报告期内，公司主要从事稀土新材料的研发及其在镀层防腐领域的应用，经营范围为生产、销售：稀</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w w:val="95"/>
          <w:sz w:val="21"/>
          <w:szCs w:val="21"/>
        </w:rPr>
        <w:t>土多元合金镀层丝绳及镀件、金属丝绳及其制品、紧固件、弹簧；交通安全设施产品制造、安装；自营或</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pacing w:val="-3"/>
          <w:w w:val="99"/>
          <w:sz w:val="21"/>
          <w:szCs w:val="21"/>
        </w:rPr>
        <w:t>代理各类商品和技术进出口业务（国家限定企业经营或禁止进出口的商品和技术除外）。</w:t>
      </w:r>
      <w:r>
        <w:rPr>
          <w:rFonts w:ascii="宋体" w:hAnsi="宋体" w:cs="宋体" w:eastAsia="宋体" w:hint="default"/>
          <w:spacing w:val="-3"/>
          <w:sz w:val="21"/>
          <w:szCs w:val="21"/>
        </w:rPr>
      </w:r>
    </w:p>
    <w:p>
      <w:pPr>
        <w:spacing w:line="273" w:lineRule="auto" w:before="7"/>
        <w:ind w:left="112" w:right="105" w:firstLine="420"/>
        <w:jc w:val="left"/>
        <w:rPr>
          <w:rFonts w:ascii="宋体" w:hAnsi="宋体" w:cs="宋体" w:eastAsia="宋体" w:hint="default"/>
          <w:sz w:val="21"/>
          <w:szCs w:val="21"/>
        </w:rPr>
      </w:pPr>
      <w:r>
        <w:rPr>
          <w:rFonts w:ascii="宋体" w:hAnsi="宋体" w:cs="宋体" w:eastAsia="宋体" w:hint="default"/>
          <w:sz w:val="21"/>
          <w:szCs w:val="21"/>
        </w:rPr>
        <w:t>公司主营业务为生产、销售稀土合金镀层钢丝、钢绞线和PC钢绞线等金属制品。报告期内，公司一方</w:t>
      </w:r>
      <w:r>
        <w:rPr>
          <w:rFonts w:ascii="宋体" w:hAnsi="宋体" w:cs="宋体" w:eastAsia="宋体" w:hint="default"/>
          <w:w w:val="99"/>
          <w:sz w:val="21"/>
          <w:szCs w:val="21"/>
        </w:rPr>
        <w:t> </w:t>
      </w:r>
      <w:r>
        <w:rPr>
          <w:rFonts w:ascii="宋体" w:hAnsi="宋体" w:cs="宋体" w:eastAsia="宋体" w:hint="default"/>
          <w:spacing w:val="-3"/>
          <w:sz w:val="21"/>
          <w:szCs w:val="21"/>
        </w:rPr>
        <w:t>面加强原主营业务产品的生产、销售，另一方面加强新产品的研制和市场开拓，同时公司坚持技术、市场、</w:t>
      </w:r>
      <w:r>
        <w:rPr>
          <w:rFonts w:ascii="宋体" w:hAnsi="宋体" w:cs="宋体" w:eastAsia="宋体" w:hint="default"/>
          <w:w w:val="99"/>
          <w:sz w:val="21"/>
          <w:szCs w:val="21"/>
        </w:rPr>
        <w:t> </w:t>
      </w:r>
      <w:r>
        <w:rPr>
          <w:rFonts w:ascii="宋体" w:hAnsi="宋体" w:cs="宋体" w:eastAsia="宋体" w:hint="default"/>
          <w:sz w:val="21"/>
          <w:szCs w:val="21"/>
        </w:rPr>
        <w:t>管理相结合的原则，充分发挥各项竞争优势，进一步提高了公司产品的市场占有率，确保了公司在同行业</w:t>
      </w:r>
      <w:r>
        <w:rPr>
          <w:rFonts w:ascii="宋体" w:hAnsi="宋体" w:cs="宋体" w:eastAsia="宋体" w:hint="default"/>
          <w:w w:val="99"/>
          <w:sz w:val="21"/>
          <w:szCs w:val="21"/>
        </w:rPr>
        <w:t> </w:t>
      </w:r>
      <w:r>
        <w:rPr>
          <w:rFonts w:ascii="宋体" w:hAnsi="宋体" w:cs="宋体" w:eastAsia="宋体" w:hint="default"/>
          <w:sz w:val="21"/>
          <w:szCs w:val="21"/>
        </w:rPr>
        <w:t>中的龙头地位和领先优势。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2"/>
        <w:spacing w:line="240" w:lineRule="auto"/>
        <w:ind w:right="105"/>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spacing w:before="0"/>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报告期新建办公楼所致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报告期借款减少所致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报告期票据贴现所致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报告期还贷所致</w:t>
            </w:r>
          </w:p>
        </w:tc>
      </w:tr>
    </w:tbl>
    <w:p>
      <w:pPr>
        <w:spacing w:line="240" w:lineRule="auto" w:before="3"/>
        <w:rPr>
          <w:rFonts w:ascii="宋体" w:hAnsi="宋体" w:cs="宋体" w:eastAsia="宋体" w:hint="default"/>
          <w:b/>
          <w:bCs/>
          <w:sz w:val="19"/>
          <w:szCs w:val="19"/>
        </w:rPr>
      </w:pPr>
    </w:p>
    <w:p>
      <w:pPr>
        <w:spacing w:before="34"/>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105"/>
        <w:jc w:val="left"/>
        <w:rPr>
          <w:b w:val="0"/>
          <w:bCs w:val="0"/>
        </w:rPr>
      </w:pPr>
      <w:r>
        <w:rPr/>
        <w:t>三、核心竞争力分析</w:t>
      </w:r>
      <w:r>
        <w:rPr>
          <w:b w:val="0"/>
          <w:bCs w:val="0"/>
        </w:rPr>
      </w:r>
    </w:p>
    <w:p>
      <w:pPr>
        <w:spacing w:line="240" w:lineRule="auto" w:before="9"/>
        <w:rPr>
          <w:rFonts w:ascii="宋体" w:hAnsi="宋体" w:cs="宋体" w:eastAsia="宋体" w:hint="default"/>
          <w:b/>
          <w:bCs/>
          <w:sz w:val="24"/>
          <w:szCs w:val="24"/>
        </w:rPr>
      </w:pPr>
    </w:p>
    <w:p>
      <w:pPr>
        <w:spacing w:line="273" w:lineRule="auto" w:before="0"/>
        <w:ind w:left="112" w:right="5233" w:firstLine="0"/>
        <w:jc w:val="left"/>
        <w:rPr>
          <w:rFonts w:ascii="宋体" w:hAnsi="宋体" w:cs="宋体" w:eastAsia="宋体" w:hint="default"/>
          <w:sz w:val="21"/>
          <w:szCs w:val="21"/>
        </w:rPr>
      </w:pPr>
      <w:r>
        <w:rPr>
          <w:rFonts w:ascii="宋体" w:hAnsi="宋体" w:cs="宋体" w:eastAsia="宋体" w:hint="default"/>
          <w:w w:val="95"/>
          <w:sz w:val="21"/>
          <w:szCs w:val="21"/>
        </w:rPr>
        <w:t>公司的核心竞争力主要体现在以下方面：</w:t>
      </w:r>
      <w:r>
        <w:rPr>
          <w:rFonts w:ascii="宋体" w:hAnsi="宋体" w:cs="宋体" w:eastAsia="宋体" w:hint="default"/>
          <w:spacing w:val="78"/>
          <w:w w:val="95"/>
          <w:sz w:val="21"/>
          <w:szCs w:val="21"/>
        </w:rPr>
        <w:t> </w:t>
      </w:r>
      <w:r>
        <w:rPr>
          <w:rFonts w:ascii="宋体" w:hAnsi="宋体" w:cs="宋体" w:eastAsia="宋体" w:hint="default"/>
          <w:spacing w:val="78"/>
          <w:w w:val="95"/>
          <w:sz w:val="21"/>
          <w:szCs w:val="21"/>
        </w:rPr>
      </w:r>
      <w:r>
        <w:rPr>
          <w:rFonts w:ascii="宋体" w:hAnsi="宋体" w:cs="宋体" w:eastAsia="宋体" w:hint="default"/>
          <w:sz w:val="21"/>
          <w:szCs w:val="21"/>
        </w:rPr>
        <w:t>技术优势：</w:t>
      </w:r>
    </w:p>
    <w:p>
      <w:pPr>
        <w:spacing w:line="268" w:lineRule="auto" w:before="7"/>
        <w:ind w:left="472" w:right="105" w:firstLine="0"/>
        <w:jc w:val="left"/>
        <w:rPr>
          <w:rFonts w:ascii="宋体" w:hAnsi="宋体" w:cs="宋体" w:eastAsia="宋体" w:hint="default"/>
          <w:sz w:val="21"/>
          <w:szCs w:val="21"/>
        </w:rPr>
      </w:pPr>
      <w:r>
        <w:rPr>
          <w:rFonts w:ascii="宋体" w:hAnsi="宋体" w:cs="宋体" w:eastAsia="宋体" w:hint="default"/>
          <w:spacing w:val="2"/>
          <w:w w:val="95"/>
          <w:sz w:val="21"/>
          <w:szCs w:val="21"/>
        </w:rPr>
        <w:t>公司研发实力雄厚，是国家科技部认定的</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国家火炬计划重点高新技术企业</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，公司设立有国家级博士</w:t>
      </w:r>
      <w:r>
        <w:rPr>
          <w:rFonts w:ascii="宋体" w:hAnsi="宋体" w:cs="宋体" w:eastAsia="宋体" w:hint="default"/>
          <w:spacing w:val="17"/>
          <w:w w:val="95"/>
          <w:sz w:val="21"/>
          <w:szCs w:val="21"/>
        </w:rPr>
        <w:t> </w:t>
      </w:r>
      <w:r>
        <w:rPr>
          <w:rFonts w:ascii="宋体" w:hAnsi="宋体" w:cs="宋体" w:eastAsia="宋体" w:hint="default"/>
          <w:spacing w:val="17"/>
          <w:w w:val="95"/>
          <w:sz w:val="21"/>
          <w:szCs w:val="21"/>
        </w:rPr>
      </w:r>
      <w:r>
        <w:rPr>
          <w:rFonts w:ascii="宋体" w:hAnsi="宋体" w:cs="宋体" w:eastAsia="宋体" w:hint="default"/>
          <w:sz w:val="21"/>
          <w:szCs w:val="21"/>
        </w:rPr>
        <w:t>后科研工作站，省级工程材料研发中心，与国内多所高校、科研院所建立产学研合作基地，依托研究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机构的技术优势、信息优势、人才优势等，为公司产品的技术研发、工艺改进、新产品开发等提供了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强大的技术支持，有效提升了公司的核心竞争力和盈利能力。</w:t>
      </w:r>
      <w:r>
        <w:rPr>
          <w:rFonts w:ascii="宋体" w:hAnsi="宋体" w:cs="宋体" w:eastAsia="宋体" w:hint="default"/>
          <w:w w:val="99"/>
          <w:sz w:val="21"/>
          <w:szCs w:val="21"/>
        </w:rPr>
        <w:t> </w:t>
      </w:r>
      <w:r>
        <w:rPr>
          <w:rFonts w:ascii="宋体" w:hAnsi="宋体" w:cs="宋体" w:eastAsia="宋体" w:hint="default"/>
          <w:sz w:val="21"/>
          <w:szCs w:val="21"/>
        </w:rPr>
        <w:t>公司主持承担了</w:t>
      </w:r>
      <w:r>
        <w:rPr>
          <w:rFonts w:ascii="Times New Roman" w:hAnsi="Times New Roman" w:cs="Times New Roman" w:eastAsia="Times New Roman" w:hint="default"/>
          <w:sz w:val="21"/>
          <w:szCs w:val="21"/>
        </w:rPr>
        <w:t>1</w:t>
      </w:r>
      <w:r>
        <w:rPr>
          <w:rFonts w:ascii="宋体" w:hAnsi="宋体" w:cs="宋体" w:eastAsia="宋体" w:hint="default"/>
          <w:sz w:val="21"/>
          <w:szCs w:val="21"/>
        </w:rPr>
        <w:t>项国家</w:t>
      </w:r>
      <w:r>
        <w:rPr>
          <w:rFonts w:ascii="Times New Roman" w:hAnsi="Times New Roman" w:cs="Times New Roman" w:eastAsia="Times New Roman" w:hint="default"/>
          <w:sz w:val="21"/>
          <w:szCs w:val="21"/>
        </w:rPr>
        <w:t>863</w:t>
      </w:r>
      <w:r>
        <w:rPr>
          <w:rFonts w:ascii="宋体" w:hAnsi="宋体" w:cs="宋体" w:eastAsia="宋体" w:hint="default"/>
          <w:sz w:val="21"/>
          <w:szCs w:val="21"/>
        </w:rPr>
        <w:t>计划研究课题，主持制定了</w:t>
      </w:r>
      <w:r>
        <w:rPr>
          <w:rFonts w:ascii="Times New Roman" w:hAnsi="Times New Roman" w:cs="Times New Roman" w:eastAsia="Times New Roman" w:hint="default"/>
          <w:sz w:val="21"/>
          <w:szCs w:val="21"/>
        </w:rPr>
        <w:t>2</w:t>
      </w:r>
      <w:r>
        <w:rPr>
          <w:rFonts w:ascii="宋体" w:hAnsi="宋体" w:cs="宋体" w:eastAsia="宋体" w:hint="default"/>
          <w:sz w:val="21"/>
          <w:szCs w:val="21"/>
        </w:rPr>
        <w:t>项行业标准，参与制定了</w:t>
      </w:r>
      <w:r>
        <w:rPr>
          <w:rFonts w:ascii="Times New Roman" w:hAnsi="Times New Roman" w:cs="Times New Roman" w:eastAsia="Times New Roman" w:hint="default"/>
          <w:sz w:val="21"/>
          <w:szCs w:val="21"/>
        </w:rPr>
        <w:t>8</w:t>
      </w:r>
      <w:r>
        <w:rPr>
          <w:rFonts w:ascii="宋体" w:hAnsi="宋体" w:cs="宋体" w:eastAsia="宋体" w:hint="default"/>
          <w:sz w:val="21"/>
          <w:szCs w:val="21"/>
        </w:rPr>
        <w:t>项国家标准；承担</w:t>
      </w:r>
    </w:p>
    <w:p>
      <w:pPr>
        <w:spacing w:after="0" w:line="268" w:lineRule="auto"/>
        <w:jc w:val="left"/>
        <w:rPr>
          <w:rFonts w:ascii="宋体" w:hAnsi="宋体" w:cs="宋体" w:eastAsia="宋体" w:hint="default"/>
          <w:sz w:val="21"/>
          <w:szCs w:val="21"/>
        </w:rPr>
        <w:sectPr>
          <w:pgSz w:w="11910" w:h="16840"/>
          <w:pgMar w:header="907" w:footer="1016" w:top="1100" w:bottom="1200" w:left="1020" w:right="920"/>
        </w:sectPr>
      </w:pPr>
    </w:p>
    <w:p>
      <w:pPr>
        <w:spacing w:line="240" w:lineRule="auto" w:before="10"/>
        <w:rPr>
          <w:rFonts w:ascii="宋体" w:hAnsi="宋体" w:cs="宋体" w:eastAsia="宋体" w:hint="default"/>
          <w:sz w:val="21"/>
          <w:szCs w:val="21"/>
        </w:rPr>
      </w:pPr>
    </w:p>
    <w:p>
      <w:pPr>
        <w:spacing w:line="256" w:lineRule="auto" w:before="34"/>
        <w:ind w:left="472" w:right="111" w:firstLine="0"/>
        <w:jc w:val="both"/>
        <w:rPr>
          <w:rFonts w:ascii="宋体" w:hAnsi="宋体" w:cs="宋体" w:eastAsia="宋体" w:hint="default"/>
          <w:sz w:val="21"/>
          <w:szCs w:val="21"/>
        </w:rPr>
      </w:pPr>
      <w:r>
        <w:rPr>
          <w:rFonts w:ascii="宋体" w:hAnsi="宋体" w:cs="宋体" w:eastAsia="宋体" w:hint="default"/>
          <w:spacing w:val="-1"/>
          <w:w w:val="95"/>
          <w:sz w:val="21"/>
          <w:szCs w:val="21"/>
        </w:rPr>
        <w:t>了</w:t>
      </w:r>
      <w:r>
        <w:rPr>
          <w:rFonts w:ascii="Times New Roman" w:hAnsi="Times New Roman" w:cs="Times New Roman" w:eastAsia="Times New Roman" w:hint="default"/>
          <w:spacing w:val="-1"/>
          <w:w w:val="95"/>
          <w:sz w:val="21"/>
          <w:szCs w:val="21"/>
        </w:rPr>
        <w:t>1</w:t>
      </w:r>
      <w:r>
        <w:rPr>
          <w:rFonts w:ascii="宋体" w:hAnsi="宋体" w:cs="宋体" w:eastAsia="宋体" w:hint="default"/>
          <w:spacing w:val="-1"/>
          <w:w w:val="95"/>
          <w:sz w:val="21"/>
          <w:szCs w:val="21"/>
        </w:rPr>
        <w:t>项国家重点行业结构调整国债项目和</w:t>
      </w:r>
      <w:r>
        <w:rPr>
          <w:rFonts w:ascii="Times New Roman" w:hAnsi="Times New Roman" w:cs="Times New Roman" w:eastAsia="Times New Roman" w:hint="default"/>
          <w:spacing w:val="-1"/>
          <w:w w:val="95"/>
          <w:sz w:val="21"/>
          <w:szCs w:val="21"/>
        </w:rPr>
        <w:t>1</w:t>
      </w:r>
      <w:r>
        <w:rPr>
          <w:rFonts w:ascii="宋体" w:hAnsi="宋体" w:cs="宋体" w:eastAsia="宋体" w:hint="default"/>
          <w:spacing w:val="-1"/>
          <w:w w:val="95"/>
          <w:sz w:val="21"/>
          <w:szCs w:val="21"/>
        </w:rPr>
        <w:t>项国家重点火炬计划项目；拥有发明专利</w:t>
      </w:r>
      <w:r>
        <w:rPr>
          <w:rFonts w:ascii="Times New Roman" w:hAnsi="Times New Roman" w:cs="Times New Roman" w:eastAsia="Times New Roman" w:hint="default"/>
          <w:spacing w:val="-1"/>
          <w:w w:val="95"/>
          <w:sz w:val="21"/>
          <w:szCs w:val="21"/>
        </w:rPr>
        <w:t>5</w:t>
      </w:r>
      <w:r>
        <w:rPr>
          <w:rFonts w:ascii="宋体" w:hAnsi="宋体" w:cs="宋体" w:eastAsia="宋体" w:hint="default"/>
          <w:spacing w:val="-1"/>
          <w:w w:val="95"/>
          <w:sz w:val="21"/>
          <w:szCs w:val="21"/>
        </w:rPr>
        <w:t>项，实用新型专利</w:t>
      </w:r>
      <w:r>
        <w:rPr>
          <w:rFonts w:ascii="宋体" w:hAnsi="宋体" w:cs="宋体" w:eastAsia="宋体" w:hint="default"/>
          <w:spacing w:val="26"/>
          <w:w w:val="95"/>
          <w:sz w:val="21"/>
          <w:szCs w:val="21"/>
        </w:rPr>
        <w:t> </w:t>
      </w:r>
      <w:r>
        <w:rPr>
          <w:rFonts w:ascii="宋体" w:hAnsi="宋体" w:cs="宋体" w:eastAsia="宋体" w:hint="default"/>
          <w:spacing w:val="26"/>
          <w:w w:val="95"/>
          <w:sz w:val="21"/>
          <w:szCs w:val="21"/>
        </w:rPr>
      </w:r>
      <w:r>
        <w:rPr>
          <w:rFonts w:ascii="Times New Roman" w:hAnsi="Times New Roman" w:cs="Times New Roman" w:eastAsia="Times New Roman" w:hint="default"/>
          <w:sz w:val="21"/>
          <w:szCs w:val="21"/>
        </w:rPr>
        <w:t>18</w:t>
      </w:r>
      <w:r>
        <w:rPr>
          <w:rFonts w:ascii="宋体" w:hAnsi="宋体" w:cs="宋体" w:eastAsia="宋体" w:hint="default"/>
          <w:sz w:val="21"/>
          <w:szCs w:val="21"/>
        </w:rPr>
        <w:t>项。公司主导产品稀土锌铝合金镀层钢丝钢绞线是我公司具有原始创新自主研发的科技产品，获得</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w w:val="95"/>
          <w:sz w:val="21"/>
          <w:szCs w:val="21"/>
        </w:rPr>
        <w:t>安徽省科技进步一等奖、安徽省高新技术产品、冶金部冶金产品实物质量</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金杯奖</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等多项荣誉。</w:t>
      </w:r>
      <w:r>
        <w:rPr>
          <w:rFonts w:ascii="Times New Roman" w:hAnsi="Times New Roman" w:cs="Times New Roman" w:eastAsia="Times New Roman" w:hint="default"/>
          <w:spacing w:val="2"/>
          <w:w w:val="95"/>
          <w:sz w:val="21"/>
          <w:szCs w:val="21"/>
        </w:rPr>
        <w:t>2004</w:t>
      </w:r>
      <w:r>
        <w:rPr>
          <w:rFonts w:ascii="Times New Roman" w:hAnsi="Times New Roman" w:cs="Times New Roman" w:eastAsia="Times New Roman" w:hint="default"/>
          <w:spacing w:val="5"/>
          <w:w w:val="95"/>
          <w:sz w:val="21"/>
          <w:szCs w:val="21"/>
        </w:rPr>
        <w:t> </w:t>
      </w:r>
      <w:r>
        <w:rPr>
          <w:rFonts w:ascii="Times New Roman" w:hAnsi="Times New Roman" w:cs="Times New Roman" w:eastAsia="Times New Roman" w:hint="default"/>
          <w:spacing w:val="5"/>
          <w:w w:val="95"/>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月，国家科技部批准我公司承担国家</w:t>
      </w:r>
      <w:r>
        <w:rPr>
          <w:rFonts w:ascii="Times New Roman" w:hAnsi="Times New Roman" w:cs="Times New Roman" w:eastAsia="Times New Roman" w:hint="default"/>
          <w:sz w:val="21"/>
          <w:szCs w:val="21"/>
        </w:rPr>
        <w:t>863</w:t>
      </w:r>
      <w:r>
        <w:rPr>
          <w:rFonts w:ascii="宋体" w:hAnsi="宋体" w:cs="宋体" w:eastAsia="宋体" w:hint="default"/>
          <w:sz w:val="21"/>
          <w:szCs w:val="21"/>
        </w:rPr>
        <w:t>计划，该课题主要目标是为我国的钢铁制品提供新型性能</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优良的防腐保护材料，填补该技术领域的世界空白，为公司今后的发展打下了坚实的技术基础。</w:t>
      </w:r>
    </w:p>
    <w:p>
      <w:pPr>
        <w:spacing w:before="22"/>
        <w:ind w:left="112" w:right="0" w:firstLine="0"/>
        <w:jc w:val="left"/>
        <w:rPr>
          <w:rFonts w:ascii="宋体" w:hAnsi="宋体" w:cs="宋体" w:eastAsia="宋体" w:hint="default"/>
          <w:sz w:val="21"/>
          <w:szCs w:val="21"/>
        </w:rPr>
      </w:pPr>
      <w:r>
        <w:rPr>
          <w:rFonts w:ascii="宋体" w:hAnsi="宋体" w:cs="宋体" w:eastAsia="宋体" w:hint="default"/>
          <w:sz w:val="21"/>
          <w:szCs w:val="21"/>
        </w:rPr>
        <w:t>质量优势：</w:t>
      </w:r>
    </w:p>
    <w:p>
      <w:pPr>
        <w:spacing w:line="264" w:lineRule="auto" w:before="37"/>
        <w:ind w:left="472" w:right="110" w:firstLine="0"/>
        <w:jc w:val="both"/>
        <w:rPr>
          <w:rFonts w:ascii="宋体" w:hAnsi="宋体" w:cs="宋体" w:eastAsia="宋体" w:hint="default"/>
          <w:sz w:val="21"/>
          <w:szCs w:val="21"/>
        </w:rPr>
      </w:pPr>
      <w:r>
        <w:rPr>
          <w:rFonts w:ascii="宋体" w:hAnsi="宋体" w:cs="宋体" w:eastAsia="宋体" w:hint="default"/>
          <w:sz w:val="21"/>
          <w:szCs w:val="21"/>
        </w:rPr>
        <w:t>公司以优良的产品质量和良好的服务形成了较高的产品知名度和企业知名度，公司稀土锌铝合金镀层</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钢绞线产品具有外观色泽亮丽、镀层附着性能强的特点，经国家权威技术部门武汉材料保护研究所检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w w:val="95"/>
          <w:sz w:val="21"/>
          <w:szCs w:val="21"/>
        </w:rPr>
        <w:t>测证明，耐腐蚀性能（中性盐雾试验、二氧化硫试验）优于普通热镀锌产品，在我国第一条</w:t>
      </w:r>
      <w:r>
        <w:rPr>
          <w:rFonts w:ascii="Times New Roman" w:hAnsi="Times New Roman" w:cs="Times New Roman" w:eastAsia="Times New Roman" w:hint="default"/>
          <w:spacing w:val="-1"/>
          <w:w w:val="95"/>
          <w:sz w:val="21"/>
          <w:szCs w:val="21"/>
        </w:rPr>
        <w:t>500</w:t>
      </w:r>
      <w:r>
        <w:rPr>
          <w:rFonts w:ascii="宋体" w:hAnsi="宋体" w:cs="宋体" w:eastAsia="宋体" w:hint="default"/>
          <w:spacing w:val="-1"/>
          <w:w w:val="95"/>
          <w:sz w:val="21"/>
          <w:szCs w:val="21"/>
        </w:rPr>
        <w:t>千伏省</w:t>
      </w:r>
      <w:r>
        <w:rPr>
          <w:rFonts w:ascii="宋体" w:hAnsi="宋体" w:cs="宋体" w:eastAsia="宋体" w:hint="default"/>
          <w:spacing w:val="28"/>
          <w:w w:val="95"/>
          <w:sz w:val="21"/>
          <w:szCs w:val="21"/>
        </w:rPr>
        <w:t> </w:t>
      </w:r>
      <w:r>
        <w:rPr>
          <w:rFonts w:ascii="宋体" w:hAnsi="宋体" w:cs="宋体" w:eastAsia="宋体" w:hint="default"/>
          <w:spacing w:val="28"/>
          <w:w w:val="95"/>
          <w:sz w:val="21"/>
          <w:szCs w:val="21"/>
        </w:rPr>
      </w:r>
      <w:r>
        <w:rPr>
          <w:rFonts w:ascii="宋体" w:hAnsi="宋体" w:cs="宋体" w:eastAsia="宋体" w:hint="default"/>
          <w:sz w:val="21"/>
          <w:szCs w:val="21"/>
        </w:rPr>
        <w:t>际联网线</w:t>
      </w:r>
      <w:r>
        <w:rPr>
          <w:rFonts w:ascii="Times New Roman" w:hAnsi="Times New Roman" w:cs="Times New Roman" w:eastAsia="Times New Roman" w:hint="default"/>
          <w:sz w:val="21"/>
          <w:szCs w:val="21"/>
        </w:rPr>
        <w:t>——</w:t>
      </w:r>
      <w:r>
        <w:rPr>
          <w:rFonts w:ascii="宋体" w:hAnsi="宋体" w:cs="宋体" w:eastAsia="宋体" w:hint="default"/>
          <w:sz w:val="21"/>
          <w:szCs w:val="21"/>
        </w:rPr>
        <w:t>鄂赣联网凤－南线所使用已历经</w:t>
      </w:r>
      <w:r>
        <w:rPr>
          <w:rFonts w:ascii="Times New Roman" w:hAnsi="Times New Roman" w:cs="Times New Roman" w:eastAsia="Times New Roman" w:hint="default"/>
          <w:sz w:val="21"/>
          <w:szCs w:val="21"/>
        </w:rPr>
        <w:t>10</w:t>
      </w:r>
      <w:r>
        <w:rPr>
          <w:rFonts w:ascii="宋体" w:hAnsi="宋体" w:cs="宋体" w:eastAsia="宋体" w:hint="default"/>
          <w:sz w:val="21"/>
          <w:szCs w:val="21"/>
        </w:rPr>
        <w:t>多年运行，至今未见有锈蚀、断股、散股、损伤等问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w w:val="95"/>
          <w:sz w:val="21"/>
          <w:szCs w:val="21"/>
        </w:rPr>
        <w:t>题，特别是在</w:t>
      </w:r>
      <w:r>
        <w:rPr>
          <w:rFonts w:ascii="Times New Roman" w:hAnsi="Times New Roman" w:cs="Times New Roman" w:eastAsia="Times New Roman" w:hint="default"/>
          <w:w w:val="95"/>
          <w:sz w:val="21"/>
          <w:szCs w:val="21"/>
        </w:rPr>
        <w:t>2005</w:t>
      </w:r>
      <w:r>
        <w:rPr>
          <w:rFonts w:ascii="宋体" w:hAnsi="宋体" w:cs="宋体" w:eastAsia="宋体" w:hint="default"/>
          <w:w w:val="95"/>
          <w:sz w:val="21"/>
          <w:szCs w:val="21"/>
        </w:rPr>
        <w:t>年和</w:t>
      </w:r>
      <w:r>
        <w:rPr>
          <w:rFonts w:ascii="Times New Roman" w:hAnsi="Times New Roman" w:cs="Times New Roman" w:eastAsia="Times New Roman" w:hint="default"/>
          <w:w w:val="95"/>
          <w:sz w:val="21"/>
          <w:szCs w:val="21"/>
        </w:rPr>
        <w:t>2008</w:t>
      </w:r>
      <w:r>
        <w:rPr>
          <w:rFonts w:ascii="宋体" w:hAnsi="宋体" w:cs="宋体" w:eastAsia="宋体" w:hint="default"/>
          <w:w w:val="95"/>
          <w:sz w:val="21"/>
          <w:szCs w:val="21"/>
        </w:rPr>
        <w:t>年的两次严重覆冰中未发生任何质量问题。公司</w:t>
      </w:r>
      <w:r>
        <w:rPr>
          <w:rFonts w:ascii="Times New Roman" w:hAnsi="Times New Roman" w:cs="Times New Roman" w:eastAsia="Times New Roman" w:hint="default"/>
          <w:w w:val="95"/>
          <w:sz w:val="21"/>
          <w:szCs w:val="21"/>
        </w:rPr>
        <w:t>2011</w:t>
      </w:r>
      <w:r>
        <w:rPr>
          <w:rFonts w:ascii="宋体" w:hAnsi="宋体" w:cs="宋体" w:eastAsia="宋体" w:hint="default"/>
          <w:w w:val="95"/>
          <w:sz w:val="21"/>
          <w:szCs w:val="21"/>
        </w:rPr>
        <w:t>年开发的</w:t>
      </w:r>
      <w:r>
        <w:rPr>
          <w:rFonts w:ascii="Times New Roman" w:hAnsi="Times New Roman" w:cs="Times New Roman" w:eastAsia="Times New Roman" w:hint="default"/>
          <w:w w:val="95"/>
          <w:sz w:val="21"/>
          <w:szCs w:val="21"/>
        </w:rPr>
        <w:t>PC</w:t>
      </w:r>
      <w:r>
        <w:rPr>
          <w:rFonts w:ascii="宋体" w:hAnsi="宋体" w:cs="宋体" w:eastAsia="宋体" w:hint="default"/>
          <w:w w:val="95"/>
          <w:sz w:val="21"/>
          <w:szCs w:val="21"/>
        </w:rPr>
        <w:t>钢绞线产</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z w:val="21"/>
          <w:szCs w:val="21"/>
        </w:rPr>
        <w:t>品，已批量使用在沪昆、成蒲等一大批重点铁路、高速公路、桥梁等项目上，均得到客户普遍好评。</w:t>
      </w:r>
    </w:p>
    <w:p>
      <w:pPr>
        <w:spacing w:before="16"/>
        <w:ind w:left="112" w:right="0" w:firstLine="0"/>
        <w:jc w:val="left"/>
        <w:rPr>
          <w:rFonts w:ascii="宋体" w:hAnsi="宋体" w:cs="宋体" w:eastAsia="宋体" w:hint="default"/>
          <w:sz w:val="21"/>
          <w:szCs w:val="21"/>
        </w:rPr>
      </w:pPr>
      <w:r>
        <w:rPr>
          <w:rFonts w:ascii="宋体" w:hAnsi="宋体" w:cs="宋体" w:eastAsia="宋体" w:hint="default"/>
          <w:sz w:val="21"/>
          <w:szCs w:val="21"/>
        </w:rPr>
        <w:t>品牌优势</w:t>
      </w:r>
    </w:p>
    <w:p>
      <w:pPr>
        <w:spacing w:line="264" w:lineRule="auto" w:before="37"/>
        <w:ind w:left="472" w:right="115" w:firstLine="0"/>
        <w:jc w:val="both"/>
        <w:rPr>
          <w:rFonts w:ascii="宋体" w:hAnsi="宋体" w:cs="宋体" w:eastAsia="宋体" w:hint="default"/>
          <w:sz w:val="21"/>
          <w:szCs w:val="21"/>
        </w:rPr>
      </w:pP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鼎泰</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牌稀土镀层钢丝、钢绞线多年来一直是安徽省名牌产品，在近二十年的生产经营过程中，公司</w:t>
      </w:r>
      <w:r>
        <w:rPr>
          <w:rFonts w:ascii="宋体" w:hAnsi="宋体" w:cs="宋体" w:eastAsia="宋体" w:hint="default"/>
          <w:spacing w:val="15"/>
          <w:w w:val="95"/>
          <w:sz w:val="21"/>
          <w:szCs w:val="21"/>
        </w:rPr>
        <w:t> </w:t>
      </w:r>
      <w:r>
        <w:rPr>
          <w:rFonts w:ascii="宋体" w:hAnsi="宋体" w:cs="宋体" w:eastAsia="宋体" w:hint="default"/>
          <w:spacing w:val="15"/>
          <w:w w:val="95"/>
          <w:sz w:val="21"/>
          <w:szCs w:val="21"/>
        </w:rPr>
      </w:r>
      <w:r>
        <w:rPr>
          <w:rFonts w:ascii="宋体" w:hAnsi="宋体" w:cs="宋体" w:eastAsia="宋体" w:hint="default"/>
          <w:sz w:val="21"/>
          <w:szCs w:val="21"/>
        </w:rPr>
        <w:t>一直凭借稳定的产品质量，良好的商业信誉，完善的售后服务，得到了客户的普遍认可，为公司产品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打造了良好的品牌优势和经营环境。</w:t>
      </w:r>
    </w:p>
    <w:p>
      <w:pPr>
        <w:spacing w:before="16"/>
        <w:ind w:left="112" w:right="0" w:firstLine="0"/>
        <w:jc w:val="left"/>
        <w:rPr>
          <w:rFonts w:ascii="宋体" w:hAnsi="宋体" w:cs="宋体" w:eastAsia="宋体" w:hint="default"/>
          <w:sz w:val="21"/>
          <w:szCs w:val="21"/>
        </w:rPr>
      </w:pPr>
      <w:r>
        <w:rPr>
          <w:rFonts w:ascii="宋体" w:hAnsi="宋体" w:cs="宋体" w:eastAsia="宋体" w:hint="default"/>
          <w:sz w:val="21"/>
          <w:szCs w:val="21"/>
        </w:rPr>
        <w:t>市场优势</w:t>
      </w:r>
    </w:p>
    <w:p>
      <w:pPr>
        <w:spacing w:line="266" w:lineRule="auto" w:before="37"/>
        <w:ind w:left="472" w:right="113" w:firstLine="0"/>
        <w:jc w:val="both"/>
        <w:rPr>
          <w:rFonts w:ascii="宋体" w:hAnsi="宋体" w:cs="宋体" w:eastAsia="宋体" w:hint="default"/>
          <w:sz w:val="21"/>
          <w:szCs w:val="21"/>
        </w:rPr>
      </w:pPr>
      <w:r>
        <w:rPr>
          <w:rFonts w:ascii="宋体" w:hAnsi="宋体" w:cs="宋体" w:eastAsia="宋体" w:hint="default"/>
          <w:sz w:val="21"/>
          <w:szCs w:val="21"/>
        </w:rPr>
        <w:t>公司拥有多年的钢丝、钢绞线行业的销售经验，公司产品质量及性能较好，用户较为稳定，产品销售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覆盖全国</w:t>
      </w:r>
      <w:r>
        <w:rPr>
          <w:rFonts w:ascii="Times New Roman" w:hAnsi="Times New Roman" w:cs="Times New Roman" w:eastAsia="Times New Roman" w:hint="default"/>
          <w:sz w:val="21"/>
          <w:szCs w:val="21"/>
        </w:rPr>
        <w:t>30</w:t>
      </w:r>
      <w:r>
        <w:rPr>
          <w:rFonts w:ascii="宋体" w:hAnsi="宋体" w:cs="宋体" w:eastAsia="宋体" w:hint="default"/>
          <w:sz w:val="21"/>
          <w:szCs w:val="21"/>
        </w:rPr>
        <w:t>个省、市、自治区，连续几年在全国重点电力工程招标中占居前列。从国际看，近年来，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国外也同样进行大规模的电网、电讯建设投资，公司凭借良好的质量和生产技术，积极进行外贸市场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的开拓，销售范围已扩展至东南亚、欧美、中东、非洲等多个国家和地区，市场前景看好。</w:t>
      </w:r>
    </w:p>
    <w:p>
      <w:pPr>
        <w:spacing w:after="0" w:line="266" w:lineRule="auto"/>
        <w:jc w:val="both"/>
        <w:rPr>
          <w:rFonts w:ascii="宋体" w:hAnsi="宋体" w:cs="宋体" w:eastAsia="宋体" w:hint="default"/>
          <w:sz w:val="21"/>
          <w:szCs w:val="21"/>
        </w:rPr>
        <w:sectPr>
          <w:footerReference w:type="default" r:id="rId14"/>
          <w:pgSz w:w="11910" w:h="16840"/>
          <w:pgMar w:footer="1016" w:header="907" w:top="1100" w:bottom="1200" w:left="1020" w:right="102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1"/>
        <w:spacing w:line="240" w:lineRule="auto"/>
        <w:ind w:left="3086" w:right="105"/>
        <w:jc w:val="left"/>
        <w:rPr>
          <w:b w:val="0"/>
          <w:bCs w:val="0"/>
        </w:rPr>
      </w:pPr>
      <w:bookmarkStart w:name="_bookmark3" w:id="4"/>
      <w:bookmarkEnd w:id="4"/>
      <w:r>
        <w:rPr>
          <w:b w:val="0"/>
          <w:bCs w:val="0"/>
        </w:rPr>
      </w:r>
      <w:r>
        <w:rPr/>
        <w:t>第四节</w:t>
      </w:r>
      <w:r>
        <w:rPr>
          <w:spacing w:val="-10"/>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105"/>
        <w:jc w:val="left"/>
        <w:rPr>
          <w:b w:val="0"/>
          <w:bCs w:val="0"/>
        </w:rPr>
      </w:pPr>
      <w:r>
        <w:rPr/>
        <w:t>一、概述</w:t>
      </w:r>
      <w:r>
        <w:rPr>
          <w:b w:val="0"/>
          <w:bCs w:val="0"/>
        </w:rPr>
      </w:r>
    </w:p>
    <w:p>
      <w:pPr>
        <w:spacing w:line="240" w:lineRule="auto" w:before="7"/>
        <w:rPr>
          <w:rFonts w:ascii="宋体" w:hAnsi="宋体" w:cs="宋体" w:eastAsia="宋体" w:hint="default"/>
          <w:b/>
          <w:bCs/>
          <w:sz w:val="24"/>
          <w:szCs w:val="24"/>
        </w:rPr>
      </w:pPr>
    </w:p>
    <w:p>
      <w:pPr>
        <w:spacing w:line="266" w:lineRule="auto" w:before="0"/>
        <w:ind w:left="112" w:right="105" w:firstLine="945"/>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年，我国经济已经由高速增长转向中高速增长，不仅表现为经济增速的放缓，更表现为增</w:t>
      </w:r>
      <w:r>
        <w:rPr>
          <w:rFonts w:ascii="宋体" w:hAnsi="宋体" w:cs="宋体" w:eastAsia="宋体" w:hint="default"/>
          <w:w w:val="99"/>
          <w:sz w:val="21"/>
          <w:szCs w:val="21"/>
        </w:rPr>
        <w:t> </w:t>
      </w:r>
      <w:r>
        <w:rPr>
          <w:rFonts w:ascii="宋体" w:hAnsi="宋体" w:cs="宋体" w:eastAsia="宋体" w:hint="default"/>
          <w:w w:val="95"/>
          <w:sz w:val="21"/>
          <w:szCs w:val="21"/>
        </w:rPr>
        <w:t>长动力的转换、经济结构的再平衡，我国整体经济面临着复杂的系统转型，也意味着我国经济正在向形态</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更高级、分工更复杂、结构更合理的阶段演化，经济发展进入新常态。我国制造业也面临着经济转型、整</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体出口下降、国内经济下行压力持续增加、国内制造业去库存压力增大等不利影响。</w:t>
      </w:r>
    </w:p>
    <w:p>
      <w:pPr>
        <w:spacing w:line="273" w:lineRule="auto" w:before="14"/>
        <w:ind w:left="112" w:right="99" w:firstLine="420"/>
        <w:jc w:val="left"/>
        <w:rPr>
          <w:rFonts w:ascii="宋体" w:hAnsi="宋体" w:cs="宋体" w:eastAsia="宋体" w:hint="default"/>
          <w:sz w:val="21"/>
          <w:szCs w:val="21"/>
        </w:rPr>
      </w:pPr>
      <w:r>
        <w:rPr>
          <w:rFonts w:ascii="宋体" w:hAnsi="宋体" w:cs="宋体" w:eastAsia="宋体" w:hint="default"/>
          <w:spacing w:val="-3"/>
          <w:sz w:val="21"/>
          <w:szCs w:val="21"/>
        </w:rPr>
        <w:t>报告期内，公司面对复杂多变的经营环境和市场变化，坚持公司既定的战略规划，坚持以发展为要务，</w:t>
      </w:r>
      <w:r>
        <w:rPr>
          <w:rFonts w:ascii="宋体" w:hAnsi="宋体" w:cs="宋体" w:eastAsia="宋体" w:hint="default"/>
          <w:w w:val="99"/>
          <w:sz w:val="21"/>
          <w:szCs w:val="21"/>
        </w:rPr>
        <w:t> </w:t>
      </w:r>
      <w:r>
        <w:rPr>
          <w:rFonts w:ascii="宋体" w:hAnsi="宋体" w:cs="宋体" w:eastAsia="宋体" w:hint="default"/>
          <w:sz w:val="21"/>
          <w:szCs w:val="21"/>
        </w:rPr>
        <w:t>巩固传统优势，不断调整产品结构和市场营销策略，以降本增效为核心，以效益为中心，以销售为龙头，</w:t>
      </w:r>
      <w:r>
        <w:rPr>
          <w:rFonts w:ascii="宋体" w:hAnsi="宋体" w:cs="宋体" w:eastAsia="宋体" w:hint="default"/>
          <w:w w:val="99"/>
          <w:sz w:val="21"/>
          <w:szCs w:val="21"/>
        </w:rPr>
        <w:t> </w:t>
      </w:r>
      <w:r>
        <w:rPr>
          <w:rFonts w:ascii="宋体" w:hAnsi="宋体" w:cs="宋体" w:eastAsia="宋体" w:hint="default"/>
          <w:sz w:val="21"/>
          <w:szCs w:val="21"/>
        </w:rPr>
        <w:t>以创新为手段，不断优化资源组合，加大技术创新力度，完善内控机制，有效提升公司治理水平，公司整</w:t>
      </w:r>
      <w:r>
        <w:rPr>
          <w:rFonts w:ascii="宋体" w:hAnsi="宋体" w:cs="宋体" w:eastAsia="宋体" w:hint="default"/>
          <w:w w:val="99"/>
          <w:sz w:val="21"/>
          <w:szCs w:val="21"/>
        </w:rPr>
        <w:t> </w:t>
      </w:r>
      <w:r>
        <w:rPr>
          <w:rFonts w:ascii="宋体" w:hAnsi="宋体" w:cs="宋体" w:eastAsia="宋体" w:hint="default"/>
          <w:sz w:val="21"/>
          <w:szCs w:val="21"/>
        </w:rPr>
        <w:t>体依然保持稳健发展方向。</w:t>
      </w:r>
    </w:p>
    <w:p>
      <w:pPr>
        <w:spacing w:line="273" w:lineRule="auto" w:before="7"/>
        <w:ind w:left="112" w:right="105" w:firstLine="420"/>
        <w:jc w:val="left"/>
        <w:rPr>
          <w:rFonts w:ascii="宋体" w:hAnsi="宋体" w:cs="宋体" w:eastAsia="宋体" w:hint="default"/>
          <w:sz w:val="21"/>
          <w:szCs w:val="21"/>
        </w:rPr>
      </w:pPr>
      <w:r>
        <w:rPr>
          <w:rFonts w:ascii="宋体" w:hAnsi="宋体" w:cs="宋体" w:eastAsia="宋体" w:hint="default"/>
          <w:sz w:val="21"/>
          <w:szCs w:val="21"/>
        </w:rPr>
        <w:t>报告期内，公司实现营业收入66,846.55万元，净利润2,513.06万元，其中归属于上市公司股东扣除</w:t>
      </w:r>
      <w:r>
        <w:rPr>
          <w:rFonts w:ascii="宋体" w:hAnsi="宋体" w:cs="宋体" w:eastAsia="宋体" w:hint="default"/>
          <w:w w:val="99"/>
          <w:sz w:val="21"/>
          <w:szCs w:val="21"/>
        </w:rPr>
        <w:t> </w:t>
      </w:r>
      <w:r>
        <w:rPr>
          <w:rFonts w:ascii="宋体" w:hAnsi="宋体" w:cs="宋体" w:eastAsia="宋体" w:hint="default"/>
          <w:w w:val="95"/>
          <w:sz w:val="21"/>
          <w:szCs w:val="21"/>
        </w:rPr>
        <w:t>非经常性损益后的净利润为2,389.70万元，与上年同期相比，营业收入下降17.74%，净利润及归属于上市</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公司股东扣除非经常性损益后的的净利润分别增长4.17%，1.95%。其他经营指标如下：</w:t>
      </w:r>
    </w:p>
    <w:p>
      <w:pPr>
        <w:spacing w:line="240" w:lineRule="auto" w:before="2"/>
        <w:rPr>
          <w:rFonts w:ascii="宋体" w:hAnsi="宋体" w:cs="宋体" w:eastAsia="宋体" w:hint="default"/>
          <w:sz w:val="7"/>
          <w:szCs w:val="7"/>
        </w:rPr>
      </w:pPr>
    </w:p>
    <w:p>
      <w:pPr>
        <w:spacing w:line="3915" w:lineRule="exact"/>
        <w:ind w:left="115"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6078643" cy="24860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6078643" cy="2486025"/>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1"/>
        <w:ind w:right="105"/>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before="0"/>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参见“管理层讨论与分析”中的“一、概述”相关内容。</w:t>
      </w:r>
    </w:p>
    <w:p>
      <w:pPr>
        <w:spacing w:line="240" w:lineRule="auto" w:before="0"/>
        <w:rPr>
          <w:rFonts w:ascii="宋体" w:hAnsi="宋体" w:cs="宋体" w:eastAsia="宋体" w:hint="default"/>
          <w:sz w:val="18"/>
          <w:szCs w:val="18"/>
        </w:rPr>
      </w:pPr>
    </w:p>
    <w:p>
      <w:pPr>
        <w:spacing w:before="118"/>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907" w:footer="1016" w:top="1100" w:bottom="1200" w:left="1020" w:right="9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9"/>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668,465,543.43</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812,645,896.90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-17.74%</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加工制造业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668,465,543.43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812,645,896.90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-17.74%</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钢绞线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406,363,274.48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435,361,528.99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钢绞线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173,887,161.94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288,843,838.37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-39.80%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钢丝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86,895,012.23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86,467,636.33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1,320,094.78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1,972,893.21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-33.09%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532,821,077.94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603,228,190.29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2"/>
                <w:sz w:val="18"/>
              </w:rPr>
              <w:t>-11.67%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境外收入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135,644,465.49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209,417,706.61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-35.23%</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66"/>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8" w:right="136"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8" w:right="137"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13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加工制造业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668,465,543.43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572,532,142.72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钢绞线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406,363,274.48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327,738,342.60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-8.57%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钢绞线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173,887,161.94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171,508,774.08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-37.64%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钢丝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86,895,012.23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73,285,026.04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1,320,094.78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532,821,077.94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452,845,607.90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-11.67%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-12.66%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境外收入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135,644,465.49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119,686,534.82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-36.10%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1.19%</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164,555.221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177,227.2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-5.60%</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162,935.975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178,983.44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-7.50%</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14,206.204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15,825.45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-10.23%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464,247,881.30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606,593,815.61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-23.47%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18,504,815.48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19,839,730.86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-6.73%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燃料动力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41,142,887.76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42,004,405.33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48,636,558.18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37,347,164.97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30.23%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572,532,142.70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705,785,116.80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-18.88%</w:t>
            </w:r>
          </w:p>
        </w:tc>
      </w:tr>
    </w:tbl>
    <w:p>
      <w:pPr>
        <w:spacing w:before="5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钢绞线</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327,738,342.60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358,451,364.75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-8.57%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钢绞线</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171,508,774.08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275,032,008.37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-37.64%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钢丝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73,285,026.04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72,301,743.65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572,532,142.72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705,785,116.77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-18.88%</w:t>
            </w:r>
          </w:p>
        </w:tc>
      </w:tr>
    </w:tbl>
    <w:p>
      <w:pPr>
        <w:spacing w:line="338" w:lineRule="auto"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说明 </w:t>
      </w:r>
      <w:r>
        <w:rPr>
          <w:rFonts w:ascii="宋体" w:hAnsi="宋体" w:cs="宋体" w:eastAsia="宋体" w:hint="default"/>
          <w:spacing w:val="-2"/>
          <w:sz w:val="18"/>
          <w:szCs w:val="18"/>
        </w:rPr>
        <w:t>成本构成项目中，主要是人力资源成本增加较多，原材料价格下降较多；致使成本结构有所变动。产品成本构成中，各产品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的成本构成中，由于预应力产量下降，各产品比重有所变动。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150,304,448.34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63,557,220.08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9.51%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30,450,606.66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4.56%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22,587,300.32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20,443,578.42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13,265,742.86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150,304,448.34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112" w:right="8114"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457,495,815.80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57.01%</w:t>
            </w:r>
          </w:p>
        </w:tc>
      </w:tr>
    </w:tbl>
    <w:p>
      <w:pPr>
        <w:spacing w:before="70"/>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179,874,735.50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22.42%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97,921,176.31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81,194,684.50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10.12%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52,749,795.86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6.57%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45,755,423.63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5.70%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457,495,815.80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57.01%</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0"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34,708,963.99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34,602,879.93</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0.31%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26,684,436.74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29,950,505.48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-10.90%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2,023,883.57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11,310,753.42</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w w:val="95"/>
                <w:sz w:val="18"/>
              </w:rPr>
              <w:t>-82.11%</w:t>
            </w:r>
            <w:r>
              <w:rPr>
                <w:rFonts w:ascii="Times New Roman"/>
                <w:spacing w:val="-1"/>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借款少，财务费用减少。</w:t>
            </w:r>
          </w:p>
        </w:tc>
      </w:tr>
    </w:tbl>
    <w:p>
      <w:pPr>
        <w:spacing w:line="240" w:lineRule="auto" w:before="4"/>
        <w:rPr>
          <w:rFonts w:ascii="宋体" w:hAnsi="宋体" w:cs="宋体" w:eastAsia="宋体" w:hint="default"/>
          <w:sz w:val="19"/>
          <w:szCs w:val="19"/>
        </w:rPr>
      </w:pPr>
    </w:p>
    <w:p>
      <w:pPr>
        <w:spacing w:before="34"/>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472" w:right="94"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公司一直重视技术研发和产品创新，注重研发投入；坚持以市场为导向，积极推进技术创新工作，开发新产品，推广新</w:t>
      </w:r>
    </w:p>
    <w:p>
      <w:pPr>
        <w:spacing w:line="224" w:lineRule="exact" w:before="0"/>
        <w:ind w:left="112" w:right="94" w:firstLine="0"/>
        <w:jc w:val="left"/>
        <w:rPr>
          <w:rFonts w:ascii="宋体" w:hAnsi="宋体" w:cs="宋体" w:eastAsia="宋体" w:hint="default"/>
          <w:sz w:val="18"/>
          <w:szCs w:val="18"/>
        </w:rPr>
      </w:pPr>
      <w:r>
        <w:rPr>
          <w:rFonts w:ascii="宋体" w:hAnsi="宋体" w:cs="宋体" w:eastAsia="宋体" w:hint="default"/>
          <w:sz w:val="18"/>
          <w:szCs w:val="18"/>
        </w:rPr>
        <w:t>技术，切实发挥技术创新在转型升级、调整产品结构、增强核心竞争力方面的作用。</w:t>
      </w:r>
    </w:p>
    <w:p>
      <w:pPr>
        <w:spacing w:line="316" w:lineRule="auto" w:before="76"/>
        <w:ind w:left="112" w:right="94" w:firstLine="360"/>
        <w:jc w:val="left"/>
        <w:rPr>
          <w:rFonts w:ascii="宋体" w:hAnsi="宋体" w:cs="宋体" w:eastAsia="宋体" w:hint="default"/>
          <w:sz w:val="18"/>
          <w:szCs w:val="18"/>
        </w:rPr>
      </w:pPr>
      <w:r>
        <w:rPr>
          <w:rFonts w:ascii="宋体" w:hAnsi="宋体" w:cs="宋体" w:eastAsia="宋体" w:hint="default"/>
          <w:sz w:val="18"/>
          <w:szCs w:val="18"/>
        </w:rPr>
        <w:t>报告期内，公司借助国家级博士后科研工作站、省级先进涂镀技术与稀土材料工程中心、多所高校及科研机构等平台， </w:t>
      </w:r>
      <w:r>
        <w:rPr>
          <w:rFonts w:ascii="宋体" w:hAnsi="宋体" w:cs="宋体" w:eastAsia="宋体" w:hint="default"/>
          <w:spacing w:val="-2"/>
          <w:sz w:val="18"/>
          <w:szCs w:val="18"/>
        </w:rPr>
        <w:t>积极开展多项科研项目的研究，主要涉及国内外前沿的防腐镀层材料、工艺等研究项目，以及适用不同客户需求新产品研制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和降低成本为目的的新工艺研究等。</w:t>
      </w:r>
    </w:p>
    <w:p>
      <w:pPr>
        <w:spacing w:before="59"/>
        <w:ind w:left="112" w:right="94"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25,533,193.04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25,263,287.39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2"/>
                <w:sz w:val="18"/>
              </w:rPr>
              <w:t>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6"/>
                <w:sz w:val="18"/>
                <w:szCs w:val="18"/>
              </w:rPr>
              <w:t>研发投入资本化的金额（元）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 w:right="11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2" w:right="94"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57" w:lineRule="auto" w:before="117"/>
        <w:ind w:left="112" w:right="5854"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研发投入资本化率大幅变动的原因及其合理性说明</w:t>
      </w:r>
    </w:p>
    <w:p>
      <w:pPr>
        <w:spacing w:before="29"/>
        <w:ind w:left="112" w:right="9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734,170,217.02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896,011,767.77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-18.06%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628,271,052.29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747,467,082.19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-15.95%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105,899,164.73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148,544,685.58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55,722,000.00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60,781,240.30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-8.32%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52,588,212.86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140,437,734.83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-62.55%</w:t>
            </w:r>
          </w:p>
        </w:tc>
      </w:tr>
      <w:tr>
        <w:trPr>
          <w:trHeight w:val="71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3,133,787.14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-79,656,494.53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-103.93%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94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54,048,400.34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596,706,241.89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-90.94%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177,141,103.65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737,191,675.01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-75.97%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-123,092,703.31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-140,485,433.12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-12,591,322.52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-71,369,429.31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-82.36%</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60" w:lineRule="auto" w:before="117"/>
        <w:ind w:left="112" w:right="3254" w:firstLine="0"/>
        <w:jc w:val="left"/>
        <w:rPr>
          <w:rFonts w:ascii="宋体" w:hAnsi="宋体" w:cs="宋体" w:eastAsia="宋体" w:hint="default"/>
          <w:sz w:val="18"/>
          <w:szCs w:val="18"/>
        </w:rPr>
      </w:pPr>
      <w:r>
        <w:rPr>
          <w:rFonts w:ascii="宋体" w:hAnsi="宋体" w:cs="宋体" w:eastAsia="宋体" w:hint="default"/>
          <w:sz w:val="18"/>
          <w:szCs w:val="18"/>
        </w:rPr>
        <w:t>□ 适用 √ 不适用 报告期内公司经营活动产生的现金净流量与本年度净利润存在重大差异的原因说明</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253"/>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222,000.00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0.76%</w:t>
            </w:r>
          </w:p>
        </w:tc>
        <w:tc>
          <w:tcPr>
            <w:tcW w:w="225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2,932,660.68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10.02%</w:t>
            </w:r>
          </w:p>
        </w:tc>
        <w:tc>
          <w:tcPr>
            <w:tcW w:w="225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3,225,382.36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11.02%</w:t>
            </w:r>
          </w:p>
        </w:tc>
        <w:tc>
          <w:tcPr>
            <w:tcW w:w="225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1,685,737.40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5.76%</w:t>
            </w:r>
          </w:p>
        </w:tc>
        <w:tc>
          <w:tcPr>
            <w:tcW w:w="225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7"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94,010,542.1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109,104,690.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-0.70%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209,655,207.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171,408,840.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客户回款周期变长</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150,772,384.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155,098,937.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0.94%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218,017,487.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231,053,621.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0.65%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center"/>
              <w:rPr>
                <w:rFonts w:ascii="Times New Roman" w:hAnsi="Times New Roman" w:cs="Times New Roman" w:eastAsia="Times New Roman" w:hint="default"/>
                <w:sz w:val="18"/>
                <w:szCs w:val="18"/>
              </w:rPr>
            </w:pPr>
            <w:r>
              <w:rPr>
                <w:rFonts w:ascii="Times New Roman"/>
                <w:sz w:val="18"/>
              </w:rPr>
              <w:t>672,380.70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67,000,000.0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97,000,000.0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短期借款减少</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6,640,000.00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0.75%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53,640,000.0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5.56%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-4.81%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期内还款</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10,025,000.00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10,025,000.00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69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公司报告期无募集资金使用情况。</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12" w:right="73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公司报告期未出售重大资产。</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1080"/>
        </w:sectPr>
      </w:pPr>
    </w:p>
    <w:p>
      <w:pPr>
        <w:spacing w:line="240" w:lineRule="auto" w:before="9"/>
        <w:rPr>
          <w:rFonts w:ascii="宋体" w:hAnsi="宋体" w:cs="宋体" w:eastAsia="宋体" w:hint="default"/>
          <w:sz w:val="20"/>
          <w:szCs w:val="20"/>
        </w:rPr>
      </w:pPr>
    </w:p>
    <w:p>
      <w:pPr>
        <w:pStyle w:val="Heading2"/>
        <w:spacing w:line="240" w:lineRule="auto" w:before="26"/>
        <w:ind w:right="98"/>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900"/>
        </w:sectPr>
      </w:pPr>
    </w:p>
    <w:p>
      <w:pPr>
        <w:spacing w:before="44"/>
        <w:ind w:left="112" w:right="-1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112" w:right="-17"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1020" w:right="900"/>
          <w:cols w:num="2" w:equalWidth="0">
            <w:col w:w="4808" w:space="4111"/>
            <w:col w:w="107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生产、销</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8"/>
              <w:jc w:val="center"/>
              <w:rPr>
                <w:rFonts w:ascii="宋体" w:hAnsi="宋体" w:cs="宋体" w:eastAsia="宋体" w:hint="default"/>
                <w:sz w:val="18"/>
                <w:szCs w:val="18"/>
              </w:rPr>
            </w:pPr>
            <w:r>
              <w:rPr>
                <w:rFonts w:ascii="宋体" w:hAnsi="宋体" w:cs="宋体" w:eastAsia="宋体" w:hint="default"/>
                <w:sz w:val="18"/>
                <w:szCs w:val="18"/>
              </w:rPr>
              <w:t>重庆市隆</w:t>
            </w: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售：稀土镀</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0"/>
              <w:jc w:val="left"/>
              <w:rPr>
                <w:rFonts w:ascii="宋体" w:hAnsi="宋体" w:cs="宋体" w:eastAsia="宋体" w:hint="default"/>
                <w:sz w:val="18"/>
                <w:szCs w:val="18"/>
              </w:rPr>
            </w:pPr>
            <w:r>
              <w:rPr>
                <w:rFonts w:ascii="宋体" w:hAnsi="宋体" w:cs="宋体" w:eastAsia="宋体" w:hint="default"/>
                <w:sz w:val="18"/>
                <w:szCs w:val="18"/>
              </w:rPr>
              <w:t>泰稀土新 材料有限</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2"/>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层钢丝、钢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绞线和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PC</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center"/>
              <w:rPr>
                <w:rFonts w:ascii="Times New Roman" w:hAnsi="Times New Roman" w:cs="Times New Roman" w:eastAsia="Times New Roman" w:hint="default"/>
                <w:sz w:val="18"/>
                <w:szCs w:val="18"/>
              </w:rPr>
            </w:pPr>
            <w:r>
              <w:rPr>
                <w:rFonts w:ascii="Times New Roman"/>
                <w:sz w:val="18"/>
              </w:rPr>
              <w:t>50000000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262,008,16</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8.99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54,068,482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215,927,52</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8.05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-293,208.8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512,865.38</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8"/>
              <w:jc w:val="center"/>
              <w:rPr>
                <w:rFonts w:ascii="宋体" w:hAnsi="宋体" w:cs="宋体" w:eastAsia="宋体" w:hint="default"/>
                <w:sz w:val="18"/>
                <w:szCs w:val="18"/>
              </w:rPr>
            </w:pPr>
            <w:r>
              <w:rPr>
                <w:rFonts w:ascii="宋体" w:hAnsi="宋体" w:cs="宋体" w:eastAsia="宋体" w:hint="default"/>
                <w:sz w:val="18"/>
                <w:szCs w:val="18"/>
              </w:rPr>
              <w:t>责任公司</w:t>
            </w: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钢绞线等</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before="51"/>
        <w:ind w:left="112" w:right="98"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57" w:lineRule="auto" w:before="117"/>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主要控股参股公司情况说明</w:t>
      </w:r>
    </w:p>
    <w:p>
      <w:pPr>
        <w:pStyle w:val="BodyText"/>
        <w:spacing w:line="312" w:lineRule="exact" w:before="11"/>
        <w:ind w:right="98" w:firstLine="436"/>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日，本公司第一届董事会十五次会议审议通过了《关于设立全资子公司的议 </w:t>
      </w:r>
      <w:r>
        <w:rPr>
          <w:spacing w:val="-6"/>
        </w:rPr>
        <w:t>案》。根据协议、章程的规定，拟设全资子公司隆泰稀土注册资本为人民币</w:t>
      </w:r>
      <w:r>
        <w:rPr>
          <w:rFonts w:ascii="Times New Roman" w:hAnsi="Times New Roman" w:cs="Times New Roman" w:eastAsia="Times New Roman" w:hint="default"/>
          <w:spacing w:val="-6"/>
        </w:rPr>
        <w:t>1,000</w:t>
      </w:r>
      <w:r>
        <w:rPr>
          <w:spacing w:val="-6"/>
        </w:rPr>
        <w:t>万元，于</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44"/>
        </w:rPr>
        <w:t> </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8</w:t>
      </w:r>
      <w:r>
        <w:rPr>
          <w:spacing w:val="-3"/>
        </w:rPr>
        <w:t>日前由本公司一次缴足。截至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8</w:t>
      </w:r>
      <w:r>
        <w:rPr>
          <w:spacing w:val="-3"/>
        </w:rPr>
        <w:t>日止，公司已向隆泰稀土货币出资</w:t>
      </w:r>
      <w:r>
        <w:rPr>
          <w:rFonts w:ascii="Times New Roman" w:hAnsi="Times New Roman" w:cs="Times New Roman" w:eastAsia="Times New Roman" w:hint="default"/>
          <w:spacing w:val="-3"/>
        </w:rPr>
        <w:t>1,000</w:t>
      </w:r>
      <w:r>
        <w:rPr>
          <w:spacing w:val="-3"/>
        </w:rPr>
        <w:t>万元。</w:t>
      </w:r>
      <w:r>
        <w:rPr>
          <w:spacing w:val="-118"/>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日，隆泰稀土取得了重庆市武隆县工商行政管理局颁发的企业法人营业执照。</w:t>
      </w:r>
    </w:p>
    <w:p>
      <w:pPr>
        <w:pStyle w:val="BodyText"/>
        <w:spacing w:line="312" w:lineRule="exact"/>
        <w:ind w:right="232" w:firstLine="436"/>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10</w:t>
      </w:r>
      <w:r>
        <w:rPr>
          <w:spacing w:val="-1"/>
        </w:rPr>
        <w:t>日，本公司</w:t>
      </w:r>
      <w:r>
        <w:rPr>
          <w:rFonts w:ascii="Times New Roman" w:hAnsi="Times New Roman" w:cs="Times New Roman" w:eastAsia="Times New Roman" w:hint="default"/>
          <w:spacing w:val="-1"/>
        </w:rPr>
        <w:t>2011</w:t>
      </w:r>
      <w:r>
        <w:rPr>
          <w:spacing w:val="-1"/>
        </w:rPr>
        <w:t>年第一次临时股东大会审议通过了《关于使用部分超募资金</w:t>
      </w:r>
      <w:r>
        <w:rPr/>
        <w:t> </w:t>
      </w:r>
      <w:r>
        <w:rPr>
          <w:spacing w:val="-4"/>
          <w:w w:val="99"/>
        </w:rPr>
        <w:t>对全资子公司增资以实施年产</w:t>
      </w:r>
      <w:r>
        <w:rPr>
          <w:rFonts w:ascii="Times New Roman" w:hAnsi="Times New Roman" w:cs="Times New Roman" w:eastAsia="Times New Roman" w:hint="default"/>
          <w:spacing w:val="-4"/>
          <w:w w:val="99"/>
        </w:rPr>
        <w:t>6</w:t>
      </w:r>
      <w:r>
        <w:rPr>
          <w:spacing w:val="-4"/>
          <w:w w:val="99"/>
        </w:rPr>
        <w:t>万吨高铁</w:t>
      </w:r>
      <w:r>
        <w:rPr>
          <w:rFonts w:ascii="Times New Roman" w:hAnsi="Times New Roman" w:cs="Times New Roman" w:eastAsia="Times New Roman" w:hint="default"/>
          <w:spacing w:val="-4"/>
          <w:w w:val="99"/>
        </w:rPr>
        <w:t>PC</w:t>
      </w:r>
      <w:r>
        <w:rPr>
          <w:spacing w:val="-4"/>
          <w:w w:val="99"/>
        </w:rPr>
        <w:t>制品项目的议案》，决定对隆泰稀土以货币增资人</w:t>
      </w:r>
      <w:r>
        <w:rPr>
          <w:spacing w:val="-89"/>
          <w:w w:val="99"/>
        </w:rPr>
        <w:t> </w:t>
      </w:r>
      <w:r>
        <w:rPr>
          <w:spacing w:val="-89"/>
          <w:w w:val="99"/>
        </w:rPr>
      </w:r>
      <w:r>
        <w:rPr>
          <w:spacing w:val="2"/>
        </w:rPr>
        <w:t>民币</w:t>
      </w:r>
      <w:r>
        <w:rPr>
          <w:rFonts w:ascii="Times New Roman" w:hAnsi="Times New Roman" w:cs="Times New Roman" w:eastAsia="Times New Roman" w:hint="default"/>
          <w:spacing w:val="2"/>
        </w:rPr>
        <w:t>4,000</w:t>
      </w:r>
      <w:r>
        <w:rPr>
          <w:spacing w:val="2"/>
        </w:rPr>
        <w:t>万元。截至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22</w:t>
      </w:r>
      <w:r>
        <w:rPr>
          <w:spacing w:val="2"/>
        </w:rPr>
        <w:t>日止，公司向隆泰稀土货币增资</w:t>
      </w:r>
      <w:r>
        <w:rPr>
          <w:rFonts w:ascii="Times New Roman" w:hAnsi="Times New Roman" w:cs="Times New Roman" w:eastAsia="Times New Roman" w:hint="default"/>
          <w:spacing w:val="2"/>
        </w:rPr>
        <w:t>4,000</w:t>
      </w:r>
      <w:r>
        <w:rPr>
          <w:spacing w:val="2"/>
        </w:rPr>
        <w:t>万元。</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rFonts w:ascii="Times New Roman" w:hAnsi="Times New Roman" w:cs="Times New Roman" w:eastAsia="Times New Roman" w:hint="default"/>
          <w:spacing w:val="-32"/>
        </w:rPr>
        <w:t> </w:t>
      </w:r>
      <w:r>
        <w:rPr/>
        <w:t>日隆泰稀土取得增资后的营业执照。</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Heading2"/>
        <w:spacing w:line="240" w:lineRule="auto"/>
        <w:ind w:right="98"/>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12" w:right="9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610" w:lineRule="atLeast" w:before="32"/>
        <w:ind w:left="532" w:right="4514" w:hanging="420"/>
        <w:jc w:val="left"/>
        <w:rPr>
          <w:rFonts w:ascii="宋体" w:hAnsi="宋体" w:cs="宋体" w:eastAsia="宋体" w:hint="default"/>
          <w:sz w:val="24"/>
          <w:szCs w:val="24"/>
        </w:rPr>
      </w:pPr>
      <w:r>
        <w:rPr>
          <w:rFonts w:ascii="宋体" w:hAnsi="宋体" w:cs="宋体" w:eastAsia="宋体" w:hint="default"/>
          <w:b/>
          <w:bCs/>
          <w:sz w:val="24"/>
          <w:szCs w:val="24"/>
        </w:rPr>
        <w:t>九、公司未来发展的展望</w:t>
      </w:r>
      <w:r>
        <w:rPr>
          <w:rFonts w:ascii="宋体" w:hAnsi="宋体" w:cs="宋体" w:eastAsia="宋体" w:hint="default"/>
          <w:b/>
          <w:bCs/>
          <w:w w:val="99"/>
          <w:sz w:val="24"/>
          <w:szCs w:val="24"/>
        </w:rPr>
        <w:t> </w:t>
      </w:r>
      <w:r>
        <w:rPr>
          <w:rFonts w:ascii="宋体" w:hAnsi="宋体" w:cs="宋体" w:eastAsia="宋体" w:hint="default"/>
          <w:sz w:val="24"/>
          <w:szCs w:val="24"/>
        </w:rPr>
        <w:t>1、行业所处的发展趋势及面临的市场竞争格局</w:t>
      </w:r>
    </w:p>
    <w:p>
      <w:pPr>
        <w:pStyle w:val="BodyText"/>
        <w:spacing w:line="312" w:lineRule="exact" w:before="28"/>
        <w:ind w:left="532" w:right="98"/>
        <w:jc w:val="left"/>
      </w:pPr>
      <w:r>
        <w:rPr/>
        <w:t>（1）稀土镀层钢丝、钢绞线产品 </w:t>
      </w:r>
      <w:r>
        <w:rPr>
          <w:spacing w:val="2"/>
        </w:rPr>
        <w:t>公司依靠核心技术稀土镀层技术研发的稀土镀层钢丝、钢绞线产品已经占据了一定的市</w:t>
      </w:r>
    </w:p>
    <w:p>
      <w:pPr>
        <w:pStyle w:val="BodyText"/>
        <w:spacing w:line="312" w:lineRule="exact"/>
        <w:ind w:right="96"/>
        <w:jc w:val="left"/>
      </w:pPr>
      <w:r>
        <w:rPr>
          <w:spacing w:val="-2"/>
        </w:rPr>
        <w:t>场份额，产品主要销售对象为国家电网用于国内电网建设。国家“十三五”规划建议中指出：</w:t>
      </w:r>
      <w:r>
        <w:rPr/>
        <w:t> “推动低碳循环发展。推进能源革命，加快能源技术创新，建设清洁低碳、安全高效的现代</w:t>
      </w:r>
      <w:r>
        <w:rPr>
          <w:spacing w:val="-91"/>
        </w:rPr>
        <w:t> </w:t>
      </w:r>
      <w:r>
        <w:rPr>
          <w:spacing w:val="-91"/>
        </w:rPr>
      </w:r>
      <w:r>
        <w:rPr>
          <w:spacing w:val="-5"/>
        </w:rPr>
        <w:t>能源体系。加强储能和智能电网建设，发展分布式能源，推行节能低碳电力调度。”同时，国</w:t>
      </w:r>
      <w:r>
        <w:rPr>
          <w:spacing w:val="-115"/>
        </w:rPr>
        <w:t> </w:t>
      </w:r>
      <w:r>
        <w:rPr>
          <w:spacing w:val="-115"/>
        </w:rPr>
      </w:r>
      <w:r>
        <w:rPr>
          <w:spacing w:val="-6"/>
        </w:rPr>
        <w:t>家电网也表示：“‘十三五’期间，国家电网将从电网格局、建设质量、大电网安全以及创新</w:t>
      </w:r>
      <w:r>
        <w:rPr>
          <w:spacing w:val="-83"/>
        </w:rPr>
        <w:t> </w:t>
      </w:r>
      <w:r>
        <w:rPr>
          <w:spacing w:val="-83"/>
        </w:rPr>
      </w:r>
      <w:r>
        <w:rPr/>
        <w:t>发展等目标入手，构建更安全、高效、坚强的电网，保障国家能源安全，适应清洁能源大规</w:t>
      </w:r>
      <w:r>
        <w:rPr>
          <w:spacing w:val="-89"/>
        </w:rPr>
        <w:t> </w:t>
      </w:r>
      <w:r>
        <w:rPr>
          <w:spacing w:val="-89"/>
        </w:rPr>
      </w:r>
      <w:r>
        <w:rPr>
          <w:spacing w:val="-5"/>
        </w:rPr>
        <w:t>模开发和用电多样化需要，满足经济社会发展对电力的需求。”当前，我国的交流同步电网已</w:t>
      </w:r>
      <w:r>
        <w:rPr>
          <w:spacing w:val="-116"/>
        </w:rPr>
        <w:t> </w:t>
      </w:r>
      <w:r>
        <w:rPr>
          <w:spacing w:val="-116"/>
        </w:rPr>
      </w:r>
      <w:r>
        <w:rPr/>
        <w:t>经越来越不适应全国能源优化配置和清洁能源快速发展需要，亟须扩大同步电网规模，增强</w:t>
      </w:r>
      <w:r>
        <w:rPr>
          <w:spacing w:val="-89"/>
        </w:rPr>
        <w:t> </w:t>
      </w:r>
      <w:r>
        <w:rPr>
          <w:spacing w:val="-89"/>
        </w:rPr>
      </w:r>
      <w:r>
        <w:rPr/>
        <w:t>能源优化配置能力。</w:t>
      </w:r>
    </w:p>
    <w:p>
      <w:pPr>
        <w:pStyle w:val="BodyText"/>
        <w:spacing w:line="283" w:lineRule="exact"/>
        <w:ind w:left="532" w:right="98"/>
        <w:jc w:val="left"/>
      </w:pPr>
      <w:r>
        <w:rPr/>
        <w:t>为此</w:t>
      </w:r>
      <w:r>
        <w:rPr>
          <w:spacing w:val="-3"/>
        </w:rPr>
        <w:t>，</w:t>
      </w:r>
      <w:r>
        <w:rPr/>
        <w:t>国家电网预计到2025年</w:t>
      </w:r>
      <w:r>
        <w:rPr>
          <w:spacing w:val="-3"/>
        </w:rPr>
        <w:t>，</w:t>
      </w:r>
      <w:r>
        <w:rPr/>
        <w:t>建设东部</w:t>
      </w:r>
      <w:r>
        <w:rPr>
          <w:spacing w:val="-5"/>
        </w:rPr>
        <w:t>、</w:t>
      </w:r>
      <w:r>
        <w:rPr/>
        <w:t>西部电网同步联网工程</w:t>
      </w:r>
      <w:r>
        <w:rPr>
          <w:spacing w:val="-123"/>
        </w:rPr>
        <w:t>。</w:t>
      </w:r>
      <w:r>
        <w:rPr/>
        <w:t>“十三五</w:t>
      </w:r>
      <w:r>
        <w:rPr>
          <w:spacing w:val="-5"/>
        </w:rPr>
        <w:t>”</w:t>
      </w:r>
      <w:r>
        <w:rPr/>
        <w:t>期间</w:t>
      </w:r>
      <w:r>
        <w:rPr>
          <w:spacing w:val="-3"/>
        </w:rPr>
        <w:t>，</w:t>
      </w:r>
      <w:r>
        <w:rPr/>
        <w:t>将</w:t>
      </w:r>
    </w:p>
    <w:p>
      <w:pPr>
        <w:spacing w:after="0" w:line="283" w:lineRule="exact"/>
        <w:jc w:val="left"/>
        <w:sectPr>
          <w:type w:val="continuous"/>
          <w:pgSz w:w="11910" w:h="16840"/>
          <w:pgMar w:top="1100" w:bottom="1200" w:left="1020" w:right="900"/>
        </w:sectPr>
      </w:pPr>
    </w:p>
    <w:p>
      <w:pPr>
        <w:spacing w:line="240" w:lineRule="auto" w:before="9"/>
        <w:rPr>
          <w:rFonts w:ascii="宋体" w:hAnsi="宋体" w:cs="宋体" w:eastAsia="宋体" w:hint="default"/>
          <w:sz w:val="20"/>
          <w:szCs w:val="20"/>
        </w:rPr>
      </w:pPr>
    </w:p>
    <w:p>
      <w:pPr>
        <w:pStyle w:val="BodyText"/>
        <w:spacing w:line="312" w:lineRule="exact" w:before="56"/>
        <w:ind w:right="100"/>
        <w:jc w:val="left"/>
      </w:pPr>
      <w:r>
        <w:rPr>
          <w:spacing w:val="-2"/>
        </w:rPr>
        <w:t>加快同步电网优化升级整合，2017年全面建成纳入国家大气污染防治行动计划的“四交四直”</w:t>
      </w:r>
      <w:r>
        <w:rPr>
          <w:spacing w:val="-116"/>
        </w:rPr>
        <w:t> </w:t>
      </w:r>
      <w:r>
        <w:rPr>
          <w:spacing w:val="-116"/>
        </w:rPr>
      </w:r>
      <w:r>
        <w:rPr/>
        <w:t>和酒泉—湖南特高压直流工程，2020年形成东部、西部特高压交流主网架。据统计，从现在</w:t>
      </w:r>
      <w:r>
        <w:rPr>
          <w:spacing w:val="-87"/>
        </w:rPr>
        <w:t> </w:t>
      </w:r>
      <w:r>
        <w:rPr>
          <w:spacing w:val="-87"/>
        </w:rPr>
      </w:r>
      <w:r>
        <w:rPr/>
        <w:t>到“十三五”末，特高压建设线路长度和变电（换流）容量分别达到8.9万公里、7.8亿千伏</w:t>
      </w:r>
      <w:r>
        <w:rPr>
          <w:spacing w:val="-89"/>
        </w:rPr>
        <w:t> </w:t>
      </w:r>
      <w:r>
        <w:rPr>
          <w:spacing w:val="-89"/>
        </w:rPr>
      </w:r>
      <w:r>
        <w:rPr>
          <w:spacing w:val="-9"/>
        </w:rPr>
        <w:t>安（千瓦）。高强度、大规模电网建设将贯穿整个“十三五”。</w:t>
      </w:r>
    </w:p>
    <w:p>
      <w:pPr>
        <w:pStyle w:val="BodyText"/>
        <w:spacing w:line="312" w:lineRule="exact"/>
        <w:ind w:right="232" w:firstLine="420"/>
        <w:jc w:val="both"/>
      </w:pPr>
      <w:r>
        <w:rPr>
          <w:spacing w:val="2"/>
        </w:rPr>
        <w:t>从国家电网的投资规划中可以看出特高压和智能电网投资力度将是未来国家电网投资重</w:t>
      </w:r>
      <w:r>
        <w:rPr/>
        <w:t> 点，我公司产品曾多次在特高压和智能电网重点示范工程中标，产品技术水平和质量获得广</w:t>
      </w:r>
      <w:r>
        <w:rPr>
          <w:spacing w:val="-89"/>
        </w:rPr>
        <w:t> </w:t>
      </w:r>
      <w:r>
        <w:rPr>
          <w:spacing w:val="-89"/>
        </w:rPr>
      </w:r>
      <w:r>
        <w:rPr/>
        <w:t>泛认可。并且随着全国性城镇化建设、农网改造规划全面开展，也将给公司产品带来新的发</w:t>
      </w:r>
      <w:r>
        <w:rPr>
          <w:spacing w:val="-89"/>
        </w:rPr>
        <w:t> </w:t>
      </w:r>
      <w:r>
        <w:rPr>
          <w:spacing w:val="-89"/>
        </w:rPr>
      </w:r>
      <w:r>
        <w:rPr/>
        <w:t>展机遇。</w:t>
      </w:r>
    </w:p>
    <w:p>
      <w:pPr>
        <w:pStyle w:val="BodyText"/>
        <w:spacing w:line="312" w:lineRule="exact"/>
        <w:ind w:left="532" w:right="98"/>
        <w:jc w:val="left"/>
      </w:pPr>
      <w:r>
        <w:rPr/>
        <w:t>（2）PC钢绞线产品 </w:t>
      </w:r>
      <w:r>
        <w:rPr>
          <w:spacing w:val="-4"/>
        </w:rPr>
        <w:t>公司PC钢绞线产品主要应用于水利、铁路、桥梁、地铁、机场等基础建设。“十三五”期</w:t>
      </w:r>
    </w:p>
    <w:p>
      <w:pPr>
        <w:pStyle w:val="BodyText"/>
        <w:spacing w:line="312" w:lineRule="exact"/>
        <w:ind w:right="230"/>
        <w:jc w:val="both"/>
      </w:pPr>
      <w:r>
        <w:rPr/>
        <w:t>间，全社会固定资产投资规模预计仍将较快增长，包括铁路、公路、交通、能源、电网等国</w:t>
      </w:r>
      <w:r>
        <w:rPr>
          <w:spacing w:val="-89"/>
        </w:rPr>
        <w:t> </w:t>
      </w:r>
      <w:r>
        <w:rPr>
          <w:spacing w:val="-89"/>
        </w:rPr>
      </w:r>
      <w:r>
        <w:rPr/>
        <w:t>家建设项目和地方建设项目仍然是主要投资方向，此外，产业结构调整和增长方式转变以及</w:t>
      </w:r>
      <w:r>
        <w:rPr>
          <w:spacing w:val="-89"/>
        </w:rPr>
        <w:t> </w:t>
      </w:r>
      <w:r>
        <w:rPr>
          <w:spacing w:val="-89"/>
        </w:rPr>
      </w:r>
      <w:r>
        <w:rPr>
          <w:spacing w:val="-5"/>
        </w:rPr>
        <w:t>战略性新兴产业的快速发展、西部大开发、“一带一路”建设等国家战略的进一步实施，必将</w:t>
      </w:r>
      <w:r>
        <w:rPr>
          <w:spacing w:val="-118"/>
        </w:rPr>
        <w:t> </w:t>
      </w:r>
      <w:r>
        <w:rPr>
          <w:spacing w:val="-118"/>
        </w:rPr>
      </w:r>
      <w:r>
        <w:rPr/>
        <w:t>为公司所处的金属制品行业创造良好的宏观经济环境，尤其是国家为了保持经济的稳定性，</w:t>
      </w:r>
      <w:r>
        <w:rPr>
          <w:spacing w:val="-89"/>
        </w:rPr>
        <w:t> </w:t>
      </w:r>
      <w:r>
        <w:rPr>
          <w:spacing w:val="-89"/>
        </w:rPr>
      </w:r>
      <w:r>
        <w:rPr/>
        <w:t>将重点加快铁路建设尤其是西部铁路的建设，这些机遇将使公司新产品PC钢绞线随之受益。</w:t>
      </w:r>
    </w:p>
    <w:p>
      <w:pPr>
        <w:spacing w:line="240" w:lineRule="auto" w:before="11"/>
        <w:rPr>
          <w:rFonts w:ascii="宋体" w:hAnsi="宋体" w:cs="宋体" w:eastAsia="宋体" w:hint="default"/>
          <w:sz w:val="23"/>
          <w:szCs w:val="23"/>
        </w:rPr>
      </w:pPr>
    </w:p>
    <w:p>
      <w:pPr>
        <w:pStyle w:val="BodyText"/>
        <w:spacing w:line="312" w:lineRule="exact"/>
        <w:ind w:left="532" w:right="98"/>
        <w:jc w:val="left"/>
      </w:pPr>
      <w:r>
        <w:rPr/>
        <w:t>2、发展战略 </w:t>
      </w:r>
      <w:r>
        <w:rPr>
          <w:spacing w:val="2"/>
        </w:rPr>
        <w:t>在未来的经营中，公司将紧紧围绕电力行业和基建行业“十三五规划”为金属制品行业</w:t>
      </w:r>
    </w:p>
    <w:p>
      <w:pPr>
        <w:pStyle w:val="BodyText"/>
        <w:spacing w:line="312" w:lineRule="exact"/>
        <w:ind w:right="98"/>
        <w:jc w:val="left"/>
      </w:pPr>
      <w:r>
        <w:rPr/>
        <w:t>带来的机遇，继续稳固国内市场地位，大力实施国际化战略，扩大产能和销量，不断扩大公</w:t>
      </w:r>
      <w:r>
        <w:rPr>
          <w:spacing w:val="-89"/>
        </w:rPr>
        <w:t> </w:t>
      </w:r>
      <w:r>
        <w:rPr>
          <w:spacing w:val="-89"/>
        </w:rPr>
      </w:r>
      <w:r>
        <w:rPr/>
        <w:t>司在国内和国际上的影响力和占有率，将公司做大做强。</w:t>
      </w:r>
    </w:p>
    <w:p>
      <w:pPr>
        <w:pStyle w:val="BodyText"/>
        <w:spacing w:line="312" w:lineRule="exact"/>
        <w:ind w:right="233" w:firstLine="420"/>
        <w:jc w:val="both"/>
      </w:pPr>
      <w:r>
        <w:rPr>
          <w:spacing w:val="2"/>
        </w:rPr>
        <w:t>同时公司作为国家级高新技术企业，将继续加大研发投入和市场调研，以现有稀土镀层</w:t>
      </w:r>
      <w:r>
        <w:rPr/>
        <w:t> 技术为核心，抓住市场机遇，拓宽应用领域，不断取得更好更快的发展。</w:t>
      </w:r>
    </w:p>
    <w:p>
      <w:pPr>
        <w:spacing w:line="240" w:lineRule="auto" w:before="11"/>
        <w:rPr>
          <w:rFonts w:ascii="宋体" w:hAnsi="宋体" w:cs="宋体" w:eastAsia="宋体" w:hint="default"/>
          <w:sz w:val="23"/>
          <w:szCs w:val="23"/>
        </w:rPr>
      </w:pPr>
    </w:p>
    <w:p>
      <w:pPr>
        <w:pStyle w:val="BodyText"/>
        <w:spacing w:line="312" w:lineRule="exact"/>
        <w:ind w:left="532" w:right="98"/>
        <w:jc w:val="left"/>
      </w:pPr>
      <w:r>
        <w:rPr/>
        <w:t>3、2016年公司经营计划 </w:t>
      </w:r>
      <w:r>
        <w:rPr>
          <w:spacing w:val="2"/>
        </w:rPr>
        <w:t>公司将继续稳中求进，聚集核心竞争力，提升经济增长的质量和效益，稳健投资决策和</w:t>
      </w:r>
    </w:p>
    <w:p>
      <w:pPr>
        <w:pStyle w:val="BodyText"/>
        <w:spacing w:line="282" w:lineRule="exact"/>
        <w:ind w:right="98"/>
        <w:jc w:val="left"/>
      </w:pPr>
      <w:r>
        <w:rPr/>
        <w:t>发展步伐，坚持创新理念，提高公司发展的全面性、协调性和可持续性。</w:t>
      </w:r>
    </w:p>
    <w:p>
      <w:pPr>
        <w:pStyle w:val="BodyText"/>
        <w:spacing w:line="312" w:lineRule="exact" w:before="29"/>
        <w:ind w:left="532" w:right="98"/>
        <w:jc w:val="left"/>
      </w:pPr>
      <w:r>
        <w:rPr/>
        <w:t>①立足主业，巩固优势，促进转型升级 </w:t>
      </w:r>
      <w:r>
        <w:rPr>
          <w:spacing w:val="2"/>
        </w:rPr>
        <w:t>公司在2015年的基础上，要重点抓好产能的发挥，做精做优金属制品主业，巩固现有优</w:t>
      </w:r>
    </w:p>
    <w:p>
      <w:pPr>
        <w:pStyle w:val="BodyText"/>
        <w:spacing w:line="282" w:lineRule="exact"/>
        <w:ind w:right="98"/>
        <w:jc w:val="left"/>
      </w:pPr>
      <w:r>
        <w:rPr/>
        <w:t>势，促进产品转型升级，推进公司健康发展。</w:t>
      </w:r>
    </w:p>
    <w:p>
      <w:pPr>
        <w:pStyle w:val="BodyText"/>
        <w:spacing w:line="312" w:lineRule="exact" w:before="29"/>
        <w:ind w:left="532" w:right="98"/>
        <w:jc w:val="left"/>
      </w:pPr>
      <w:r>
        <w:rPr/>
        <w:t>②推进技术进步，增强创新能力 </w:t>
      </w:r>
      <w:r>
        <w:rPr>
          <w:spacing w:val="2"/>
        </w:rPr>
        <w:t>公司仍然要坚持科技创新的发展战略定位，突出核心技术的形成和非核心技术的改进提</w:t>
      </w:r>
    </w:p>
    <w:p>
      <w:pPr>
        <w:pStyle w:val="BodyText"/>
        <w:spacing w:line="312" w:lineRule="exact"/>
        <w:ind w:right="98"/>
        <w:jc w:val="left"/>
      </w:pPr>
      <w:r>
        <w:rPr/>
        <w:t>升。2016年要积极推进科技创新服务于公司产品结构的能力，进一步加强生产运营过程工艺</w:t>
      </w:r>
      <w:r>
        <w:rPr>
          <w:spacing w:val="-87"/>
        </w:rPr>
        <w:t> </w:t>
      </w:r>
      <w:r>
        <w:rPr>
          <w:spacing w:val="-87"/>
        </w:rPr>
      </w:r>
      <w:r>
        <w:rPr/>
        <w:t>优化和成本优化，加大技改投入，提升产品市场竞争力，提高经济运行质量。</w:t>
      </w:r>
    </w:p>
    <w:p>
      <w:pPr>
        <w:pStyle w:val="BodyText"/>
        <w:spacing w:line="312" w:lineRule="exact"/>
        <w:ind w:left="532" w:right="98"/>
        <w:jc w:val="left"/>
      </w:pPr>
      <w:r>
        <w:rPr/>
        <w:t>③拓宽市场销售渠道，加大营销力度 </w:t>
      </w:r>
      <w:r>
        <w:rPr>
          <w:spacing w:val="2"/>
        </w:rPr>
        <w:t>面对严峻的市场形势，把握市场行情，抓住机遇，及时调整营销策略，整合资源，增强</w:t>
      </w:r>
    </w:p>
    <w:p>
      <w:pPr>
        <w:pStyle w:val="BodyText"/>
        <w:spacing w:line="312" w:lineRule="exact"/>
        <w:ind w:right="98"/>
        <w:jc w:val="left"/>
      </w:pPr>
      <w:r>
        <w:rPr/>
        <w:t>渠道控制力，提高产品销量。公司将结合国家加大重点电网建设、城镇化建设、农网改造建</w:t>
      </w:r>
      <w:r>
        <w:rPr>
          <w:spacing w:val="-89"/>
        </w:rPr>
        <w:t> </w:t>
      </w:r>
      <w:r>
        <w:rPr>
          <w:spacing w:val="-89"/>
        </w:rPr>
      </w:r>
      <w:r>
        <w:rPr>
          <w:spacing w:val="-3"/>
        </w:rPr>
        <w:t>设等发展契机，以及外贸市场的发展需要，稳步提高公司的销售市场，扩大产品的销售领域。</w:t>
      </w:r>
    </w:p>
    <w:p>
      <w:pPr>
        <w:pStyle w:val="BodyText"/>
        <w:spacing w:line="312" w:lineRule="exact"/>
        <w:ind w:left="532" w:right="98"/>
        <w:jc w:val="left"/>
      </w:pPr>
      <w:r>
        <w:rPr/>
        <w:t>④落实内控制度，提高管理效益 </w:t>
      </w:r>
      <w:r>
        <w:rPr>
          <w:spacing w:val="2"/>
        </w:rPr>
        <w:t>继续积极稳妥推进以源头治理和过程控制为核心的企业内控体系，健全和完善公司管控</w:t>
      </w:r>
    </w:p>
    <w:p>
      <w:pPr>
        <w:pStyle w:val="BodyText"/>
        <w:spacing w:line="282" w:lineRule="exact"/>
        <w:ind w:right="98"/>
        <w:jc w:val="left"/>
      </w:pPr>
      <w:r>
        <w:rPr/>
        <w:t>制度，全面提升公司管理水平，强化风险防范能力，促进战略发展目标的实现。</w:t>
      </w:r>
    </w:p>
    <w:p>
      <w:pPr>
        <w:pStyle w:val="BodyText"/>
        <w:spacing w:line="312" w:lineRule="exact" w:before="29"/>
        <w:ind w:left="532" w:right="234"/>
        <w:jc w:val="left"/>
      </w:pPr>
      <w:r>
        <w:rPr/>
        <w:t>⑤继续抓好员工队伍建设，强调技能员工的重要性 </w:t>
      </w:r>
      <w:r>
        <w:rPr>
          <w:spacing w:val="2"/>
        </w:rPr>
        <w:t>队伍建设向来是公司管理工作的重点。2016年，要继续稳定员工队伍，坚持以人为本，</w:t>
      </w:r>
    </w:p>
    <w:p>
      <w:pPr>
        <w:pStyle w:val="BodyText"/>
        <w:spacing w:line="312" w:lineRule="exact"/>
        <w:ind w:right="98"/>
        <w:jc w:val="left"/>
      </w:pPr>
      <w:r>
        <w:rPr/>
        <w:t>坚定不移地走人才强企之路，持续推进经营管理人才、专业技术人才队伍建设，尤其加强管</w:t>
      </w:r>
      <w:r>
        <w:rPr>
          <w:spacing w:val="-89"/>
        </w:rPr>
        <w:t> </w:t>
      </w:r>
      <w:r>
        <w:rPr>
          <w:spacing w:val="-89"/>
        </w:rPr>
      </w:r>
      <w:r>
        <w:rPr/>
        <w:t>理队伍、研发队伍和生产骨干队伍的建设。推进岗位技能培训和员工转岗培训，建立改善职</w:t>
      </w:r>
    </w:p>
    <w:p>
      <w:pPr>
        <w:spacing w:after="0" w:line="312" w:lineRule="exact"/>
        <w:jc w:val="left"/>
        <w:sectPr>
          <w:pgSz w:w="11910" w:h="16840"/>
          <w:pgMar w:header="907" w:footer="1016" w:top="1100" w:bottom="1200" w:left="1020" w:right="900"/>
        </w:sectPr>
      </w:pPr>
    </w:p>
    <w:p>
      <w:pPr>
        <w:spacing w:line="240" w:lineRule="auto" w:before="9"/>
        <w:rPr>
          <w:rFonts w:ascii="宋体" w:hAnsi="宋体" w:cs="宋体" w:eastAsia="宋体" w:hint="default"/>
          <w:sz w:val="20"/>
          <w:szCs w:val="20"/>
        </w:rPr>
      </w:pPr>
    </w:p>
    <w:p>
      <w:pPr>
        <w:pStyle w:val="BodyText"/>
        <w:spacing w:line="240" w:lineRule="auto" w:before="26"/>
        <w:ind w:right="0"/>
        <w:jc w:val="left"/>
      </w:pPr>
      <w:r>
        <w:rPr/>
        <w:t>工生活、生产环境和劳动强度的长效机制。</w:t>
      </w:r>
    </w:p>
    <w:p>
      <w:pPr>
        <w:spacing w:line="240" w:lineRule="auto" w:before="0"/>
        <w:rPr>
          <w:rFonts w:ascii="宋体" w:hAnsi="宋体" w:cs="宋体" w:eastAsia="宋体" w:hint="default"/>
          <w:sz w:val="26"/>
          <w:szCs w:val="26"/>
        </w:rPr>
      </w:pPr>
    </w:p>
    <w:p>
      <w:pPr>
        <w:pStyle w:val="BodyText"/>
        <w:spacing w:line="312" w:lineRule="exact"/>
        <w:ind w:left="532" w:right="0"/>
        <w:jc w:val="left"/>
      </w:pPr>
      <w:r>
        <w:rPr/>
        <w:t>4、可能面对的风险 </w:t>
      </w:r>
      <w:r>
        <w:rPr>
          <w:spacing w:val="2"/>
        </w:rPr>
        <w:t>公司面对的业务风险，包括日常业务过程中的政策风险、经营风险、汇率风险、财务风</w:t>
      </w:r>
    </w:p>
    <w:p>
      <w:pPr>
        <w:pStyle w:val="BodyText"/>
        <w:spacing w:line="282" w:lineRule="exact"/>
        <w:ind w:right="0"/>
        <w:jc w:val="left"/>
      </w:pPr>
      <w:r>
        <w:rPr/>
        <w:t>险。</w:t>
      </w:r>
    </w:p>
    <w:p>
      <w:pPr>
        <w:pStyle w:val="BodyText"/>
        <w:spacing w:line="312" w:lineRule="exact" w:before="29"/>
        <w:ind w:right="113" w:firstLine="420"/>
        <w:jc w:val="both"/>
      </w:pPr>
      <w:r>
        <w:rPr>
          <w:spacing w:val="2"/>
        </w:rPr>
        <w:t>①政策风险：由于公司最终客户主要是国家电网，虽然近年国家电网投资逐年加大，但</w:t>
      </w:r>
      <w:r>
        <w:rPr/>
        <w:t> 仍存在投资政策变动风险。</w:t>
      </w:r>
    </w:p>
    <w:p>
      <w:pPr>
        <w:pStyle w:val="BodyText"/>
        <w:spacing w:line="312" w:lineRule="exact"/>
        <w:ind w:right="113" w:firstLine="420"/>
        <w:jc w:val="both"/>
      </w:pPr>
      <w:r>
        <w:rPr>
          <w:spacing w:val="2"/>
        </w:rPr>
        <w:t>②经营风险：公司产品受市场原材料价格波动影响，从而导致对成本的准确控制存在一</w:t>
      </w:r>
      <w:r>
        <w:rPr/>
        <w:t> 定的经营风险。</w:t>
      </w:r>
    </w:p>
    <w:p>
      <w:pPr>
        <w:pStyle w:val="BodyText"/>
        <w:spacing w:line="312" w:lineRule="exact"/>
        <w:ind w:right="112" w:firstLine="420"/>
        <w:jc w:val="both"/>
      </w:pPr>
      <w:r>
        <w:rPr>
          <w:spacing w:val="2"/>
        </w:rPr>
        <w:t>③汇率风险：公司自营进出口业务，公司出口产品交易结算货币主要为美元、欧元。公</w:t>
      </w:r>
      <w:r>
        <w:rPr/>
        <w:t> 司的记账本位币为人民币，随着公司海外业务规模不断扩大，外汇收入增加，如果国家的外</w:t>
      </w:r>
      <w:r>
        <w:rPr>
          <w:spacing w:val="-89"/>
        </w:rPr>
        <w:t> </w:t>
      </w:r>
      <w:r>
        <w:rPr>
          <w:spacing w:val="-89"/>
        </w:rPr>
      </w:r>
      <w:r>
        <w:rPr/>
        <w:t>汇政策发生变化，或人民币汇率水平发生较大波动，将会对公司的收入构成影响。但在公司</w:t>
      </w:r>
      <w:r>
        <w:rPr>
          <w:spacing w:val="-89"/>
        </w:rPr>
        <w:t> </w:t>
      </w:r>
      <w:r>
        <w:rPr>
          <w:spacing w:val="-89"/>
        </w:rPr>
      </w:r>
      <w:r>
        <w:rPr/>
        <w:t>主要业务集中在国内的情况下，汇率风险对公司影响有限。</w:t>
      </w:r>
    </w:p>
    <w:p>
      <w:pPr>
        <w:pStyle w:val="BodyText"/>
        <w:spacing w:line="283" w:lineRule="exact"/>
        <w:ind w:left="532" w:right="0"/>
        <w:jc w:val="left"/>
      </w:pPr>
      <w:r>
        <w:rPr/>
        <w:t>④财务风险：客户延迟付款可能影响公司的营运资金和现金流量。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8"/>
          <w:szCs w:val="28"/>
        </w:rPr>
      </w:pPr>
    </w:p>
    <w:p>
      <w:pPr>
        <w:pStyle w:val="Heading2"/>
        <w:spacing w:line="240" w:lineRule="auto"/>
        <w:ind w:right="0"/>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2" w:right="10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 者关系活动记录表</w:t>
            </w:r>
          </w:p>
        </w:tc>
      </w:tr>
    </w:tbl>
    <w:p>
      <w:pPr>
        <w:spacing w:after="0" w:line="300" w:lineRule="auto"/>
        <w:jc w:val="left"/>
        <w:rPr>
          <w:rFonts w:ascii="宋体" w:hAnsi="宋体" w:cs="宋体" w:eastAsia="宋体" w:hint="default"/>
          <w:sz w:val="18"/>
          <w:szCs w:val="18"/>
        </w:rPr>
        <w:sectPr>
          <w:footerReference w:type="default" r:id="rId16"/>
          <w:pgSz w:w="11910" w:h="16840"/>
          <w:pgMar w:footer="1016" w:header="907" w:top="1100" w:bottom="1200" w:left="1020" w:right="1020"/>
          <w:pgNumType w:star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711" w:right="3711"/>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312" w:lineRule="exact" w:before="99"/>
        <w:ind w:right="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日召开了</w:t>
      </w:r>
      <w:r>
        <w:rPr>
          <w:rFonts w:ascii="Times New Roman" w:hAnsi="Times New Roman" w:cs="Times New Roman" w:eastAsia="Times New Roman" w:hint="default"/>
        </w:rPr>
        <w:t>2014</w:t>
      </w:r>
      <w:r>
        <w:rPr/>
        <w:t>年度股东大会，审议通过了《关于</w:t>
      </w:r>
      <w:r>
        <w:rPr>
          <w:rFonts w:ascii="Times New Roman" w:hAnsi="Times New Roman" w:cs="Times New Roman" w:eastAsia="Times New Roman" w:hint="default"/>
        </w:rPr>
        <w:t>2014</w:t>
      </w:r>
      <w:r>
        <w:rPr/>
        <w:t>年度利润分配预 </w:t>
      </w:r>
      <w:r>
        <w:rPr>
          <w:spacing w:val="-2"/>
        </w:rPr>
        <w:t>案的议案》具体内容为：公司以截至2014年12月31日公司股份总数</w:t>
      </w:r>
      <w:r>
        <w:rPr>
          <w:rFonts w:ascii="Times New Roman" w:hAnsi="Times New Roman" w:cs="Times New Roman" w:eastAsia="Times New Roman" w:hint="default"/>
          <w:spacing w:val="-2"/>
        </w:rPr>
        <w:t>77,830,780</w:t>
      </w:r>
      <w:r>
        <w:rPr>
          <w:spacing w:val="-2"/>
        </w:rPr>
        <w:t>股为基数，以资</w:t>
      </w:r>
      <w:r>
        <w:rPr>
          <w:spacing w:val="-103"/>
        </w:rPr>
        <w:t> </w:t>
      </w:r>
      <w:r>
        <w:rPr>
          <w:spacing w:val="-103"/>
        </w:rPr>
      </w:r>
      <w:r>
        <w:rPr/>
        <w:t>本公积向股东每10股转增</w:t>
      </w:r>
      <w:r>
        <w:rPr>
          <w:rFonts w:ascii="Times New Roman" w:hAnsi="Times New Roman" w:cs="Times New Roman" w:eastAsia="Times New Roman" w:hint="default"/>
        </w:rPr>
        <w:t>5</w:t>
      </w:r>
      <w:r>
        <w:rPr/>
        <w:t>股，合计转增股本</w:t>
      </w:r>
      <w:r>
        <w:rPr>
          <w:rFonts w:ascii="Times New Roman" w:hAnsi="Times New Roman" w:cs="Times New Roman" w:eastAsia="Times New Roman" w:hint="default"/>
        </w:rPr>
        <w:t>38,915,390</w:t>
      </w:r>
      <w:r>
        <w:rPr/>
        <w:t>股，转增股本后公司总股本变更为 </w:t>
      </w:r>
      <w:r>
        <w:rPr>
          <w:rFonts w:ascii="Times New Roman" w:hAnsi="Times New Roman" w:cs="Times New Roman" w:eastAsia="Times New Roman" w:hint="default"/>
        </w:rPr>
        <w:t>116,746,170</w:t>
      </w:r>
      <w:r>
        <w:rPr/>
        <w:t>股，剩余未分配利润结转以后年度分配。本年度不派现金，不送红股。该利润分 配方案已于</w:t>
      </w:r>
      <w:r>
        <w:rPr>
          <w:rFonts w:ascii="Times New Roman" w:hAnsi="Times New Roman" w:cs="Times New Roman" w:eastAsia="Times New Roman" w:hint="default"/>
        </w:rPr>
        <w:t>2015</w:t>
      </w:r>
      <w:r>
        <w:rPr/>
        <w:t>年7月16日实施完毕。 </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日召开了2015年第一次临时股东大会，审议通过了《关于</w:t>
      </w:r>
      <w:r>
        <w:rPr>
          <w:rFonts w:ascii="Times New Roman" w:hAnsi="Times New Roman" w:cs="Times New Roman" w:eastAsia="Times New Roman" w:hint="default"/>
        </w:rPr>
        <w:t>2015</w:t>
      </w:r>
      <w:r>
        <w:rPr/>
        <w:t>年半年 度利润分配预案的议案》具体内容为：以公司现有总股本</w:t>
      </w:r>
      <w:r>
        <w:rPr>
          <w:rFonts w:ascii="Times New Roman" w:hAnsi="Times New Roman" w:cs="Times New Roman" w:eastAsia="Times New Roman" w:hint="default"/>
        </w:rPr>
        <w:t>116,746,170</w:t>
      </w:r>
      <w:r>
        <w:rPr/>
        <w:t>股为基数，向全体股东 </w:t>
      </w:r>
      <w:r>
        <w:rPr>
          <w:spacing w:val="-4"/>
        </w:rPr>
        <w:t>每10股派</w:t>
      </w:r>
      <w:r>
        <w:rPr>
          <w:rFonts w:ascii="Times New Roman" w:hAnsi="Times New Roman" w:cs="Times New Roman" w:eastAsia="Times New Roman" w:hint="default"/>
          <w:spacing w:val="-4"/>
        </w:rPr>
        <w:t>3.00</w:t>
      </w:r>
      <w:r>
        <w:rPr>
          <w:spacing w:val="-4"/>
        </w:rPr>
        <w:t>元人民币现金（含税），共计分配现金股利</w:t>
      </w:r>
      <w:r>
        <w:rPr>
          <w:rFonts w:ascii="Times New Roman" w:hAnsi="Times New Roman" w:cs="Times New Roman" w:eastAsia="Times New Roman" w:hint="default"/>
          <w:spacing w:val="-4"/>
        </w:rPr>
        <w:t>35,023,851.00</w:t>
      </w:r>
      <w:r>
        <w:rPr>
          <w:spacing w:val="-4"/>
        </w:rPr>
        <w:t>元，剩余10,817,163.49</w:t>
      </w:r>
      <w:r>
        <w:rPr>
          <w:spacing w:val="-91"/>
        </w:rPr>
        <w:t> </w:t>
      </w:r>
      <w:r>
        <w:rPr>
          <w:spacing w:val="-91"/>
        </w:rPr>
      </w:r>
      <w:r>
        <w:rPr/>
        <w:t>元未分配利润结转以后年度分配。本次不进行公积金转增股本、不送红股。该利润分配方案 已于</w:t>
      </w:r>
      <w:r>
        <w:rPr>
          <w:rFonts w:ascii="Times New Roman" w:hAnsi="Times New Roman" w:cs="Times New Roman" w:eastAsia="Times New Roman" w:hint="default"/>
        </w:rPr>
        <w:t>2015</w:t>
      </w:r>
      <w:r>
        <w:rPr/>
        <w:t>年9月30日实施完毕。</w:t>
      </w:r>
    </w:p>
    <w:p>
      <w:pPr>
        <w:spacing w:line="240" w:lineRule="auto" w:before="6"/>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264" w:lineRule="auto" w:before="78"/>
        <w:ind w:left="112"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1</w:t>
      </w:r>
      <w:r>
        <w:rPr>
          <w:rFonts w:ascii="宋体" w:hAnsi="宋体" w:cs="宋体" w:eastAsia="宋体" w:hint="default"/>
          <w:spacing w:val="-1"/>
          <w:w w:val="95"/>
          <w:sz w:val="21"/>
          <w:szCs w:val="21"/>
        </w:rPr>
        <w:t>、2013年半年度利润分配方案：以公司现有总股本</w:t>
      </w:r>
      <w:r>
        <w:rPr>
          <w:rFonts w:ascii="Times New Roman" w:hAnsi="Times New Roman" w:cs="Times New Roman" w:eastAsia="Times New Roman" w:hint="default"/>
          <w:spacing w:val="-1"/>
          <w:w w:val="95"/>
          <w:sz w:val="21"/>
          <w:szCs w:val="21"/>
        </w:rPr>
        <w:t>77,830,780</w:t>
      </w:r>
      <w:r>
        <w:rPr>
          <w:rFonts w:ascii="宋体" w:hAnsi="宋体" w:cs="宋体" w:eastAsia="宋体" w:hint="default"/>
          <w:spacing w:val="-1"/>
          <w:w w:val="95"/>
          <w:sz w:val="21"/>
          <w:szCs w:val="21"/>
        </w:rPr>
        <w:t>股为基数，向全体股东每</w:t>
      </w:r>
      <w:r>
        <w:rPr>
          <w:rFonts w:ascii="Times New Roman" w:hAnsi="Times New Roman" w:cs="Times New Roman" w:eastAsia="Times New Roman" w:hint="default"/>
          <w:spacing w:val="-1"/>
          <w:w w:val="95"/>
          <w:sz w:val="21"/>
          <w:szCs w:val="21"/>
        </w:rPr>
        <w:t>10</w:t>
      </w:r>
      <w:r>
        <w:rPr>
          <w:rFonts w:ascii="宋体" w:hAnsi="宋体" w:cs="宋体" w:eastAsia="宋体" w:hint="default"/>
          <w:spacing w:val="-1"/>
          <w:w w:val="95"/>
          <w:sz w:val="21"/>
          <w:szCs w:val="21"/>
        </w:rPr>
        <w:t>股派</w:t>
      </w:r>
      <w:r>
        <w:rPr>
          <w:rFonts w:ascii="Times New Roman" w:hAnsi="Times New Roman" w:cs="Times New Roman" w:eastAsia="Times New Roman" w:hint="default"/>
          <w:spacing w:val="-1"/>
          <w:w w:val="95"/>
          <w:sz w:val="21"/>
          <w:szCs w:val="21"/>
        </w:rPr>
        <w:t>2.5</w:t>
      </w:r>
      <w:r>
        <w:rPr>
          <w:rFonts w:ascii="宋体" w:hAnsi="宋体" w:cs="宋体" w:eastAsia="宋体" w:hint="default"/>
          <w:spacing w:val="-1"/>
          <w:w w:val="95"/>
          <w:sz w:val="21"/>
          <w:szCs w:val="21"/>
        </w:rPr>
        <w:t>元人民币</w:t>
      </w:r>
      <w:r>
        <w:rPr>
          <w:rFonts w:ascii="宋体" w:hAnsi="宋体" w:cs="宋体" w:eastAsia="宋体" w:hint="default"/>
          <w:spacing w:val="48"/>
          <w:w w:val="95"/>
          <w:sz w:val="21"/>
          <w:szCs w:val="21"/>
        </w:rPr>
        <w:t> </w:t>
      </w:r>
      <w:r>
        <w:rPr>
          <w:rFonts w:ascii="宋体" w:hAnsi="宋体" w:cs="宋体" w:eastAsia="宋体" w:hint="default"/>
          <w:spacing w:val="48"/>
          <w:w w:val="95"/>
          <w:sz w:val="21"/>
          <w:szCs w:val="21"/>
        </w:rPr>
      </w:r>
      <w:r>
        <w:rPr>
          <w:rFonts w:ascii="宋体" w:hAnsi="宋体" w:cs="宋体" w:eastAsia="宋体" w:hint="default"/>
          <w:spacing w:val="-3"/>
          <w:w w:val="99"/>
          <w:sz w:val="21"/>
          <w:szCs w:val="21"/>
        </w:rPr>
        <w:t>现金（含税）；本次不进行公积金转增股本，不送红股。已实施完毕。</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Times New Roman" w:hAnsi="Times New Roman" w:cs="Times New Roman" w:eastAsia="Times New Roman" w:hint="default"/>
          <w:spacing w:val="-1"/>
          <w:w w:val="95"/>
          <w:sz w:val="21"/>
          <w:szCs w:val="21"/>
        </w:rPr>
        <w:t>2</w:t>
      </w:r>
      <w:r>
        <w:rPr>
          <w:rFonts w:ascii="宋体" w:hAnsi="宋体" w:cs="宋体" w:eastAsia="宋体" w:hint="default"/>
          <w:spacing w:val="-1"/>
          <w:w w:val="95"/>
          <w:sz w:val="21"/>
          <w:szCs w:val="21"/>
        </w:rPr>
        <w:t>、</w:t>
      </w:r>
      <w:r>
        <w:rPr>
          <w:rFonts w:ascii="Times New Roman" w:hAnsi="Times New Roman" w:cs="Times New Roman" w:eastAsia="Times New Roman" w:hint="default"/>
          <w:spacing w:val="-1"/>
          <w:w w:val="95"/>
          <w:sz w:val="21"/>
          <w:szCs w:val="21"/>
        </w:rPr>
        <w:t>2013</w:t>
      </w:r>
      <w:r>
        <w:rPr>
          <w:rFonts w:ascii="宋体" w:hAnsi="宋体" w:cs="宋体" w:eastAsia="宋体" w:hint="default"/>
          <w:spacing w:val="-1"/>
          <w:w w:val="95"/>
          <w:sz w:val="21"/>
          <w:szCs w:val="21"/>
        </w:rPr>
        <w:t>年度利润分配方案：以公司现有总股本</w:t>
      </w:r>
      <w:r>
        <w:rPr>
          <w:rFonts w:ascii="Times New Roman" w:hAnsi="Times New Roman" w:cs="Times New Roman" w:eastAsia="Times New Roman" w:hint="default"/>
          <w:spacing w:val="-1"/>
          <w:w w:val="95"/>
          <w:sz w:val="21"/>
          <w:szCs w:val="21"/>
        </w:rPr>
        <w:t>77,830,780</w:t>
      </w:r>
      <w:r>
        <w:rPr>
          <w:rFonts w:ascii="宋体" w:hAnsi="宋体" w:cs="宋体" w:eastAsia="宋体" w:hint="default"/>
          <w:spacing w:val="-1"/>
          <w:w w:val="95"/>
          <w:sz w:val="21"/>
          <w:szCs w:val="21"/>
        </w:rPr>
        <w:t>股为基数，向全体股东每</w:t>
      </w:r>
      <w:r>
        <w:rPr>
          <w:rFonts w:ascii="Times New Roman" w:hAnsi="Times New Roman" w:cs="Times New Roman" w:eastAsia="Times New Roman" w:hint="default"/>
          <w:spacing w:val="-1"/>
          <w:w w:val="95"/>
          <w:sz w:val="21"/>
          <w:szCs w:val="21"/>
        </w:rPr>
        <w:t>10</w:t>
      </w:r>
      <w:r>
        <w:rPr>
          <w:rFonts w:ascii="宋体" w:hAnsi="宋体" w:cs="宋体" w:eastAsia="宋体" w:hint="default"/>
          <w:spacing w:val="-1"/>
          <w:w w:val="95"/>
          <w:sz w:val="21"/>
          <w:szCs w:val="21"/>
        </w:rPr>
        <w:t>股派</w:t>
      </w:r>
      <w:r>
        <w:rPr>
          <w:rFonts w:ascii="Times New Roman" w:hAnsi="Times New Roman" w:cs="Times New Roman" w:eastAsia="Times New Roman" w:hint="default"/>
          <w:spacing w:val="-1"/>
          <w:w w:val="95"/>
          <w:sz w:val="21"/>
          <w:szCs w:val="21"/>
        </w:rPr>
        <w:t>1.0</w:t>
      </w:r>
      <w:r>
        <w:rPr>
          <w:rFonts w:ascii="宋体" w:hAnsi="宋体" w:cs="宋体" w:eastAsia="宋体" w:hint="default"/>
          <w:spacing w:val="-1"/>
          <w:w w:val="95"/>
          <w:sz w:val="21"/>
          <w:szCs w:val="21"/>
        </w:rPr>
        <w:t>元人民币现金</w:t>
      </w:r>
      <w:r>
        <w:rPr>
          <w:rFonts w:ascii="宋体" w:hAnsi="宋体" w:cs="宋体" w:eastAsia="宋体" w:hint="default"/>
          <w:spacing w:val="-1"/>
          <w:sz w:val="21"/>
          <w:szCs w:val="21"/>
        </w:rPr>
      </w:r>
    </w:p>
    <w:p>
      <w:pPr>
        <w:spacing w:line="266" w:lineRule="auto" w:before="0"/>
        <w:ind w:left="112" w:right="0" w:firstLine="0"/>
        <w:jc w:val="left"/>
        <w:rPr>
          <w:rFonts w:ascii="宋体" w:hAnsi="宋体" w:cs="宋体" w:eastAsia="宋体" w:hint="default"/>
          <w:sz w:val="21"/>
          <w:szCs w:val="21"/>
        </w:rPr>
      </w:pPr>
      <w:r>
        <w:rPr>
          <w:rFonts w:ascii="宋体" w:hAnsi="宋体" w:cs="宋体" w:eastAsia="宋体" w:hint="default"/>
          <w:spacing w:val="-4"/>
          <w:w w:val="99"/>
          <w:sz w:val="21"/>
          <w:szCs w:val="21"/>
        </w:rPr>
        <w:t>（含税）；本次不进行公积金转增股本，不送红股。已实施完毕。</w:t>
      </w:r>
      <w:r>
        <w:rPr>
          <w:rFonts w:ascii="宋体" w:hAnsi="宋体" w:cs="宋体" w:eastAsia="宋体" w:hint="default"/>
          <w:spacing w:val="-78"/>
          <w:w w:val="99"/>
          <w:sz w:val="21"/>
          <w:szCs w:val="21"/>
        </w:rPr>
        <w:t> </w:t>
      </w:r>
      <w:r>
        <w:rPr>
          <w:rFonts w:ascii="宋体" w:hAnsi="宋体" w:cs="宋体" w:eastAsia="宋体" w:hint="default"/>
          <w:spacing w:val="-78"/>
          <w:w w:val="99"/>
          <w:sz w:val="21"/>
          <w:szCs w:val="21"/>
        </w:rPr>
      </w:r>
      <w:r>
        <w:rPr>
          <w:rFonts w:ascii="Times New Roman" w:hAnsi="Times New Roman" w:cs="Times New Roman" w:eastAsia="Times New Roman" w:hint="default"/>
          <w:spacing w:val="-1"/>
          <w:w w:val="95"/>
          <w:sz w:val="21"/>
          <w:szCs w:val="21"/>
        </w:rPr>
        <w:t>3</w:t>
      </w:r>
      <w:r>
        <w:rPr>
          <w:rFonts w:ascii="宋体" w:hAnsi="宋体" w:cs="宋体" w:eastAsia="宋体" w:hint="default"/>
          <w:spacing w:val="-1"/>
          <w:w w:val="95"/>
          <w:sz w:val="21"/>
          <w:szCs w:val="21"/>
        </w:rPr>
        <w:t>、</w:t>
      </w:r>
      <w:r>
        <w:rPr>
          <w:rFonts w:ascii="Times New Roman" w:hAnsi="Times New Roman" w:cs="Times New Roman" w:eastAsia="Times New Roman" w:hint="default"/>
          <w:spacing w:val="-1"/>
          <w:w w:val="95"/>
          <w:sz w:val="21"/>
          <w:szCs w:val="21"/>
        </w:rPr>
        <w:t>2014</w:t>
      </w:r>
      <w:r>
        <w:rPr>
          <w:rFonts w:ascii="宋体" w:hAnsi="宋体" w:cs="宋体" w:eastAsia="宋体" w:hint="default"/>
          <w:spacing w:val="-1"/>
          <w:w w:val="95"/>
          <w:sz w:val="21"/>
          <w:szCs w:val="21"/>
        </w:rPr>
        <w:t>年半年度利润分配方案：以公司现有总股本</w:t>
      </w:r>
      <w:r>
        <w:rPr>
          <w:rFonts w:ascii="Times New Roman" w:hAnsi="Times New Roman" w:cs="Times New Roman" w:eastAsia="Times New Roman" w:hint="default"/>
          <w:spacing w:val="-1"/>
          <w:w w:val="95"/>
          <w:sz w:val="21"/>
          <w:szCs w:val="21"/>
        </w:rPr>
        <w:t>77,830,780</w:t>
      </w:r>
      <w:r>
        <w:rPr>
          <w:rFonts w:ascii="宋体" w:hAnsi="宋体" w:cs="宋体" w:eastAsia="宋体" w:hint="default"/>
          <w:spacing w:val="-1"/>
          <w:w w:val="95"/>
          <w:sz w:val="21"/>
          <w:szCs w:val="21"/>
        </w:rPr>
        <w:t>股为基数，向全体股东每</w:t>
      </w:r>
      <w:r>
        <w:rPr>
          <w:rFonts w:ascii="Times New Roman" w:hAnsi="Times New Roman" w:cs="Times New Roman" w:eastAsia="Times New Roman" w:hint="default"/>
          <w:spacing w:val="-1"/>
          <w:w w:val="95"/>
          <w:sz w:val="21"/>
          <w:szCs w:val="21"/>
        </w:rPr>
        <w:t>10</w:t>
      </w:r>
      <w:r>
        <w:rPr>
          <w:rFonts w:ascii="宋体" w:hAnsi="宋体" w:cs="宋体" w:eastAsia="宋体" w:hint="default"/>
          <w:spacing w:val="-1"/>
          <w:w w:val="95"/>
          <w:sz w:val="21"/>
          <w:szCs w:val="21"/>
        </w:rPr>
        <w:t>股派</w:t>
      </w:r>
      <w:r>
        <w:rPr>
          <w:rFonts w:ascii="Times New Roman" w:hAnsi="Times New Roman" w:cs="Times New Roman" w:eastAsia="Times New Roman" w:hint="default"/>
          <w:spacing w:val="-1"/>
          <w:w w:val="95"/>
          <w:sz w:val="21"/>
          <w:szCs w:val="21"/>
        </w:rPr>
        <w:t>3.0</w:t>
      </w:r>
      <w:r>
        <w:rPr>
          <w:rFonts w:ascii="宋体" w:hAnsi="宋体" w:cs="宋体" w:eastAsia="宋体" w:hint="default"/>
          <w:spacing w:val="-1"/>
          <w:w w:val="95"/>
          <w:sz w:val="21"/>
          <w:szCs w:val="21"/>
        </w:rPr>
        <w:t>元人民币</w:t>
      </w:r>
      <w:r>
        <w:rPr>
          <w:rFonts w:ascii="宋体" w:hAnsi="宋体" w:cs="宋体" w:eastAsia="宋体" w:hint="default"/>
          <w:spacing w:val="48"/>
          <w:w w:val="95"/>
          <w:sz w:val="21"/>
          <w:szCs w:val="21"/>
        </w:rPr>
        <w:t> </w:t>
      </w:r>
      <w:r>
        <w:rPr>
          <w:rFonts w:ascii="宋体" w:hAnsi="宋体" w:cs="宋体" w:eastAsia="宋体" w:hint="default"/>
          <w:spacing w:val="48"/>
          <w:w w:val="95"/>
          <w:sz w:val="21"/>
          <w:szCs w:val="21"/>
        </w:rPr>
      </w:r>
      <w:r>
        <w:rPr>
          <w:rFonts w:ascii="宋体" w:hAnsi="宋体" w:cs="宋体" w:eastAsia="宋体" w:hint="default"/>
          <w:spacing w:val="-3"/>
          <w:w w:val="99"/>
          <w:sz w:val="21"/>
          <w:szCs w:val="21"/>
        </w:rPr>
        <w:t>现金（含税）；本次不进行公积金转增股本，不送红股。已实施完毕。</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2014</w:t>
      </w:r>
      <w:r>
        <w:rPr>
          <w:rFonts w:ascii="宋体" w:hAnsi="宋体" w:cs="宋体" w:eastAsia="宋体" w:hint="default"/>
          <w:w w:val="95"/>
          <w:sz w:val="21"/>
          <w:szCs w:val="21"/>
        </w:rPr>
        <w:t>年度利润分配方案：以公司现有总股本</w:t>
      </w:r>
      <w:r>
        <w:rPr>
          <w:rFonts w:ascii="Times New Roman" w:hAnsi="Times New Roman" w:cs="Times New Roman" w:eastAsia="Times New Roman" w:hint="default"/>
          <w:w w:val="95"/>
          <w:sz w:val="21"/>
          <w:szCs w:val="21"/>
        </w:rPr>
        <w:t>77,830,780</w:t>
      </w:r>
      <w:r>
        <w:rPr>
          <w:rFonts w:ascii="宋体" w:hAnsi="宋体" w:cs="宋体" w:eastAsia="宋体" w:hint="default"/>
          <w:w w:val="95"/>
          <w:sz w:val="21"/>
          <w:szCs w:val="21"/>
        </w:rPr>
        <w:t>股为基数，以资本公积金向全体股东每</w:t>
      </w:r>
      <w:r>
        <w:rPr>
          <w:rFonts w:ascii="Times New Roman" w:hAnsi="Times New Roman" w:cs="Times New Roman" w:eastAsia="Times New Roman" w:hint="default"/>
          <w:w w:val="95"/>
          <w:sz w:val="21"/>
          <w:szCs w:val="21"/>
        </w:rPr>
        <w:t>10</w:t>
      </w:r>
      <w:r>
        <w:rPr>
          <w:rFonts w:ascii="宋体" w:hAnsi="宋体" w:cs="宋体" w:eastAsia="宋体" w:hint="default"/>
          <w:w w:val="95"/>
          <w:sz w:val="21"/>
          <w:szCs w:val="21"/>
        </w:rPr>
        <w:t>股转增</w:t>
      </w:r>
      <w:r>
        <w:rPr>
          <w:rFonts w:ascii="宋体" w:hAnsi="宋体" w:cs="宋体" w:eastAsia="宋体" w:hint="default"/>
          <w:sz w:val="21"/>
          <w:szCs w:val="21"/>
        </w:rPr>
      </w:r>
    </w:p>
    <w:p>
      <w:pPr>
        <w:spacing w:line="286" w:lineRule="exact"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股；本次不派发现金红利、不送红股。已实施完毕。</w:t>
      </w:r>
    </w:p>
    <w:p>
      <w:pPr>
        <w:spacing w:line="261" w:lineRule="auto" w:before="21"/>
        <w:ind w:left="112"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5</w:t>
      </w:r>
      <w:r>
        <w:rPr>
          <w:rFonts w:ascii="宋体" w:hAnsi="宋体" w:cs="宋体" w:eastAsia="宋体" w:hint="default"/>
          <w:spacing w:val="-1"/>
          <w:w w:val="95"/>
          <w:sz w:val="21"/>
          <w:szCs w:val="21"/>
        </w:rPr>
        <w:t>、2015年半年度利润分配方案：以公司现有总股本116,746,170股为基数，向全体股东每</w:t>
      </w:r>
      <w:r>
        <w:rPr>
          <w:rFonts w:ascii="Times New Roman" w:hAnsi="Times New Roman" w:cs="Times New Roman" w:eastAsia="Times New Roman" w:hint="default"/>
          <w:spacing w:val="-1"/>
          <w:w w:val="95"/>
          <w:sz w:val="21"/>
          <w:szCs w:val="21"/>
        </w:rPr>
        <w:t>10</w:t>
      </w:r>
      <w:r>
        <w:rPr>
          <w:rFonts w:ascii="宋体" w:hAnsi="宋体" w:cs="宋体" w:eastAsia="宋体" w:hint="default"/>
          <w:spacing w:val="-1"/>
          <w:w w:val="95"/>
          <w:sz w:val="21"/>
          <w:szCs w:val="21"/>
        </w:rPr>
        <w:t>股派</w:t>
      </w:r>
      <w:r>
        <w:rPr>
          <w:rFonts w:ascii="Times New Roman" w:hAnsi="Times New Roman" w:cs="Times New Roman" w:eastAsia="Times New Roman" w:hint="default"/>
          <w:spacing w:val="-1"/>
          <w:w w:val="95"/>
          <w:sz w:val="21"/>
          <w:szCs w:val="21"/>
        </w:rPr>
        <w:t>3.0</w:t>
      </w:r>
      <w:r>
        <w:rPr>
          <w:rFonts w:ascii="宋体" w:hAnsi="宋体" w:cs="宋体" w:eastAsia="宋体" w:hint="default"/>
          <w:spacing w:val="-1"/>
          <w:w w:val="95"/>
          <w:sz w:val="21"/>
          <w:szCs w:val="21"/>
        </w:rPr>
        <w:t>元人民</w:t>
      </w:r>
      <w:r>
        <w:rPr>
          <w:rFonts w:ascii="宋体" w:hAnsi="宋体" w:cs="宋体" w:eastAsia="宋体" w:hint="default"/>
          <w:spacing w:val="46"/>
          <w:w w:val="95"/>
          <w:sz w:val="21"/>
          <w:szCs w:val="21"/>
        </w:rPr>
        <w:t> </w:t>
      </w:r>
      <w:r>
        <w:rPr>
          <w:rFonts w:ascii="宋体" w:hAnsi="宋体" w:cs="宋体" w:eastAsia="宋体" w:hint="default"/>
          <w:spacing w:val="46"/>
          <w:w w:val="95"/>
          <w:sz w:val="21"/>
          <w:szCs w:val="21"/>
        </w:rPr>
      </w:r>
      <w:r>
        <w:rPr>
          <w:rFonts w:ascii="宋体" w:hAnsi="宋体" w:cs="宋体" w:eastAsia="宋体" w:hint="default"/>
          <w:spacing w:val="-3"/>
          <w:w w:val="99"/>
          <w:sz w:val="21"/>
          <w:szCs w:val="21"/>
        </w:rPr>
        <w:t>币现金（含税）；本次不进行公积金转增股本，不送红股。已实施完毕。</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Times New Roman" w:hAnsi="Times New Roman" w:cs="Times New Roman" w:eastAsia="Times New Roman" w:hint="default"/>
          <w:sz w:val="21"/>
          <w:szCs w:val="21"/>
        </w:rPr>
        <w:t>6</w:t>
      </w:r>
      <w:r>
        <w:rPr>
          <w:rFonts w:ascii="宋体" w:hAnsi="宋体" w:cs="宋体" w:eastAsia="宋体" w:hint="default"/>
          <w:sz w:val="21"/>
          <w:szCs w:val="21"/>
        </w:rPr>
        <w:t>、2015年度利润分配预案：以公司现有总股本116,746,170股为基数，向全体股东每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股派1.4元人民币</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w w:val="99"/>
          <w:sz w:val="21"/>
          <w:szCs w:val="21"/>
        </w:rPr>
        <w:t>现金（含税），同时以资本公积金向全体股东每</w:t>
      </w:r>
      <w:r>
        <w:rPr>
          <w:rFonts w:ascii="Times New Roman" w:hAnsi="Times New Roman" w:cs="Times New Roman" w:eastAsia="Times New Roman" w:hint="default"/>
          <w:w w:val="99"/>
          <w:sz w:val="21"/>
          <w:szCs w:val="21"/>
        </w:rPr>
        <w:t>10</w:t>
      </w:r>
      <w:r>
        <w:rPr>
          <w:rFonts w:ascii="宋体" w:hAnsi="宋体" w:cs="宋体" w:eastAsia="宋体" w:hint="default"/>
          <w:w w:val="99"/>
          <w:sz w:val="21"/>
          <w:szCs w:val="21"/>
        </w:rPr>
        <w:t>股转增10股；本次不送红股。此预案需经公司股东大会</w:t>
      </w:r>
      <w:r>
        <w:rPr>
          <w:rFonts w:ascii="宋体" w:hAnsi="宋体" w:cs="宋体" w:eastAsia="宋体" w:hint="default"/>
          <w:sz w:val="21"/>
          <w:szCs w:val="21"/>
        </w:rPr>
      </w:r>
    </w:p>
    <w:p>
      <w:pPr>
        <w:spacing w:after="0" w:line="261" w:lineRule="auto"/>
        <w:jc w:val="left"/>
        <w:rPr>
          <w:rFonts w:ascii="宋体" w:hAnsi="宋体" w:cs="宋体" w:eastAsia="宋体" w:hint="default"/>
          <w:sz w:val="21"/>
          <w:szCs w:val="21"/>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907" w:footer="1016" w:top="1100" w:bottom="1200" w:left="1020" w:right="1020"/>
        </w:sectPr>
      </w:pPr>
    </w:p>
    <w:p>
      <w:pPr>
        <w:spacing w:before="34"/>
        <w:ind w:left="112" w:right="-20" w:firstLine="0"/>
        <w:jc w:val="left"/>
        <w:rPr>
          <w:rFonts w:ascii="宋体" w:hAnsi="宋体" w:cs="宋体" w:eastAsia="宋体" w:hint="default"/>
          <w:sz w:val="21"/>
          <w:szCs w:val="21"/>
        </w:rPr>
      </w:pPr>
      <w:r>
        <w:rPr>
          <w:rFonts w:ascii="宋体" w:hAnsi="宋体" w:cs="宋体" w:eastAsia="宋体" w:hint="default"/>
          <w:sz w:val="21"/>
          <w:szCs w:val="21"/>
        </w:rPr>
        <w:t>审议通过。</w:t>
      </w:r>
    </w:p>
    <w:p>
      <w:pPr>
        <w:spacing w:before="101"/>
        <w:ind w:left="112" w:right="-2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1020" w:right="1020"/>
          <w:cols w:num="2" w:equalWidth="0">
            <w:col w:w="4253" w:space="4665"/>
            <w:col w:w="95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56"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分红年度合并报</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占合并报表中归</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4"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13" w:right="100" w:hanging="512"/>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61" w:right="160"/>
              <w:jc w:val="left"/>
              <w:rPr>
                <w:rFonts w:ascii="宋体" w:hAnsi="宋体" w:cs="宋体" w:eastAsia="宋体" w:hint="default"/>
                <w:sz w:val="18"/>
                <w:szCs w:val="18"/>
              </w:rPr>
            </w:pPr>
            <w:r>
              <w:rPr>
                <w:rFonts w:ascii="宋体" w:hAnsi="宋体" w:cs="宋体" w:eastAsia="宋体" w:hint="default"/>
                <w:sz w:val="18"/>
                <w:szCs w:val="18"/>
              </w:rPr>
              <w:t>表中归属于上市 公司普通股股东</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61" w:right="161"/>
              <w:jc w:val="left"/>
              <w:rPr>
                <w:rFonts w:ascii="宋体" w:hAnsi="宋体" w:cs="宋体" w:eastAsia="宋体" w:hint="default"/>
                <w:sz w:val="18"/>
                <w:szCs w:val="18"/>
              </w:rPr>
            </w:pPr>
            <w:r>
              <w:rPr>
                <w:rFonts w:ascii="宋体" w:hAnsi="宋体" w:cs="宋体" w:eastAsia="宋体" w:hint="default"/>
                <w:sz w:val="18"/>
                <w:szCs w:val="18"/>
              </w:rPr>
              <w:t>属于上市公司普 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3" w:right="159"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2" w:right="159"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58"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润的比率</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51,368,314.80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25,130,574.02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23,349,234.00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24,124,414.93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27,240,773.00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40,280,988.95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95"/>
        <w:gridCol w:w="5773"/>
      </w:tblGrid>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116,746,170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16,344,463.80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20,630,214.40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公司发展阶段属成熟期且有重大资金支出安排的，进行利润分配时，现金分红在本次利润分配中所占比例最低应达到</w:t>
            </w:r>
          </w:p>
          <w:p>
            <w:pPr>
              <w:pStyle w:val="TableParagraph"/>
              <w:spacing w:line="240" w:lineRule="auto" w:before="7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62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0"/>
              <w:jc w:val="left"/>
              <w:rPr>
                <w:rFonts w:ascii="宋体" w:hAnsi="宋体" w:cs="宋体" w:eastAsia="宋体" w:hint="default"/>
                <w:sz w:val="18"/>
                <w:szCs w:val="18"/>
              </w:rPr>
            </w:pPr>
            <w:r>
              <w:rPr>
                <w:rFonts w:ascii="宋体" w:hAnsi="宋体" w:cs="宋体" w:eastAsia="宋体" w:hint="default"/>
                <w:spacing w:val="-3"/>
                <w:sz w:val="18"/>
                <w:szCs w:val="18"/>
              </w:rPr>
              <w:t>经瑞华会计师事务所（特殊普通合伙）审计确认，公司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年度实现归属于上市公司股东的净利润为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25,130,574.02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加上年初未分配利润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33,086,019.75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，根据公司《章程》有关规定，提取盈余公积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2,562,528.37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元，减去已分配红利 </w:t>
            </w:r>
            <w:r>
              <w:rPr>
                <w:rFonts w:ascii="Times New Roman" w:hAnsi="Times New Roman" w:cs="Times New Roman" w:eastAsia="Times New Roman" w:hint="default"/>
                <w:sz w:val="18"/>
                <w:szCs w:val="18"/>
              </w:rPr>
              <w:t>35,023,851.00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日可供股东分配利润为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20,630,214.40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日资本公积为</w:t>
            </w:r>
          </w:p>
          <w:p>
            <w:pPr>
              <w:pStyle w:val="TableParagraph"/>
              <w:spacing w:line="240" w:lineRule="auto" w:before="1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541,080,749.78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pStyle w:val="TableParagraph"/>
              <w:spacing w:line="300" w:lineRule="auto" w:before="103"/>
              <w:ind w:left="101" w:right="101"/>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年度利润分配采取发放现金股利和转增股本相结合的方式，拟以目前公司总股本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116,746,170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股为基数，向全 体股东每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元（含税），共计分配现金股利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16,344,463.80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元，剩余</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4,285,750.60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元未分配利润结转</w:t>
            </w:r>
            <w:r>
              <w:rPr>
                <w:rFonts w:ascii="宋体" w:hAnsi="宋体" w:cs="宋体" w:eastAsia="宋体" w:hint="default"/>
                <w:spacing w:val="-86"/>
                <w:sz w:val="18"/>
                <w:szCs w:val="18"/>
              </w:rPr>
              <w:t> </w:t>
            </w:r>
            <w:r>
              <w:rPr>
                <w:rFonts w:ascii="宋体" w:hAnsi="宋体" w:cs="宋体" w:eastAsia="宋体" w:hint="default"/>
                <w:sz w:val="18"/>
                <w:szCs w:val="18"/>
              </w:rPr>
              <w:t>以后年度分配。同时以截至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日公司股份总数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116,746,170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股，合计 转增股本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116,746,170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股，转增股本后公司总股本变更为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233,492,340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股。本年度不送红股。</w:t>
            </w:r>
          </w:p>
        </w:tc>
      </w:tr>
    </w:tbl>
    <w:p>
      <w:pPr>
        <w:spacing w:after="0" w:line="300" w:lineRule="auto"/>
        <w:jc w:val="both"/>
        <w:rPr>
          <w:rFonts w:ascii="宋体" w:hAnsi="宋体" w:cs="宋体" w:eastAsia="宋体" w:hint="default"/>
          <w:sz w:val="18"/>
          <w:szCs w:val="18"/>
        </w:rPr>
        <w:sectPr>
          <w:type w:val="continuous"/>
          <w:pgSz w:w="11910" w:h="16840"/>
          <w:pgMar w:top="1100" w:bottom="1200" w:left="1020" w:right="102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spacing w:line="256" w:lineRule="auto"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3"/>
          <w:w w:val="95"/>
          <w:sz w:val="21"/>
          <w:szCs w:val="21"/>
        </w:rPr>
        <w:t>1</w:t>
      </w:r>
      <w:r>
        <w:rPr>
          <w:rFonts w:ascii="宋体" w:hAnsi="宋体" w:cs="宋体" w:eastAsia="宋体" w:hint="default"/>
          <w:b/>
          <w:bCs/>
          <w:spacing w:val="3"/>
          <w:w w:val="95"/>
          <w:sz w:val="21"/>
          <w:szCs w:val="21"/>
        </w:rPr>
        <w:t>、公司、股东、实际控制人、收购人、董事、监事、高级管理人员或其他关联方在报告期内履行完毕及</w:t>
      </w:r>
      <w:r>
        <w:rPr>
          <w:rFonts w:ascii="宋体" w:hAnsi="宋体" w:cs="宋体" w:eastAsia="宋体" w:hint="default"/>
          <w:b/>
          <w:bCs/>
          <w:spacing w:val="95"/>
          <w:w w:val="95"/>
          <w:sz w:val="21"/>
          <w:szCs w:val="21"/>
        </w:rPr>
        <w:t> </w:t>
      </w:r>
      <w:r>
        <w:rPr>
          <w:rFonts w:ascii="宋体" w:hAnsi="宋体" w:cs="宋体" w:eastAsia="宋体" w:hint="default"/>
          <w:b/>
          <w:bCs/>
          <w:spacing w:val="95"/>
          <w:w w:val="95"/>
          <w:sz w:val="21"/>
          <w:szCs w:val="21"/>
        </w:rPr>
      </w:r>
      <w:r>
        <w:rPr>
          <w:rFonts w:ascii="宋体" w:hAnsi="宋体" w:cs="宋体" w:eastAsia="宋体" w:hint="default"/>
          <w:b/>
          <w:bCs/>
          <w:sz w:val="21"/>
          <w:szCs w:val="21"/>
        </w:rPr>
        <w:t>截至报告期末尚未履行完毕的承诺事项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2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28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101" w:right="202"/>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102" w:right="110"/>
              <w:jc w:val="left"/>
              <w:rPr>
                <w:rFonts w:ascii="宋体" w:hAnsi="宋体" w:cs="宋体" w:eastAsia="宋体" w:hint="default"/>
                <w:sz w:val="18"/>
                <w:szCs w:val="18"/>
              </w:rPr>
            </w:pPr>
            <w:r>
              <w:rPr>
                <w:rFonts w:ascii="宋体" w:hAnsi="宋体" w:cs="宋体" w:eastAsia="宋体" w:hint="default"/>
                <w:sz w:val="18"/>
                <w:szCs w:val="18"/>
              </w:rPr>
              <w:t>公司全体发 起人股东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103" w:right="111"/>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1"/>
              <w:jc w:val="left"/>
              <w:rPr>
                <w:rFonts w:ascii="宋体" w:hAnsi="宋体" w:cs="宋体" w:eastAsia="宋体" w:hint="default"/>
                <w:sz w:val="18"/>
                <w:szCs w:val="18"/>
              </w:rPr>
            </w:pPr>
            <w:r>
              <w:rPr>
                <w:rFonts w:ascii="宋体" w:hAnsi="宋体" w:cs="宋体" w:eastAsia="宋体" w:hint="default"/>
                <w:sz w:val="18"/>
                <w:szCs w:val="18"/>
              </w:rPr>
              <w:t>自本承诺函 出具之日 起，不以任 何方式直接 或间接地从 事与股份公 司主营业务 构成或可能 构成竞争的 业务，不以 任何方式从 事或参与生 产任何与股 份公司产品 相同、相似 或可以取代 股份公司产 品的业务或 活动，不损 害股份公司 和其他股东 的合法权 益，不在股 份公司谋取 任何不正当 利益。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101"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920"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2" w:right="190"/>
              <w:jc w:val="both"/>
              <w:rPr>
                <w:rFonts w:ascii="宋体" w:hAnsi="宋体" w:cs="宋体" w:eastAsia="宋体" w:hint="default"/>
                <w:sz w:val="18"/>
                <w:szCs w:val="18"/>
              </w:rPr>
            </w:pPr>
            <w:r>
              <w:rPr>
                <w:rFonts w:ascii="宋体" w:hAnsi="宋体" w:cs="宋体" w:eastAsia="宋体" w:hint="default"/>
                <w:sz w:val="18"/>
                <w:szCs w:val="18"/>
              </w:rPr>
              <w:t>刘冀鲁</w:t>
            </w:r>
            <w:r>
              <w:rPr>
                <w:rFonts w:ascii="Times New Roman" w:hAnsi="Times New Roman" w:cs="Times New Roman" w:eastAsia="Times New Roman" w:hint="default"/>
                <w:sz w:val="18"/>
                <w:szCs w:val="18"/>
              </w:rPr>
              <w:t>;</w:t>
            </w:r>
            <w:r>
              <w:rPr>
                <w:rFonts w:ascii="宋体" w:hAnsi="宋体" w:cs="宋体" w:eastAsia="宋体" w:hint="default"/>
                <w:sz w:val="18"/>
                <w:szCs w:val="18"/>
              </w:rPr>
              <w:t>刘 凌云</w:t>
            </w:r>
            <w:r>
              <w:rPr>
                <w:rFonts w:ascii="Times New Roman" w:hAnsi="Times New Roman" w:cs="Times New Roman" w:eastAsia="Times New Roman" w:hint="default"/>
                <w:sz w:val="18"/>
                <w:szCs w:val="18"/>
              </w:rPr>
              <w:t>;</w:t>
            </w:r>
            <w:r>
              <w:rPr>
                <w:rFonts w:ascii="宋体" w:hAnsi="宋体" w:cs="宋体" w:eastAsia="宋体" w:hint="default"/>
                <w:sz w:val="18"/>
                <w:szCs w:val="18"/>
              </w:rPr>
              <w:t>宫为 平</w:t>
            </w:r>
            <w:r>
              <w:rPr>
                <w:rFonts w:ascii="Times New Roman" w:hAnsi="Times New Roman" w:cs="Times New Roman" w:eastAsia="Times New Roman" w:hint="default"/>
                <w:sz w:val="18"/>
                <w:szCs w:val="18"/>
              </w:rPr>
              <w:t>;</w:t>
            </w:r>
            <w:r>
              <w:rPr>
                <w:rFonts w:ascii="宋体" w:hAnsi="宋体" w:cs="宋体" w:eastAsia="宋体" w:hint="default"/>
                <w:sz w:val="18"/>
                <w:szCs w:val="18"/>
              </w:rPr>
              <w:t>黄学春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陆江</w:t>
            </w:r>
            <w:r>
              <w:rPr>
                <w:rFonts w:ascii="Times New Roman" w:hAnsi="Times New Roman" w:cs="Times New Roman" w:eastAsia="Times New Roman" w:hint="default"/>
                <w:sz w:val="18"/>
                <w:szCs w:val="18"/>
              </w:rPr>
              <w:t>;</w:t>
            </w:r>
            <w:r>
              <w:rPr>
                <w:rFonts w:ascii="宋体" w:hAnsi="宋体" w:cs="宋体" w:eastAsia="宋体" w:hint="default"/>
                <w:sz w:val="18"/>
                <w:szCs w:val="18"/>
              </w:rPr>
              <w:t>史志 民</w:t>
            </w:r>
            <w:r>
              <w:rPr>
                <w:rFonts w:ascii="Times New Roman" w:hAnsi="Times New Roman" w:cs="Times New Roman" w:eastAsia="Times New Roman" w:hint="default"/>
                <w:sz w:val="18"/>
                <w:szCs w:val="18"/>
              </w:rPr>
              <w:t>;</w:t>
            </w:r>
            <w:r>
              <w:rPr>
                <w:rFonts w:ascii="宋体" w:hAnsi="宋体" w:cs="宋体" w:eastAsia="宋体" w:hint="default"/>
                <w:sz w:val="18"/>
                <w:szCs w:val="18"/>
              </w:rPr>
              <w:t>唐成宽</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吴翠华</w:t>
            </w:r>
            <w:r>
              <w:rPr>
                <w:rFonts w:ascii="Times New Roman" w:hAnsi="Times New Roman" w:cs="Times New Roman" w:eastAsia="Times New Roman" w:hint="default"/>
                <w:sz w:val="18"/>
                <w:szCs w:val="18"/>
              </w:rPr>
              <w:t>;</w:t>
            </w:r>
            <w:r>
              <w:rPr>
                <w:rFonts w:ascii="宋体" w:hAnsi="宋体" w:cs="宋体" w:eastAsia="宋体" w:hint="default"/>
                <w:sz w:val="18"/>
                <w:szCs w:val="18"/>
              </w:rPr>
              <w:t>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11"/>
              <w:jc w:val="both"/>
              <w:rPr>
                <w:rFonts w:ascii="宋体" w:hAnsi="宋体" w:cs="宋体" w:eastAsia="宋体" w:hint="default"/>
                <w:sz w:val="18"/>
                <w:szCs w:val="18"/>
              </w:rPr>
            </w:pPr>
            <w:r>
              <w:rPr>
                <w:rFonts w:ascii="宋体" w:hAnsi="宋体" w:cs="宋体" w:eastAsia="宋体" w:hint="default"/>
                <w:sz w:val="18"/>
                <w:szCs w:val="18"/>
              </w:rPr>
              <w:t>三年锁定期 限届满后， 在其任职期 间每年转让 的股份不超 过其所持有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2" w:right="0"/>
              <w:jc w:val="left"/>
              <w:rPr>
                <w:rFonts w:ascii="Times New Roman" w:hAnsi="Times New Roman" w:cs="Times New Roman" w:eastAsia="Times New Roman" w:hint="default"/>
                <w:sz w:val="18"/>
                <w:szCs w:val="18"/>
              </w:rPr>
            </w:pPr>
            <w:r>
              <w:rPr>
                <w:rFonts w:ascii="Times New Roman"/>
                <w:sz w:val="18"/>
              </w:rPr>
              <w:t>2015-12-31</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z w:val="18"/>
                <w:szCs w:val="18"/>
              </w:rPr>
              <w:t>除吴翠华 外，其他均 履行完毕</w:t>
            </w:r>
          </w:p>
        </w:tc>
      </w:tr>
    </w:tbl>
    <w:p>
      <w:pPr>
        <w:spacing w:after="0" w:line="316" w:lineRule="auto"/>
        <w:jc w:val="left"/>
        <w:rPr>
          <w:rFonts w:ascii="宋体" w:hAnsi="宋体" w:cs="宋体" w:eastAsia="宋体" w:hint="default"/>
          <w:sz w:val="18"/>
          <w:szCs w:val="18"/>
        </w:rPr>
        <w:sectPr>
          <w:headerReference w:type="default" r:id="rId17"/>
          <w:pgSz w:w="11910" w:h="16840"/>
          <w:pgMar w:header="907" w:footer="1016" w:top="1100" w:bottom="1200" w:left="1020" w:right="98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福祥</w:t>
            </w:r>
            <w:r>
              <w:rPr>
                <w:rFonts w:ascii="Times New Roman" w:hAnsi="Times New Roman" w:cs="Times New Roman" w:eastAsia="Times New Roman" w:hint="default"/>
                <w:sz w:val="18"/>
                <w:szCs w:val="18"/>
              </w:rPr>
              <w:t>;</w:t>
            </w:r>
            <w:r>
              <w:rPr>
                <w:rFonts w:ascii="宋体" w:hAnsi="宋体" w:cs="宋体" w:eastAsia="宋体" w:hint="default"/>
                <w:sz w:val="18"/>
                <w:szCs w:val="18"/>
              </w:rPr>
              <w:t>章大</w:t>
            </w: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本公司股份</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林</w:t>
            </w:r>
            <w:r>
              <w:rPr>
                <w:rFonts w:ascii="Times New Roman" w:hAnsi="Times New Roman" w:cs="Times New Roman" w:eastAsia="Times New Roman" w:hint="default"/>
                <w:sz w:val="18"/>
                <w:szCs w:val="18"/>
              </w:rPr>
              <w:t>;</w:t>
            </w:r>
            <w:r>
              <w:rPr>
                <w:rFonts w:ascii="宋体" w:hAnsi="宋体" w:cs="宋体" w:eastAsia="宋体" w:hint="default"/>
                <w:sz w:val="18"/>
                <w:szCs w:val="18"/>
              </w:rPr>
              <w:t>赵明</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总数的百分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3D3D3"/>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之二十；离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职以后三年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份，且三年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后每年转让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的股份不超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过其所持有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数的百分之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731" w:type="dxa"/>
            <w:gridSpan w:val="6"/>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股东吴翠华，公司现任高管，于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日在其减持公司股票过程中，由于</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操作失误导致超卖其所持有的公司股票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4,802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股，本年度合计减持公司股票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160,000</w:t>
            </w:r>
          </w:p>
        </w:tc>
      </w:tr>
      <w:tr>
        <w:trPr>
          <w:trHeight w:val="308"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如承诺超期未履行完毕的</w:t>
            </w:r>
            <w:r>
              <w:rPr>
                <w:rFonts w:ascii="宋体" w:hAnsi="宋体" w:cs="宋体" w:eastAsia="宋体" w:hint="default"/>
                <w:spacing w:val="-80"/>
                <w:sz w:val="18"/>
                <w:szCs w:val="18"/>
              </w:rPr>
              <w:t>，</w:t>
            </w:r>
            <w:r>
              <w:rPr>
                <w:rFonts w:ascii="宋体" w:hAnsi="宋体" w:cs="宋体" w:eastAsia="宋体" w:hint="default"/>
                <w:sz w:val="18"/>
                <w:szCs w:val="18"/>
              </w:rPr>
              <w:t>应当详</w:t>
            </w: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股。根据其上市时所做承诺，即“在其任职期间每年转让的股份不得超过其所持有</w:t>
            </w:r>
          </w:p>
        </w:tc>
      </w:tr>
      <w:tr>
        <w:trPr>
          <w:trHeight w:val="316"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w:t>
            </w: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本公司股份总数的百分之二十</w:t>
            </w:r>
            <w:r>
              <w:rPr>
                <w:rFonts w:ascii="宋体" w:hAnsi="宋体" w:cs="宋体" w:eastAsia="宋体" w:hint="default"/>
                <w:spacing w:val="-89"/>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吴翠华本年度可减持公司股票为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5"/>
                <w:sz w:val="18"/>
                <w:szCs w:val="18"/>
              </w:rPr>
              <w:t>，</w:t>
            </w:r>
            <w:r>
              <w:rPr>
                <w:rFonts w:ascii="宋体" w:hAnsi="宋体" w:cs="宋体" w:eastAsia="宋体" w:hint="default"/>
                <w:sz w:val="18"/>
                <w:szCs w:val="18"/>
              </w:rPr>
              <w:t>而实</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下一步的工作计划</w:t>
            </w: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际减持已经超过其所持有公司股份总数的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，违反了上述承诺。公司于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日收到吴翠华的《致歉信</w:t>
            </w:r>
            <w:r>
              <w:rPr>
                <w:rFonts w:ascii="宋体" w:hAnsi="宋体" w:cs="宋体" w:eastAsia="宋体" w:hint="default"/>
                <w:spacing w:val="-92"/>
                <w:sz w:val="18"/>
                <w:szCs w:val="18"/>
              </w:rPr>
              <w:t>》</w:t>
            </w:r>
            <w:r>
              <w:rPr>
                <w:rFonts w:ascii="宋体" w:hAnsi="宋体" w:cs="宋体" w:eastAsia="宋体" w:hint="default"/>
                <w:sz w:val="18"/>
                <w:szCs w:val="18"/>
              </w:rPr>
              <w:t>，公司今后将会继续加强对董事、监事、高级管理</w:t>
            </w:r>
          </w:p>
        </w:tc>
      </w:tr>
      <w:tr>
        <w:trPr>
          <w:trHeight w:val="352"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731" w:type="dxa"/>
            <w:gridSpan w:val="6"/>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人员的培训，及时提醒相关人员有关股份买卖注意事项。</w:t>
            </w:r>
          </w:p>
        </w:tc>
      </w:tr>
    </w:tbl>
    <w:p>
      <w:pPr>
        <w:spacing w:line="240" w:lineRule="auto" w:before="4"/>
        <w:rPr>
          <w:rFonts w:ascii="宋体" w:hAnsi="宋体" w:cs="宋体" w:eastAsia="宋体" w:hint="default"/>
          <w:sz w:val="19"/>
          <w:szCs w:val="19"/>
        </w:rPr>
      </w:pPr>
    </w:p>
    <w:p>
      <w:pPr>
        <w:spacing w:line="259" w:lineRule="auto"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3"/>
          <w:w w:val="95"/>
          <w:sz w:val="21"/>
          <w:szCs w:val="21"/>
        </w:rPr>
        <w:t>2</w:t>
      </w:r>
      <w:r>
        <w:rPr>
          <w:rFonts w:ascii="宋体" w:hAnsi="宋体" w:cs="宋体" w:eastAsia="宋体" w:hint="default"/>
          <w:b/>
          <w:bCs/>
          <w:spacing w:val="3"/>
          <w:w w:val="95"/>
          <w:sz w:val="21"/>
          <w:szCs w:val="21"/>
        </w:rPr>
        <w:t>、公司资产或项目存在盈利预测，且报告期仍处在盈利预测期间，公司就资产或项目达到原盈利预测及</w:t>
      </w:r>
      <w:r>
        <w:rPr>
          <w:rFonts w:ascii="宋体" w:hAnsi="宋体" w:cs="宋体" w:eastAsia="宋体" w:hint="default"/>
          <w:b/>
          <w:bCs/>
          <w:spacing w:val="95"/>
          <w:w w:val="95"/>
          <w:sz w:val="21"/>
          <w:szCs w:val="21"/>
        </w:rPr>
        <w:t> </w:t>
      </w:r>
      <w:r>
        <w:rPr>
          <w:rFonts w:ascii="宋体" w:hAnsi="宋体" w:cs="宋体" w:eastAsia="宋体" w:hint="default"/>
          <w:b/>
          <w:bCs/>
          <w:spacing w:val="95"/>
          <w:w w:val="9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3"/>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40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98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公司报告期无会计政策、会计估计和核算方法发生变化的情况。</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55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0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公司报告期无合并报表范围发生变化的情况。</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郑龙兴、李梅</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60" w:lineRule="auto" w:before="115"/>
        <w:ind w:left="112" w:right="5174"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6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614"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after="0" w:line="357" w:lineRule="auto"/>
        <w:jc w:val="left"/>
        <w:rPr>
          <w:rFonts w:ascii="宋体" w:hAnsi="宋体" w:cs="宋体" w:eastAsia="宋体" w:hint="default"/>
          <w:sz w:val="18"/>
          <w:szCs w:val="18"/>
        </w:rPr>
        <w:sectPr>
          <w:pgSz w:w="11910" w:h="16840"/>
          <w:pgMar w:header="907" w:footer="1016" w:top="1100" w:bottom="1200" w:left="1020" w:right="1080"/>
        </w:sectPr>
      </w:pPr>
    </w:p>
    <w:p>
      <w:pPr>
        <w:spacing w:line="240" w:lineRule="auto" w:before="9"/>
        <w:rPr>
          <w:rFonts w:ascii="宋体" w:hAnsi="宋体" w:cs="宋体" w:eastAsia="宋体" w:hint="default"/>
          <w:sz w:val="20"/>
          <w:szCs w:val="20"/>
        </w:rPr>
      </w:pPr>
    </w:p>
    <w:p>
      <w:pPr>
        <w:pStyle w:val="Heading2"/>
        <w:spacing w:line="240" w:lineRule="auto" w:before="26"/>
        <w:ind w:right="94"/>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94" w:firstLine="0"/>
        <w:jc w:val="left"/>
        <w:rPr>
          <w:rFonts w:ascii="宋体" w:hAnsi="宋体" w:cs="宋体" w:eastAsia="宋体" w:hint="default"/>
          <w:sz w:val="18"/>
          <w:szCs w:val="18"/>
        </w:rPr>
      </w:pPr>
      <w:r>
        <w:rPr>
          <w:rFonts w:ascii="宋体" w:hAnsi="宋体" w:cs="宋体" w:eastAsia="宋体" w:hint="default"/>
          <w:sz w:val="18"/>
          <w:szCs w:val="18"/>
        </w:rPr>
        <w:t>√ 适用 □ 不适用 公司实际控制人及控股股东，不存在未履行法院生效判决、不存在所负数额较大的债务到期未清偿等情况，诚信状况良好。</w:t>
      </w:r>
    </w:p>
    <w:p>
      <w:pPr>
        <w:spacing w:line="240" w:lineRule="auto" w:before="2"/>
        <w:rPr>
          <w:rFonts w:ascii="宋体" w:hAnsi="宋体" w:cs="宋体" w:eastAsia="宋体" w:hint="default"/>
          <w:sz w:val="18"/>
          <w:szCs w:val="18"/>
        </w:rPr>
      </w:pPr>
    </w:p>
    <w:p>
      <w:pPr>
        <w:pStyle w:val="Heading2"/>
        <w:spacing w:line="240" w:lineRule="auto"/>
        <w:ind w:right="94"/>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35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公司报告期无股权激励计划、员工持股计划或其他员工激励措施及其实施情况。</w:t>
      </w:r>
    </w:p>
    <w:p>
      <w:pPr>
        <w:spacing w:line="240" w:lineRule="auto" w:before="2"/>
        <w:rPr>
          <w:rFonts w:ascii="宋体" w:hAnsi="宋体" w:cs="宋体" w:eastAsia="宋体" w:hint="default"/>
          <w:sz w:val="18"/>
          <w:szCs w:val="18"/>
        </w:rPr>
      </w:pPr>
    </w:p>
    <w:p>
      <w:pPr>
        <w:pStyle w:val="Heading2"/>
        <w:spacing w:line="240" w:lineRule="auto"/>
        <w:ind w:right="94"/>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58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12"/>
        <w:rPr>
          <w:rFonts w:ascii="宋体" w:hAnsi="宋体" w:cs="宋体" w:eastAsia="宋体" w:hint="default"/>
          <w:sz w:val="19"/>
          <w:szCs w:val="19"/>
        </w:rPr>
      </w:pPr>
    </w:p>
    <w:p>
      <w:pPr>
        <w:spacing w:before="0"/>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54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12"/>
        <w:rPr>
          <w:rFonts w:ascii="宋体" w:hAnsi="宋体" w:cs="宋体" w:eastAsia="宋体" w:hint="default"/>
          <w:sz w:val="19"/>
          <w:szCs w:val="19"/>
        </w:rPr>
      </w:pPr>
    </w:p>
    <w:p>
      <w:pPr>
        <w:spacing w:before="0"/>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60" w:lineRule="auto" w:before="0"/>
        <w:ind w:left="112" w:right="62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2"/>
        <w:rPr>
          <w:rFonts w:ascii="宋体" w:hAnsi="宋体" w:cs="宋体" w:eastAsia="宋体" w:hint="default"/>
          <w:sz w:val="19"/>
          <w:szCs w:val="19"/>
        </w:rPr>
      </w:pPr>
    </w:p>
    <w:p>
      <w:pPr>
        <w:spacing w:before="0"/>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2" w:right="67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3"/>
        <w:rPr>
          <w:rFonts w:ascii="宋体" w:hAnsi="宋体" w:cs="宋体" w:eastAsia="宋体" w:hint="default"/>
          <w:sz w:val="20"/>
          <w:szCs w:val="20"/>
        </w:rPr>
      </w:pPr>
    </w:p>
    <w:p>
      <w:pPr>
        <w:spacing w:before="0"/>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57" w:lineRule="auto" w:before="0"/>
        <w:ind w:left="112" w:right="71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line="240" w:lineRule="auto" w:before="7"/>
        <w:rPr>
          <w:rFonts w:ascii="宋体" w:hAnsi="宋体" w:cs="宋体" w:eastAsia="宋体" w:hint="default"/>
          <w:sz w:val="18"/>
          <w:szCs w:val="18"/>
        </w:rPr>
      </w:pPr>
    </w:p>
    <w:p>
      <w:pPr>
        <w:pStyle w:val="Heading2"/>
        <w:spacing w:line="240" w:lineRule="auto"/>
        <w:ind w:right="94"/>
        <w:jc w:val="left"/>
        <w:rPr>
          <w:b w:val="0"/>
          <w:bCs w:val="0"/>
        </w:rPr>
      </w:pPr>
      <w:r>
        <w:rPr/>
        <w:t>十七、重大合同及其履行情况</w:t>
      </w:r>
      <w:r>
        <w:rPr>
          <w:b w:val="0"/>
          <w:bCs w:val="0"/>
        </w:rPr>
      </w:r>
    </w:p>
    <w:p>
      <w:pPr>
        <w:spacing w:line="240" w:lineRule="auto" w:before="7"/>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9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940"/>
        </w:sectPr>
      </w:pPr>
    </w:p>
    <w:p>
      <w:pPr>
        <w:spacing w:line="240" w:lineRule="auto" w:before="13"/>
        <w:rPr>
          <w:rFonts w:ascii="宋体" w:hAnsi="宋体" w:cs="宋体" w:eastAsia="宋体" w:hint="default"/>
          <w:sz w:val="22"/>
          <w:szCs w:val="22"/>
        </w:rPr>
      </w:pPr>
    </w:p>
    <w:p>
      <w:pPr>
        <w:spacing w:before="44"/>
        <w:ind w:left="112" w:right="5474" w:firstLine="0"/>
        <w:jc w:val="left"/>
        <w:rPr>
          <w:rFonts w:ascii="宋体" w:hAnsi="宋体" w:cs="宋体" w:eastAsia="宋体" w:hint="default"/>
          <w:sz w:val="18"/>
          <w:szCs w:val="18"/>
        </w:rPr>
      </w:pPr>
      <w:r>
        <w:rPr>
          <w:rFonts w:ascii="宋体" w:hAnsi="宋体" w:cs="宋体" w:eastAsia="宋体" w:hint="default"/>
          <w:sz w:val="18"/>
          <w:szCs w:val="18"/>
        </w:rPr>
        <w:t>公司报告期不存在托管情况。</w:t>
      </w:r>
    </w:p>
    <w:p>
      <w:pPr>
        <w:spacing w:line="240" w:lineRule="auto" w:before="11"/>
        <w:rPr>
          <w:rFonts w:ascii="宋体" w:hAnsi="宋体" w:cs="宋体" w:eastAsia="宋体" w:hint="default"/>
          <w:sz w:val="26"/>
          <w:szCs w:val="26"/>
        </w:rPr>
      </w:pPr>
    </w:p>
    <w:p>
      <w:pPr>
        <w:spacing w:before="0"/>
        <w:ind w:left="112" w:right="54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67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2"/>
        <w:rPr>
          <w:rFonts w:ascii="宋体" w:hAnsi="宋体" w:cs="宋体" w:eastAsia="宋体" w:hint="default"/>
          <w:sz w:val="19"/>
          <w:szCs w:val="19"/>
        </w:rPr>
      </w:pPr>
    </w:p>
    <w:p>
      <w:pPr>
        <w:spacing w:before="0"/>
        <w:ind w:left="112" w:right="54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67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12"/>
        <w:rPr>
          <w:rFonts w:ascii="宋体" w:hAnsi="宋体" w:cs="宋体" w:eastAsia="宋体" w:hint="default"/>
          <w:sz w:val="19"/>
          <w:szCs w:val="19"/>
        </w:rPr>
      </w:pPr>
    </w:p>
    <w:p>
      <w:pPr>
        <w:spacing w:before="0"/>
        <w:ind w:left="112" w:right="5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54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公司报告期不存在担保情况。</w:t>
      </w:r>
    </w:p>
    <w:p>
      <w:pPr>
        <w:spacing w:line="240" w:lineRule="auto" w:before="12"/>
        <w:rPr>
          <w:rFonts w:ascii="宋体" w:hAnsi="宋体" w:cs="宋体" w:eastAsia="宋体" w:hint="default"/>
          <w:sz w:val="19"/>
          <w:szCs w:val="19"/>
        </w:rPr>
      </w:pPr>
    </w:p>
    <w:p>
      <w:pPr>
        <w:spacing w:before="0"/>
        <w:ind w:left="112" w:right="5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54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67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line="240" w:lineRule="auto" w:before="12"/>
        <w:rPr>
          <w:rFonts w:ascii="宋体" w:hAnsi="宋体" w:cs="宋体" w:eastAsia="宋体" w:hint="default"/>
          <w:sz w:val="19"/>
          <w:szCs w:val="19"/>
        </w:rPr>
      </w:pPr>
    </w:p>
    <w:p>
      <w:pPr>
        <w:spacing w:before="0"/>
        <w:ind w:left="112" w:right="54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60" w:lineRule="auto" w:before="0"/>
        <w:ind w:left="112" w:right="67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12"/>
        <w:rPr>
          <w:rFonts w:ascii="宋体" w:hAnsi="宋体" w:cs="宋体" w:eastAsia="宋体" w:hint="default"/>
          <w:sz w:val="19"/>
          <w:szCs w:val="19"/>
        </w:rPr>
      </w:pPr>
    </w:p>
    <w:p>
      <w:pPr>
        <w:spacing w:before="0"/>
        <w:ind w:left="112" w:right="5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2" w:right="63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7"/>
        <w:rPr>
          <w:rFonts w:ascii="宋体" w:hAnsi="宋体" w:cs="宋体" w:eastAsia="宋体" w:hint="default"/>
          <w:sz w:val="18"/>
          <w:szCs w:val="18"/>
        </w:rPr>
      </w:pPr>
    </w:p>
    <w:p>
      <w:pPr>
        <w:pStyle w:val="Heading2"/>
        <w:spacing w:line="240" w:lineRule="auto"/>
        <w:ind w:right="5474"/>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line="357" w:lineRule="auto" w:before="0"/>
        <w:ind w:left="112" w:right="54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公司报告期不存在需要说明的其他重大事项。</w:t>
      </w:r>
    </w:p>
    <w:p>
      <w:pPr>
        <w:spacing w:line="240" w:lineRule="auto" w:before="7"/>
        <w:rPr>
          <w:rFonts w:ascii="宋体" w:hAnsi="宋体" w:cs="宋体" w:eastAsia="宋体" w:hint="default"/>
          <w:sz w:val="18"/>
          <w:szCs w:val="18"/>
        </w:rPr>
      </w:pPr>
    </w:p>
    <w:p>
      <w:pPr>
        <w:pStyle w:val="Heading2"/>
        <w:spacing w:line="240" w:lineRule="auto"/>
        <w:ind w:right="5474"/>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12" w:right="547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1680"/>
        </w:sectPr>
      </w:pPr>
    </w:p>
    <w:p>
      <w:pPr>
        <w:spacing w:line="240" w:lineRule="auto" w:before="9"/>
        <w:rPr>
          <w:rFonts w:ascii="宋体" w:hAnsi="宋体" w:cs="宋体" w:eastAsia="宋体" w:hint="default"/>
          <w:sz w:val="20"/>
          <w:szCs w:val="20"/>
        </w:rPr>
      </w:pPr>
    </w:p>
    <w:p>
      <w:pPr>
        <w:pStyle w:val="Heading2"/>
        <w:spacing w:line="240" w:lineRule="auto" w:before="26"/>
        <w:ind w:right="5474"/>
        <w:jc w:val="left"/>
        <w:rPr>
          <w:b w:val="0"/>
          <w:bCs w:val="0"/>
        </w:rPr>
      </w:pPr>
      <w:r>
        <w:rPr/>
        <w:t>二十、社会责任情况</w:t>
      </w:r>
      <w:r>
        <w:rPr>
          <w:b w:val="0"/>
          <w:bCs w:val="0"/>
        </w:rPr>
      </w:r>
    </w:p>
    <w:p>
      <w:pPr>
        <w:spacing w:line="240" w:lineRule="auto" w:before="6"/>
        <w:rPr>
          <w:rFonts w:ascii="宋体" w:hAnsi="宋体" w:cs="宋体" w:eastAsia="宋体" w:hint="default"/>
          <w:b/>
          <w:bCs/>
          <w:sz w:val="26"/>
          <w:szCs w:val="26"/>
        </w:rPr>
      </w:pPr>
    </w:p>
    <w:p>
      <w:pPr>
        <w:spacing w:before="0"/>
        <w:ind w:left="112" w:right="547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5474"/>
        <w:jc w:val="left"/>
        <w:rPr>
          <w:b w:val="0"/>
          <w:bCs w:val="0"/>
        </w:rPr>
      </w:pPr>
      <w:r>
        <w:rPr/>
        <w:t>二十一、公司债券相关情况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4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907" w:footer="1016" w:top="1100" w:bottom="1200" w:left="102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928" w:right="0"/>
        <w:jc w:val="left"/>
        <w:rPr>
          <w:b w:val="0"/>
          <w:bCs w:val="0"/>
        </w:rPr>
      </w:pPr>
      <w:bookmarkStart w:name="_bookmark5" w:id="6"/>
      <w:bookmarkEnd w:id="6"/>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3D3D3"/>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6" w:right="13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6" w:right="13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39,438,</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476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50.67%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18,556,</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333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-2,303,4</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60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16,252,</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873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55,691,</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349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47.70%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39,438,</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476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50.67%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18,556,</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333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-2,303,4</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60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16,252,</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873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55,691,</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349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47.70%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39,438,</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476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50.67%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18,556,</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333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-2,303,4</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60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16,252,</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873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55,691,</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349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47.70%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38,392,</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304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49.33%</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20,359,</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057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Times New Roman" w:hAnsi="Times New Roman" w:cs="Times New Roman" w:eastAsia="Times New Roman" w:hint="default"/>
                <w:sz w:val="18"/>
                <w:szCs w:val="18"/>
              </w:rPr>
            </w:pPr>
            <w:r>
              <w:rPr>
                <w:rFonts w:ascii="Times New Roman"/>
                <w:sz w:val="18"/>
              </w:rPr>
              <w:t>2,303,4</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60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22,662,</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517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61,054,</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821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52.30%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38,392,</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304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49.33%</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20,359,</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057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2,303,4</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60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22,662,</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517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61,054,</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821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52.30%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77,830,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780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38,915,</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390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38,915,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390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3" w:right="0"/>
              <w:jc w:val="left"/>
              <w:rPr>
                <w:rFonts w:ascii="Times New Roman" w:hAnsi="Times New Roman" w:cs="Times New Roman" w:eastAsia="Times New Roman" w:hint="default"/>
                <w:sz w:val="18"/>
                <w:szCs w:val="18"/>
              </w:rPr>
            </w:pPr>
            <w:r>
              <w:rPr>
                <w:rFonts w:ascii="Times New Roman"/>
                <w:sz w:val="18"/>
              </w:rPr>
              <w:t>116,74</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6,170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59" w:lineRule="auto" w:before="85"/>
        <w:ind w:left="112" w:right="110" w:firstLine="0"/>
        <w:jc w:val="both"/>
        <w:rPr>
          <w:rFonts w:ascii="宋体" w:hAnsi="宋体" w:cs="宋体" w:eastAsia="宋体" w:hint="default"/>
          <w:sz w:val="22"/>
          <w:szCs w:val="22"/>
        </w:rPr>
      </w:pPr>
      <w:r>
        <w:rPr>
          <w:rFonts w:ascii="宋体" w:hAnsi="宋体" w:cs="宋体" w:eastAsia="宋体" w:hint="default"/>
          <w:spacing w:val="-3"/>
          <w:sz w:val="22"/>
          <w:szCs w:val="22"/>
        </w:rPr>
        <w:t>本次股份变动的原因系：1、部分董事、高管的高管锁定股在本期按规定自动进行解锁；2、公司首发</w:t>
      </w:r>
      <w:r>
        <w:rPr>
          <w:rFonts w:ascii="宋体" w:hAnsi="宋体" w:cs="宋体" w:eastAsia="宋体" w:hint="default"/>
          <w:spacing w:val="-42"/>
          <w:sz w:val="22"/>
          <w:szCs w:val="22"/>
        </w:rPr>
        <w:t> </w:t>
      </w:r>
      <w:r>
        <w:rPr>
          <w:rFonts w:ascii="宋体" w:hAnsi="宋体" w:cs="宋体" w:eastAsia="宋体" w:hint="default"/>
          <w:spacing w:val="-42"/>
          <w:sz w:val="22"/>
          <w:szCs w:val="22"/>
        </w:rPr>
      </w:r>
      <w:r>
        <w:rPr>
          <w:rFonts w:ascii="宋体" w:hAnsi="宋体" w:cs="宋体" w:eastAsia="宋体" w:hint="default"/>
          <w:spacing w:val="-3"/>
          <w:sz w:val="22"/>
          <w:szCs w:val="22"/>
        </w:rPr>
        <w:t>部分股东持有的首发后个人限售股解除限售，其中担任公司董监高人员解除限售后再按规定自动进行</w:t>
      </w:r>
      <w:r>
        <w:rPr>
          <w:rFonts w:ascii="宋体" w:hAnsi="宋体" w:cs="宋体" w:eastAsia="宋体" w:hint="default"/>
          <w:spacing w:val="-48"/>
          <w:sz w:val="22"/>
          <w:szCs w:val="22"/>
        </w:rPr>
        <w:t> </w:t>
      </w:r>
      <w:r>
        <w:rPr>
          <w:rFonts w:ascii="宋体" w:hAnsi="宋体" w:cs="宋体" w:eastAsia="宋体" w:hint="default"/>
          <w:spacing w:val="-48"/>
          <w:sz w:val="22"/>
          <w:szCs w:val="22"/>
        </w:rPr>
      </w:r>
      <w:r>
        <w:rPr>
          <w:rFonts w:ascii="宋体" w:hAnsi="宋体" w:cs="宋体" w:eastAsia="宋体" w:hint="default"/>
          <w:spacing w:val="-3"/>
          <w:sz w:val="22"/>
          <w:szCs w:val="22"/>
        </w:rPr>
        <w:t>锁定；3、部分高管增持的公司股票按规定自动进行锁定；4、公司实施2014年度权益分派资本公积转</w:t>
      </w:r>
      <w:r>
        <w:rPr>
          <w:rFonts w:ascii="宋体" w:hAnsi="宋体" w:cs="宋体" w:eastAsia="宋体" w:hint="default"/>
          <w:spacing w:val="-40"/>
          <w:sz w:val="22"/>
          <w:szCs w:val="22"/>
        </w:rPr>
        <w:t> </w:t>
      </w:r>
      <w:r>
        <w:rPr>
          <w:rFonts w:ascii="宋体" w:hAnsi="宋体" w:cs="宋体" w:eastAsia="宋体" w:hint="default"/>
          <w:spacing w:val="-40"/>
          <w:sz w:val="22"/>
          <w:szCs w:val="22"/>
        </w:rPr>
      </w:r>
      <w:r>
        <w:rPr>
          <w:rFonts w:ascii="宋体" w:hAnsi="宋体" w:cs="宋体" w:eastAsia="宋体" w:hint="default"/>
          <w:sz w:val="22"/>
          <w:szCs w:val="22"/>
        </w:rPr>
        <w:t>增股本所致。</w:t>
      </w:r>
    </w:p>
    <w:p>
      <w:pPr>
        <w:spacing w:line="240" w:lineRule="auto" w:before="12"/>
        <w:rPr>
          <w:rFonts w:ascii="宋体" w:hAnsi="宋体" w:cs="宋体" w:eastAsia="宋体" w:hint="default"/>
          <w:sz w:val="29"/>
          <w:szCs w:val="2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64" w:lineRule="auto" w:before="92"/>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1、公司部分首发股东持有的限售股解限根据上述人员相关承诺执行；2、部分董事、高管所持股份的解除</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锁定情况按照中国证监会的相关规定执行；3、</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年度权益分派资本公积转增股本经公司2014年度股东</w:t>
      </w:r>
      <w:r>
        <w:rPr>
          <w:rFonts w:ascii="宋体" w:hAnsi="宋体" w:cs="宋体" w:eastAsia="宋体" w:hint="default"/>
          <w:w w:val="99"/>
          <w:sz w:val="21"/>
          <w:szCs w:val="21"/>
        </w:rPr>
        <w:t> </w:t>
      </w:r>
      <w:r>
        <w:rPr>
          <w:rFonts w:ascii="宋体" w:hAnsi="宋体" w:cs="宋体" w:eastAsia="宋体" w:hint="default"/>
          <w:sz w:val="21"/>
          <w:szCs w:val="21"/>
        </w:rPr>
        <w:t>大会审议通过。</w:t>
      </w:r>
    </w:p>
    <w:p>
      <w:pPr>
        <w:spacing w:before="82"/>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60" w:lineRule="auto" w:before="115"/>
        <w:ind w:left="112" w:right="374"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股份变动对最近一年和最近一期基本每股收益和稀释每股收益、归属于公司普通股股东的每股净资产等财务指标的影响</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line="273" w:lineRule="auto" w:before="34"/>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本报告期内，公司资本公积转增股本增加股本38,915,390股，对本期基本每股收益和稀释每股收益、归属</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于公司普通股股东的每股净资产有所摊薄。</w:t>
      </w:r>
    </w:p>
    <w:p>
      <w:pPr>
        <w:spacing w:before="71"/>
        <w:ind w:left="112"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8" w:right="137"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8" w:right="136"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6"/>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21,544,868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7,181,623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7,181,622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21,544,867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5,386,217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13,390,543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18,626,760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1"/>
              <w:jc w:val="left"/>
              <w:rPr>
                <w:rFonts w:ascii="宋体" w:hAnsi="宋体" w:cs="宋体" w:eastAsia="宋体" w:hint="default"/>
                <w:sz w:val="18"/>
                <w:szCs w:val="18"/>
              </w:rPr>
            </w:pPr>
            <w:r>
              <w:rPr>
                <w:rFonts w:ascii="宋体" w:hAnsi="宋体" w:cs="宋体" w:eastAsia="宋体" w:hint="default"/>
                <w:sz w:val="18"/>
                <w:szCs w:val="18"/>
              </w:rPr>
              <w:t>每年按上年末 持股数量的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4,456,941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1,485,647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1,485,647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4,456,941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1,114,235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2,241,838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2,268,573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1"/>
              <w:jc w:val="left"/>
              <w:rPr>
                <w:rFonts w:ascii="宋体" w:hAnsi="宋体" w:cs="宋体" w:eastAsia="宋体" w:hint="default"/>
                <w:sz w:val="18"/>
                <w:szCs w:val="18"/>
              </w:rPr>
            </w:pPr>
            <w:r>
              <w:rPr>
                <w:rFonts w:ascii="宋体" w:hAnsi="宋体" w:cs="宋体" w:eastAsia="宋体" w:hint="default"/>
                <w:sz w:val="18"/>
                <w:szCs w:val="18"/>
              </w:rPr>
              <w:t>每年按上年末 持股数量的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2,040,641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680,214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680,214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2,040,641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408,323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408,323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1"/>
              <w:jc w:val="left"/>
              <w:rPr>
                <w:rFonts w:ascii="宋体" w:hAnsi="宋体" w:cs="宋体" w:eastAsia="宋体" w:hint="default"/>
                <w:sz w:val="18"/>
                <w:szCs w:val="18"/>
              </w:rPr>
            </w:pPr>
            <w:r>
              <w:rPr>
                <w:rFonts w:ascii="宋体" w:hAnsi="宋体" w:cs="宋体" w:eastAsia="宋体" w:hint="default"/>
                <w:sz w:val="18"/>
                <w:szCs w:val="18"/>
              </w:rPr>
              <w:t>每年按上年末 持股数量的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1,735,023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578,341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578,341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1,735,023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550,645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1"/>
              <w:jc w:val="left"/>
              <w:rPr>
                <w:rFonts w:ascii="宋体" w:hAnsi="宋体" w:cs="宋体" w:eastAsia="宋体" w:hint="default"/>
                <w:sz w:val="18"/>
                <w:szCs w:val="18"/>
              </w:rPr>
            </w:pPr>
            <w:r>
              <w:rPr>
                <w:rFonts w:ascii="宋体" w:hAnsi="宋体" w:cs="宋体" w:eastAsia="宋体" w:hint="default"/>
                <w:sz w:val="18"/>
                <w:szCs w:val="18"/>
              </w:rPr>
              <w:t>每年按上年末 持股数量的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1,020,321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340,107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340,107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1,020,321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529,960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529,960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1"/>
              <w:jc w:val="left"/>
              <w:rPr>
                <w:rFonts w:ascii="宋体" w:hAnsi="宋体" w:cs="宋体" w:eastAsia="宋体" w:hint="default"/>
                <w:sz w:val="18"/>
                <w:szCs w:val="18"/>
              </w:rPr>
            </w:pPr>
            <w:r>
              <w:rPr>
                <w:rFonts w:ascii="宋体" w:hAnsi="宋体" w:cs="宋体" w:eastAsia="宋体" w:hint="default"/>
                <w:sz w:val="18"/>
                <w:szCs w:val="18"/>
              </w:rPr>
              <w:t>每年按上年末 持股数量的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67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290,996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362,828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1"/>
              <w:jc w:val="left"/>
              <w:rPr>
                <w:rFonts w:ascii="宋体" w:hAnsi="宋体" w:cs="宋体" w:eastAsia="宋体" w:hint="default"/>
                <w:sz w:val="18"/>
                <w:szCs w:val="18"/>
              </w:rPr>
            </w:pPr>
            <w:r>
              <w:rPr>
                <w:rFonts w:ascii="宋体" w:hAnsi="宋体" w:cs="宋体" w:eastAsia="宋体" w:hint="default"/>
                <w:sz w:val="18"/>
                <w:szCs w:val="18"/>
              </w:rPr>
              <w:t>每年按上年末 持股数量的</w:t>
            </w:r>
          </w:p>
        </w:tc>
      </w:tr>
    </w:tbl>
    <w:p>
      <w:pPr>
        <w:spacing w:after="0" w:line="316" w:lineRule="auto"/>
        <w:jc w:val="left"/>
        <w:rPr>
          <w:rFonts w:ascii="宋体" w:hAnsi="宋体" w:cs="宋体" w:eastAsia="宋体" w:hint="default"/>
          <w:sz w:val="18"/>
          <w:szCs w:val="18"/>
        </w:rPr>
        <w:sectPr>
          <w:footerReference w:type="default" r:id="rId18"/>
          <w:pgSz w:w="11910" w:h="16840"/>
          <w:pgMar w:footer="1016" w:header="907" w:top="1100" w:bottom="1200" w:left="1020" w:right="1020"/>
          <w:pgNumType w:start="3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530,588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106,117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212,235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636,706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1"/>
              <w:jc w:val="left"/>
              <w:rPr>
                <w:rFonts w:ascii="宋体" w:hAnsi="宋体" w:cs="宋体" w:eastAsia="宋体" w:hint="default"/>
                <w:sz w:val="18"/>
                <w:szCs w:val="18"/>
              </w:rPr>
            </w:pPr>
            <w:r>
              <w:rPr>
                <w:rFonts w:ascii="宋体" w:hAnsi="宋体" w:cs="宋体" w:eastAsia="宋体" w:hint="default"/>
                <w:sz w:val="18"/>
                <w:szCs w:val="18"/>
              </w:rPr>
              <w:t>每年按上年末 持股数量的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1"/>
              <w:jc w:val="left"/>
              <w:rPr>
                <w:rFonts w:ascii="宋体" w:hAnsi="宋体" w:cs="宋体" w:eastAsia="宋体" w:hint="default"/>
                <w:sz w:val="18"/>
                <w:szCs w:val="18"/>
              </w:rPr>
            </w:pPr>
            <w:r>
              <w:rPr>
                <w:rFonts w:ascii="宋体" w:hAnsi="宋体" w:cs="宋体" w:eastAsia="宋体" w:hint="default"/>
                <w:sz w:val="18"/>
                <w:szCs w:val="18"/>
              </w:rPr>
              <w:t>每年按上年末 持股数量的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章大林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章大林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1"/>
              <w:jc w:val="left"/>
              <w:rPr>
                <w:rFonts w:ascii="宋体" w:hAnsi="宋体" w:cs="宋体" w:eastAsia="宋体" w:hint="default"/>
                <w:sz w:val="18"/>
                <w:szCs w:val="18"/>
              </w:rPr>
            </w:pPr>
            <w:r>
              <w:rPr>
                <w:rFonts w:ascii="宋体" w:hAnsi="宋体" w:cs="宋体" w:eastAsia="宋体" w:hint="default"/>
                <w:sz w:val="18"/>
                <w:szCs w:val="18"/>
              </w:rPr>
              <w:t>每年按上年末 持股数量的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史志民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史志民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1"/>
              <w:jc w:val="left"/>
              <w:rPr>
                <w:rFonts w:ascii="宋体" w:hAnsi="宋体" w:cs="宋体" w:eastAsia="宋体" w:hint="default"/>
                <w:sz w:val="18"/>
                <w:szCs w:val="18"/>
              </w:rPr>
            </w:pPr>
            <w:r>
              <w:rPr>
                <w:rFonts w:ascii="宋体" w:hAnsi="宋体" w:cs="宋体" w:eastAsia="宋体" w:hint="default"/>
                <w:sz w:val="18"/>
                <w:szCs w:val="18"/>
              </w:rPr>
              <w:t>每年按上年末 持股数量的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39,438,476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12,264,645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28,517,518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55,691,349</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312" w:lineRule="exact" w:before="99"/>
        <w:ind w:right="112"/>
        <w:jc w:val="both"/>
      </w:pPr>
      <w:r>
        <w:rPr>
          <w:spacing w:val="2"/>
        </w:rPr>
        <w:t>报告期内，经公司2014年度股东大会审议通过，以2014年12月31日公司股份总数</w:t>
      </w:r>
      <w:r>
        <w:rPr>
          <w:rFonts w:ascii="Times New Roman" w:hAnsi="Times New Roman" w:cs="Times New Roman" w:eastAsia="Times New Roman" w:hint="default"/>
          <w:spacing w:val="2"/>
        </w:rPr>
        <w:t>77,830,780</w:t>
      </w:r>
      <w:r>
        <w:rPr>
          <w:rFonts w:ascii="Times New Roman" w:hAnsi="Times New Roman" w:cs="Times New Roman" w:eastAsia="Times New Roman" w:hint="default"/>
          <w:spacing w:val="-31"/>
        </w:rPr>
        <w:t> </w:t>
      </w:r>
      <w:r>
        <w:rPr/>
        <w:t>股为基数，公司于2015年7月16日实施了资本公积转增股本</w:t>
      </w:r>
      <w:r>
        <w:rPr>
          <w:rFonts w:ascii="Times New Roman" w:hAnsi="Times New Roman" w:cs="Times New Roman" w:eastAsia="Times New Roman" w:hint="default"/>
        </w:rPr>
        <w:t>38,915,390</w:t>
      </w:r>
      <w:r>
        <w:rPr/>
        <w:t>股。截至报告期末，公</w:t>
      </w:r>
      <w:r>
        <w:rPr>
          <w:spacing w:val="-89"/>
        </w:rPr>
        <w:t> </w:t>
      </w:r>
      <w:r>
        <w:rPr>
          <w:spacing w:val="-89"/>
        </w:rPr>
      </w:r>
      <w:r>
        <w:rPr/>
        <w:t>司总股本为</w:t>
      </w:r>
      <w:r>
        <w:rPr>
          <w:rFonts w:ascii="Times New Roman" w:hAnsi="Times New Roman" w:cs="Times New Roman" w:eastAsia="Times New Roman" w:hint="default"/>
        </w:rPr>
        <w:t>116,746,170</w:t>
      </w:r>
      <w:r>
        <w:rPr/>
        <w:t>股，公司资产总额为885,411,507.34元，资产负债率为20</w:t>
      </w:r>
      <w:r>
        <w:rPr>
          <w:rFonts w:ascii="Times New Roman" w:hAnsi="Times New Roman" w:cs="Times New Roman" w:eastAsia="Times New Roman" w:hint="default"/>
        </w:rPr>
        <w:t>.04%</w:t>
      </w:r>
      <w:r>
        <w:rPr/>
        <w:t>。</w:t>
      </w: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both"/>
        <w:rPr>
          <w:rFonts w:ascii="宋体" w:hAnsi="宋体" w:cs="宋体" w:eastAsia="宋体" w:hint="default"/>
          <w:sz w:val="18"/>
          <w:szCs w:val="18"/>
        </w:rPr>
        <w:sectPr>
          <w:pgSz w:w="11910" w:h="16840"/>
          <w:pgMar w:header="907" w:footer="1016" w:top="1100" w:bottom="1200" w:left="1020" w:right="102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274"/>
        <w:gridCol w:w="922"/>
        <w:gridCol w:w="490"/>
        <w:gridCol w:w="748"/>
        <w:gridCol w:w="826"/>
        <w:gridCol w:w="328"/>
        <w:gridCol w:w="461"/>
        <w:gridCol w:w="761"/>
        <w:gridCol w:w="866"/>
        <w:gridCol w:w="305"/>
        <w:gridCol w:w="1044"/>
        <w:gridCol w:w="152"/>
        <w:gridCol w:w="1196"/>
      </w:tblGrid>
      <w:tr>
        <w:trPr>
          <w:trHeight w:val="2274"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1" w:right="181"/>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78" w:right="0"/>
              <w:jc w:val="left"/>
              <w:rPr>
                <w:rFonts w:ascii="Times New Roman" w:hAnsi="Times New Roman" w:cs="Times New Roman" w:eastAsia="Times New Roman" w:hint="default"/>
                <w:sz w:val="18"/>
                <w:szCs w:val="18"/>
              </w:rPr>
            </w:pPr>
            <w:r>
              <w:rPr>
                <w:rFonts w:ascii="Times New Roman"/>
                <w:sz w:val="18"/>
              </w:rPr>
              <w:t>7,660</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3" w:right="222"/>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37" w:right="0"/>
              <w:jc w:val="left"/>
              <w:rPr>
                <w:rFonts w:ascii="Times New Roman" w:hAnsi="Times New Roman" w:cs="Times New Roman" w:eastAsia="Times New Roman" w:hint="default"/>
                <w:sz w:val="18"/>
                <w:szCs w:val="18"/>
              </w:rPr>
            </w:pPr>
            <w:r>
              <w:rPr>
                <w:rFonts w:ascii="Times New Roman"/>
                <w:sz w:val="18"/>
              </w:rPr>
              <w:t>6,789</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2" w:right="37"/>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2"/>
                <w:sz w:val="18"/>
                <w:szCs w:val="18"/>
              </w:rPr>
              <w:t>总数（如有）</w:t>
            </w:r>
          </w:p>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82"/>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6" w:lineRule="auto" w:before="19"/>
              <w:ind w:left="101" w:right="100"/>
              <w:jc w:val="both"/>
              <w:rPr>
                <w:rFonts w:ascii="宋体" w:hAnsi="宋体" w:cs="宋体" w:eastAsia="宋体" w:hint="default"/>
                <w:sz w:val="18"/>
                <w:szCs w:val="18"/>
              </w:rPr>
            </w:pPr>
            <w:r>
              <w:rPr>
                <w:rFonts w:ascii="宋体" w:hAnsi="宋体" w:cs="宋体" w:eastAsia="宋体" w:hint="default"/>
                <w:spacing w:val="-17"/>
                <w:sz w:val="18"/>
                <w:szCs w:val="18"/>
              </w:rPr>
              <w:t>（如有）（参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0" w:right="7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7" w:right="117"/>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118"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6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118" w:right="9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17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2" w:type="dxa"/>
            <w:gridSpan w:val="2"/>
            <w:vMerge/>
            <w:tcBorders>
              <w:left w:val="single" w:sz="4" w:space="0" w:color="000000"/>
              <w:bottom w:val="single" w:sz="4" w:space="0" w:color="000000"/>
              <w:right w:val="single" w:sz="4" w:space="0" w:color="000000"/>
            </w:tcBorders>
            <w:shd w:val="clear" w:color="auto" w:fill="D3D3D3"/>
          </w:tcPr>
          <w:p>
            <w:pPr/>
          </w:p>
        </w:tc>
        <w:tc>
          <w:tcPr>
            <w:tcW w:w="748" w:type="dxa"/>
            <w:vMerge/>
            <w:tcBorders>
              <w:left w:val="single" w:sz="4" w:space="0" w:color="000000"/>
              <w:bottom w:val="single" w:sz="4" w:space="0" w:color="000000"/>
              <w:right w:val="single" w:sz="4" w:space="0" w:color="000000"/>
            </w:tcBorders>
            <w:shd w:val="clear" w:color="auto" w:fill="D3D3D3"/>
          </w:tcPr>
          <w:p>
            <w:pPr/>
          </w:p>
        </w:tc>
        <w:tc>
          <w:tcPr>
            <w:tcW w:w="826" w:type="dxa"/>
            <w:vMerge/>
            <w:tcBorders>
              <w:left w:val="single" w:sz="4" w:space="0" w:color="000000"/>
              <w:bottom w:val="single" w:sz="4" w:space="0" w:color="000000"/>
              <w:right w:val="single" w:sz="4" w:space="0" w:color="000000"/>
            </w:tcBorders>
            <w:shd w:val="clear" w:color="auto" w:fill="D3D3D3"/>
          </w:tcPr>
          <w:p>
            <w:pPr/>
          </w:p>
        </w:tc>
        <w:tc>
          <w:tcPr>
            <w:tcW w:w="789" w:type="dxa"/>
            <w:gridSpan w:val="2"/>
            <w:vMerge/>
            <w:tcBorders>
              <w:left w:val="single" w:sz="4" w:space="0" w:color="000000"/>
              <w:bottom w:val="single" w:sz="4" w:space="0" w:color="000000"/>
              <w:right w:val="single" w:sz="4" w:space="0" w:color="000000"/>
            </w:tcBorders>
            <w:shd w:val="clear" w:color="auto" w:fill="D3D3D3"/>
          </w:tcPr>
          <w:p>
            <w:pPr/>
          </w:p>
        </w:tc>
        <w:tc>
          <w:tcPr>
            <w:tcW w:w="761" w:type="dxa"/>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42.90%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50,082,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169</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14,374,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40,171,</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627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9,910,5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7,500,000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z w:val="18"/>
                <w:szCs w:val="18"/>
              </w:rPr>
              <w:t>中科汇通（深 圳）股权投资基 金有限公司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4"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10.93%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12,764,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785</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12,764,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12,764,</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785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11,748,200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6.16%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7,197,3</w:t>
            </w:r>
          </w:p>
          <w:p>
            <w:pPr>
              <w:pStyle w:val="TableParagraph"/>
              <w:spacing w:line="240" w:lineRule="auto" w:before="105"/>
              <w:ind w:left="534" w:right="0"/>
              <w:jc w:val="left"/>
              <w:rPr>
                <w:rFonts w:ascii="Times New Roman" w:hAnsi="Times New Roman" w:cs="Times New Roman" w:eastAsia="Times New Roman" w:hint="default"/>
                <w:sz w:val="18"/>
                <w:szCs w:val="18"/>
              </w:rPr>
            </w:pPr>
            <w:r>
              <w:rPr>
                <w:rFonts w:ascii="Times New Roman"/>
                <w:sz w:val="18"/>
              </w:rPr>
              <w:t>52</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1,219,1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6,725,5</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14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471,838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2.24%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2,612,2</w:t>
            </w:r>
          </w:p>
          <w:p>
            <w:pPr>
              <w:pStyle w:val="TableParagraph"/>
              <w:spacing w:line="240" w:lineRule="auto" w:before="105"/>
              <w:ind w:left="534" w:right="0"/>
              <w:jc w:val="left"/>
              <w:rPr>
                <w:rFonts w:ascii="Times New Roman" w:hAnsi="Times New Roman" w:cs="Times New Roman" w:eastAsia="Times New Roman" w:hint="default"/>
                <w:sz w:val="18"/>
                <w:szCs w:val="18"/>
              </w:rPr>
            </w:pPr>
            <w:r>
              <w:rPr>
                <w:rFonts w:ascii="Times New Roman"/>
                <w:sz w:val="18"/>
              </w:rPr>
              <w:t>28</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435,37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2,448,9</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64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163,264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2.09%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2,438,0</w:t>
            </w:r>
          </w:p>
          <w:p>
            <w:pPr>
              <w:pStyle w:val="TableParagraph"/>
              <w:spacing w:line="240" w:lineRule="auto" w:before="105"/>
              <w:ind w:left="534" w:right="0"/>
              <w:jc w:val="left"/>
              <w:rPr>
                <w:rFonts w:ascii="Times New Roman" w:hAnsi="Times New Roman" w:cs="Times New Roman" w:eastAsia="Times New Roman" w:hint="default"/>
                <w:sz w:val="18"/>
                <w:szCs w:val="18"/>
              </w:rPr>
            </w:pPr>
            <w:r>
              <w:rPr>
                <w:rFonts w:ascii="Times New Roman"/>
                <w:sz w:val="18"/>
              </w:rPr>
              <w:t>45</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406,34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1,985,6</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68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452,377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75"/>
              <w:jc w:val="both"/>
              <w:rPr>
                <w:rFonts w:ascii="宋体" w:hAnsi="宋体" w:cs="宋体" w:eastAsia="宋体" w:hint="default"/>
                <w:sz w:val="18"/>
                <w:szCs w:val="18"/>
              </w:rPr>
            </w:pPr>
            <w:r>
              <w:rPr>
                <w:rFonts w:ascii="宋体" w:hAnsi="宋体" w:cs="宋体" w:eastAsia="宋体" w:hint="default"/>
                <w:sz w:val="18"/>
                <w:szCs w:val="18"/>
              </w:rPr>
              <w:t>中央汇金资产 管理有限责任 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4"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2.01%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2,343,1</w:t>
            </w:r>
          </w:p>
          <w:p>
            <w:pPr>
              <w:pStyle w:val="TableParagraph"/>
              <w:spacing w:line="240" w:lineRule="auto" w:before="105"/>
              <w:ind w:left="534" w:right="0"/>
              <w:jc w:val="left"/>
              <w:rPr>
                <w:rFonts w:ascii="Times New Roman" w:hAnsi="Times New Roman" w:cs="Times New Roman" w:eastAsia="Times New Roman" w:hint="default"/>
                <w:sz w:val="18"/>
                <w:szCs w:val="18"/>
              </w:rPr>
            </w:pPr>
            <w:r>
              <w:rPr>
                <w:rFonts w:ascii="Times New Roman"/>
                <w:sz w:val="18"/>
              </w:rPr>
              <w:t>00</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2,343,1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1.42%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1,658,9</w:t>
            </w:r>
          </w:p>
          <w:p>
            <w:pPr>
              <w:pStyle w:val="TableParagraph"/>
              <w:spacing w:line="240" w:lineRule="auto" w:before="105"/>
              <w:ind w:left="534" w:right="0"/>
              <w:jc w:val="left"/>
              <w:rPr>
                <w:rFonts w:ascii="Times New Roman" w:hAnsi="Times New Roman" w:cs="Times New Roman" w:eastAsia="Times New Roman" w:hint="default"/>
                <w:sz w:val="18"/>
                <w:szCs w:val="18"/>
              </w:rPr>
            </w:pPr>
            <w:r>
              <w:rPr>
                <w:rFonts w:ascii="Times New Roman"/>
                <w:sz w:val="18"/>
              </w:rPr>
              <w:t>14</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298,51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1,550,2</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81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108,633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0.79%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923,98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147,99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5"/>
              <w:jc w:val="right"/>
              <w:rPr>
                <w:rFonts w:ascii="Times New Roman" w:hAnsi="Times New Roman" w:cs="Times New Roman" w:eastAsia="Times New Roman" w:hint="default"/>
                <w:sz w:val="18"/>
                <w:szCs w:val="18"/>
              </w:rPr>
            </w:pPr>
            <w:r>
              <w:rPr>
                <w:rFonts w:ascii="Times New Roman"/>
                <w:spacing w:val="-1"/>
                <w:sz w:val="18"/>
              </w:rPr>
              <w:t>554,14</w:t>
            </w:r>
          </w:p>
          <w:p>
            <w:pPr>
              <w:pStyle w:val="TableParagraph"/>
              <w:spacing w:line="240" w:lineRule="auto" w:before="105"/>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369,846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0.58%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679,70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135,43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5"/>
              <w:jc w:val="right"/>
              <w:rPr>
                <w:rFonts w:ascii="Times New Roman" w:hAnsi="Times New Roman" w:cs="Times New Roman" w:eastAsia="Times New Roman" w:hint="default"/>
                <w:sz w:val="18"/>
                <w:szCs w:val="18"/>
              </w:rPr>
            </w:pPr>
            <w:r>
              <w:rPr>
                <w:rFonts w:ascii="Times New Roman"/>
                <w:spacing w:val="-1"/>
                <w:sz w:val="18"/>
              </w:rPr>
              <w:t>614,85</w:t>
            </w:r>
          </w:p>
          <w:p>
            <w:pPr>
              <w:pStyle w:val="TableParagraph"/>
              <w:spacing w:line="240" w:lineRule="auto" w:before="105"/>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64,851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9" w:right="0"/>
              <w:jc w:val="left"/>
              <w:rPr>
                <w:rFonts w:ascii="Times New Roman" w:hAnsi="Times New Roman" w:cs="Times New Roman" w:eastAsia="Times New Roman" w:hint="default"/>
                <w:sz w:val="18"/>
                <w:szCs w:val="18"/>
              </w:rPr>
            </w:pPr>
            <w:r>
              <w:rPr>
                <w:rFonts w:ascii="Times New Roman"/>
                <w:sz w:val="18"/>
              </w:rPr>
              <w:t>622,499</w:t>
            </w:r>
          </w:p>
        </w:tc>
      </w:tr>
      <w:tr>
        <w:trPr>
          <w:trHeight w:val="129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75"/>
              <w:jc w:val="left"/>
              <w:rPr>
                <w:rFonts w:ascii="宋体" w:hAnsi="宋体" w:cs="宋体" w:eastAsia="宋体" w:hint="default"/>
                <w:sz w:val="18"/>
                <w:szCs w:val="18"/>
              </w:rPr>
            </w:pPr>
            <w:r>
              <w:rPr>
                <w:rFonts w:ascii="宋体" w:hAnsi="宋体" w:cs="宋体" w:eastAsia="宋体" w:hint="default"/>
                <w:sz w:val="18"/>
                <w:szCs w:val="18"/>
              </w:rPr>
              <w:t>中国建设银行 股份有限公司</w:t>
            </w:r>
          </w:p>
          <w:p>
            <w:pPr>
              <w:pStyle w:val="TableParagraph"/>
              <w:spacing w:line="316" w:lineRule="auto" w:before="19"/>
              <w:ind w:left="101" w:right="275"/>
              <w:jc w:val="left"/>
              <w:rPr>
                <w:rFonts w:ascii="宋体" w:hAnsi="宋体" w:cs="宋体" w:eastAsia="宋体" w:hint="default"/>
                <w:sz w:val="18"/>
                <w:szCs w:val="18"/>
              </w:rPr>
            </w:pPr>
            <w:r>
              <w:rPr>
                <w:rFonts w:ascii="宋体" w:hAnsi="宋体" w:cs="宋体" w:eastAsia="宋体" w:hint="default"/>
                <w:sz w:val="18"/>
                <w:szCs w:val="18"/>
              </w:rPr>
              <w:t>－华宝兴业事 件驱动混合型</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0.57%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663,59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03" w:right="0"/>
              <w:jc w:val="left"/>
              <w:rPr>
                <w:rFonts w:ascii="Times New Roman" w:hAnsi="Times New Roman" w:cs="Times New Roman" w:eastAsia="Times New Roman" w:hint="default"/>
                <w:sz w:val="18"/>
                <w:szCs w:val="18"/>
              </w:rPr>
            </w:pPr>
            <w:r>
              <w:rPr>
                <w:rFonts w:ascii="Times New Roman"/>
                <w:sz w:val="18"/>
              </w:rPr>
              <w:t>663,59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663,592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69"/>
        <w:gridCol w:w="1412"/>
        <w:gridCol w:w="788"/>
        <w:gridCol w:w="786"/>
        <w:gridCol w:w="789"/>
        <w:gridCol w:w="787"/>
        <w:gridCol w:w="840"/>
        <w:gridCol w:w="1349"/>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证券投资基金</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p>
            <w:pPr>
              <w:pStyle w:val="TableParagraph"/>
              <w:spacing w:line="248" w:lineRule="exact"/>
              <w:ind w:left="10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公司董事长刘冀鲁与公司总经理刘凌云系父女关系，属于一致行动人；未知其他股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东之间是否存在关联关系，是否属于一致行动人。</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4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1" w:type="dxa"/>
            <w:gridSpan w:val="2"/>
            <w:vMerge/>
            <w:tcBorders>
              <w:left w:val="single" w:sz="4" w:space="0" w:color="000000"/>
              <w:bottom w:val="single" w:sz="4" w:space="0" w:color="000000"/>
              <w:right w:val="single" w:sz="4" w:space="0" w:color="000000"/>
            </w:tcBorders>
            <w:shd w:val="clear" w:color="auto" w:fill="D3D3D3"/>
          </w:tcPr>
          <w:p>
            <w:pPr/>
          </w:p>
        </w:tc>
        <w:tc>
          <w:tcPr>
            <w:tcW w:w="3990" w:type="dxa"/>
            <w:gridSpan w:val="5"/>
            <w:vMerge/>
            <w:tcBorders>
              <w:left w:val="single" w:sz="4" w:space="0" w:color="000000"/>
              <w:bottom w:val="single" w:sz="4" w:space="0" w:color="000000"/>
              <w:right w:val="single" w:sz="4" w:space="0" w:color="000000"/>
            </w:tcBorders>
            <w:shd w:val="clear" w:color="auto" w:fill="D3D3D3"/>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pacing w:val="-3"/>
                <w:sz w:val="18"/>
                <w:szCs w:val="18"/>
              </w:rPr>
              <w:t>中科汇通（深圳）股权投资基金有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12,764,785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12,764,785</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9,910,542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9,910,542</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2,343,100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2,343,100</w:t>
            </w:r>
          </w:p>
        </w:tc>
      </w:tr>
      <w:tr>
        <w:trPr>
          <w:trHeight w:val="102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47"/>
              <w:jc w:val="both"/>
              <w:rPr>
                <w:rFonts w:ascii="宋体" w:hAnsi="宋体" w:cs="宋体" w:eastAsia="宋体" w:hint="default"/>
                <w:sz w:val="18"/>
                <w:szCs w:val="18"/>
              </w:rPr>
            </w:pPr>
            <w:r>
              <w:rPr>
                <w:rFonts w:ascii="宋体" w:hAnsi="宋体" w:cs="宋体" w:eastAsia="宋体" w:hint="default"/>
                <w:sz w:val="18"/>
                <w:szCs w:val="18"/>
              </w:rPr>
              <w:t>中国建设银行股份有限公司－华 宝兴业事件驱动混合型证券投资 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663,592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663,592</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李素霞</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650,000</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刘建芳</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543,000</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吴一文</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511,500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511,500</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梁晏</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480,800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480,800</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471,838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471,838</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47"/>
              <w:jc w:val="left"/>
              <w:rPr>
                <w:rFonts w:ascii="宋体" w:hAnsi="宋体" w:cs="宋体" w:eastAsia="宋体" w:hint="default"/>
                <w:sz w:val="18"/>
                <w:szCs w:val="18"/>
              </w:rPr>
            </w:pPr>
            <w:r>
              <w:rPr>
                <w:rFonts w:ascii="宋体" w:hAnsi="宋体" w:cs="宋体" w:eastAsia="宋体" w:hint="default"/>
                <w:sz w:val="18"/>
                <w:szCs w:val="18"/>
              </w:rPr>
              <w:t>中国建设银行－华夏红利混合型 开放式证券投资基金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436,008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436,008</w:t>
            </w:r>
          </w:p>
        </w:tc>
      </w:tr>
      <w:tr>
        <w:trPr>
          <w:trHeight w:val="1338"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156"/>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 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 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pacing w:val="-1"/>
                <w:sz w:val="18"/>
                <w:szCs w:val="18"/>
              </w:rPr>
              <w:t>公司董事长刘冀鲁与公司总经理刘凌云系父女关系，属于一致行动人；未知其他股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东之间是否存在关联关系，是否属于一致行动人。</w:t>
            </w:r>
          </w:p>
        </w:tc>
      </w:tr>
      <w:tr>
        <w:trPr>
          <w:trHeight w:val="1338"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7"/>
              <w:ind w:left="101"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7"/>
                <w:sz w:val="18"/>
                <w:szCs w:val="18"/>
              </w:rPr>
              <w:t>业务情况说明（如有）（参见注</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103" w:right="101"/>
              <w:jc w:val="both"/>
              <w:rPr>
                <w:rFonts w:ascii="宋体" w:hAnsi="宋体" w:cs="宋体" w:eastAsia="宋体" w:hint="default"/>
                <w:sz w:val="18"/>
                <w:szCs w:val="18"/>
              </w:rPr>
            </w:pPr>
            <w:r>
              <w:rPr>
                <w:rFonts w:ascii="宋体" w:hAnsi="宋体" w:cs="宋体" w:eastAsia="宋体" w:hint="default"/>
                <w:spacing w:val="-1"/>
                <w:sz w:val="18"/>
                <w:szCs w:val="18"/>
              </w:rPr>
              <w:t>前十名无限售条件股东中“李素霞”通过“西南证券股份有限公司客户信用交易担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保证券账户”持有公司股票</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650,000</w:t>
            </w:r>
            <w:r>
              <w:rPr>
                <w:rFonts w:ascii="Times New Roman" w:hAnsi="Times New Roman" w:cs="Times New Roman" w:eastAsia="Times New Roman" w:hint="default"/>
                <w:spacing w:val="9"/>
                <w:sz w:val="18"/>
                <w:szCs w:val="18"/>
              </w:rPr>
              <w:t> </w:t>
            </w:r>
            <w:r>
              <w:rPr>
                <w:rFonts w:ascii="宋体" w:hAnsi="宋体" w:cs="宋体" w:eastAsia="宋体" w:hint="default"/>
                <w:spacing w:val="-7"/>
                <w:sz w:val="18"/>
                <w:szCs w:val="18"/>
              </w:rPr>
              <w:t>股；“吴一文”通过“申银万国证券股份有限公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w w:val="99"/>
                <w:sz w:val="18"/>
                <w:szCs w:val="18"/>
              </w:rPr>
              <w:t>司客户信用交易担保证券账户</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持有公司股票</w:t>
            </w:r>
            <w:r>
              <w:rPr>
                <w:rFonts w:ascii="宋体" w:hAnsi="宋体" w:cs="宋体" w:eastAsia="宋体" w:hint="default"/>
                <w:spacing w:val="-36"/>
                <w:w w:val="99"/>
                <w:sz w:val="18"/>
                <w:szCs w:val="18"/>
              </w:rPr>
              <w:t> </w:t>
            </w:r>
            <w:r>
              <w:rPr>
                <w:rFonts w:ascii="Times New Roman" w:hAnsi="Times New Roman" w:cs="Times New Roman" w:eastAsia="Times New Roman" w:hint="default"/>
                <w:spacing w:val="-2"/>
                <w:sz w:val="18"/>
                <w:szCs w:val="18"/>
              </w:rPr>
              <w:t>511,500</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股；“梁晏”通过“华泰证券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股份有限公司客户信用交易担保证券账户”持有公司股票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480,800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名无限售条件普通股股东在报告期内是否进行约定购回交易</w:t>
      </w:r>
    </w:p>
    <w:p>
      <w:pPr>
        <w:spacing w:before="101"/>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12" w:right="751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p>
      <w:pPr>
        <w:spacing w:after="0" w:line="357" w:lineRule="auto"/>
        <w:jc w:val="left"/>
        <w:rPr>
          <w:rFonts w:ascii="宋体" w:hAnsi="宋体" w:cs="宋体" w:eastAsia="宋体" w:hint="default"/>
          <w:sz w:val="18"/>
          <w:szCs w:val="18"/>
        </w:rPr>
        <w:sectPr>
          <w:pgSz w:w="11910" w:h="16840"/>
          <w:pgMar w:header="907" w:footer="1016" w:top="1100" w:bottom="1200" w:left="1020" w:right="108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418"/>
        <w:gridCol w:w="2302"/>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马鞍山鼎泰稀土新材料股份有限公司董事长、党委书记</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60" w:lineRule="auto" w:before="117"/>
        <w:ind w:left="112" w:right="69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733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3418"/>
        <w:gridCol w:w="2302"/>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马鞍山鼎泰稀土新材料股份有限公司董事长、党委书记</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5"/>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7" w:lineRule="auto" w:before="117"/>
        <w:ind w:left="112" w:right="57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line="240" w:lineRule="auto" w:before="13"/>
        <w:rPr>
          <w:rFonts w:ascii="宋体" w:hAnsi="宋体" w:cs="宋体" w:eastAsia="宋体" w:hint="default"/>
          <w:sz w:val="13"/>
          <w:szCs w:val="13"/>
        </w:rPr>
      </w:pPr>
    </w:p>
    <w:p>
      <w:pPr>
        <w:spacing w:line="3735" w:lineRule="exact"/>
        <w:ind w:left="1317"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591025" cy="237172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0" cstate="print"/>
                    <a:stretch>
                      <a:fillRect/>
                    </a:stretch>
                  </pic:blipFill>
                  <pic:spPr>
                    <a:xfrm>
                      <a:off x="0" y="0"/>
                      <a:ext cx="4591025" cy="2371725"/>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9"/>
        <w:rPr>
          <w:rFonts w:ascii="宋体" w:hAnsi="宋体" w:cs="宋体" w:eastAsia="宋体" w:hint="default"/>
          <w:sz w:val="12"/>
          <w:szCs w:val="12"/>
        </w:rPr>
      </w:pPr>
    </w:p>
    <w:p>
      <w:pPr>
        <w:pStyle w:val="BodyText"/>
        <w:spacing w:line="240" w:lineRule="auto"/>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footerReference w:type="default" r:id="rId19"/>
          <w:pgSz w:w="11910" w:h="16840"/>
          <w:pgMar w:footer="1016" w:header="907" w:top="1100" w:bottom="1200" w:left="1020" w:right="1080"/>
          <w:pgNumType w:start="34"/>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579"/>
        <w:gridCol w:w="1816"/>
        <w:gridCol w:w="1412"/>
        <w:gridCol w:w="1636"/>
        <w:gridCol w:w="2125"/>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722" w:right="155" w:hanging="56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5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67" w:right="156" w:hanging="812"/>
              <w:jc w:val="left"/>
              <w:rPr>
                <w:rFonts w:ascii="宋体" w:hAnsi="宋体" w:cs="宋体" w:eastAsia="宋体" w:hint="default"/>
                <w:sz w:val="18"/>
                <w:szCs w:val="18"/>
              </w:rPr>
            </w:pPr>
            <w:r>
              <w:rPr>
                <w:rFonts w:ascii="宋体" w:hAnsi="宋体" w:cs="宋体" w:eastAsia="宋体" w:hint="default"/>
                <w:sz w:val="18"/>
                <w:szCs w:val="18"/>
              </w:rPr>
              <w:t>主要经营业务或管理活 动</w:t>
            </w:r>
          </w:p>
        </w:tc>
      </w:tr>
      <w:tr>
        <w:trPr>
          <w:trHeight w:val="358" w:hRule="exact"/>
        </w:trPr>
        <w:tc>
          <w:tcPr>
            <w:tcW w:w="2579" w:type="dxa"/>
            <w:tcBorders>
              <w:top w:val="single" w:sz="4" w:space="0" w:color="000000"/>
              <w:left w:val="single" w:sz="4" w:space="0" w:color="000000"/>
              <w:bottom w:val="nil" w:sz="6" w:space="0" w:color="auto"/>
              <w:right w:val="single" w:sz="4" w:space="0" w:color="000000"/>
            </w:tcBorders>
          </w:tcPr>
          <w:p>
            <w:pPr/>
          </w:p>
        </w:tc>
        <w:tc>
          <w:tcPr>
            <w:tcW w:w="1816" w:type="dxa"/>
            <w:tcBorders>
              <w:top w:val="single" w:sz="4" w:space="0" w:color="000000"/>
              <w:left w:val="single" w:sz="4" w:space="0" w:color="000000"/>
              <w:bottom w:val="nil" w:sz="6" w:space="0" w:color="auto"/>
              <w:right w:val="single" w:sz="4" w:space="0" w:color="000000"/>
            </w:tcBorders>
          </w:tcPr>
          <w:p>
            <w:pPr/>
          </w:p>
        </w:tc>
        <w:tc>
          <w:tcPr>
            <w:tcW w:w="1412" w:type="dxa"/>
            <w:tcBorders>
              <w:top w:val="single" w:sz="4" w:space="0" w:color="000000"/>
              <w:left w:val="single" w:sz="4" w:space="0" w:color="000000"/>
              <w:bottom w:val="nil" w:sz="6" w:space="0" w:color="auto"/>
              <w:right w:val="single" w:sz="4" w:space="0" w:color="000000"/>
            </w:tcBorders>
          </w:tcPr>
          <w:p>
            <w:pPr/>
          </w:p>
        </w:tc>
        <w:tc>
          <w:tcPr>
            <w:tcW w:w="1636"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对未上市企业进行股权</w:t>
            </w:r>
          </w:p>
        </w:tc>
      </w:tr>
      <w:tr>
        <w:trPr>
          <w:trHeight w:val="312" w:hRule="exact"/>
        </w:trPr>
        <w:tc>
          <w:tcPr>
            <w:tcW w:w="2579" w:type="dxa"/>
            <w:tcBorders>
              <w:top w:val="nil" w:sz="6" w:space="0" w:color="auto"/>
              <w:left w:val="single" w:sz="4" w:space="0" w:color="000000"/>
              <w:bottom w:val="nil" w:sz="6" w:space="0" w:color="auto"/>
              <w:right w:val="single" w:sz="4" w:space="0" w:color="000000"/>
            </w:tcBorders>
          </w:tcPr>
          <w:p>
            <w:pPr/>
          </w:p>
        </w:tc>
        <w:tc>
          <w:tcPr>
            <w:tcW w:w="1816" w:type="dxa"/>
            <w:tcBorders>
              <w:top w:val="nil" w:sz="6" w:space="0" w:color="auto"/>
              <w:left w:val="single" w:sz="4" w:space="0" w:color="000000"/>
              <w:bottom w:val="nil" w:sz="6" w:space="0" w:color="auto"/>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7"/>
                <w:sz w:val="18"/>
                <w:szCs w:val="18"/>
              </w:rPr>
              <w:t>投资，开展股权投资和企</w:t>
            </w:r>
          </w:p>
        </w:tc>
      </w:tr>
      <w:tr>
        <w:trPr>
          <w:trHeight w:val="624" w:hRule="exact"/>
        </w:trPr>
        <w:tc>
          <w:tcPr>
            <w:tcW w:w="25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25"/>
              <w:jc w:val="left"/>
              <w:rPr>
                <w:rFonts w:ascii="宋体" w:hAnsi="宋体" w:cs="宋体" w:eastAsia="宋体" w:hint="default"/>
                <w:sz w:val="18"/>
                <w:szCs w:val="18"/>
              </w:rPr>
            </w:pPr>
            <w:r>
              <w:rPr>
                <w:rFonts w:ascii="宋体" w:hAnsi="宋体" w:cs="宋体" w:eastAsia="宋体" w:hint="default"/>
                <w:sz w:val="18"/>
                <w:szCs w:val="18"/>
              </w:rPr>
              <w:t>中科汇通（深圳）股权投资基 金有限公司</w:t>
            </w:r>
          </w:p>
        </w:tc>
        <w:tc>
          <w:tcPr>
            <w:tcW w:w="1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单祥双</w:t>
            </w: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30"/>
              <w:jc w:val="right"/>
              <w:rPr>
                <w:rFonts w:ascii="宋体" w:hAnsi="宋体" w:cs="宋体" w:eastAsia="宋体" w:hint="default"/>
                <w:sz w:val="18"/>
                <w:szCs w:val="18"/>
              </w:rPr>
            </w:pP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7"/>
                <w:sz w:val="18"/>
                <w:szCs w:val="18"/>
              </w:rPr>
              <w:t>业上市咨询业务（不得以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公开方式募集资金、不得</w:t>
            </w:r>
          </w:p>
        </w:tc>
      </w:tr>
      <w:tr>
        <w:trPr>
          <w:trHeight w:val="312" w:hRule="exact"/>
        </w:trPr>
        <w:tc>
          <w:tcPr>
            <w:tcW w:w="2579" w:type="dxa"/>
            <w:tcBorders>
              <w:top w:val="nil" w:sz="6" w:space="0" w:color="auto"/>
              <w:left w:val="single" w:sz="4" w:space="0" w:color="000000"/>
              <w:bottom w:val="nil" w:sz="6" w:space="0" w:color="auto"/>
              <w:right w:val="single" w:sz="4" w:space="0" w:color="000000"/>
            </w:tcBorders>
          </w:tcPr>
          <w:p>
            <w:pPr/>
          </w:p>
        </w:tc>
        <w:tc>
          <w:tcPr>
            <w:tcW w:w="1816" w:type="dxa"/>
            <w:tcBorders>
              <w:top w:val="nil" w:sz="6" w:space="0" w:color="auto"/>
              <w:left w:val="single" w:sz="4" w:space="0" w:color="000000"/>
              <w:bottom w:val="nil" w:sz="6" w:space="0" w:color="auto"/>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从事公开募集基金管理</w:t>
            </w:r>
          </w:p>
        </w:tc>
      </w:tr>
      <w:tr>
        <w:trPr>
          <w:trHeight w:val="356" w:hRule="exact"/>
        </w:trPr>
        <w:tc>
          <w:tcPr>
            <w:tcW w:w="2579" w:type="dxa"/>
            <w:tcBorders>
              <w:top w:val="nil" w:sz="6" w:space="0" w:color="auto"/>
              <w:left w:val="single" w:sz="4" w:space="0" w:color="000000"/>
              <w:bottom w:val="single" w:sz="4" w:space="0" w:color="000000"/>
              <w:right w:val="single" w:sz="4" w:space="0" w:color="000000"/>
            </w:tcBorders>
          </w:tcPr>
          <w:p>
            <w:pPr/>
          </w:p>
        </w:tc>
        <w:tc>
          <w:tcPr>
            <w:tcW w:w="1816" w:type="dxa"/>
            <w:tcBorders>
              <w:top w:val="nil" w:sz="6" w:space="0" w:color="auto"/>
              <w:left w:val="single" w:sz="4" w:space="0" w:color="000000"/>
              <w:bottom w:val="single" w:sz="4" w:space="0" w:color="000000"/>
              <w:right w:val="single" w:sz="4" w:space="0" w:color="000000"/>
            </w:tcBorders>
          </w:tcPr>
          <w:p>
            <w:pPr/>
          </w:p>
        </w:tc>
        <w:tc>
          <w:tcPr>
            <w:tcW w:w="1412" w:type="dxa"/>
            <w:tcBorders>
              <w:top w:val="nil" w:sz="6" w:space="0" w:color="auto"/>
              <w:left w:val="single" w:sz="4" w:space="0" w:color="000000"/>
              <w:bottom w:val="single" w:sz="4" w:space="0" w:color="000000"/>
              <w:right w:val="single" w:sz="4" w:space="0" w:color="000000"/>
            </w:tcBorders>
          </w:tcPr>
          <w:p>
            <w:pPr/>
          </w:p>
        </w:tc>
        <w:tc>
          <w:tcPr>
            <w:tcW w:w="1636"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247" w:right="434"/>
        <w:jc w:val="left"/>
        <w:rPr>
          <w:b w:val="0"/>
          <w:bCs w:val="0"/>
        </w:rPr>
      </w:pPr>
      <w:bookmarkStart w:name="_bookmark6" w:id="7"/>
      <w:bookmarkEnd w:id="7"/>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60" w:lineRule="auto" w:before="44"/>
        <w:ind w:left="112" w:right="6914"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60" w:lineRule="auto"/>
        <w:jc w:val="left"/>
        <w:rPr>
          <w:rFonts w:ascii="宋体" w:hAnsi="宋体" w:cs="宋体" w:eastAsia="宋体" w:hint="default"/>
          <w:sz w:val="18"/>
          <w:szCs w:val="18"/>
        </w:rPr>
        <w:sectPr>
          <w:pgSz w:w="11910" w:h="16840"/>
          <w:pgMar w:header="907" w:footer="1016" w:top="1100" w:bottom="1200" w:left="102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1644" w:right="0"/>
        <w:jc w:val="left"/>
        <w:rPr>
          <w:b w:val="0"/>
          <w:bCs w:val="0"/>
        </w:rPr>
      </w:pPr>
      <w:bookmarkStart w:name="_bookmark7" w:id="8"/>
      <w:bookmarkEnd w:id="8"/>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02" w:right="123"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5" w:right="121"/>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5" w:right="12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35,708,</w:t>
            </w:r>
          </w:p>
          <w:p>
            <w:pPr>
              <w:pStyle w:val="TableParagraph"/>
              <w:spacing w:line="240" w:lineRule="auto" w:before="105"/>
              <w:ind w:left="421" w:right="0"/>
              <w:jc w:val="left"/>
              <w:rPr>
                <w:rFonts w:ascii="Times New Roman" w:hAnsi="Times New Roman" w:cs="Times New Roman" w:eastAsia="Times New Roman" w:hint="default"/>
                <w:sz w:val="18"/>
                <w:szCs w:val="18"/>
              </w:rPr>
            </w:pPr>
            <w:r>
              <w:rPr>
                <w:rFonts w:ascii="Times New Roman"/>
                <w:spacing w:val="-2"/>
                <w:sz w:val="18"/>
              </w:rPr>
              <w:t>113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159,81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2,320,0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16,694,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50,241,</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985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赵颖坤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胡卫红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陈炬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吴韬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王景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戴卫星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齐跃进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r>
      <w:tr>
        <w:trPr>
          <w:trHeight w:val="102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刘钊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8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5,978,2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53,271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1,180,0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2,399,1</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7,250,6</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23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2,176,8</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435,37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870,74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2,612,2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28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both"/>
              <w:rPr>
                <w:rFonts w:ascii="宋体" w:hAnsi="宋体" w:cs="宋体" w:eastAsia="宋体" w:hint="default"/>
                <w:sz w:val="18"/>
                <w:szCs w:val="18"/>
              </w:rPr>
            </w:pPr>
            <w:r>
              <w:rPr>
                <w:rFonts w:ascii="宋体" w:hAnsi="宋体" w:cs="宋体" w:eastAsia="宋体" w:hint="default"/>
                <w:sz w:val="18"/>
                <w:szCs w:val="18"/>
              </w:rPr>
              <w:t>董秘、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2,031,7</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406,34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812,68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2,478,3</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45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1,360,4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272,08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544,17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1,658,9</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14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775,99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307,99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923,98</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544,26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679,70</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章大林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115,200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202,50</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史志民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115,200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张彦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48,917,</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283,18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4,922,8</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66,278,</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682</w:t>
            </w:r>
          </w:p>
        </w:tc>
      </w:tr>
    </w:tbl>
    <w:p>
      <w:pPr>
        <w:spacing w:line="240" w:lineRule="auto" w:before="0"/>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62"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42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日，公司召开了第三届董事会第六次</w:t>
            </w:r>
          </w:p>
        </w:tc>
      </w:tr>
      <w:tr>
        <w:trPr>
          <w:trHeight w:val="624"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1" w:right="0"/>
              <w:jc w:val="left"/>
              <w:rPr>
                <w:rFonts w:ascii="宋体" w:hAnsi="宋体" w:cs="宋体" w:eastAsia="宋体" w:hint="default"/>
                <w:sz w:val="18"/>
                <w:szCs w:val="18"/>
              </w:rPr>
            </w:pPr>
            <w:r>
              <w:rPr>
                <w:rFonts w:ascii="宋体" w:hAnsi="宋体" w:cs="宋体" w:eastAsia="宋体" w:hint="default"/>
                <w:sz w:val="18"/>
                <w:szCs w:val="18"/>
              </w:rPr>
              <w:t>张彦</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424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2" w:right="11"/>
              <w:jc w:val="left"/>
              <w:rPr>
                <w:rFonts w:ascii="宋体" w:hAnsi="宋体" w:cs="宋体" w:eastAsia="宋体" w:hint="default"/>
                <w:sz w:val="18"/>
                <w:szCs w:val="18"/>
              </w:rPr>
            </w:pPr>
            <w:r>
              <w:rPr>
                <w:rFonts w:ascii="宋体" w:hAnsi="宋体" w:cs="宋体" w:eastAsia="宋体" w:hint="default"/>
                <w:spacing w:val="-9"/>
                <w:sz w:val="18"/>
                <w:szCs w:val="18"/>
              </w:rPr>
              <w:t>会议，审议通过了《关于聘任公司财务总监的议案》，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同意聘任张彦女士为公司财务总监，任期同公司第</w:t>
            </w:r>
          </w:p>
        </w:tc>
      </w:tr>
      <w:tr>
        <w:trPr>
          <w:trHeight w:val="350"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42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三届董事会。</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108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1330"/>
        <w:gridCol w:w="4247"/>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日，黄学春辞去公司财务总监职务， 仍担任公司副总经理、董事会秘书。</w:t>
            </w:r>
          </w:p>
        </w:tc>
      </w:tr>
      <w:tr>
        <w:trPr>
          <w:trHeight w:val="362"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42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日，公司召开了第三届董事会第十次</w:t>
            </w:r>
          </w:p>
        </w:tc>
      </w:tr>
      <w:tr>
        <w:trPr>
          <w:trHeight w:val="307" w:hRule="exact"/>
        </w:trPr>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424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会议，审议通过了《关于免去陆江副总经理职务的</w:t>
            </w:r>
          </w:p>
        </w:tc>
      </w:tr>
      <w:tr>
        <w:trPr>
          <w:trHeight w:val="629"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424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81"/>
              <w:jc w:val="left"/>
              <w:rPr>
                <w:rFonts w:ascii="宋体" w:hAnsi="宋体" w:cs="宋体" w:eastAsia="宋体" w:hint="default"/>
                <w:sz w:val="18"/>
                <w:szCs w:val="18"/>
              </w:rPr>
            </w:pPr>
            <w:r>
              <w:rPr>
                <w:rFonts w:ascii="宋体" w:hAnsi="宋体" w:cs="宋体" w:eastAsia="宋体" w:hint="default"/>
                <w:spacing w:val="-4"/>
                <w:sz w:val="18"/>
                <w:szCs w:val="18"/>
              </w:rPr>
              <w:t>议案》，因陆江与公司所签订的劳动合同已经到期，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并不再续签，其已不能正常履行副总经理职责，公</w:t>
            </w:r>
          </w:p>
        </w:tc>
      </w:tr>
      <w:tr>
        <w:trPr>
          <w:trHeight w:val="307" w:hRule="exact"/>
        </w:trPr>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424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司董事会一致审议通过免去陆江公司副总经理职</w:t>
            </w:r>
          </w:p>
        </w:tc>
      </w:tr>
      <w:tr>
        <w:trPr>
          <w:trHeight w:val="356"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42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w:t>
            </w:r>
          </w:p>
        </w:tc>
      </w:tr>
    </w:tbl>
    <w:p>
      <w:pPr>
        <w:spacing w:line="240" w:lineRule="auto" w:before="2"/>
        <w:rPr>
          <w:rFonts w:ascii="宋体" w:hAnsi="宋体" w:cs="宋体" w:eastAsia="宋体" w:hint="default"/>
          <w:b/>
          <w:bCs/>
          <w:sz w:val="18"/>
          <w:szCs w:val="18"/>
        </w:rPr>
      </w:pPr>
    </w:p>
    <w:p>
      <w:pPr>
        <w:pStyle w:val="Heading2"/>
        <w:spacing w:line="240" w:lineRule="auto" w:before="26"/>
        <w:ind w:right="105"/>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before="92"/>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、董事</w:t>
      </w:r>
    </w:p>
    <w:p>
      <w:pPr>
        <w:spacing w:line="268" w:lineRule="auto" w:before="21"/>
        <w:ind w:left="112" w:right="210" w:firstLine="480"/>
        <w:jc w:val="both"/>
        <w:rPr>
          <w:rFonts w:ascii="宋体" w:hAnsi="宋体" w:cs="宋体" w:eastAsia="宋体" w:hint="default"/>
          <w:sz w:val="21"/>
          <w:szCs w:val="21"/>
        </w:rPr>
      </w:pPr>
      <w:r>
        <w:rPr>
          <w:rFonts w:ascii="宋体" w:hAnsi="宋体" w:cs="宋体" w:eastAsia="宋体" w:hint="default"/>
          <w:sz w:val="21"/>
          <w:szCs w:val="21"/>
        </w:rPr>
        <w:t>刘冀鲁先生，中国国籍，无境外永久居留权。</w:t>
      </w:r>
      <w:r>
        <w:rPr>
          <w:rFonts w:ascii="Times New Roman" w:hAnsi="Times New Roman" w:cs="Times New Roman" w:eastAsia="Times New Roman" w:hint="default"/>
          <w:sz w:val="21"/>
          <w:szCs w:val="21"/>
        </w:rPr>
        <w:t>1947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月出生，中共党员，大学学历，工程师，安徽</w:t>
      </w:r>
      <w:r>
        <w:rPr>
          <w:rFonts w:ascii="宋体" w:hAnsi="宋体" w:cs="宋体" w:eastAsia="宋体" w:hint="default"/>
          <w:w w:val="99"/>
          <w:sz w:val="21"/>
          <w:szCs w:val="21"/>
        </w:rPr>
        <w:t> </w:t>
      </w:r>
      <w:r>
        <w:rPr>
          <w:rFonts w:ascii="宋体" w:hAnsi="宋体" w:cs="宋体" w:eastAsia="宋体" w:hint="default"/>
          <w:w w:val="95"/>
          <w:sz w:val="21"/>
          <w:szCs w:val="21"/>
        </w:rPr>
        <w:t>省优秀民营企业家，马鞍山市老科协副会长，安徽省冶金协会副会长，马鞍山市企业家联合会副会长，马</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w w:val="95"/>
          <w:sz w:val="21"/>
          <w:szCs w:val="21"/>
        </w:rPr>
        <w:t>鞍山工经联常务副会长，当涂县人大代表。历任马鞍山市鼎泰金属制品公司总经理，马鞍山市鼎泰科技有</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限责任公司董事长兼总经理，马鞍山鼎泰稀土新材料股份有限公司董事长、总经理、党委书记；现任本公</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司董事长、党委书记。</w:t>
      </w:r>
    </w:p>
    <w:p>
      <w:pPr>
        <w:spacing w:line="256" w:lineRule="auto" w:before="12"/>
        <w:ind w:left="112" w:right="176" w:firstLine="540"/>
        <w:jc w:val="both"/>
        <w:rPr>
          <w:rFonts w:ascii="宋体" w:hAnsi="宋体" w:cs="宋体" w:eastAsia="宋体" w:hint="default"/>
          <w:sz w:val="21"/>
          <w:szCs w:val="21"/>
        </w:rPr>
      </w:pPr>
      <w:r>
        <w:rPr>
          <w:rFonts w:ascii="宋体" w:hAnsi="宋体" w:cs="宋体" w:eastAsia="宋体" w:hint="default"/>
          <w:w w:val="95"/>
          <w:sz w:val="21"/>
          <w:szCs w:val="21"/>
        </w:rPr>
        <w:t>赵颖坤先生，男，中国国籍，无境外永久居留权。</w:t>
      </w:r>
      <w:r>
        <w:rPr>
          <w:rFonts w:ascii="Times New Roman" w:hAnsi="Times New Roman" w:cs="Times New Roman" w:eastAsia="Times New Roman" w:hint="default"/>
          <w:w w:val="95"/>
          <w:sz w:val="21"/>
          <w:szCs w:val="21"/>
        </w:rPr>
        <w:t>1974</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5</w:t>
      </w:r>
      <w:r>
        <w:rPr>
          <w:rFonts w:ascii="宋体" w:hAnsi="宋体" w:cs="宋体" w:eastAsia="宋体" w:hint="default"/>
          <w:w w:val="95"/>
          <w:sz w:val="21"/>
          <w:szCs w:val="21"/>
        </w:rPr>
        <w:t>月出生，中共党员，北京大学法学博士、</w:t>
      </w:r>
      <w:r>
        <w:rPr>
          <w:rFonts w:ascii="宋体" w:hAnsi="宋体" w:cs="宋体" w:eastAsia="宋体" w:hint="default"/>
          <w:w w:val="99"/>
          <w:sz w:val="21"/>
          <w:szCs w:val="21"/>
        </w:rPr>
        <w:t> </w:t>
      </w:r>
      <w:r>
        <w:rPr>
          <w:rFonts w:ascii="宋体" w:hAnsi="宋体" w:cs="宋体" w:eastAsia="宋体" w:hint="default"/>
          <w:w w:val="95"/>
          <w:sz w:val="21"/>
          <w:szCs w:val="21"/>
        </w:rPr>
        <w:t>北京大学光华管理学院博士后、牛津大学</w:t>
      </w:r>
      <w:r>
        <w:rPr>
          <w:rFonts w:ascii="Times New Roman" w:hAnsi="Times New Roman" w:cs="Times New Roman" w:eastAsia="Times New Roman" w:hint="default"/>
          <w:w w:val="95"/>
          <w:sz w:val="21"/>
          <w:szCs w:val="21"/>
        </w:rPr>
        <w:t>M.Juris</w:t>
      </w:r>
      <w:r>
        <w:rPr>
          <w:rFonts w:ascii="宋体" w:hAnsi="宋体" w:cs="宋体" w:eastAsia="宋体" w:hint="default"/>
          <w:w w:val="95"/>
          <w:sz w:val="21"/>
          <w:szCs w:val="21"/>
        </w:rPr>
        <w:t>。曾任安徽省绩溪县人民政府副县长；现任教于华中科技</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大学法学院，本公司董事。</w:t>
      </w:r>
    </w:p>
    <w:p>
      <w:pPr>
        <w:spacing w:line="264" w:lineRule="auto" w:before="22"/>
        <w:ind w:left="112" w:right="212" w:firstLine="480"/>
        <w:jc w:val="both"/>
        <w:rPr>
          <w:rFonts w:ascii="宋体" w:hAnsi="宋体" w:cs="宋体" w:eastAsia="宋体" w:hint="default"/>
          <w:sz w:val="21"/>
          <w:szCs w:val="21"/>
        </w:rPr>
      </w:pPr>
      <w:r>
        <w:rPr>
          <w:rFonts w:ascii="宋体" w:hAnsi="宋体" w:cs="宋体" w:eastAsia="宋体" w:hint="default"/>
          <w:sz w:val="21"/>
          <w:szCs w:val="21"/>
        </w:rPr>
        <w:t>陈炬先生，中国国籍，无境外永久居留权。</w:t>
      </w:r>
      <w:r>
        <w:rPr>
          <w:rFonts w:ascii="Times New Roman" w:hAnsi="Times New Roman" w:cs="Times New Roman" w:eastAsia="Times New Roman" w:hint="default"/>
          <w:sz w:val="21"/>
          <w:szCs w:val="21"/>
        </w:rPr>
        <w:t>1956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月出生，大专学历。历担马鞍山市鼎泰金属制品</w:t>
      </w:r>
      <w:r>
        <w:rPr>
          <w:rFonts w:ascii="宋体" w:hAnsi="宋体" w:cs="宋体" w:eastAsia="宋体" w:hint="default"/>
          <w:w w:val="99"/>
          <w:sz w:val="21"/>
          <w:szCs w:val="21"/>
        </w:rPr>
        <w:t> </w:t>
      </w:r>
      <w:r>
        <w:rPr>
          <w:rFonts w:ascii="宋体" w:hAnsi="宋体" w:cs="宋体" w:eastAsia="宋体" w:hint="default"/>
          <w:w w:val="95"/>
          <w:sz w:val="21"/>
          <w:szCs w:val="21"/>
        </w:rPr>
        <w:t>公司销售主管、重庆市渝神科技有限责任公司生产总调度、马鞍山鼎泰稀土新材料股份有限公司生产总调</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度；现任重庆市隆泰稀土新材料有限责任公司副总经理，本公司董事。</w:t>
      </w:r>
    </w:p>
    <w:p>
      <w:pPr>
        <w:spacing w:line="256" w:lineRule="auto" w:before="16"/>
        <w:ind w:left="112" w:right="132" w:firstLine="480"/>
        <w:jc w:val="both"/>
        <w:rPr>
          <w:rFonts w:ascii="宋体" w:hAnsi="宋体" w:cs="宋体" w:eastAsia="宋体" w:hint="default"/>
          <w:sz w:val="21"/>
          <w:szCs w:val="21"/>
        </w:rPr>
      </w:pPr>
      <w:r>
        <w:rPr>
          <w:rFonts w:ascii="宋体" w:hAnsi="宋体" w:cs="宋体" w:eastAsia="宋体" w:hint="default"/>
          <w:w w:val="95"/>
          <w:sz w:val="21"/>
          <w:szCs w:val="21"/>
        </w:rPr>
        <w:t>胡卫红女士，中国国籍，无境外永久居留权。</w:t>
      </w:r>
      <w:r>
        <w:rPr>
          <w:rFonts w:ascii="Times New Roman" w:hAnsi="Times New Roman" w:cs="Times New Roman" w:eastAsia="Times New Roman" w:hint="default"/>
          <w:w w:val="95"/>
          <w:sz w:val="21"/>
          <w:szCs w:val="21"/>
        </w:rPr>
        <w:t>1968</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12</w:t>
      </w:r>
      <w:r>
        <w:rPr>
          <w:rFonts w:ascii="宋体" w:hAnsi="宋体" w:cs="宋体" w:eastAsia="宋体" w:hint="default"/>
          <w:w w:val="95"/>
          <w:sz w:val="21"/>
          <w:szCs w:val="21"/>
        </w:rPr>
        <w:t>月出生，大专学历。曾任本公司销售部部长、</w:t>
      </w:r>
      <w:r>
        <w:rPr>
          <w:rFonts w:ascii="宋体" w:hAnsi="宋体" w:cs="宋体" w:eastAsia="宋体" w:hint="default"/>
          <w:w w:val="99"/>
          <w:sz w:val="21"/>
          <w:szCs w:val="21"/>
        </w:rPr>
        <w:t> </w:t>
      </w:r>
      <w:r>
        <w:rPr>
          <w:rFonts w:ascii="宋体" w:hAnsi="宋体" w:cs="宋体" w:eastAsia="宋体" w:hint="default"/>
          <w:sz w:val="21"/>
          <w:szCs w:val="21"/>
        </w:rPr>
        <w:t>合同部部长，现任本公司董事。</w:t>
      </w:r>
    </w:p>
    <w:p>
      <w:pPr>
        <w:spacing w:line="264" w:lineRule="auto" w:before="22"/>
        <w:ind w:left="112" w:right="210" w:firstLine="480"/>
        <w:jc w:val="both"/>
        <w:rPr>
          <w:rFonts w:ascii="宋体" w:hAnsi="宋体" w:cs="宋体" w:eastAsia="宋体" w:hint="default"/>
          <w:sz w:val="21"/>
          <w:szCs w:val="21"/>
        </w:rPr>
      </w:pPr>
      <w:r>
        <w:rPr>
          <w:rFonts w:ascii="宋体" w:hAnsi="宋体" w:cs="宋体" w:eastAsia="宋体" w:hint="default"/>
          <w:spacing w:val="-2"/>
          <w:sz w:val="21"/>
          <w:szCs w:val="21"/>
        </w:rPr>
        <w:t>吴韬先生，中国国籍，无境外永久居留权。</w:t>
      </w:r>
      <w:r>
        <w:rPr>
          <w:rFonts w:ascii="Times New Roman" w:hAnsi="Times New Roman" w:cs="Times New Roman" w:eastAsia="Times New Roman" w:hint="default"/>
          <w:spacing w:val="-2"/>
          <w:sz w:val="21"/>
          <w:szCs w:val="21"/>
        </w:rPr>
        <w:t>1971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月出生，法学博士，副教授。现任中央财经大学</w:t>
      </w:r>
      <w:r>
        <w:rPr>
          <w:rFonts w:ascii="宋体" w:hAnsi="宋体" w:cs="宋体" w:eastAsia="宋体" w:hint="default"/>
          <w:w w:val="99"/>
          <w:sz w:val="21"/>
          <w:szCs w:val="21"/>
        </w:rPr>
        <w:t> </w:t>
      </w:r>
      <w:r>
        <w:rPr>
          <w:rFonts w:ascii="宋体" w:hAnsi="宋体" w:cs="宋体" w:eastAsia="宋体" w:hint="default"/>
          <w:w w:val="95"/>
          <w:sz w:val="21"/>
          <w:szCs w:val="21"/>
        </w:rPr>
        <w:t>法学院副院长、副教授，中国证券法学研究会常务理事、副秘书长。吴韬先生担任本公司第三届董事会独</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立董事。</w:t>
      </w:r>
    </w:p>
    <w:p>
      <w:pPr>
        <w:spacing w:line="256" w:lineRule="auto" w:before="16"/>
        <w:ind w:left="112" w:right="210" w:firstLine="480"/>
        <w:jc w:val="both"/>
        <w:rPr>
          <w:rFonts w:ascii="宋体" w:hAnsi="宋体" w:cs="宋体" w:eastAsia="宋体" w:hint="default"/>
          <w:sz w:val="21"/>
          <w:szCs w:val="21"/>
        </w:rPr>
      </w:pPr>
      <w:r>
        <w:rPr>
          <w:rFonts w:ascii="宋体" w:hAnsi="宋体" w:cs="宋体" w:eastAsia="宋体" w:hint="default"/>
          <w:spacing w:val="-2"/>
          <w:sz w:val="21"/>
          <w:szCs w:val="21"/>
        </w:rPr>
        <w:t>张力先生，中国国籍，无境外永久居留权。</w:t>
      </w:r>
      <w:r>
        <w:rPr>
          <w:rFonts w:ascii="Times New Roman" w:hAnsi="Times New Roman" w:cs="Times New Roman" w:eastAsia="Times New Roman" w:hint="default"/>
          <w:spacing w:val="-2"/>
          <w:sz w:val="21"/>
          <w:szCs w:val="21"/>
        </w:rPr>
        <w:t>1969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月出生，会计学博士，注册会计师，教授。现任</w:t>
      </w:r>
      <w:r>
        <w:rPr>
          <w:rFonts w:ascii="宋体" w:hAnsi="宋体" w:cs="宋体" w:eastAsia="宋体" w:hint="default"/>
          <w:w w:val="99"/>
          <w:sz w:val="21"/>
          <w:szCs w:val="21"/>
        </w:rPr>
        <w:t> </w:t>
      </w:r>
      <w:r>
        <w:rPr>
          <w:rFonts w:ascii="宋体" w:hAnsi="宋体" w:cs="宋体" w:eastAsia="宋体" w:hint="default"/>
          <w:sz w:val="21"/>
          <w:szCs w:val="21"/>
        </w:rPr>
        <w:t>南京审计学院会计学院教授。张力先生担任本公司第三届董事会独立董事。</w:t>
      </w:r>
    </w:p>
    <w:p>
      <w:pPr>
        <w:spacing w:line="264" w:lineRule="auto" w:before="22"/>
        <w:ind w:left="112" w:right="105" w:firstLine="480"/>
        <w:jc w:val="left"/>
        <w:rPr>
          <w:rFonts w:ascii="宋体" w:hAnsi="宋体" w:cs="宋体" w:eastAsia="宋体" w:hint="default"/>
          <w:sz w:val="21"/>
          <w:szCs w:val="21"/>
        </w:rPr>
      </w:pPr>
      <w:r>
        <w:rPr>
          <w:rFonts w:ascii="宋体" w:hAnsi="宋体" w:cs="宋体" w:eastAsia="宋体" w:hint="default"/>
          <w:sz w:val="21"/>
          <w:szCs w:val="21"/>
        </w:rPr>
        <w:t>王景先生，中国国籍，无境外永久居留权。</w:t>
      </w:r>
      <w:r>
        <w:rPr>
          <w:rFonts w:ascii="Times New Roman" w:hAnsi="Times New Roman" w:cs="Times New Roman" w:eastAsia="Times New Roman" w:hint="default"/>
          <w:sz w:val="21"/>
          <w:szCs w:val="21"/>
        </w:rPr>
        <w:t>1975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月出生，研究生学历。现任英国诺顿罗氏律师事</w:t>
      </w:r>
      <w:r>
        <w:rPr>
          <w:rFonts w:ascii="宋体" w:hAnsi="宋体" w:cs="宋体" w:eastAsia="宋体" w:hint="default"/>
          <w:w w:val="99"/>
          <w:sz w:val="21"/>
          <w:szCs w:val="21"/>
        </w:rPr>
        <w:t> </w:t>
      </w:r>
      <w:r>
        <w:rPr>
          <w:rFonts w:ascii="宋体" w:hAnsi="宋体" w:cs="宋体" w:eastAsia="宋体" w:hint="default"/>
          <w:spacing w:val="-3"/>
          <w:sz w:val="21"/>
          <w:szCs w:val="21"/>
        </w:rPr>
        <w:t>务所北京代表处合伙人，曾任本公司第一届董事会独立董事。王景先生担任本公司第三届董事会独立董事。</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、监事</w:t>
      </w:r>
    </w:p>
    <w:p>
      <w:pPr>
        <w:spacing w:line="256" w:lineRule="auto" w:before="0"/>
        <w:ind w:left="112" w:right="212" w:firstLine="480"/>
        <w:jc w:val="both"/>
        <w:rPr>
          <w:rFonts w:ascii="宋体" w:hAnsi="宋体" w:cs="宋体" w:eastAsia="宋体" w:hint="default"/>
          <w:sz w:val="21"/>
          <w:szCs w:val="21"/>
        </w:rPr>
      </w:pPr>
      <w:r>
        <w:rPr>
          <w:rFonts w:ascii="宋体" w:hAnsi="宋体" w:cs="宋体" w:eastAsia="宋体" w:hint="default"/>
          <w:sz w:val="21"/>
          <w:szCs w:val="21"/>
        </w:rPr>
        <w:t>戴卫星先生，中国国籍，无境外永久居留权。</w:t>
      </w:r>
      <w:r>
        <w:rPr>
          <w:rFonts w:ascii="Times New Roman" w:hAnsi="Times New Roman" w:cs="Times New Roman" w:eastAsia="Times New Roman" w:hint="default"/>
          <w:sz w:val="21"/>
          <w:szCs w:val="21"/>
        </w:rPr>
        <w:t>1956</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月出生，大学学历，工程师。曾在马鞍山钢铁</w:t>
      </w:r>
      <w:r>
        <w:rPr>
          <w:rFonts w:ascii="宋体" w:hAnsi="宋体" w:cs="宋体" w:eastAsia="宋体" w:hint="default"/>
          <w:w w:val="99"/>
          <w:sz w:val="21"/>
          <w:szCs w:val="21"/>
        </w:rPr>
        <w:t> </w:t>
      </w:r>
      <w:r>
        <w:rPr>
          <w:rFonts w:ascii="宋体" w:hAnsi="宋体" w:cs="宋体" w:eastAsia="宋体" w:hint="default"/>
          <w:sz w:val="21"/>
          <w:szCs w:val="21"/>
        </w:rPr>
        <w:t>公司初轧厂及生产计划部工作；现任海南物博贸易公司副总经理，本公司监事。</w:t>
      </w:r>
    </w:p>
    <w:p>
      <w:pPr>
        <w:spacing w:line="256" w:lineRule="auto" w:before="22"/>
        <w:ind w:left="112" w:right="212" w:firstLine="480"/>
        <w:jc w:val="both"/>
        <w:rPr>
          <w:rFonts w:ascii="宋体" w:hAnsi="宋体" w:cs="宋体" w:eastAsia="宋体" w:hint="default"/>
          <w:sz w:val="21"/>
          <w:szCs w:val="21"/>
        </w:rPr>
      </w:pPr>
      <w:r>
        <w:rPr>
          <w:rFonts w:ascii="宋体" w:hAnsi="宋体" w:cs="宋体" w:eastAsia="宋体" w:hint="default"/>
          <w:sz w:val="21"/>
          <w:szCs w:val="21"/>
        </w:rPr>
        <w:t>齐跃进先生，中国国籍，无境外永久居留权。</w:t>
      </w:r>
      <w:r>
        <w:rPr>
          <w:rFonts w:ascii="Times New Roman" w:hAnsi="Times New Roman" w:cs="Times New Roman" w:eastAsia="Times New Roman" w:hint="default"/>
          <w:sz w:val="21"/>
          <w:szCs w:val="21"/>
        </w:rPr>
        <w:t>1965</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月出生，大专学历。历任马鞍山鼎泰科技有限</w:t>
      </w:r>
      <w:r>
        <w:rPr>
          <w:rFonts w:ascii="宋体" w:hAnsi="宋体" w:cs="宋体" w:eastAsia="宋体" w:hint="default"/>
          <w:w w:val="99"/>
          <w:sz w:val="21"/>
          <w:szCs w:val="21"/>
        </w:rPr>
        <w:t> </w:t>
      </w:r>
      <w:r>
        <w:rPr>
          <w:rFonts w:ascii="宋体" w:hAnsi="宋体" w:cs="宋体" w:eastAsia="宋体" w:hint="default"/>
          <w:sz w:val="21"/>
          <w:szCs w:val="21"/>
        </w:rPr>
        <w:t>责任公司品质部部长，本公司销售部副部长、生产部部长、副总经理；现任本公司监事。</w:t>
      </w:r>
    </w:p>
    <w:p>
      <w:pPr>
        <w:spacing w:line="264" w:lineRule="auto" w:before="22"/>
        <w:ind w:left="112" w:right="105" w:firstLine="420"/>
        <w:jc w:val="left"/>
        <w:rPr>
          <w:rFonts w:ascii="宋体" w:hAnsi="宋体" w:cs="宋体" w:eastAsia="宋体" w:hint="default"/>
          <w:sz w:val="21"/>
          <w:szCs w:val="21"/>
        </w:rPr>
      </w:pPr>
      <w:r>
        <w:rPr>
          <w:rFonts w:ascii="宋体" w:hAnsi="宋体" w:cs="宋体" w:eastAsia="宋体" w:hint="default"/>
          <w:spacing w:val="2"/>
          <w:w w:val="95"/>
          <w:sz w:val="21"/>
          <w:szCs w:val="21"/>
        </w:rPr>
        <w:t>刘钊先生，中国国籍，无境外永久居留权。</w:t>
      </w:r>
      <w:r>
        <w:rPr>
          <w:rFonts w:ascii="Times New Roman" w:hAnsi="Times New Roman" w:cs="Times New Roman" w:eastAsia="Times New Roman" w:hint="default"/>
          <w:spacing w:val="2"/>
          <w:w w:val="95"/>
          <w:sz w:val="21"/>
          <w:szCs w:val="21"/>
        </w:rPr>
        <w:t>1974</w:t>
      </w:r>
      <w:r>
        <w:rPr>
          <w:rFonts w:ascii="宋体" w:hAnsi="宋体" w:cs="宋体" w:eastAsia="宋体" w:hint="default"/>
          <w:spacing w:val="2"/>
          <w:w w:val="95"/>
          <w:sz w:val="21"/>
          <w:szCs w:val="21"/>
        </w:rPr>
        <w:t>年</w:t>
      </w:r>
      <w:r>
        <w:rPr>
          <w:rFonts w:ascii="Times New Roman" w:hAnsi="Times New Roman" w:cs="Times New Roman" w:eastAsia="Times New Roman" w:hint="default"/>
          <w:spacing w:val="2"/>
          <w:w w:val="95"/>
          <w:sz w:val="21"/>
          <w:szCs w:val="21"/>
        </w:rPr>
        <w:t>3</w:t>
      </w:r>
      <w:r>
        <w:rPr>
          <w:rFonts w:ascii="宋体" w:hAnsi="宋体" w:cs="宋体" w:eastAsia="宋体" w:hint="default"/>
          <w:spacing w:val="2"/>
          <w:w w:val="95"/>
          <w:sz w:val="21"/>
          <w:szCs w:val="21"/>
        </w:rPr>
        <w:t>月出生，中共党员，大专学历。曾任职于公司生</w:t>
      </w:r>
      <w:r>
        <w:rPr>
          <w:rFonts w:ascii="宋体" w:hAnsi="宋体" w:cs="宋体" w:eastAsia="宋体" w:hint="default"/>
          <w:spacing w:val="-88"/>
          <w:w w:val="95"/>
          <w:sz w:val="21"/>
          <w:szCs w:val="21"/>
        </w:rPr>
        <w:t> </w:t>
      </w:r>
      <w:r>
        <w:rPr>
          <w:rFonts w:ascii="宋体" w:hAnsi="宋体" w:cs="宋体" w:eastAsia="宋体" w:hint="default"/>
          <w:spacing w:val="-88"/>
          <w:w w:val="95"/>
          <w:sz w:val="21"/>
          <w:szCs w:val="21"/>
        </w:rPr>
      </w:r>
      <w:r>
        <w:rPr>
          <w:rFonts w:ascii="宋体" w:hAnsi="宋体" w:cs="宋体" w:eastAsia="宋体" w:hint="default"/>
          <w:sz w:val="21"/>
          <w:szCs w:val="21"/>
        </w:rPr>
        <w:t>产部车间主任，现任本公司广海分公司总经理。刘钊先生担任本公司第三届监事会职工代表监事。</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、高级管理人员</w:t>
      </w:r>
    </w:p>
    <w:p>
      <w:pPr>
        <w:spacing w:line="256" w:lineRule="auto" w:before="0"/>
        <w:ind w:left="112" w:right="215" w:firstLine="420"/>
        <w:jc w:val="both"/>
        <w:rPr>
          <w:rFonts w:ascii="宋体" w:hAnsi="宋体" w:cs="宋体" w:eastAsia="宋体" w:hint="default"/>
          <w:sz w:val="21"/>
          <w:szCs w:val="21"/>
        </w:rPr>
      </w:pPr>
      <w:r>
        <w:rPr>
          <w:rFonts w:ascii="宋体" w:hAnsi="宋体" w:cs="宋体" w:eastAsia="宋体" w:hint="default"/>
          <w:spacing w:val="2"/>
          <w:w w:val="95"/>
          <w:sz w:val="21"/>
          <w:szCs w:val="21"/>
        </w:rPr>
        <w:t>刘凌云女士，中国国籍，无境外永久居留权。</w:t>
      </w:r>
      <w:r>
        <w:rPr>
          <w:rFonts w:ascii="Times New Roman" w:hAnsi="Times New Roman" w:cs="Times New Roman" w:eastAsia="Times New Roman" w:hint="default"/>
          <w:spacing w:val="2"/>
          <w:w w:val="95"/>
          <w:sz w:val="21"/>
          <w:szCs w:val="21"/>
        </w:rPr>
        <w:t>1976</w:t>
      </w:r>
      <w:r>
        <w:rPr>
          <w:rFonts w:ascii="宋体" w:hAnsi="宋体" w:cs="宋体" w:eastAsia="宋体" w:hint="default"/>
          <w:spacing w:val="2"/>
          <w:w w:val="95"/>
          <w:sz w:val="21"/>
          <w:szCs w:val="21"/>
        </w:rPr>
        <w:t>年</w:t>
      </w:r>
      <w:r>
        <w:rPr>
          <w:rFonts w:ascii="Times New Roman" w:hAnsi="Times New Roman" w:cs="Times New Roman" w:eastAsia="Times New Roman" w:hint="default"/>
          <w:spacing w:val="2"/>
          <w:w w:val="95"/>
          <w:sz w:val="21"/>
          <w:szCs w:val="21"/>
        </w:rPr>
        <w:t>9</w:t>
      </w:r>
      <w:r>
        <w:rPr>
          <w:rFonts w:ascii="宋体" w:hAnsi="宋体" w:cs="宋体" w:eastAsia="宋体" w:hint="default"/>
          <w:spacing w:val="2"/>
          <w:w w:val="95"/>
          <w:sz w:val="21"/>
          <w:szCs w:val="21"/>
        </w:rPr>
        <w:t>月出生，研究生学历。历任马鞍山市鼎泰科技</w:t>
      </w:r>
      <w:r>
        <w:rPr>
          <w:rFonts w:ascii="宋体" w:hAnsi="宋体" w:cs="宋体" w:eastAsia="宋体" w:hint="default"/>
          <w:spacing w:val="-89"/>
          <w:w w:val="95"/>
          <w:sz w:val="21"/>
          <w:szCs w:val="21"/>
        </w:rPr>
        <w:t> </w:t>
      </w:r>
      <w:r>
        <w:rPr>
          <w:rFonts w:ascii="宋体" w:hAnsi="宋体" w:cs="宋体" w:eastAsia="宋体" w:hint="default"/>
          <w:spacing w:val="-89"/>
          <w:w w:val="95"/>
          <w:sz w:val="21"/>
          <w:szCs w:val="21"/>
        </w:rPr>
      </w:r>
      <w:r>
        <w:rPr>
          <w:rFonts w:ascii="宋体" w:hAnsi="宋体" w:cs="宋体" w:eastAsia="宋体" w:hint="default"/>
          <w:sz w:val="21"/>
          <w:szCs w:val="21"/>
        </w:rPr>
        <w:t>有限责任公司副总经理，本公司副总经理兼董事会秘书，现任本公司总经理。</w:t>
      </w:r>
    </w:p>
    <w:p>
      <w:pPr>
        <w:spacing w:before="22"/>
        <w:ind w:left="518" w:right="105" w:firstLine="0"/>
        <w:jc w:val="left"/>
        <w:rPr>
          <w:rFonts w:ascii="宋体" w:hAnsi="宋体" w:cs="宋体" w:eastAsia="宋体" w:hint="default"/>
          <w:sz w:val="21"/>
          <w:szCs w:val="21"/>
        </w:rPr>
      </w:pPr>
      <w:r>
        <w:rPr>
          <w:rFonts w:ascii="宋体" w:hAnsi="宋体" w:cs="宋体" w:eastAsia="宋体" w:hint="default"/>
          <w:spacing w:val="2"/>
          <w:sz w:val="21"/>
          <w:szCs w:val="21"/>
        </w:rPr>
        <w:t>黄学春先生，中国国籍，无境外永久居留权。</w:t>
      </w:r>
      <w:r>
        <w:rPr>
          <w:rFonts w:ascii="Times New Roman" w:hAnsi="Times New Roman" w:cs="Times New Roman" w:eastAsia="Times New Roman" w:hint="default"/>
          <w:spacing w:val="2"/>
          <w:sz w:val="21"/>
          <w:szCs w:val="21"/>
        </w:rPr>
        <w:t>1967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月出生，中共党员，大学学历，会计师。曾任</w:t>
      </w:r>
    </w:p>
    <w:p>
      <w:pPr>
        <w:spacing w:after="0"/>
        <w:jc w:val="left"/>
        <w:rPr>
          <w:rFonts w:ascii="宋体" w:hAnsi="宋体" w:cs="宋体" w:eastAsia="宋体" w:hint="default"/>
          <w:sz w:val="21"/>
          <w:szCs w:val="21"/>
        </w:rPr>
        <w:sectPr>
          <w:pgSz w:w="11910" w:h="16840"/>
          <w:pgMar w:header="907" w:footer="1016" w:top="1100" w:bottom="1200" w:left="1020" w:right="920"/>
        </w:sectPr>
      </w:pPr>
    </w:p>
    <w:p>
      <w:pPr>
        <w:spacing w:line="240" w:lineRule="auto" w:before="10"/>
        <w:rPr>
          <w:rFonts w:ascii="宋体" w:hAnsi="宋体" w:cs="宋体" w:eastAsia="宋体" w:hint="default"/>
          <w:sz w:val="21"/>
          <w:szCs w:val="21"/>
        </w:rPr>
      </w:pPr>
    </w:p>
    <w:p>
      <w:pPr>
        <w:spacing w:line="273" w:lineRule="auto" w:before="34"/>
        <w:ind w:left="518" w:right="0" w:hanging="406"/>
        <w:jc w:val="left"/>
        <w:rPr>
          <w:rFonts w:ascii="宋体" w:hAnsi="宋体" w:cs="宋体" w:eastAsia="宋体" w:hint="default"/>
          <w:sz w:val="21"/>
          <w:szCs w:val="21"/>
        </w:rPr>
      </w:pPr>
      <w:r>
        <w:rPr>
          <w:rFonts w:ascii="宋体" w:hAnsi="宋体" w:cs="宋体" w:eastAsia="宋体" w:hint="default"/>
          <w:sz w:val="21"/>
          <w:szCs w:val="21"/>
        </w:rPr>
        <w:t>马鞍山市鼎泰科技有限责任公司财务主办会计，现任本公司董事会秘书、副总经理。</w:t>
      </w:r>
      <w:r>
        <w:rPr>
          <w:rFonts w:ascii="宋体" w:hAnsi="宋体" w:cs="宋体" w:eastAsia="宋体" w:hint="default"/>
          <w:w w:val="99"/>
          <w:sz w:val="21"/>
          <w:szCs w:val="21"/>
        </w:rPr>
        <w:t> </w:t>
      </w:r>
      <w:r>
        <w:rPr>
          <w:rFonts w:ascii="宋体" w:hAnsi="宋体" w:cs="宋体" w:eastAsia="宋体" w:hint="default"/>
          <w:w w:val="95"/>
          <w:sz w:val="21"/>
          <w:szCs w:val="21"/>
        </w:rPr>
        <w:t>宫为平先生，中国国籍，无境外永久居留权。</w:t>
      </w:r>
      <w:r>
        <w:rPr>
          <w:rFonts w:ascii="Times New Roman" w:hAnsi="Times New Roman" w:cs="Times New Roman" w:eastAsia="Times New Roman" w:hint="default"/>
          <w:w w:val="95"/>
          <w:sz w:val="21"/>
          <w:szCs w:val="21"/>
        </w:rPr>
        <w:t>1963</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12</w:t>
      </w:r>
      <w:r>
        <w:rPr>
          <w:rFonts w:ascii="宋体" w:hAnsi="宋体" w:cs="宋体" w:eastAsia="宋体" w:hint="default"/>
          <w:w w:val="95"/>
          <w:sz w:val="21"/>
          <w:szCs w:val="21"/>
        </w:rPr>
        <w:t>月出生，中共党员，大专学历。曾任马鞍山市</w:t>
      </w:r>
      <w:r>
        <w:rPr>
          <w:rFonts w:ascii="宋体" w:hAnsi="宋体" w:cs="宋体" w:eastAsia="宋体" w:hint="default"/>
          <w:sz w:val="21"/>
          <w:szCs w:val="21"/>
        </w:rPr>
      </w:r>
    </w:p>
    <w:p>
      <w:pPr>
        <w:spacing w:line="273" w:lineRule="auto" w:before="0"/>
        <w:ind w:left="518" w:right="101" w:hanging="406"/>
        <w:jc w:val="left"/>
        <w:rPr>
          <w:rFonts w:ascii="宋体" w:hAnsi="宋体" w:cs="宋体" w:eastAsia="宋体" w:hint="default"/>
          <w:sz w:val="21"/>
          <w:szCs w:val="21"/>
        </w:rPr>
      </w:pPr>
      <w:r>
        <w:rPr>
          <w:rFonts w:ascii="宋体" w:hAnsi="宋体" w:cs="宋体" w:eastAsia="宋体" w:hint="default"/>
          <w:sz w:val="21"/>
          <w:szCs w:val="21"/>
        </w:rPr>
        <w:t>鼎泰金属制品公司办公室主任，马鞍山市鼎泰科技有限责任公司经营副总经理，现任本公司副总经理。</w:t>
      </w:r>
      <w:r>
        <w:rPr>
          <w:rFonts w:ascii="宋体" w:hAnsi="宋体" w:cs="宋体" w:eastAsia="宋体" w:hint="default"/>
          <w:w w:val="99"/>
          <w:sz w:val="21"/>
          <w:szCs w:val="21"/>
        </w:rPr>
        <w:t> </w:t>
      </w:r>
      <w:r>
        <w:rPr>
          <w:rFonts w:ascii="宋体" w:hAnsi="宋体" w:cs="宋体" w:eastAsia="宋体" w:hint="default"/>
          <w:spacing w:val="2"/>
          <w:sz w:val="21"/>
          <w:szCs w:val="21"/>
        </w:rPr>
        <w:t>唐成宽先生，中国国籍，无境外永久居留权。</w:t>
      </w:r>
      <w:r>
        <w:rPr>
          <w:rFonts w:ascii="Times New Roman" w:hAnsi="Times New Roman" w:cs="Times New Roman" w:eastAsia="Times New Roman" w:hint="default"/>
          <w:spacing w:val="2"/>
          <w:sz w:val="21"/>
          <w:szCs w:val="21"/>
        </w:rPr>
        <w:t>1957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月出生，中共党员，大学学历，工程师。曾任</w:t>
      </w:r>
    </w:p>
    <w:p>
      <w:pPr>
        <w:spacing w:line="273" w:lineRule="auto" w:before="0"/>
        <w:ind w:left="518" w:right="0" w:hanging="406"/>
        <w:jc w:val="left"/>
        <w:rPr>
          <w:rFonts w:ascii="宋体" w:hAnsi="宋体" w:cs="宋体" w:eastAsia="宋体" w:hint="default"/>
          <w:sz w:val="21"/>
          <w:szCs w:val="21"/>
        </w:rPr>
      </w:pPr>
      <w:r>
        <w:rPr>
          <w:rFonts w:ascii="宋体" w:hAnsi="宋体" w:cs="宋体" w:eastAsia="宋体" w:hint="default"/>
          <w:sz w:val="21"/>
          <w:szCs w:val="21"/>
        </w:rPr>
        <w:t>马鞍山市鼎泰科技有限责任公司副总经理，本公司董事，现任本公司副总经理。</w:t>
      </w:r>
      <w:r>
        <w:rPr>
          <w:rFonts w:ascii="宋体" w:hAnsi="宋体" w:cs="宋体" w:eastAsia="宋体" w:hint="default"/>
          <w:w w:val="99"/>
          <w:sz w:val="21"/>
          <w:szCs w:val="21"/>
        </w:rPr>
        <w:t> </w:t>
      </w:r>
      <w:r>
        <w:rPr>
          <w:rFonts w:ascii="宋体" w:hAnsi="宋体" w:cs="宋体" w:eastAsia="宋体" w:hint="default"/>
          <w:w w:val="95"/>
          <w:sz w:val="21"/>
          <w:szCs w:val="21"/>
        </w:rPr>
        <w:t>吴翠华女士，中国国籍，无境外永久居留权。</w:t>
      </w:r>
      <w:r>
        <w:rPr>
          <w:rFonts w:ascii="Times New Roman" w:hAnsi="Times New Roman" w:cs="Times New Roman" w:eastAsia="Times New Roman" w:hint="default"/>
          <w:w w:val="95"/>
          <w:sz w:val="21"/>
          <w:szCs w:val="21"/>
        </w:rPr>
        <w:t>1955</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11</w:t>
      </w:r>
      <w:r>
        <w:rPr>
          <w:rFonts w:ascii="宋体" w:hAnsi="宋体" w:cs="宋体" w:eastAsia="宋体" w:hint="default"/>
          <w:w w:val="95"/>
          <w:sz w:val="21"/>
          <w:szCs w:val="21"/>
        </w:rPr>
        <w:t>月出生，中共党员，中专学历。曾担任马鞍山</w:t>
      </w:r>
      <w:r>
        <w:rPr>
          <w:rFonts w:ascii="宋体" w:hAnsi="宋体" w:cs="宋体" w:eastAsia="宋体" w:hint="default"/>
          <w:sz w:val="21"/>
          <w:szCs w:val="21"/>
        </w:rPr>
      </w:r>
    </w:p>
    <w:p>
      <w:pPr>
        <w:spacing w:line="273" w:lineRule="auto" w:before="0"/>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市鼎泰金属制品公司财务主管，马鞍山鼎泰科技有限责任公司工会主席兼重庆子公司副经理，本公司董事</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兼全资子公司重庆市隆泰稀土新材料有限责任公司总经理，现任本公司副总经理。</w:t>
      </w:r>
    </w:p>
    <w:p>
      <w:pPr>
        <w:spacing w:line="256" w:lineRule="auto" w:before="7"/>
        <w:ind w:left="112" w:right="110" w:firstLine="405"/>
        <w:jc w:val="both"/>
        <w:rPr>
          <w:rFonts w:ascii="宋体" w:hAnsi="宋体" w:cs="宋体" w:eastAsia="宋体" w:hint="default"/>
          <w:sz w:val="21"/>
          <w:szCs w:val="21"/>
        </w:rPr>
      </w:pPr>
      <w:r>
        <w:rPr>
          <w:rFonts w:ascii="宋体" w:hAnsi="宋体" w:cs="宋体" w:eastAsia="宋体" w:hint="default"/>
          <w:w w:val="95"/>
          <w:sz w:val="21"/>
          <w:szCs w:val="21"/>
        </w:rPr>
        <w:t>袁福祥先生，中国国籍，无境外永久居留权。</w:t>
      </w:r>
      <w:r>
        <w:rPr>
          <w:rFonts w:ascii="Times New Roman" w:hAnsi="Times New Roman" w:cs="Times New Roman" w:eastAsia="Times New Roman" w:hint="default"/>
          <w:w w:val="95"/>
          <w:sz w:val="21"/>
          <w:szCs w:val="21"/>
        </w:rPr>
        <w:t>1964</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10</w:t>
      </w:r>
      <w:r>
        <w:rPr>
          <w:rFonts w:ascii="宋体" w:hAnsi="宋体" w:cs="宋体" w:eastAsia="宋体" w:hint="default"/>
          <w:w w:val="95"/>
          <w:sz w:val="21"/>
          <w:szCs w:val="21"/>
        </w:rPr>
        <w:t>月出生，大学学历，工程师。曾任马鞍山市鼎</w:t>
      </w:r>
      <w:r>
        <w:rPr>
          <w:rFonts w:ascii="宋体" w:hAnsi="宋体" w:cs="宋体" w:eastAsia="宋体" w:hint="default"/>
          <w:spacing w:val="-69"/>
          <w:w w:val="95"/>
          <w:sz w:val="21"/>
          <w:szCs w:val="21"/>
        </w:rPr>
        <w:t> </w:t>
      </w:r>
      <w:r>
        <w:rPr>
          <w:rFonts w:ascii="宋体" w:hAnsi="宋体" w:cs="宋体" w:eastAsia="宋体" w:hint="default"/>
          <w:spacing w:val="-69"/>
          <w:w w:val="95"/>
          <w:sz w:val="21"/>
          <w:szCs w:val="21"/>
        </w:rPr>
      </w:r>
      <w:r>
        <w:rPr>
          <w:rFonts w:ascii="宋体" w:hAnsi="宋体" w:cs="宋体" w:eastAsia="宋体" w:hint="default"/>
          <w:sz w:val="21"/>
          <w:szCs w:val="21"/>
        </w:rPr>
        <w:t>泰金属制品公司经理助理，本公司监事，现任本公司副总经理。</w:t>
      </w:r>
    </w:p>
    <w:p>
      <w:pPr>
        <w:spacing w:line="256" w:lineRule="auto" w:before="22"/>
        <w:ind w:left="112" w:right="112" w:firstLine="405"/>
        <w:jc w:val="both"/>
        <w:rPr>
          <w:rFonts w:ascii="宋体" w:hAnsi="宋体" w:cs="宋体" w:eastAsia="宋体" w:hint="default"/>
          <w:sz w:val="21"/>
          <w:szCs w:val="21"/>
        </w:rPr>
      </w:pPr>
      <w:r>
        <w:rPr>
          <w:rFonts w:ascii="宋体" w:hAnsi="宋体" w:cs="宋体" w:eastAsia="宋体" w:hint="default"/>
          <w:spacing w:val="2"/>
          <w:sz w:val="21"/>
          <w:szCs w:val="21"/>
        </w:rPr>
        <w:t>章大林先生，中国国籍，无境外永久居留权。</w:t>
      </w:r>
      <w:r>
        <w:rPr>
          <w:rFonts w:ascii="Times New Roman" w:hAnsi="Times New Roman" w:cs="Times New Roman" w:eastAsia="Times New Roman" w:hint="default"/>
          <w:spacing w:val="2"/>
          <w:sz w:val="21"/>
          <w:szCs w:val="21"/>
        </w:rPr>
        <w:t>1971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月出生，中共党员，大专学历。曾任马鞍山市</w:t>
      </w:r>
      <w:r>
        <w:rPr>
          <w:rFonts w:ascii="宋体" w:hAnsi="宋体" w:cs="宋体" w:eastAsia="宋体" w:hint="default"/>
          <w:w w:val="99"/>
          <w:sz w:val="21"/>
          <w:szCs w:val="21"/>
        </w:rPr>
        <w:t> </w:t>
      </w:r>
      <w:r>
        <w:rPr>
          <w:rFonts w:ascii="宋体" w:hAnsi="宋体" w:cs="宋体" w:eastAsia="宋体" w:hint="default"/>
          <w:sz w:val="21"/>
          <w:szCs w:val="21"/>
        </w:rPr>
        <w:t>鼎泰科技有限责任公司生产副总经理，现任本公司副总经理。</w:t>
      </w:r>
    </w:p>
    <w:p>
      <w:pPr>
        <w:spacing w:line="256" w:lineRule="auto" w:before="22"/>
        <w:ind w:left="112" w:right="112" w:firstLine="405"/>
        <w:jc w:val="both"/>
        <w:rPr>
          <w:rFonts w:ascii="宋体" w:hAnsi="宋体" w:cs="宋体" w:eastAsia="宋体" w:hint="default"/>
          <w:sz w:val="21"/>
          <w:szCs w:val="21"/>
        </w:rPr>
      </w:pPr>
      <w:r>
        <w:rPr>
          <w:rFonts w:ascii="宋体" w:hAnsi="宋体" w:cs="宋体" w:eastAsia="宋体" w:hint="default"/>
          <w:spacing w:val="2"/>
          <w:sz w:val="21"/>
          <w:szCs w:val="21"/>
        </w:rPr>
        <w:t>史志民先生，中国国籍，无境外永久居留权。</w:t>
      </w:r>
      <w:r>
        <w:rPr>
          <w:rFonts w:ascii="Times New Roman" w:hAnsi="Times New Roman" w:cs="Times New Roman" w:eastAsia="Times New Roman" w:hint="default"/>
          <w:spacing w:val="2"/>
          <w:sz w:val="21"/>
          <w:szCs w:val="21"/>
        </w:rPr>
        <w:t>1954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月出生，中共党员，大学学历，教授级高级工</w:t>
      </w:r>
      <w:r>
        <w:rPr>
          <w:rFonts w:ascii="宋体" w:hAnsi="宋体" w:cs="宋体" w:eastAsia="宋体" w:hint="default"/>
          <w:w w:val="99"/>
          <w:sz w:val="21"/>
          <w:szCs w:val="21"/>
        </w:rPr>
        <w:t> </w:t>
      </w:r>
      <w:r>
        <w:rPr>
          <w:rFonts w:ascii="宋体" w:hAnsi="宋体" w:cs="宋体" w:eastAsia="宋体" w:hint="default"/>
          <w:spacing w:val="2"/>
          <w:w w:val="95"/>
          <w:sz w:val="21"/>
          <w:szCs w:val="21"/>
        </w:rPr>
        <w:t>程师。</w:t>
      </w:r>
      <w:r>
        <w:rPr>
          <w:rFonts w:ascii="Times New Roman" w:hAnsi="Times New Roman" w:cs="Times New Roman" w:eastAsia="Times New Roman" w:hint="default"/>
          <w:spacing w:val="2"/>
          <w:w w:val="95"/>
          <w:sz w:val="21"/>
          <w:szCs w:val="21"/>
        </w:rPr>
        <w:t>1977</w:t>
      </w:r>
      <w:r>
        <w:rPr>
          <w:rFonts w:ascii="宋体" w:hAnsi="宋体" w:cs="宋体" w:eastAsia="宋体" w:hint="default"/>
          <w:spacing w:val="2"/>
          <w:w w:val="95"/>
          <w:sz w:val="21"/>
          <w:szCs w:val="21"/>
        </w:rPr>
        <w:t>年</w:t>
      </w:r>
      <w:r>
        <w:rPr>
          <w:rFonts w:ascii="Times New Roman" w:hAnsi="Times New Roman" w:cs="Times New Roman" w:eastAsia="Times New Roman" w:hint="default"/>
          <w:spacing w:val="2"/>
          <w:w w:val="95"/>
          <w:sz w:val="21"/>
          <w:szCs w:val="21"/>
        </w:rPr>
        <w:t>12</w:t>
      </w:r>
      <w:r>
        <w:rPr>
          <w:rFonts w:ascii="宋体" w:hAnsi="宋体" w:cs="宋体" w:eastAsia="宋体" w:hint="default"/>
          <w:spacing w:val="2"/>
          <w:w w:val="95"/>
          <w:sz w:val="21"/>
          <w:szCs w:val="21"/>
        </w:rPr>
        <w:t>月至</w:t>
      </w:r>
      <w:r>
        <w:rPr>
          <w:rFonts w:ascii="Times New Roman" w:hAnsi="Times New Roman" w:cs="Times New Roman" w:eastAsia="Times New Roman" w:hint="default"/>
          <w:spacing w:val="2"/>
          <w:w w:val="95"/>
          <w:sz w:val="21"/>
          <w:szCs w:val="21"/>
        </w:rPr>
        <w:t>1996</w:t>
      </w:r>
      <w:r>
        <w:rPr>
          <w:rFonts w:ascii="宋体" w:hAnsi="宋体" w:cs="宋体" w:eastAsia="宋体" w:hint="default"/>
          <w:spacing w:val="2"/>
          <w:w w:val="95"/>
          <w:sz w:val="21"/>
          <w:szCs w:val="21"/>
        </w:rPr>
        <w:t>年</w:t>
      </w:r>
      <w:r>
        <w:rPr>
          <w:rFonts w:ascii="Times New Roman" w:hAnsi="Times New Roman" w:cs="Times New Roman" w:eastAsia="Times New Roman" w:hint="default"/>
          <w:spacing w:val="2"/>
          <w:w w:val="95"/>
          <w:sz w:val="21"/>
          <w:szCs w:val="21"/>
        </w:rPr>
        <w:t>6</w:t>
      </w:r>
      <w:r>
        <w:rPr>
          <w:rFonts w:ascii="宋体" w:hAnsi="宋体" w:cs="宋体" w:eastAsia="宋体" w:hint="default"/>
          <w:spacing w:val="2"/>
          <w:w w:val="95"/>
          <w:sz w:val="21"/>
          <w:szCs w:val="21"/>
        </w:rPr>
        <w:t>月先后在马鞍山市锅炉厂任技术工人、焊接技术员、焊接工程师，总厂全质</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办副主任，曾任马鞍山市鼎泰科技有限责任公司总工程师，本公司总工程师，现任本公司副总经理。</w:t>
      </w:r>
    </w:p>
    <w:p>
      <w:pPr>
        <w:spacing w:line="256" w:lineRule="auto" w:before="22"/>
        <w:ind w:left="112" w:right="106" w:firstLine="405"/>
        <w:jc w:val="both"/>
        <w:rPr>
          <w:rFonts w:ascii="宋体" w:hAnsi="宋体" w:cs="宋体" w:eastAsia="宋体" w:hint="default"/>
          <w:sz w:val="21"/>
          <w:szCs w:val="21"/>
        </w:rPr>
      </w:pPr>
      <w:r>
        <w:rPr>
          <w:rFonts w:ascii="宋体" w:hAnsi="宋体" w:cs="宋体" w:eastAsia="宋体" w:hint="default"/>
          <w:spacing w:val="-4"/>
          <w:w w:val="95"/>
          <w:sz w:val="21"/>
          <w:szCs w:val="21"/>
        </w:rPr>
        <w:t>张彦女士，中国国籍，无境外永久居留权。</w:t>
      </w:r>
      <w:r>
        <w:rPr>
          <w:rFonts w:ascii="Times New Roman" w:hAnsi="Times New Roman" w:cs="Times New Roman" w:eastAsia="Times New Roman" w:hint="default"/>
          <w:spacing w:val="-4"/>
          <w:w w:val="95"/>
          <w:sz w:val="21"/>
          <w:szCs w:val="21"/>
        </w:rPr>
        <w:t>1985</w:t>
      </w:r>
      <w:r>
        <w:rPr>
          <w:rFonts w:ascii="宋体" w:hAnsi="宋体" w:cs="宋体" w:eastAsia="宋体" w:hint="default"/>
          <w:spacing w:val="-4"/>
          <w:w w:val="95"/>
          <w:sz w:val="21"/>
          <w:szCs w:val="21"/>
        </w:rPr>
        <w:t>年</w:t>
      </w:r>
      <w:r>
        <w:rPr>
          <w:rFonts w:ascii="Times New Roman" w:hAnsi="Times New Roman" w:cs="Times New Roman" w:eastAsia="Times New Roman" w:hint="default"/>
          <w:spacing w:val="-4"/>
          <w:w w:val="95"/>
          <w:sz w:val="21"/>
          <w:szCs w:val="21"/>
        </w:rPr>
        <w:t>3</w:t>
      </w:r>
      <w:r>
        <w:rPr>
          <w:rFonts w:ascii="宋体" w:hAnsi="宋体" w:cs="宋体" w:eastAsia="宋体" w:hint="default"/>
          <w:spacing w:val="-4"/>
          <w:w w:val="95"/>
          <w:sz w:val="21"/>
          <w:szCs w:val="21"/>
        </w:rPr>
        <w:t>月出生，本科学历，统计学专业。</w:t>
      </w:r>
      <w:r>
        <w:rPr>
          <w:rFonts w:ascii="Times New Roman" w:hAnsi="Times New Roman" w:cs="Times New Roman" w:eastAsia="Times New Roman" w:hint="default"/>
          <w:spacing w:val="-4"/>
          <w:w w:val="95"/>
          <w:sz w:val="21"/>
          <w:szCs w:val="21"/>
        </w:rPr>
        <w:t>2012</w:t>
      </w:r>
      <w:r>
        <w:rPr>
          <w:rFonts w:ascii="宋体" w:hAnsi="宋体" w:cs="宋体" w:eastAsia="宋体" w:hint="default"/>
          <w:spacing w:val="-4"/>
          <w:w w:val="95"/>
          <w:sz w:val="21"/>
          <w:szCs w:val="21"/>
        </w:rPr>
        <w:t>年</w:t>
      </w:r>
      <w:r>
        <w:rPr>
          <w:rFonts w:ascii="Times New Roman" w:hAnsi="Times New Roman" w:cs="Times New Roman" w:eastAsia="Times New Roman" w:hint="default"/>
          <w:spacing w:val="-4"/>
          <w:w w:val="95"/>
          <w:sz w:val="21"/>
          <w:szCs w:val="21"/>
        </w:rPr>
        <w:t>4</w:t>
      </w:r>
      <w:r>
        <w:rPr>
          <w:rFonts w:ascii="宋体" w:hAnsi="宋体" w:cs="宋体" w:eastAsia="宋体" w:hint="default"/>
          <w:spacing w:val="-4"/>
          <w:w w:val="95"/>
          <w:sz w:val="21"/>
          <w:szCs w:val="21"/>
        </w:rPr>
        <w:t>月至</w:t>
      </w:r>
      <w:r>
        <w:rPr>
          <w:rFonts w:ascii="Times New Roman" w:hAnsi="Times New Roman" w:cs="Times New Roman" w:eastAsia="Times New Roman" w:hint="default"/>
          <w:spacing w:val="-4"/>
          <w:w w:val="95"/>
          <w:sz w:val="21"/>
          <w:szCs w:val="21"/>
        </w:rPr>
        <w:t>2014</w:t>
      </w:r>
      <w:r>
        <w:rPr>
          <w:rFonts w:ascii="Times New Roman" w:hAnsi="Times New Roman" w:cs="Times New Roman" w:eastAsia="Times New Roman" w:hint="default"/>
          <w:spacing w:val="-7"/>
          <w:w w:val="95"/>
          <w:sz w:val="21"/>
          <w:szCs w:val="21"/>
        </w:rPr>
        <w:t> </w:t>
      </w:r>
      <w:r>
        <w:rPr>
          <w:rFonts w:ascii="Times New Roman" w:hAnsi="Times New Roman" w:cs="Times New Roman" w:eastAsia="Times New Roman" w:hint="default"/>
          <w:spacing w:val="-7"/>
          <w:w w:val="95"/>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月在公司财务部任职，</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月任公司内审部负责人，</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月起任公司财务总监。</w:t>
      </w:r>
    </w:p>
    <w:p>
      <w:pPr>
        <w:spacing w:line="240" w:lineRule="auto" w:before="1"/>
        <w:rPr>
          <w:rFonts w:ascii="宋体" w:hAnsi="宋体" w:cs="宋体" w:eastAsia="宋体" w:hint="default"/>
          <w:sz w:val="29"/>
          <w:szCs w:val="2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7"/>
        <w:gridCol w:w="3230"/>
        <w:gridCol w:w="1077"/>
        <w:gridCol w:w="1212"/>
        <w:gridCol w:w="1347"/>
        <w:gridCol w:w="1485"/>
      </w:tblGrid>
      <w:tr>
        <w:trPr>
          <w:trHeight w:val="1026"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12" w:right="153"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74" w:right="171"/>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10" w:right="14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98" w:right="10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陈炬</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齐跃进</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03"/>
              <w:jc w:val="both"/>
              <w:rPr>
                <w:rFonts w:ascii="宋体" w:hAnsi="宋体" w:cs="宋体" w:eastAsia="宋体" w:hint="default"/>
                <w:sz w:val="18"/>
                <w:szCs w:val="18"/>
              </w:rPr>
            </w:pPr>
            <w:r>
              <w:rPr>
                <w:rFonts w:ascii="宋体" w:hAnsi="宋体" w:cs="宋体" w:eastAsia="宋体" w:hint="default"/>
                <w:sz w:val="18"/>
                <w:szCs w:val="18"/>
              </w:rPr>
              <w:t>在股东单位 任职情况的 说明</w:t>
            </w:r>
          </w:p>
        </w:tc>
        <w:tc>
          <w:tcPr>
            <w:tcW w:w="8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4"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重庆市隆泰稀土新材料有限责任公司系公司全资子公司。</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229"/>
        <w:gridCol w:w="1360"/>
        <w:gridCol w:w="1376"/>
      </w:tblGrid>
      <w:tr>
        <w:trPr>
          <w:trHeight w:val="1026" w:hRule="exact"/>
        </w:trPr>
        <w:tc>
          <w:tcPr>
            <w:tcW w:w="1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2" w:right="159"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0" w:right="179"/>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19" w:right="15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2" w:right="141"/>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71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赵颖坤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华中科技大学法学院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footerReference w:type="default" r:id="rId21"/>
          <w:pgSz w:w="11910" w:h="16840"/>
          <w:pgMar w:footer="1016" w:header="907" w:top="1100" w:bottom="1200" w:left="1020" w:right="1020"/>
          <w:pgNumType w:start="4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229"/>
        <w:gridCol w:w="1360"/>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吴韬</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中央财经大学法学院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南京审计学院会计学院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王景</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英国诺顿罗氏律师事务所北京代表处</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戴卫星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海南物博贸易公司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19"/>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以上董监高任职单位与公司无关联关系。</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300" w:lineRule="auto" w:before="117"/>
        <w:ind w:left="412" w:right="0" w:hanging="3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、董事、监事、高级管理人员报酬的决策程序 </w:t>
      </w:r>
      <w:r>
        <w:rPr>
          <w:rFonts w:ascii="宋体" w:hAnsi="宋体" w:cs="宋体" w:eastAsia="宋体" w:hint="default"/>
          <w:spacing w:val="-1"/>
          <w:sz w:val="18"/>
          <w:szCs w:val="18"/>
        </w:rPr>
        <w:t>由公司董事会薪酬与考核委员会研究制订公司董事、监事和高级管理人员的薪酬政策、方案，股东大会审议董事、监事</w:t>
      </w:r>
    </w:p>
    <w:p>
      <w:pPr>
        <w:spacing w:line="316" w:lineRule="auto" w:before="31"/>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薪酬，董事会审议高级管理人员薪酬，公司人力资源部、财务部配合董事会薪酬与考核委员会进行公司董事、高级管理人员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薪酬方案的具体实施。</w:t>
      </w:r>
    </w:p>
    <w:p>
      <w:pPr>
        <w:spacing w:line="240" w:lineRule="auto" w:before="4"/>
        <w:rPr>
          <w:rFonts w:ascii="宋体" w:hAnsi="宋体" w:cs="宋体" w:eastAsia="宋体" w:hint="default"/>
          <w:sz w:val="25"/>
          <w:szCs w:val="25"/>
        </w:rPr>
      </w:pPr>
    </w:p>
    <w:p>
      <w:pPr>
        <w:spacing w:line="338" w:lineRule="auto" w:before="0"/>
        <w:ind w:left="564" w:right="102" w:hanging="4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、董事、监事、高级管理人员报酬的确立依据 根据公司内部董事、内部监事与高级管理人员所承担的责任、风险、压力等，确定不同的基本年薪标准，基本年薪不</w:t>
      </w:r>
    </w:p>
    <w:p>
      <w:pPr>
        <w:spacing w:before="2"/>
        <w:ind w:left="112" w:right="0" w:firstLine="0"/>
        <w:jc w:val="left"/>
        <w:rPr>
          <w:rFonts w:ascii="宋体" w:hAnsi="宋体" w:cs="宋体" w:eastAsia="宋体" w:hint="default"/>
          <w:sz w:val="18"/>
          <w:szCs w:val="18"/>
        </w:rPr>
      </w:pPr>
      <w:r>
        <w:rPr>
          <w:rFonts w:ascii="宋体" w:hAnsi="宋体" w:cs="宋体" w:eastAsia="宋体" w:hint="default"/>
          <w:sz w:val="18"/>
          <w:szCs w:val="18"/>
        </w:rPr>
        <w:t>浮动，按月平均发放。外部董事、独立董事、外部监事津贴数额由公司股东大会审议决定。</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38" w:right="13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37" w:right="138"/>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8.25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赵颖坤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胡卫红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3.15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陈炬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吴韬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戴卫星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齐跃进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刘钊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10.55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6.25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6.25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董秘、副总经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6.25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章大林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4.69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史志民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6.25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103.87</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562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781</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本科及以上学历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8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中专及以下学历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781</w:t>
            </w:r>
          </w:p>
        </w:tc>
      </w:tr>
    </w:tbl>
    <w:p>
      <w:pPr>
        <w:spacing w:line="240" w:lineRule="auto" w:before="3"/>
        <w:rPr>
          <w:rFonts w:ascii="宋体" w:hAnsi="宋体" w:cs="宋体" w:eastAsia="宋体" w:hint="default"/>
          <w:b/>
          <w:bCs/>
          <w:sz w:val="19"/>
          <w:szCs w:val="19"/>
        </w:rPr>
      </w:pPr>
    </w:p>
    <w:p>
      <w:pPr>
        <w:spacing w:before="34"/>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112" w:right="105" w:firstLine="420"/>
        <w:jc w:val="left"/>
        <w:rPr>
          <w:rFonts w:ascii="宋体" w:hAnsi="宋体" w:cs="宋体" w:eastAsia="宋体" w:hint="default"/>
          <w:sz w:val="21"/>
          <w:szCs w:val="21"/>
        </w:rPr>
      </w:pPr>
      <w:r>
        <w:rPr>
          <w:rFonts w:ascii="宋体" w:hAnsi="宋体" w:cs="宋体" w:eastAsia="宋体" w:hint="default"/>
          <w:w w:val="95"/>
          <w:sz w:val="21"/>
          <w:szCs w:val="21"/>
        </w:rPr>
        <w:t>公司严格按照《中华人民共和国劳动合同法》和有关劳动法律法规的规定，向员工提供稳定而具有竞</w:t>
      </w:r>
      <w:r>
        <w:rPr>
          <w:rFonts w:ascii="宋体" w:hAnsi="宋体" w:cs="宋体" w:eastAsia="宋体" w:hint="default"/>
          <w:w w:val="99"/>
          <w:sz w:val="21"/>
          <w:szCs w:val="21"/>
        </w:rPr>
        <w:t> </w:t>
      </w:r>
      <w:r>
        <w:rPr>
          <w:rFonts w:ascii="宋体" w:hAnsi="宋体" w:cs="宋体" w:eastAsia="宋体" w:hint="default"/>
          <w:sz w:val="21"/>
          <w:szCs w:val="21"/>
        </w:rPr>
        <w:t>争力的薪酬，以充分调动员工的积极性和创造性。</w:t>
      </w:r>
    </w:p>
    <w:p>
      <w:pPr>
        <w:spacing w:line="240" w:lineRule="auto" w:before="9"/>
        <w:rPr>
          <w:rFonts w:ascii="宋体" w:hAnsi="宋体" w:cs="宋体" w:eastAsia="宋体" w:hint="default"/>
          <w:sz w:val="23"/>
          <w:szCs w:val="23"/>
        </w:rPr>
      </w:pPr>
    </w:p>
    <w:p>
      <w:pPr>
        <w:spacing w:before="0"/>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112" w:right="105" w:firstLine="420"/>
        <w:jc w:val="left"/>
        <w:rPr>
          <w:rFonts w:ascii="宋体" w:hAnsi="宋体" w:cs="宋体" w:eastAsia="宋体" w:hint="default"/>
          <w:sz w:val="21"/>
          <w:szCs w:val="21"/>
        </w:rPr>
      </w:pPr>
      <w:r>
        <w:rPr>
          <w:rFonts w:ascii="宋体" w:hAnsi="宋体" w:cs="宋体" w:eastAsia="宋体" w:hint="default"/>
          <w:sz w:val="21"/>
          <w:szCs w:val="21"/>
        </w:rPr>
        <w:t>公司把提高员工素质作为企业发展的重要前提和基础，采用内部培训与外派培训相结合的培训方式，</w:t>
      </w:r>
      <w:r>
        <w:rPr>
          <w:rFonts w:ascii="宋体" w:hAnsi="宋体" w:cs="宋体" w:eastAsia="宋体" w:hint="default"/>
          <w:w w:val="99"/>
          <w:sz w:val="21"/>
          <w:szCs w:val="21"/>
        </w:rPr>
        <w:t> </w:t>
      </w:r>
      <w:r>
        <w:rPr>
          <w:rFonts w:ascii="宋体" w:hAnsi="宋体" w:cs="宋体" w:eastAsia="宋体" w:hint="default"/>
          <w:spacing w:val="-3"/>
          <w:sz w:val="21"/>
          <w:szCs w:val="21"/>
        </w:rPr>
        <w:t>以公司人力资源部统一培训与职能部门业务培训、员工岗位技能培训相结合的方式，提高公司的培训实效。</w:t>
      </w:r>
      <w:r>
        <w:rPr>
          <w:rFonts w:ascii="宋体" w:hAnsi="宋体" w:cs="宋体" w:eastAsia="宋体" w:hint="default"/>
          <w:w w:val="99"/>
          <w:sz w:val="21"/>
          <w:szCs w:val="21"/>
        </w:rPr>
        <w:t> </w:t>
      </w:r>
      <w:r>
        <w:rPr>
          <w:rFonts w:ascii="宋体" w:hAnsi="宋体" w:cs="宋体" w:eastAsia="宋体" w:hint="default"/>
          <w:sz w:val="21"/>
          <w:szCs w:val="21"/>
        </w:rPr>
        <w:t>公司每年会根据员工需求以及公司发展目标，制定年度培训计划，从素质能力、工作技能、管理知识、企</w:t>
      </w:r>
      <w:r>
        <w:rPr>
          <w:rFonts w:ascii="宋体" w:hAnsi="宋体" w:cs="宋体" w:eastAsia="宋体" w:hint="default"/>
          <w:w w:val="99"/>
          <w:sz w:val="21"/>
          <w:szCs w:val="21"/>
        </w:rPr>
        <w:t> </w:t>
      </w:r>
      <w:r>
        <w:rPr>
          <w:rFonts w:ascii="宋体" w:hAnsi="宋体" w:cs="宋体" w:eastAsia="宋体" w:hint="default"/>
          <w:sz w:val="21"/>
          <w:szCs w:val="21"/>
        </w:rPr>
        <w:t>业文化、安全知识、环境保护等方面，对员工进行培训教育。</w:t>
      </w:r>
    </w:p>
    <w:p>
      <w:pPr>
        <w:spacing w:line="240" w:lineRule="auto" w:before="7"/>
        <w:rPr>
          <w:rFonts w:ascii="宋体" w:hAnsi="宋体" w:cs="宋体" w:eastAsia="宋体" w:hint="default"/>
          <w:sz w:val="23"/>
          <w:szCs w:val="23"/>
        </w:rPr>
      </w:pPr>
    </w:p>
    <w:p>
      <w:pPr>
        <w:spacing w:before="0"/>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91" w:right="3488"/>
        <w:jc w:val="center"/>
        <w:rPr>
          <w:b w:val="0"/>
          <w:bCs w:val="0"/>
        </w:rPr>
      </w:pPr>
      <w:bookmarkStart w:name="_bookmark8" w:id="9"/>
      <w:bookmarkEnd w:id="9"/>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spacing w:line="273" w:lineRule="auto" w:before="0"/>
        <w:ind w:left="112" w:right="212" w:firstLine="420"/>
        <w:jc w:val="both"/>
        <w:rPr>
          <w:rFonts w:ascii="宋体" w:hAnsi="宋体" w:cs="宋体" w:eastAsia="宋体" w:hint="default"/>
          <w:sz w:val="21"/>
          <w:szCs w:val="21"/>
        </w:rPr>
      </w:pPr>
      <w:r>
        <w:rPr>
          <w:rFonts w:ascii="宋体" w:hAnsi="宋体" w:cs="宋体" w:eastAsia="宋体" w:hint="default"/>
          <w:spacing w:val="-18"/>
          <w:w w:val="99"/>
          <w:sz w:val="21"/>
          <w:szCs w:val="21"/>
        </w:rPr>
        <w:t>公司严格按照《公司法》、《证券法》、《上市公司治理准则》、《深圳证券交易所股票上市规则》、《中小</w:t>
      </w:r>
      <w:r>
        <w:rPr>
          <w:rFonts w:ascii="宋体" w:hAnsi="宋体" w:cs="宋体" w:eastAsia="宋体" w:hint="default"/>
          <w:w w:val="99"/>
          <w:sz w:val="21"/>
          <w:szCs w:val="21"/>
        </w:rPr>
        <w:t> </w:t>
      </w:r>
      <w:r>
        <w:rPr>
          <w:rFonts w:ascii="宋体" w:hAnsi="宋体" w:cs="宋体" w:eastAsia="宋体" w:hint="default"/>
          <w:spacing w:val="-5"/>
          <w:sz w:val="21"/>
          <w:szCs w:val="21"/>
        </w:rPr>
        <w:t>企业板上市公司规范运作指引》和中国证监会及深圳证券交易所颁布的其他相关法律法规的要求，制定《公</w:t>
      </w:r>
      <w:r>
        <w:rPr>
          <w:rFonts w:ascii="宋体" w:hAnsi="宋体" w:cs="宋体" w:eastAsia="宋体" w:hint="default"/>
          <w:w w:val="99"/>
          <w:sz w:val="21"/>
          <w:szCs w:val="21"/>
        </w:rPr>
        <w:t> </w:t>
      </w:r>
      <w:r>
        <w:rPr>
          <w:rFonts w:ascii="宋体" w:hAnsi="宋体" w:cs="宋体" w:eastAsia="宋体" w:hint="default"/>
          <w:w w:val="95"/>
          <w:sz w:val="21"/>
          <w:szCs w:val="21"/>
        </w:rPr>
        <w:t>司章程》及其他内部控制规章制度，完善公司内部法人治理结构，健全内部管理制度，规范公司行为。公</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司的治理结构符合中国证监会关于上市公司治理的相关规范性文件。</w:t>
      </w:r>
    </w:p>
    <w:p>
      <w:pPr>
        <w:spacing w:line="256" w:lineRule="auto" w:before="7"/>
        <w:ind w:left="532" w:right="10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、关于股东、股东大会</w:t>
      </w:r>
      <w:r>
        <w:rPr>
          <w:rFonts w:ascii="宋体" w:hAnsi="宋体" w:cs="宋体" w:eastAsia="宋体" w:hint="default"/>
          <w:w w:val="99"/>
          <w:sz w:val="21"/>
          <w:szCs w:val="21"/>
        </w:rPr>
        <w:t> </w:t>
      </w:r>
      <w:r>
        <w:rPr>
          <w:rFonts w:ascii="宋体" w:hAnsi="宋体" w:cs="宋体" w:eastAsia="宋体" w:hint="default"/>
          <w:spacing w:val="-12"/>
          <w:w w:val="99"/>
          <w:sz w:val="21"/>
          <w:szCs w:val="21"/>
        </w:rPr>
        <w:t>报告期内，公司严格按照《证券法》、《公司法》等法律法规的要求及公司制定的《股东大会议事规则》，</w:t>
      </w:r>
      <w:r>
        <w:rPr>
          <w:rFonts w:ascii="宋体" w:hAnsi="宋体" w:cs="宋体" w:eastAsia="宋体" w:hint="default"/>
          <w:spacing w:val="-12"/>
          <w:sz w:val="21"/>
          <w:szCs w:val="21"/>
        </w:rPr>
      </w:r>
    </w:p>
    <w:p>
      <w:pPr>
        <w:spacing w:line="273" w:lineRule="auto" w:before="22"/>
        <w:ind w:left="112" w:right="212" w:firstLine="0"/>
        <w:jc w:val="both"/>
        <w:rPr>
          <w:rFonts w:ascii="宋体" w:hAnsi="宋体" w:cs="宋体" w:eastAsia="宋体" w:hint="default"/>
          <w:sz w:val="21"/>
          <w:szCs w:val="21"/>
        </w:rPr>
      </w:pPr>
      <w:r>
        <w:rPr>
          <w:rFonts w:ascii="宋体" w:hAnsi="宋体" w:cs="宋体" w:eastAsia="宋体" w:hint="default"/>
          <w:w w:val="95"/>
          <w:sz w:val="21"/>
          <w:szCs w:val="21"/>
        </w:rPr>
        <w:t>规范股东大会召集、召开、表决程序，切实保证中小股东的权益，平等对待所有投资者，使他们能够充分</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行使自己的权利。聘请律师列席股东大会并对股东大会的召开和表决程序出具法律意见书，充分尊重和维</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z w:val="21"/>
          <w:szCs w:val="21"/>
        </w:rPr>
        <w:t>护全体股东的合法权益。</w:t>
      </w:r>
    </w:p>
    <w:p>
      <w:pPr>
        <w:spacing w:line="256" w:lineRule="auto" w:before="7"/>
        <w:ind w:left="532" w:right="10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、关于控股股东与公司</w:t>
      </w:r>
      <w:r>
        <w:rPr>
          <w:rFonts w:ascii="宋体" w:hAnsi="宋体" w:cs="宋体" w:eastAsia="宋体" w:hint="default"/>
          <w:w w:val="99"/>
          <w:sz w:val="21"/>
          <w:szCs w:val="21"/>
        </w:rPr>
        <w:t> </w:t>
      </w:r>
      <w:r>
        <w:rPr>
          <w:rFonts w:ascii="宋体" w:hAnsi="宋体" w:cs="宋体" w:eastAsia="宋体" w:hint="default"/>
          <w:spacing w:val="-10"/>
          <w:w w:val="99"/>
          <w:sz w:val="21"/>
          <w:szCs w:val="21"/>
        </w:rPr>
        <w:t>公司控股股东严格根据《上市公司治理准则》、《深圳证券交易所股票上市规则》、《公司章程》规范股</w:t>
      </w:r>
      <w:r>
        <w:rPr>
          <w:rFonts w:ascii="宋体" w:hAnsi="宋体" w:cs="宋体" w:eastAsia="宋体" w:hint="default"/>
          <w:spacing w:val="-10"/>
          <w:sz w:val="21"/>
          <w:szCs w:val="21"/>
        </w:rPr>
      </w:r>
    </w:p>
    <w:p>
      <w:pPr>
        <w:spacing w:line="273" w:lineRule="auto" w:before="22"/>
        <w:ind w:left="112" w:right="212" w:firstLine="0"/>
        <w:jc w:val="both"/>
        <w:rPr>
          <w:rFonts w:ascii="宋体" w:hAnsi="宋体" w:cs="宋体" w:eastAsia="宋体" w:hint="default"/>
          <w:sz w:val="21"/>
          <w:szCs w:val="21"/>
        </w:rPr>
      </w:pPr>
      <w:r>
        <w:rPr>
          <w:rFonts w:ascii="宋体" w:hAnsi="宋体" w:cs="宋体" w:eastAsia="宋体" w:hint="default"/>
          <w:w w:val="95"/>
          <w:sz w:val="21"/>
          <w:szCs w:val="21"/>
        </w:rPr>
        <w:t>东行为，通过股东大会行使股东权利，未发生超越股东大会及董事会而直接或间接干预公司经营与决策的  </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行为。</w:t>
      </w:r>
    </w:p>
    <w:p>
      <w:pPr>
        <w:spacing w:line="256" w:lineRule="auto" w:before="7"/>
        <w:ind w:left="532" w:right="10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、关于董事与董事会</w:t>
      </w:r>
      <w:r>
        <w:rPr>
          <w:rFonts w:ascii="宋体" w:hAnsi="宋体" w:cs="宋体" w:eastAsia="宋体" w:hint="default"/>
          <w:w w:val="99"/>
          <w:sz w:val="21"/>
          <w:szCs w:val="21"/>
        </w:rPr>
        <w:t> </w:t>
      </w:r>
      <w:r>
        <w:rPr>
          <w:rFonts w:ascii="宋体" w:hAnsi="宋体" w:cs="宋体" w:eastAsia="宋体" w:hint="default"/>
          <w:spacing w:val="-5"/>
          <w:w w:val="99"/>
          <w:sz w:val="21"/>
          <w:szCs w:val="21"/>
        </w:rPr>
        <w:t>公司严格按照《公司法》、《公司章程》及《上市公司股东大会规范性意见》等相关法律法规选举产生</w:t>
      </w:r>
      <w:r>
        <w:rPr>
          <w:rFonts w:ascii="宋体" w:hAnsi="宋体" w:cs="宋体" w:eastAsia="宋体" w:hint="default"/>
          <w:spacing w:val="-5"/>
          <w:sz w:val="21"/>
          <w:szCs w:val="21"/>
        </w:rPr>
      </w:r>
    </w:p>
    <w:p>
      <w:pPr>
        <w:spacing w:line="273" w:lineRule="auto" w:before="22"/>
        <w:ind w:left="549" w:right="105" w:hanging="437"/>
        <w:jc w:val="left"/>
        <w:rPr>
          <w:rFonts w:ascii="宋体" w:hAnsi="宋体" w:cs="宋体" w:eastAsia="宋体" w:hint="default"/>
          <w:sz w:val="21"/>
          <w:szCs w:val="21"/>
        </w:rPr>
      </w:pPr>
      <w:r>
        <w:rPr>
          <w:rFonts w:ascii="宋体" w:hAnsi="宋体" w:cs="宋体" w:eastAsia="宋体" w:hint="default"/>
          <w:sz w:val="21"/>
          <w:szCs w:val="21"/>
        </w:rPr>
        <w:t>董事人选，董事会人数及人员构成符合法律法规的要求。</w:t>
      </w:r>
      <w:r>
        <w:rPr>
          <w:rFonts w:ascii="宋体" w:hAnsi="宋体" w:cs="宋体" w:eastAsia="宋体" w:hint="default"/>
          <w:w w:val="99"/>
          <w:sz w:val="21"/>
          <w:szCs w:val="21"/>
        </w:rPr>
        <w:t> </w:t>
      </w:r>
      <w:r>
        <w:rPr>
          <w:rFonts w:ascii="宋体" w:hAnsi="宋体" w:cs="宋体" w:eastAsia="宋体" w:hint="default"/>
          <w:spacing w:val="-10"/>
          <w:w w:val="99"/>
          <w:sz w:val="21"/>
          <w:szCs w:val="21"/>
        </w:rPr>
        <w:t>公司董事会严格按照《公司章程》、《独立董事工作制度》及《董事会议事规则》、《深圳交易所中小企</w:t>
      </w:r>
      <w:r>
        <w:rPr>
          <w:rFonts w:ascii="宋体" w:hAnsi="宋体" w:cs="宋体" w:eastAsia="宋体" w:hint="default"/>
          <w:spacing w:val="-10"/>
          <w:sz w:val="21"/>
          <w:szCs w:val="21"/>
        </w:rPr>
      </w:r>
    </w:p>
    <w:p>
      <w:pPr>
        <w:spacing w:line="273" w:lineRule="auto" w:before="7"/>
        <w:ind w:left="112" w:right="105" w:firstLine="0"/>
        <w:jc w:val="left"/>
        <w:rPr>
          <w:rFonts w:ascii="宋体" w:hAnsi="宋体" w:cs="宋体" w:eastAsia="宋体" w:hint="default"/>
          <w:sz w:val="21"/>
          <w:szCs w:val="21"/>
        </w:rPr>
      </w:pPr>
      <w:r>
        <w:rPr>
          <w:rFonts w:ascii="宋体" w:hAnsi="宋体" w:cs="宋体" w:eastAsia="宋体" w:hint="default"/>
          <w:spacing w:val="-3"/>
          <w:sz w:val="21"/>
          <w:szCs w:val="21"/>
        </w:rPr>
        <w:t>业板块上市公司董事行为指引》等相关规定召集召开董事会，各董事认真出席董事会，认真审议各项议案，</w:t>
      </w:r>
      <w:r>
        <w:rPr>
          <w:rFonts w:ascii="宋体" w:hAnsi="宋体" w:cs="宋体" w:eastAsia="宋体" w:hint="default"/>
          <w:w w:val="99"/>
          <w:sz w:val="21"/>
          <w:szCs w:val="21"/>
        </w:rPr>
        <w:t> </w:t>
      </w:r>
      <w:r>
        <w:rPr>
          <w:rFonts w:ascii="宋体" w:hAnsi="宋体" w:cs="宋体" w:eastAsia="宋体" w:hint="default"/>
          <w:sz w:val="21"/>
          <w:szCs w:val="21"/>
        </w:rPr>
        <w:t>履行职责，勤勉尽责。独立董事独立履行职责，维护公司整体利益，对重要及重大事项发表独立意见。</w:t>
      </w:r>
    </w:p>
    <w:p>
      <w:pPr>
        <w:spacing w:line="256" w:lineRule="auto" w:before="8"/>
        <w:ind w:left="744" w:right="105" w:hanging="195"/>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、关于监事与监事会</w:t>
      </w:r>
      <w:r>
        <w:rPr>
          <w:rFonts w:ascii="宋体" w:hAnsi="宋体" w:cs="宋体" w:eastAsia="宋体" w:hint="default"/>
          <w:w w:val="99"/>
          <w:sz w:val="21"/>
          <w:szCs w:val="21"/>
        </w:rPr>
        <w:t> </w:t>
      </w:r>
      <w:r>
        <w:rPr>
          <w:rFonts w:ascii="宋体" w:hAnsi="宋体" w:cs="宋体" w:eastAsia="宋体" w:hint="default"/>
          <w:spacing w:val="-5"/>
          <w:w w:val="99"/>
          <w:sz w:val="21"/>
          <w:szCs w:val="21"/>
        </w:rPr>
        <w:t>公司严格按照《公司法》、《公司章程》及《上市公司股东大会规范意见》等相关法律法规选举产生</w:t>
      </w:r>
      <w:r>
        <w:rPr>
          <w:rFonts w:ascii="宋体" w:hAnsi="宋体" w:cs="宋体" w:eastAsia="宋体" w:hint="default"/>
          <w:spacing w:val="-5"/>
          <w:sz w:val="21"/>
          <w:szCs w:val="21"/>
        </w:rPr>
      </w:r>
    </w:p>
    <w:p>
      <w:pPr>
        <w:spacing w:line="273" w:lineRule="auto" w:before="22"/>
        <w:ind w:left="532" w:right="105" w:hanging="420"/>
        <w:jc w:val="left"/>
        <w:rPr>
          <w:rFonts w:ascii="宋体" w:hAnsi="宋体" w:cs="宋体" w:eastAsia="宋体" w:hint="default"/>
          <w:sz w:val="21"/>
          <w:szCs w:val="21"/>
        </w:rPr>
      </w:pPr>
      <w:r>
        <w:rPr>
          <w:rFonts w:ascii="宋体" w:hAnsi="宋体" w:cs="宋体" w:eastAsia="宋体" w:hint="default"/>
          <w:sz w:val="21"/>
          <w:szCs w:val="21"/>
        </w:rPr>
        <w:t>监事人选，监事会人数及人员构成符合法律法规的要求。</w:t>
      </w:r>
      <w:r>
        <w:rPr>
          <w:rFonts w:ascii="宋体" w:hAnsi="宋体" w:cs="宋体" w:eastAsia="宋体" w:hint="default"/>
          <w:w w:val="99"/>
          <w:sz w:val="21"/>
          <w:szCs w:val="21"/>
        </w:rPr>
        <w:t> </w:t>
      </w:r>
      <w:r>
        <w:rPr>
          <w:rFonts w:ascii="宋体" w:hAnsi="宋体" w:cs="宋体" w:eastAsia="宋体" w:hint="default"/>
          <w:w w:val="95"/>
          <w:sz w:val="21"/>
          <w:szCs w:val="21"/>
        </w:rPr>
        <w:t>公司监事会严格按照《公司章程》及《监事会议事规则》等相关规定召集召开监事会，各监事认真出</w:t>
      </w:r>
      <w:r>
        <w:rPr>
          <w:rFonts w:ascii="宋体" w:hAnsi="宋体" w:cs="宋体" w:eastAsia="宋体" w:hint="default"/>
          <w:sz w:val="21"/>
          <w:szCs w:val="21"/>
        </w:rPr>
      </w:r>
    </w:p>
    <w:p>
      <w:pPr>
        <w:spacing w:line="264" w:lineRule="auto" w:before="8"/>
        <w:ind w:left="532" w:right="105" w:hanging="420"/>
        <w:jc w:val="left"/>
        <w:rPr>
          <w:rFonts w:ascii="宋体" w:hAnsi="宋体" w:cs="宋体" w:eastAsia="宋体" w:hint="default"/>
          <w:sz w:val="21"/>
          <w:szCs w:val="21"/>
        </w:rPr>
      </w:pPr>
      <w:r>
        <w:rPr>
          <w:rFonts w:ascii="宋体" w:hAnsi="宋体" w:cs="宋体" w:eastAsia="宋体" w:hint="default"/>
          <w:sz w:val="21"/>
          <w:szCs w:val="21"/>
        </w:rPr>
        <w:t>席监事会，认真履行职责，对公司重大事项、关联交易、财务状况等进行监督并发表意见。</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、关于信息披露与透明度</w:t>
      </w:r>
      <w:r>
        <w:rPr>
          <w:rFonts w:ascii="宋体" w:hAnsi="宋体" w:cs="宋体" w:eastAsia="宋体" w:hint="default"/>
          <w:w w:val="99"/>
          <w:sz w:val="21"/>
          <w:szCs w:val="21"/>
        </w:rPr>
        <w:t> </w:t>
      </w:r>
      <w:r>
        <w:rPr>
          <w:rFonts w:ascii="宋体" w:hAnsi="宋体" w:cs="宋体" w:eastAsia="宋体" w:hint="default"/>
          <w:spacing w:val="-6"/>
          <w:w w:val="99"/>
          <w:sz w:val="21"/>
          <w:szCs w:val="21"/>
        </w:rPr>
        <w:t>公司根据《公司章程》、《深圳证券交易所股票上市规则》和中国证监会及深圳证券交易所的相关法律</w:t>
      </w:r>
      <w:r>
        <w:rPr>
          <w:rFonts w:ascii="宋体" w:hAnsi="宋体" w:cs="宋体" w:eastAsia="宋体" w:hint="default"/>
          <w:spacing w:val="-6"/>
          <w:sz w:val="21"/>
          <w:szCs w:val="21"/>
        </w:rPr>
      </w:r>
    </w:p>
    <w:p>
      <w:pPr>
        <w:spacing w:line="256" w:lineRule="auto" w:before="16"/>
        <w:ind w:left="112" w:right="207" w:firstLine="0"/>
        <w:jc w:val="both"/>
        <w:rPr>
          <w:rFonts w:ascii="宋体" w:hAnsi="宋体" w:cs="宋体" w:eastAsia="宋体" w:hint="default"/>
          <w:sz w:val="21"/>
          <w:szCs w:val="21"/>
        </w:rPr>
      </w:pPr>
      <w:r>
        <w:rPr>
          <w:rFonts w:ascii="宋体" w:hAnsi="宋体" w:cs="宋体" w:eastAsia="宋体" w:hint="default"/>
          <w:spacing w:val="-11"/>
          <w:w w:val="99"/>
          <w:sz w:val="21"/>
          <w:szCs w:val="21"/>
        </w:rPr>
        <w:t>法规的要求，认真履行信息披露义务。公司上市后指定《证券时报》、《上海证券报》、《中国证券报》和</w:t>
      </w:r>
      <w:r>
        <w:rPr>
          <w:rFonts w:ascii="Times New Roman" w:hAnsi="Times New Roman" w:cs="Times New Roman" w:eastAsia="Times New Roman" w:hint="default"/>
          <w:spacing w:val="-11"/>
          <w:w w:val="99"/>
          <w:sz w:val="21"/>
          <w:szCs w:val="21"/>
        </w:rPr>
        <w:t>“</w:t>
      </w:r>
      <w:r>
        <w:rPr>
          <w:rFonts w:ascii="宋体" w:hAnsi="宋体" w:cs="宋体" w:eastAsia="宋体" w:hint="default"/>
          <w:spacing w:val="-11"/>
          <w:w w:val="99"/>
          <w:sz w:val="21"/>
          <w:szCs w:val="21"/>
        </w:rPr>
        <w:t>巨</w:t>
      </w:r>
      <w:r>
        <w:rPr>
          <w:rFonts w:ascii="宋体" w:hAnsi="宋体" w:cs="宋体" w:eastAsia="宋体" w:hint="default"/>
          <w:spacing w:val="-69"/>
          <w:w w:val="99"/>
          <w:sz w:val="21"/>
          <w:szCs w:val="21"/>
        </w:rPr>
        <w:t> </w:t>
      </w:r>
      <w:r>
        <w:rPr>
          <w:rFonts w:ascii="宋体" w:hAnsi="宋体" w:cs="宋体" w:eastAsia="宋体" w:hint="default"/>
          <w:spacing w:val="2"/>
          <w:sz w:val="21"/>
          <w:szCs w:val="21"/>
        </w:rPr>
        <w:t>潮资讯网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为公司信息披露的报纸和网站，真实、准确、及时地披露公司信息，确保公司所有股东公平地</w:t>
      </w:r>
      <w:r>
        <w:rPr>
          <w:rFonts w:ascii="宋体" w:hAnsi="宋体" w:cs="宋体" w:eastAsia="宋体" w:hint="default"/>
          <w:w w:val="99"/>
          <w:sz w:val="21"/>
          <w:szCs w:val="21"/>
        </w:rPr>
        <w:t> </w:t>
      </w:r>
      <w:r>
        <w:rPr>
          <w:rFonts w:ascii="宋体" w:hAnsi="宋体" w:cs="宋体" w:eastAsia="宋体" w:hint="default"/>
          <w:sz w:val="21"/>
          <w:szCs w:val="21"/>
        </w:rPr>
        <w:t>获得公司相关信息。</w:t>
      </w:r>
    </w:p>
    <w:p>
      <w:pPr>
        <w:spacing w:line="256" w:lineRule="auto" w:before="22"/>
        <w:ind w:left="532" w:right="10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、关于投资者关系管理</w:t>
      </w:r>
      <w:r>
        <w:rPr>
          <w:rFonts w:ascii="宋体" w:hAnsi="宋体" w:cs="宋体" w:eastAsia="宋体" w:hint="default"/>
          <w:w w:val="99"/>
          <w:sz w:val="21"/>
          <w:szCs w:val="21"/>
        </w:rPr>
        <w:t> </w:t>
      </w:r>
      <w:r>
        <w:rPr>
          <w:rFonts w:ascii="宋体" w:hAnsi="宋体" w:cs="宋体" w:eastAsia="宋体" w:hint="default"/>
          <w:w w:val="95"/>
          <w:sz w:val="21"/>
          <w:szCs w:val="21"/>
        </w:rPr>
        <w:t>报告期内，公司严格按照有关法律法规及《深圳证券交易所股票上市规则》履行信息披露，以确保公</w:t>
      </w:r>
      <w:r>
        <w:rPr>
          <w:rFonts w:ascii="宋体" w:hAnsi="宋体" w:cs="宋体" w:eastAsia="宋体" w:hint="default"/>
          <w:sz w:val="21"/>
          <w:szCs w:val="21"/>
        </w:rPr>
      </w:r>
    </w:p>
    <w:p>
      <w:pPr>
        <w:spacing w:line="273" w:lineRule="auto" w:before="22"/>
        <w:ind w:left="112" w:right="210" w:firstLine="0"/>
        <w:jc w:val="both"/>
        <w:rPr>
          <w:rFonts w:ascii="宋体" w:hAnsi="宋体" w:cs="宋体" w:eastAsia="宋体" w:hint="default"/>
          <w:sz w:val="21"/>
          <w:szCs w:val="21"/>
        </w:rPr>
      </w:pPr>
      <w:r>
        <w:rPr>
          <w:rFonts w:ascii="宋体" w:hAnsi="宋体" w:cs="宋体" w:eastAsia="宋体" w:hint="default"/>
          <w:w w:val="95"/>
          <w:sz w:val="21"/>
          <w:szCs w:val="21"/>
        </w:rPr>
        <w:t>司所有股东以平等的机会获得信息；此外，公司指定董事会秘书为投资者关系管理负责人，组织实施投资</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者关系的日常管理工作，通过电话、邮件、互动易等形式及时解答投资者问题；指定证券事务部为专门的</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投资者关系管理机构，加强与投资者的沟通，充分保证了广大投资者的知情权。</w:t>
      </w:r>
    </w:p>
    <w:p>
      <w:pPr>
        <w:spacing w:line="256" w:lineRule="auto" w:before="7"/>
        <w:ind w:left="532" w:right="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、绩效评价与激励</w:t>
      </w:r>
      <w:r>
        <w:rPr>
          <w:rFonts w:ascii="宋体" w:hAnsi="宋体" w:cs="宋体" w:eastAsia="宋体" w:hint="default"/>
          <w:w w:val="99"/>
          <w:sz w:val="21"/>
          <w:szCs w:val="21"/>
        </w:rPr>
        <w:t> </w:t>
      </w:r>
      <w:r>
        <w:rPr>
          <w:rFonts w:ascii="宋体" w:hAnsi="宋体" w:cs="宋体" w:eastAsia="宋体" w:hint="default"/>
          <w:spacing w:val="-3"/>
          <w:sz w:val="21"/>
          <w:szCs w:val="21"/>
        </w:rPr>
        <w:t>通过绩效考核，有效地达到了公司对每位员工的综合评价，进一步了解每一位员工的工作能力与专长，</w:t>
      </w:r>
    </w:p>
    <w:p>
      <w:pPr>
        <w:spacing w:line="273" w:lineRule="auto" w:before="22"/>
        <w:ind w:left="112" w:right="210" w:firstLine="0"/>
        <w:jc w:val="both"/>
        <w:rPr>
          <w:rFonts w:ascii="宋体" w:hAnsi="宋体" w:cs="宋体" w:eastAsia="宋体" w:hint="default"/>
          <w:sz w:val="21"/>
          <w:szCs w:val="21"/>
        </w:rPr>
      </w:pPr>
      <w:r>
        <w:rPr>
          <w:rFonts w:ascii="宋体" w:hAnsi="宋体" w:cs="宋体" w:eastAsia="宋体" w:hint="default"/>
          <w:w w:val="95"/>
          <w:sz w:val="21"/>
          <w:szCs w:val="21"/>
        </w:rPr>
        <w:t>从而有效地调整合适岗位，达到绩效考核的目标；公司正逐步完善绩效考评机制，公司高级管理人员和中</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层管理人员的薪酬与公司经营业绩指标挂钩。</w:t>
      </w:r>
    </w:p>
    <w:p>
      <w:pPr>
        <w:spacing w:after="0" w:line="273" w:lineRule="auto"/>
        <w:jc w:val="both"/>
        <w:rPr>
          <w:rFonts w:ascii="宋体" w:hAnsi="宋体" w:cs="宋体" w:eastAsia="宋体" w:hint="default"/>
          <w:sz w:val="21"/>
          <w:szCs w:val="21"/>
        </w:rPr>
        <w:sectPr>
          <w:pgSz w:w="11910" w:h="16840"/>
          <w:pgMar w:header="907" w:footer="1016" w:top="1100" w:bottom="1200" w:left="1020" w:right="920"/>
        </w:sectPr>
      </w:pPr>
    </w:p>
    <w:p>
      <w:pPr>
        <w:spacing w:line="240" w:lineRule="auto" w:before="10"/>
        <w:rPr>
          <w:rFonts w:ascii="宋体" w:hAnsi="宋体" w:cs="宋体" w:eastAsia="宋体" w:hint="default"/>
          <w:sz w:val="21"/>
          <w:szCs w:val="21"/>
        </w:rPr>
      </w:pPr>
    </w:p>
    <w:p>
      <w:pPr>
        <w:spacing w:line="256" w:lineRule="auto" w:before="34"/>
        <w:ind w:left="532" w:right="0" w:firstLine="16"/>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、关于相关利益者</w:t>
      </w:r>
      <w:r>
        <w:rPr>
          <w:rFonts w:ascii="宋体" w:hAnsi="宋体" w:cs="宋体" w:eastAsia="宋体" w:hint="default"/>
          <w:w w:val="99"/>
          <w:sz w:val="21"/>
          <w:szCs w:val="21"/>
        </w:rPr>
        <w:t> </w:t>
      </w:r>
      <w:r>
        <w:rPr>
          <w:rFonts w:ascii="宋体" w:hAnsi="宋体" w:cs="宋体" w:eastAsia="宋体" w:hint="default"/>
          <w:w w:val="95"/>
          <w:sz w:val="21"/>
          <w:szCs w:val="21"/>
        </w:rPr>
        <w:t>公司能够充分尊重和维护相关利益者的合法权益，实现股东、员工、社会等各方面利益的协调平衡，</w:t>
      </w:r>
      <w:r>
        <w:rPr>
          <w:rFonts w:ascii="宋体" w:hAnsi="宋体" w:cs="宋体" w:eastAsia="宋体" w:hint="default"/>
          <w:sz w:val="21"/>
          <w:szCs w:val="21"/>
        </w:rPr>
      </w:r>
    </w:p>
    <w:p>
      <w:pPr>
        <w:spacing w:line="307" w:lineRule="auto" w:before="22"/>
        <w:ind w:left="532" w:right="0" w:hanging="420"/>
        <w:jc w:val="left"/>
        <w:rPr>
          <w:rFonts w:ascii="宋体" w:hAnsi="宋体" w:cs="宋体" w:eastAsia="宋体" w:hint="default"/>
          <w:sz w:val="21"/>
          <w:szCs w:val="21"/>
        </w:rPr>
      </w:pPr>
      <w:r>
        <w:rPr>
          <w:rFonts w:ascii="宋体" w:hAnsi="宋体" w:cs="宋体" w:eastAsia="宋体" w:hint="default"/>
          <w:sz w:val="21"/>
          <w:szCs w:val="21"/>
        </w:rPr>
        <w:t>共同推动公司持续、健康的发展。</w:t>
      </w:r>
      <w:r>
        <w:rPr>
          <w:rFonts w:ascii="宋体" w:hAnsi="宋体" w:cs="宋体" w:eastAsia="宋体" w:hint="default"/>
          <w:w w:val="99"/>
          <w:sz w:val="21"/>
          <w:szCs w:val="21"/>
        </w:rPr>
        <w:t> </w:t>
      </w:r>
      <w:r>
        <w:rPr>
          <w:rFonts w:ascii="宋体" w:hAnsi="宋体" w:cs="宋体" w:eastAsia="宋体" w:hint="default"/>
          <w:w w:val="95"/>
          <w:sz w:val="21"/>
          <w:szCs w:val="21"/>
        </w:rPr>
        <w:t>公司将在治理方面继续加大力度，不断完善公司法人治理结构，继续做好信息披露工作，以增强公司</w:t>
      </w:r>
      <w:r>
        <w:rPr>
          <w:rFonts w:ascii="宋体" w:hAnsi="宋体" w:cs="宋体" w:eastAsia="宋体" w:hint="default"/>
          <w:sz w:val="21"/>
          <w:szCs w:val="21"/>
        </w:rPr>
      </w:r>
    </w:p>
    <w:p>
      <w:pPr>
        <w:spacing w:line="253" w:lineRule="exact" w:before="0"/>
        <w:ind w:left="112" w:right="0" w:firstLine="0"/>
        <w:jc w:val="both"/>
        <w:rPr>
          <w:rFonts w:ascii="宋体" w:hAnsi="宋体" w:cs="宋体" w:eastAsia="宋体" w:hint="default"/>
          <w:sz w:val="21"/>
          <w:szCs w:val="21"/>
        </w:rPr>
      </w:pPr>
      <w:r>
        <w:rPr>
          <w:rFonts w:ascii="宋体" w:hAnsi="宋体" w:cs="宋体" w:eastAsia="宋体" w:hint="default"/>
          <w:sz w:val="21"/>
          <w:szCs w:val="21"/>
        </w:rPr>
        <w:t>透明度，加强投资者关系管理，保护中小投资者利益。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60" w:lineRule="auto" w:before="115"/>
        <w:ind w:left="112" w:right="2554" w:firstLine="0"/>
        <w:jc w:val="left"/>
        <w:rPr>
          <w:rFonts w:ascii="宋体" w:hAnsi="宋体" w:cs="宋体" w:eastAsia="宋体" w:hint="default"/>
          <w:sz w:val="18"/>
          <w:szCs w:val="18"/>
        </w:rPr>
      </w:pPr>
      <w:r>
        <w:rPr>
          <w:rFonts w:ascii="宋体" w:hAnsi="宋体" w:cs="宋体" w:eastAsia="宋体" w:hint="default"/>
          <w:sz w:val="18"/>
          <w:szCs w:val="18"/>
        </w:rPr>
        <w:t>□ 是 √ 否 公司治理的实际状况与中国证监会发布的有关上市公司治理的规范性文件不存在重大差异。</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24"/>
          <w:szCs w:val="24"/>
        </w:rPr>
      </w:pPr>
    </w:p>
    <w:p>
      <w:pPr>
        <w:spacing w:line="273" w:lineRule="auto" w:before="0"/>
        <w:ind w:left="112" w:right="112" w:firstLine="0"/>
        <w:jc w:val="both"/>
        <w:rPr>
          <w:rFonts w:ascii="宋体" w:hAnsi="宋体" w:cs="宋体" w:eastAsia="宋体" w:hint="default"/>
          <w:sz w:val="21"/>
          <w:szCs w:val="21"/>
        </w:rPr>
      </w:pPr>
      <w:r>
        <w:rPr>
          <w:rFonts w:ascii="宋体" w:hAnsi="宋体" w:cs="宋体" w:eastAsia="宋体" w:hint="default"/>
          <w:spacing w:val="-5"/>
          <w:w w:val="99"/>
          <w:sz w:val="21"/>
          <w:szCs w:val="21"/>
        </w:rPr>
        <w:t>公司自成立以来，严格按照《公司法》、《证券法》等有关法律、法规和《公司章程》的要求规范运作，建</w:t>
      </w:r>
      <w:r>
        <w:rPr>
          <w:rFonts w:ascii="宋体" w:hAnsi="宋体" w:cs="宋体" w:eastAsia="宋体" w:hint="default"/>
          <w:spacing w:val="-80"/>
          <w:w w:val="99"/>
          <w:sz w:val="21"/>
          <w:szCs w:val="21"/>
        </w:rPr>
        <w:t> </w:t>
      </w:r>
      <w:r>
        <w:rPr>
          <w:rFonts w:ascii="宋体" w:hAnsi="宋体" w:cs="宋体" w:eastAsia="宋体" w:hint="default"/>
          <w:spacing w:val="-80"/>
          <w:w w:val="99"/>
          <w:sz w:val="21"/>
          <w:szCs w:val="21"/>
        </w:rPr>
      </w:r>
      <w:r>
        <w:rPr>
          <w:rFonts w:ascii="宋体" w:hAnsi="宋体" w:cs="宋体" w:eastAsia="宋体" w:hint="default"/>
          <w:w w:val="95"/>
          <w:sz w:val="21"/>
          <w:szCs w:val="21"/>
        </w:rPr>
        <w:t>立、健全了公司法人治理结构。公司与控股股东做到了在业务、人员、资产、机构和财务上的完全独立，</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具有独立完整的业务及自主经营能力。</w:t>
      </w:r>
    </w:p>
    <w:p>
      <w:pPr>
        <w:spacing w:line="240" w:lineRule="auto" w:before="10"/>
        <w:rPr>
          <w:rFonts w:ascii="宋体" w:hAnsi="宋体" w:cs="宋体" w:eastAsia="宋体" w:hint="default"/>
          <w:sz w:val="21"/>
          <w:szCs w:val="21"/>
        </w:rPr>
      </w:pPr>
    </w:p>
    <w:p>
      <w:pPr>
        <w:pStyle w:val="Heading2"/>
        <w:spacing w:line="240" w:lineRule="auto"/>
        <w:ind w:right="0"/>
        <w:jc w:val="both"/>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29"/>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刊登在《证券时</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《上海证券</w:t>
            </w:r>
          </w:p>
        </w:tc>
      </w:tr>
      <w:tr>
        <w:trPr>
          <w:trHeight w:val="629"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报》和巨潮资讯网</w:t>
            </w:r>
            <w:r>
              <w:rPr>
                <w:rFonts w:ascii="宋体" w:hAnsi="宋体" w:cs="宋体" w:eastAsia="宋体" w:hint="default"/>
                <w:sz w:val="18"/>
                <w:szCs w:val="18"/>
              </w:rPr>
              <w:t> 上的《公司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年度股东大会决</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议公告</w:t>
            </w:r>
            <w:r>
              <w:rPr>
                <w:rFonts w:ascii="宋体" w:hAnsi="宋体" w:cs="宋体" w:eastAsia="宋体" w:hint="default"/>
                <w:spacing w:val="-89"/>
                <w:sz w:val="18"/>
                <w:szCs w:val="18"/>
              </w:rPr>
              <w:t>》</w:t>
            </w:r>
            <w:r>
              <w:rPr>
                <w:rFonts w:ascii="宋体" w:hAnsi="宋体" w:cs="宋体" w:eastAsia="宋体" w:hint="default"/>
                <w:sz w:val="18"/>
                <w:szCs w:val="18"/>
              </w:rPr>
              <w:t>（公告编</w:t>
            </w: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2015-20</w:t>
            </w:r>
            <w:r>
              <w:rPr>
                <w:rFonts w:ascii="宋体" w:hAnsi="宋体" w:cs="宋体" w:eastAsia="宋体" w:hint="default"/>
                <w:sz w:val="18"/>
                <w:szCs w:val="18"/>
              </w:rPr>
              <w:t>）</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刊登在《证券时</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《上海证券</w:t>
            </w:r>
          </w:p>
        </w:tc>
      </w:tr>
      <w:tr>
        <w:trPr>
          <w:trHeight w:val="628"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报》和巨潮资讯网</w:t>
            </w:r>
            <w:r>
              <w:rPr>
                <w:rFonts w:ascii="宋体" w:hAnsi="宋体" w:cs="宋体" w:eastAsia="宋体" w:hint="default"/>
                <w:sz w:val="18"/>
                <w:szCs w:val="18"/>
              </w:rPr>
              <w:t> 上的《公司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年第一次股东大</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会决议公告</w:t>
            </w:r>
            <w:r>
              <w:rPr>
                <w:rFonts w:ascii="宋体" w:hAnsi="宋体" w:cs="宋体" w:eastAsia="宋体" w:hint="default"/>
                <w:spacing w:val="-89"/>
                <w:sz w:val="18"/>
                <w:szCs w:val="18"/>
              </w:rPr>
              <w:t>》</w:t>
            </w:r>
            <w:r>
              <w:rPr>
                <w:rFonts w:ascii="宋体" w:hAnsi="宋体" w:cs="宋体" w:eastAsia="宋体" w:hint="default"/>
                <w:sz w:val="18"/>
                <w:szCs w:val="18"/>
              </w:rPr>
              <w:t>（公</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2015-39</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1000"/>
        </w:sectPr>
      </w:pPr>
    </w:p>
    <w:p>
      <w:pPr>
        <w:spacing w:line="240" w:lineRule="auto" w:before="10"/>
        <w:rPr>
          <w:rFonts w:ascii="宋体" w:hAnsi="宋体" w:cs="宋体" w:eastAsia="宋体" w:hint="default"/>
          <w:b/>
          <w:bCs/>
          <w:sz w:val="21"/>
          <w:szCs w:val="21"/>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24"/>
        <w:gridCol w:w="1324"/>
        <w:gridCol w:w="1324"/>
        <w:gridCol w:w="1324"/>
        <w:gridCol w:w="1324"/>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1026"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17" w:right="11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14"/>
              <w:jc w:val="righ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7" w:right="116" w:hanging="272"/>
              <w:jc w:val="left"/>
              <w:rPr>
                <w:rFonts w:ascii="宋体" w:hAnsi="宋体" w:cs="宋体" w:eastAsia="宋体" w:hint="default"/>
                <w:sz w:val="18"/>
                <w:szCs w:val="18"/>
              </w:rPr>
            </w:pPr>
            <w:r>
              <w:rPr>
                <w:rFonts w:ascii="宋体" w:hAnsi="宋体" w:cs="宋体" w:eastAsia="宋体" w:hint="default"/>
                <w:sz w:val="18"/>
                <w:szCs w:val="18"/>
              </w:rPr>
              <w:t>以通讯方式参 加次数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15"/>
              <w:jc w:val="righ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6" w:right="116"/>
              <w:jc w:val="center"/>
              <w:rPr>
                <w:rFonts w:ascii="宋体" w:hAnsi="宋体" w:cs="宋体" w:eastAsia="宋体" w:hint="default"/>
                <w:sz w:val="18"/>
                <w:szCs w:val="18"/>
              </w:rPr>
            </w:pPr>
            <w:r>
              <w:rPr>
                <w:rFonts w:ascii="宋体" w:hAnsi="宋体" w:cs="宋体" w:eastAsia="宋体" w:hint="default"/>
                <w:sz w:val="18"/>
                <w:szCs w:val="18"/>
              </w:rPr>
              <w:t>是否连续两次 未亲自参加会 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吴韬</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王景</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w:t>
            </w:r>
          </w:p>
        </w:tc>
      </w:tr>
    </w:tbl>
    <w:p>
      <w:pPr>
        <w:spacing w:line="357" w:lineRule="auto" w:before="50"/>
        <w:ind w:left="112" w:right="703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3"/>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7"/>
        <w:ind w:left="112" w:right="5954"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57" w:lineRule="auto" w:before="117"/>
        <w:ind w:left="112" w:right="5774"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spacing w:line="249" w:lineRule="auto" w:before="0"/>
        <w:ind w:left="112" w:right="0" w:firstLine="0"/>
        <w:jc w:val="left"/>
        <w:rPr>
          <w:rFonts w:ascii="宋体" w:hAnsi="宋体" w:cs="宋体" w:eastAsia="宋体" w:hint="default"/>
          <w:sz w:val="23"/>
          <w:szCs w:val="23"/>
        </w:rPr>
      </w:pPr>
      <w:r>
        <w:rPr>
          <w:rFonts w:ascii="宋体" w:hAnsi="宋体" w:cs="宋体" w:eastAsia="宋体" w:hint="default"/>
          <w:spacing w:val="-1"/>
          <w:sz w:val="23"/>
          <w:szCs w:val="23"/>
        </w:rPr>
        <w:t>公司独立董事认真勤勉地履行职责，深入现场调查、了解公司的生产经营情况，检查公司内部控</w:t>
      </w:r>
      <w:r>
        <w:rPr>
          <w:rFonts w:ascii="宋体" w:hAnsi="宋体" w:cs="宋体" w:eastAsia="宋体" w:hint="default"/>
          <w:spacing w:val="-110"/>
          <w:sz w:val="23"/>
          <w:szCs w:val="23"/>
        </w:rPr>
        <w:t> </w:t>
      </w:r>
      <w:r>
        <w:rPr>
          <w:rFonts w:ascii="宋体" w:hAnsi="宋体" w:cs="宋体" w:eastAsia="宋体" w:hint="default"/>
          <w:spacing w:val="-110"/>
          <w:sz w:val="23"/>
          <w:szCs w:val="23"/>
        </w:rPr>
      </w:r>
      <w:r>
        <w:rPr>
          <w:rFonts w:ascii="宋体" w:hAnsi="宋体" w:cs="宋体" w:eastAsia="宋体" w:hint="default"/>
          <w:spacing w:val="-1"/>
          <w:sz w:val="23"/>
          <w:szCs w:val="23"/>
        </w:rPr>
        <w:t>制制度的建设及执行情况，积极参加董事会会议，认真审议各项议案，对公司的相关事项发表独</w:t>
      </w:r>
      <w:r>
        <w:rPr>
          <w:rFonts w:ascii="宋体" w:hAnsi="宋体" w:cs="宋体" w:eastAsia="宋体" w:hint="default"/>
          <w:spacing w:val="-109"/>
          <w:sz w:val="23"/>
          <w:szCs w:val="23"/>
        </w:rPr>
        <w:t> </w:t>
      </w:r>
      <w:r>
        <w:rPr>
          <w:rFonts w:ascii="宋体" w:hAnsi="宋体" w:cs="宋体" w:eastAsia="宋体" w:hint="default"/>
          <w:spacing w:val="-109"/>
          <w:sz w:val="23"/>
          <w:szCs w:val="23"/>
        </w:rPr>
      </w:r>
      <w:r>
        <w:rPr>
          <w:rFonts w:ascii="宋体" w:hAnsi="宋体" w:cs="宋体" w:eastAsia="宋体" w:hint="default"/>
          <w:sz w:val="23"/>
          <w:szCs w:val="23"/>
        </w:rPr>
        <w:t>立意见，并依自己的专业知识和能力为董事会及董事会下设的各专门委员会的决策事项做出独</w:t>
      </w:r>
      <w:r>
        <w:rPr>
          <w:rFonts w:ascii="宋体" w:hAnsi="宋体" w:cs="宋体" w:eastAsia="宋体" w:hint="default"/>
          <w:sz w:val="23"/>
          <w:szCs w:val="23"/>
        </w:rPr>
        <w:t> 立、客观、公正的判断，在工作中保持充分的独立性，切实维护了公司和中小股东的利益。</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、战略委员会</w:t>
      </w:r>
    </w:p>
    <w:p>
      <w:pPr>
        <w:spacing w:line="273" w:lineRule="auto" w:before="21"/>
        <w:ind w:left="112" w:right="110" w:firstLine="420"/>
        <w:jc w:val="both"/>
        <w:rPr>
          <w:rFonts w:ascii="宋体" w:hAnsi="宋体" w:cs="宋体" w:eastAsia="宋体" w:hint="default"/>
          <w:sz w:val="21"/>
          <w:szCs w:val="21"/>
        </w:rPr>
      </w:pPr>
      <w:r>
        <w:rPr>
          <w:rFonts w:ascii="宋体" w:hAnsi="宋体" w:cs="宋体" w:eastAsia="宋体" w:hint="default"/>
          <w:w w:val="95"/>
          <w:sz w:val="21"/>
          <w:szCs w:val="21"/>
        </w:rPr>
        <w:t>战略委员会在董事会的领导下，依照《董事会专门委员会议事规则》的规定，对公司长期发展战略和</w:t>
      </w:r>
      <w:r>
        <w:rPr>
          <w:rFonts w:ascii="宋体" w:hAnsi="宋体" w:cs="宋体" w:eastAsia="宋体" w:hint="default"/>
          <w:spacing w:val="-95"/>
          <w:w w:val="95"/>
          <w:sz w:val="21"/>
          <w:szCs w:val="21"/>
        </w:rPr>
        <w:t> </w:t>
      </w:r>
      <w:r>
        <w:rPr>
          <w:rFonts w:ascii="宋体" w:hAnsi="宋体" w:cs="宋体" w:eastAsia="宋体" w:hint="default"/>
          <w:spacing w:val="-95"/>
          <w:w w:val="95"/>
          <w:sz w:val="21"/>
          <w:szCs w:val="21"/>
        </w:rPr>
      </w:r>
      <w:r>
        <w:rPr>
          <w:rFonts w:ascii="宋体" w:hAnsi="宋体" w:cs="宋体" w:eastAsia="宋体" w:hint="default"/>
          <w:w w:val="95"/>
          <w:sz w:val="21"/>
          <w:szCs w:val="21"/>
        </w:rPr>
        <w:t>重大投资进行研究并提出建议，就发展战略、产品战略、技术与创新战略、投资战略等问题为董事会决策</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w w:val="95"/>
          <w:sz w:val="21"/>
          <w:szCs w:val="21"/>
        </w:rPr>
        <w:t>提供了有力的参考意见。报告期内，战略委员会共召开两次会议，主要内容是：讨论了新常态下公司发展</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战略调整的方案，讨论了公司新产品市场布局的议案，为公司下一步发展做出指示和要求。</w:t>
      </w:r>
    </w:p>
    <w:p>
      <w:pPr>
        <w:spacing w:after="0" w:line="273" w:lineRule="auto"/>
        <w:jc w:val="both"/>
        <w:rPr>
          <w:rFonts w:ascii="宋体" w:hAnsi="宋体" w:cs="宋体" w:eastAsia="宋体" w:hint="default"/>
          <w:sz w:val="21"/>
          <w:szCs w:val="21"/>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、审计委员会</w:t>
      </w:r>
    </w:p>
    <w:p>
      <w:pPr>
        <w:spacing w:line="266" w:lineRule="auto" w:before="21"/>
        <w:ind w:left="112" w:right="210" w:firstLine="420"/>
        <w:jc w:val="left"/>
        <w:rPr>
          <w:rFonts w:ascii="宋体" w:hAnsi="宋体" w:cs="宋体" w:eastAsia="宋体" w:hint="default"/>
          <w:sz w:val="21"/>
          <w:szCs w:val="21"/>
        </w:rPr>
      </w:pPr>
      <w:r>
        <w:rPr>
          <w:rFonts w:ascii="宋体" w:hAnsi="宋体" w:cs="宋体" w:eastAsia="宋体" w:hint="default"/>
          <w:w w:val="95"/>
          <w:sz w:val="21"/>
          <w:szCs w:val="21"/>
        </w:rPr>
        <w:t>公司董事会设审计委员会，主要由会计专业独立董事组成并担任召集人，审计委员会督促并检查公司</w:t>
      </w:r>
      <w:r>
        <w:rPr>
          <w:rFonts w:ascii="宋体" w:hAnsi="宋体" w:cs="宋体" w:eastAsia="宋体" w:hint="default"/>
          <w:w w:val="99"/>
          <w:sz w:val="21"/>
          <w:szCs w:val="21"/>
        </w:rPr>
        <w:t> </w:t>
      </w:r>
      <w:r>
        <w:rPr>
          <w:rFonts w:ascii="宋体" w:hAnsi="宋体" w:cs="宋体" w:eastAsia="宋体" w:hint="default"/>
          <w:w w:val="95"/>
          <w:sz w:val="21"/>
          <w:szCs w:val="21"/>
        </w:rPr>
        <w:t>的日常审计工作，审查公司内控制度的制定及执行情况，审核公司的重要会计政策，了解公司的生产经营</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情况。报告期内，审计委员会共召开四次会议，主要内容是：听取和讨论公司审计部关于2014年工作总结</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和</w:t>
      </w:r>
      <w:r>
        <w:rPr>
          <w:rFonts w:ascii="Times New Roman" w:hAnsi="Times New Roman" w:cs="Times New Roman" w:eastAsia="Times New Roman" w:hint="default"/>
          <w:w w:val="95"/>
          <w:sz w:val="21"/>
          <w:szCs w:val="21"/>
        </w:rPr>
        <w:t>2015</w:t>
      </w:r>
      <w:r>
        <w:rPr>
          <w:rFonts w:ascii="宋体" w:hAnsi="宋体" w:cs="宋体" w:eastAsia="宋体" w:hint="default"/>
          <w:w w:val="95"/>
          <w:sz w:val="21"/>
          <w:szCs w:val="21"/>
        </w:rPr>
        <w:t>年工作计划的报告及审计部各季度提交的工作汇报；审议关联方资金占用及公司内部管理、财务状</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况、相关重大事项等内部审计情况的报告；落实</w:t>
      </w:r>
      <w:r>
        <w:rPr>
          <w:rFonts w:ascii="Times New Roman" w:hAnsi="Times New Roman" w:cs="Times New Roman" w:eastAsia="Times New Roman" w:hint="default"/>
          <w:w w:val="95"/>
          <w:sz w:val="21"/>
          <w:szCs w:val="21"/>
        </w:rPr>
        <w:t>2015</w:t>
      </w:r>
      <w:r>
        <w:rPr>
          <w:rFonts w:ascii="宋体" w:hAnsi="宋体" w:cs="宋体" w:eastAsia="宋体" w:hint="default"/>
          <w:w w:val="95"/>
          <w:sz w:val="21"/>
          <w:szCs w:val="21"/>
        </w:rPr>
        <w:t>年年报审计相关工作，审阅公司财务报表并形成书面</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意见；总结和评价外聘审计机构的年报审计工作，对外部审计机构的聘任给予合理的建议。</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、提名委员会</w:t>
      </w:r>
    </w:p>
    <w:p>
      <w:pPr>
        <w:spacing w:line="273" w:lineRule="auto" w:before="0"/>
        <w:ind w:left="112" w:right="210" w:firstLine="384"/>
        <w:jc w:val="left"/>
        <w:rPr>
          <w:rFonts w:ascii="宋体" w:hAnsi="宋体" w:cs="宋体" w:eastAsia="宋体" w:hint="default"/>
          <w:sz w:val="21"/>
          <w:szCs w:val="21"/>
        </w:rPr>
      </w:pPr>
      <w:r>
        <w:rPr>
          <w:rFonts w:ascii="宋体" w:hAnsi="宋体" w:cs="宋体" w:eastAsia="宋体" w:hint="default"/>
          <w:sz w:val="21"/>
          <w:szCs w:val="21"/>
        </w:rPr>
        <w:t>公司董事会提名委员会根据有关规定积极开展工作，认真履行职责。报告期内，提名委员会召开了一</w:t>
      </w:r>
      <w:r>
        <w:rPr>
          <w:rFonts w:ascii="宋体" w:hAnsi="宋体" w:cs="宋体" w:eastAsia="宋体" w:hint="default"/>
          <w:w w:val="99"/>
          <w:sz w:val="21"/>
          <w:szCs w:val="21"/>
        </w:rPr>
        <w:t> </w:t>
      </w:r>
      <w:r>
        <w:rPr>
          <w:rFonts w:ascii="宋体" w:hAnsi="宋体" w:cs="宋体" w:eastAsia="宋体" w:hint="default"/>
          <w:sz w:val="21"/>
          <w:szCs w:val="21"/>
        </w:rPr>
        <w:t>次会议，讨论了公司财务总监人选事宜。</w:t>
      </w:r>
    </w:p>
    <w:p>
      <w:pPr>
        <w:spacing w:line="256" w:lineRule="auto" w:before="7"/>
        <w:ind w:left="412" w:right="206" w:hanging="30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、薪酬与考核委员会</w:t>
      </w:r>
      <w:r>
        <w:rPr>
          <w:rFonts w:ascii="宋体" w:hAnsi="宋体" w:cs="宋体" w:eastAsia="宋体" w:hint="default"/>
          <w:w w:val="99"/>
          <w:sz w:val="21"/>
          <w:szCs w:val="21"/>
        </w:rPr>
        <w:t> </w:t>
      </w:r>
      <w:r>
        <w:rPr>
          <w:rFonts w:ascii="宋体" w:hAnsi="宋体" w:cs="宋体" w:eastAsia="宋体" w:hint="default"/>
          <w:spacing w:val="2"/>
          <w:sz w:val="21"/>
          <w:szCs w:val="21"/>
        </w:rPr>
        <w:t>公司薪酬与考核委员会根据有关规定积极开展工作，认真履行职责。报告期内，薪酬与考核委员会召</w:t>
      </w:r>
    </w:p>
    <w:p>
      <w:pPr>
        <w:spacing w:line="273" w:lineRule="auto" w:before="22"/>
        <w:ind w:left="112" w:right="105" w:firstLine="0"/>
        <w:jc w:val="left"/>
        <w:rPr>
          <w:rFonts w:ascii="宋体" w:hAnsi="宋体" w:cs="宋体" w:eastAsia="宋体" w:hint="default"/>
          <w:sz w:val="21"/>
          <w:szCs w:val="21"/>
        </w:rPr>
      </w:pPr>
      <w:r>
        <w:rPr>
          <w:rFonts w:ascii="宋体" w:hAnsi="宋体" w:cs="宋体" w:eastAsia="宋体" w:hint="default"/>
          <w:w w:val="95"/>
          <w:sz w:val="21"/>
          <w:szCs w:val="21"/>
        </w:rPr>
        <w:t>开了一次会议，主要内容是：对公司董事、监事和高级管理人员的薪酬情况进行了审核，认为公司现任董</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监高人员的薪酬相对合理，基本符合公司发展现状。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2"/>
        <w:spacing w:line="240" w:lineRule="auto"/>
        <w:ind w:right="105"/>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57" w:lineRule="auto" w:before="117"/>
        <w:ind w:left="112" w:right="6774"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7"/>
        <w:rPr>
          <w:rFonts w:ascii="宋体" w:hAnsi="宋体" w:cs="宋体" w:eastAsia="宋体" w:hint="default"/>
          <w:sz w:val="18"/>
          <w:szCs w:val="18"/>
        </w:rPr>
      </w:pPr>
    </w:p>
    <w:p>
      <w:pPr>
        <w:pStyle w:val="Heading2"/>
        <w:spacing w:line="240" w:lineRule="auto"/>
        <w:ind w:right="105"/>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4"/>
          <w:szCs w:val="24"/>
        </w:rPr>
      </w:pPr>
    </w:p>
    <w:p>
      <w:pPr>
        <w:spacing w:line="273" w:lineRule="auto" w:before="0"/>
        <w:ind w:left="112" w:right="105" w:firstLine="420"/>
        <w:jc w:val="left"/>
        <w:rPr>
          <w:rFonts w:ascii="宋体" w:hAnsi="宋体" w:cs="宋体" w:eastAsia="宋体" w:hint="default"/>
          <w:sz w:val="21"/>
          <w:szCs w:val="21"/>
        </w:rPr>
      </w:pPr>
      <w:r>
        <w:rPr>
          <w:rFonts w:ascii="宋体" w:hAnsi="宋体" w:cs="宋体" w:eastAsia="宋体" w:hint="default"/>
          <w:sz w:val="21"/>
          <w:szCs w:val="21"/>
        </w:rPr>
        <w:t>公司建立了完善的绩效考评制度，公司董事会薪酬与考核委员严格按照《董事、监事、高级管理人员</w:t>
      </w:r>
      <w:r>
        <w:rPr>
          <w:rFonts w:ascii="宋体" w:hAnsi="宋体" w:cs="宋体" w:eastAsia="宋体" w:hint="default"/>
          <w:w w:val="99"/>
          <w:sz w:val="21"/>
          <w:szCs w:val="21"/>
        </w:rPr>
        <w:t> </w:t>
      </w:r>
      <w:r>
        <w:rPr>
          <w:rFonts w:ascii="宋体" w:hAnsi="宋体" w:cs="宋体" w:eastAsia="宋体" w:hint="default"/>
          <w:spacing w:val="-3"/>
          <w:w w:val="99"/>
          <w:sz w:val="21"/>
          <w:szCs w:val="21"/>
        </w:rPr>
        <w:t>的薪酬管理制度》，根据年度财务预算、生产经营指标及责任目标的完成情况，对高级管理人员进行考核，</w:t>
      </w:r>
      <w:r>
        <w:rPr>
          <w:rFonts w:ascii="宋体" w:hAnsi="宋体" w:cs="宋体" w:eastAsia="宋体" w:hint="default"/>
          <w:spacing w:val="-65"/>
          <w:w w:val="99"/>
          <w:sz w:val="21"/>
          <w:szCs w:val="21"/>
        </w:rPr>
        <w:t> </w:t>
      </w:r>
      <w:r>
        <w:rPr>
          <w:rFonts w:ascii="宋体" w:hAnsi="宋体" w:cs="宋体" w:eastAsia="宋体" w:hint="default"/>
          <w:spacing w:val="-65"/>
          <w:w w:val="99"/>
          <w:sz w:val="21"/>
          <w:szCs w:val="21"/>
        </w:rPr>
      </w:r>
      <w:r>
        <w:rPr>
          <w:rFonts w:ascii="宋体" w:hAnsi="宋体" w:cs="宋体" w:eastAsia="宋体" w:hint="default"/>
          <w:spacing w:val="-5"/>
          <w:w w:val="99"/>
          <w:sz w:val="21"/>
          <w:szCs w:val="21"/>
        </w:rPr>
        <w:t>并监督薪酬制度执行情况。报告期内，公司高级管理人员能够严格按照《公司法》、《公司章程》及国家有</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关法律法规认真履行职责，积极落实公司股东大会和董事会会议相关决议，在董事会的正确指导下积极调</w:t>
      </w:r>
      <w:r>
        <w:rPr>
          <w:rFonts w:ascii="宋体" w:hAnsi="宋体" w:cs="宋体" w:eastAsia="宋体" w:hint="default"/>
          <w:w w:val="99"/>
          <w:sz w:val="21"/>
          <w:szCs w:val="21"/>
        </w:rPr>
        <w:t> </w:t>
      </w:r>
      <w:r>
        <w:rPr>
          <w:rFonts w:ascii="宋体" w:hAnsi="宋体" w:cs="宋体" w:eastAsia="宋体" w:hint="default"/>
          <w:sz w:val="21"/>
          <w:szCs w:val="21"/>
        </w:rPr>
        <w:t>整经营思路、优化产品结构，较好地完成了本年度的各项工作任务。</w:t>
      </w:r>
    </w:p>
    <w:p>
      <w:pPr>
        <w:spacing w:line="240" w:lineRule="auto" w:before="10"/>
        <w:rPr>
          <w:rFonts w:ascii="宋体" w:hAnsi="宋体" w:cs="宋体" w:eastAsia="宋体" w:hint="default"/>
          <w:sz w:val="21"/>
          <w:szCs w:val="21"/>
        </w:rPr>
      </w:pPr>
    </w:p>
    <w:p>
      <w:pPr>
        <w:pStyle w:val="Heading2"/>
        <w:spacing w:line="240" w:lineRule="auto"/>
        <w:ind w:right="105"/>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spacing w:before="0"/>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spacing w:before="118"/>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6374"/>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r>
              <w:rPr>
                <w:rFonts w:ascii="宋体" w:hAnsi="宋体" w:cs="宋体" w:eastAsia="宋体" w:hint="default"/>
                <w:spacing w:val="-89"/>
                <w:sz w:val="18"/>
                <w:szCs w:val="18"/>
              </w:rPr>
              <w:t>》</w:t>
            </w:r>
            <w:r>
              <w:rPr>
                <w:rFonts w:ascii="宋体" w:hAnsi="宋体" w:cs="宋体" w:eastAsia="宋体" w:hint="default"/>
                <w:sz w:val="18"/>
                <w:szCs w:val="18"/>
              </w:rPr>
              <w:t>详见巨潮咨询</w:t>
            </w:r>
            <w:r>
              <w:rPr>
                <w:rFonts w:ascii="宋体" w:hAnsi="宋体" w:cs="宋体" w:eastAsia="宋体" w:hint="default"/>
                <w:spacing w:val="-92"/>
                <w:sz w:val="18"/>
                <w:szCs w:val="18"/>
              </w:rPr>
              <w:t>网</w:t>
            </w:r>
            <w:r>
              <w:rPr>
                <w:rFonts w:ascii="宋体" w:hAnsi="宋体" w:cs="宋体" w:eastAsia="宋体" w:hint="default"/>
                <w:sz w:val="18"/>
                <w:szCs w:val="18"/>
              </w:rPr>
              <w:t>（</w:t>
            </w:r>
            <w:hyperlink r:id="rId22">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w w:val="99"/>
                  <w:sz w:val="18"/>
                  <w:szCs w:val="18"/>
                </w:rPr>
                <w:t>tt</w:t>
              </w:r>
              <w:r>
                <w:rPr>
                  <w:rFonts w:ascii="Times New Roman" w:hAnsi="Times New Roman" w:cs="Times New Roman" w:eastAsia="Times New Roman" w:hint="default"/>
                  <w:spacing w:val="-2"/>
                  <w:sz w:val="18"/>
                  <w:szCs w:val="18"/>
                </w:rPr>
                <w:t>p</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8"/>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1"/>
                  <w:w w:val="99"/>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92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7"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
        </w:tc>
        <w:tc>
          <w:tcPr>
            <w:tcW w:w="3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3"/>
                <w:sz w:val="18"/>
                <w:szCs w:val="18"/>
              </w:rPr>
              <w:t>①重大缺陷：严重违反国家法律、法</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①重大缺陷：公司董事、监事及高级管</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规或规范性文件的规定；决策程序不</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理人员舞弊，并给公司造成重大损失和</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科学导致重大决策失误；涉及公司生</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不利影响；对已公布的财务报告进行重</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产经营的重要业务制度缺失或系统</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大差错更正；注册会计师发现当期财务</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性失效；重大或重要缺陷不能得到及</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报告存在重大错报，而公司内部控制制</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时有效整改；安全、环保、质量事故</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度在运行过程中未能发现该错报；公司</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对公司造成重大负面影响的情形；其</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内部控制监督无效。②重要缺陷：单独</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他对公司产生重大负面影响的情形。</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缺陷或连同其他缺陷组合，其严重程度</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②重要缺陷：单独缺陷或连同其他缺</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低于重大缺陷，但仍有可能导致公司偏</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陷组合，其严重程度低于重大缺陷，</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离控制目标。③一般缺陷：不构成重大</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但仍有可能导致公司偏离控制目标。</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缺陷或重要缺陷的其他内部控制缺陷。</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③一般缺陷：不构成重大缺陷或重要</w:t>
            </w:r>
          </w:p>
        </w:tc>
      </w:tr>
      <w:tr>
        <w:trPr>
          <w:trHeight w:val="357"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
        </w:tc>
        <w:tc>
          <w:tcPr>
            <w:tcW w:w="30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缺陷的其他内部控制缺陷。</w:t>
            </w:r>
          </w:p>
        </w:tc>
      </w:tr>
      <w:tr>
        <w:trPr>
          <w:trHeight w:val="358"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①重大缺陷：缺陷影响大于或等于合并</w:t>
            </w:r>
          </w:p>
        </w:tc>
        <w:tc>
          <w:tcPr>
            <w:tcW w:w="3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①重大缺陷：缺陷影响大于或等于合</w:t>
            </w:r>
          </w:p>
        </w:tc>
      </w:tr>
      <w:tr>
        <w:trPr>
          <w:trHeight w:val="316"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财务报表税前净利润的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。②重要缺</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并财务报表税前净利润的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。②重</w:t>
            </w:r>
          </w:p>
        </w:tc>
      </w:tr>
      <w:tr>
        <w:trPr>
          <w:trHeight w:val="624"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2" w:right="120"/>
              <w:jc w:val="left"/>
              <w:rPr>
                <w:rFonts w:ascii="宋体" w:hAnsi="宋体" w:cs="宋体" w:eastAsia="宋体" w:hint="default"/>
                <w:sz w:val="18"/>
                <w:szCs w:val="18"/>
              </w:rPr>
            </w:pPr>
            <w:r>
              <w:rPr>
                <w:rFonts w:ascii="宋体" w:hAnsi="宋体" w:cs="宋体" w:eastAsia="宋体" w:hint="default"/>
                <w:sz w:val="18"/>
                <w:szCs w:val="18"/>
              </w:rPr>
              <w:t>陷：缺陷影响大于或等于合并财务报表 税前净利润的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并小于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。③一般缺</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27"/>
              <w:jc w:val="left"/>
              <w:rPr>
                <w:rFonts w:ascii="宋体" w:hAnsi="宋体" w:cs="宋体" w:eastAsia="宋体" w:hint="default"/>
                <w:sz w:val="18"/>
                <w:szCs w:val="18"/>
              </w:rPr>
            </w:pPr>
            <w:r>
              <w:rPr>
                <w:rFonts w:ascii="宋体" w:hAnsi="宋体" w:cs="宋体" w:eastAsia="宋体" w:hint="default"/>
                <w:spacing w:val="-3"/>
                <w:sz w:val="18"/>
                <w:szCs w:val="18"/>
              </w:rPr>
              <w:t>要缺陷：缺陷影响大于或等于合并财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务报表税前净利润的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并小于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308"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陷：缺陷影响小于合并财务报表税前净</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3"/>
                <w:sz w:val="18"/>
                <w:szCs w:val="18"/>
              </w:rPr>
              <w:t>③一般缺陷：缺陷影响小于合并财务</w:t>
            </w:r>
          </w:p>
        </w:tc>
      </w:tr>
      <w:tr>
        <w:trPr>
          <w:trHeight w:val="356"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30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报表税前净利润的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7" w:footer="1016" w:top="1100" w:bottom="1200" w:left="10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713" w:right="3830"/>
        <w:jc w:val="center"/>
        <w:rPr>
          <w:b w:val="0"/>
          <w:bCs w:val="0"/>
        </w:rPr>
      </w:pPr>
      <w:bookmarkStart w:name="_bookmark9" w:id="10"/>
      <w:bookmarkEnd w:id="10"/>
      <w:r>
        <w:rPr>
          <w:b w:val="0"/>
          <w:bCs w:val="0"/>
        </w:rPr>
      </w:r>
      <w:r>
        <w:rPr/>
        <w:t>第十节</w:t>
      </w:r>
      <w:r>
        <w:rPr>
          <w:spacing w:val="-7"/>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8"/>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[2016]48430023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郑龙兴、李梅</w:t>
            </w:r>
          </w:p>
        </w:tc>
      </w:tr>
    </w:tbl>
    <w:p>
      <w:pPr>
        <w:spacing w:before="50"/>
        <w:ind w:left="3709" w:right="3830"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5"/>
        <w:ind w:left="3713" w:right="3828"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3"/>
        <w:rPr>
          <w:rFonts w:ascii="宋体" w:hAnsi="宋体" w:cs="宋体" w:eastAsia="宋体" w:hint="default"/>
          <w:b/>
          <w:bCs/>
          <w:sz w:val="29"/>
          <w:szCs w:val="29"/>
        </w:rPr>
      </w:pPr>
    </w:p>
    <w:p>
      <w:pPr>
        <w:pStyle w:val="BodyText"/>
        <w:spacing w:line="240" w:lineRule="auto" w:before="26"/>
        <w:ind w:left="0" w:right="256"/>
        <w:jc w:val="right"/>
      </w:pPr>
      <w:r>
        <w:rPr/>
        <w:t>瑞华审字[2016]48430023号</w:t>
      </w:r>
    </w:p>
    <w:p>
      <w:pPr>
        <w:spacing w:line="240" w:lineRule="auto" w:before="9"/>
        <w:rPr>
          <w:rFonts w:ascii="宋体" w:hAnsi="宋体" w:cs="宋体" w:eastAsia="宋体" w:hint="default"/>
          <w:sz w:val="21"/>
          <w:szCs w:val="21"/>
        </w:rPr>
      </w:pPr>
    </w:p>
    <w:p>
      <w:pPr>
        <w:pStyle w:val="Heading2"/>
        <w:spacing w:line="240" w:lineRule="auto" w:before="26"/>
        <w:ind w:right="98"/>
        <w:jc w:val="left"/>
        <w:rPr>
          <w:b w:val="0"/>
          <w:bCs w:val="0"/>
        </w:rPr>
      </w:pPr>
      <w:r>
        <w:rPr/>
        <w:t>马鞍山鼎泰稀土新材料股份有限公司全体股东：</w:t>
      </w:r>
      <w:r>
        <w:rPr>
          <w:b w:val="0"/>
          <w:bCs w:val="0"/>
        </w:rPr>
      </w:r>
    </w:p>
    <w:p>
      <w:pPr>
        <w:spacing w:line="240" w:lineRule="auto" w:before="0"/>
        <w:rPr>
          <w:rFonts w:ascii="宋体" w:hAnsi="宋体" w:cs="宋体" w:eastAsia="宋体" w:hint="default"/>
          <w:b/>
          <w:bCs/>
          <w:sz w:val="26"/>
          <w:szCs w:val="26"/>
        </w:rPr>
      </w:pPr>
    </w:p>
    <w:p>
      <w:pPr>
        <w:pStyle w:val="BodyText"/>
        <w:spacing w:line="312" w:lineRule="exact"/>
        <w:ind w:right="230" w:firstLine="480"/>
        <w:jc w:val="both"/>
      </w:pPr>
      <w:r>
        <w:rPr>
          <w:spacing w:val="-6"/>
        </w:rPr>
        <w:t>我们审计了后附的马鞍山鼎泰稀土新材料股份有限公司（以下简称“鼎泰新材公司”）的</w:t>
      </w:r>
      <w:r>
        <w:rPr/>
        <w:t> 财务报表，包括2015年12月31日合并及公司的资产负债表，2015年度合并及公司的利润表、</w:t>
      </w:r>
      <w:r>
        <w:rPr>
          <w:spacing w:val="-89"/>
        </w:rPr>
        <w:t> </w:t>
      </w:r>
      <w:r>
        <w:rPr>
          <w:spacing w:val="-89"/>
        </w:rPr>
      </w:r>
      <w:r>
        <w:rPr/>
        <w:t>合并及公司的现金流量表和合并及公司的股东权益变动表以及财务报表附注。</w:t>
      </w:r>
    </w:p>
    <w:p>
      <w:pPr>
        <w:spacing w:line="240" w:lineRule="auto" w:before="11"/>
        <w:rPr>
          <w:rFonts w:ascii="宋体" w:hAnsi="宋体" w:cs="宋体" w:eastAsia="宋体" w:hint="default"/>
          <w:sz w:val="23"/>
          <w:szCs w:val="23"/>
        </w:rPr>
      </w:pPr>
    </w:p>
    <w:p>
      <w:pPr>
        <w:spacing w:line="312" w:lineRule="exact" w:before="0"/>
        <w:ind w:left="592" w:right="98"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编制和公允列报财务报表是鼎泰新材公司管理层的责任。这种责任包括：（1）按照企业</w:t>
      </w:r>
    </w:p>
    <w:p>
      <w:pPr>
        <w:pStyle w:val="BodyText"/>
        <w:spacing w:line="312" w:lineRule="exact"/>
        <w:ind w:right="98"/>
        <w:jc w:val="left"/>
      </w:pPr>
      <w:r>
        <w:rPr>
          <w:spacing w:val="-3"/>
        </w:rPr>
        <w:t>会计准则的规定编制财务报表，并使其实现公允反映；（2）设计、执行和维护必要的内部控</w:t>
      </w:r>
      <w:r>
        <w:rPr>
          <w:spacing w:val="-86"/>
        </w:rPr>
        <w:t> </w:t>
      </w:r>
      <w:r>
        <w:rPr>
          <w:spacing w:val="-86"/>
        </w:rPr>
      </w:r>
      <w:r>
        <w:rPr/>
        <w:t>制，以使财务报表不存在由于舞弊或错误导致的重大错报。</w:t>
      </w:r>
    </w:p>
    <w:p>
      <w:pPr>
        <w:spacing w:line="240" w:lineRule="auto" w:before="11"/>
        <w:rPr>
          <w:rFonts w:ascii="宋体" w:hAnsi="宋体" w:cs="宋体" w:eastAsia="宋体" w:hint="default"/>
          <w:sz w:val="23"/>
          <w:szCs w:val="23"/>
        </w:rPr>
      </w:pPr>
    </w:p>
    <w:p>
      <w:pPr>
        <w:spacing w:line="312" w:lineRule="exact" w:before="0"/>
        <w:ind w:left="592" w:right="98"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12" w:lineRule="exact"/>
        <w:ind w:right="98"/>
        <w:jc w:val="left"/>
      </w:pPr>
      <w:r>
        <w:rPr/>
        <w:t>计师审计准则的规定执行了审计工作。中国注册会计师审计准则要求我们遵守中国注册会计</w:t>
      </w:r>
      <w:r>
        <w:rPr>
          <w:spacing w:val="-89"/>
        </w:rPr>
        <w:t> </w:t>
      </w:r>
      <w:r>
        <w:rPr>
          <w:spacing w:val="-89"/>
        </w:rPr>
      </w:r>
      <w:r>
        <w:rPr/>
        <w:t>师职业道德守则，计划和执行审计工作以对财务报表是否不存在重大错报获取合理保证。</w:t>
      </w:r>
    </w:p>
    <w:p>
      <w:pPr>
        <w:pStyle w:val="BodyText"/>
        <w:spacing w:line="312" w:lineRule="exact"/>
        <w:ind w:right="96"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89"/>
        </w:rPr>
        <w:t> </w:t>
      </w:r>
      <w:r>
        <w:rPr>
          <w:spacing w:val="-89"/>
        </w:rPr>
      </w:r>
      <w:r>
        <w:rPr/>
        <w:t>当的审计程序，但目的并非对内部控制的有效性发表意见。审计工作还包括评价管理层选用</w:t>
      </w:r>
      <w:r>
        <w:rPr>
          <w:spacing w:val="-89"/>
        </w:rPr>
        <w:t> </w:t>
      </w:r>
      <w:r>
        <w:rPr>
          <w:spacing w:val="-89"/>
        </w:rPr>
      </w:r>
      <w:r>
        <w:rPr/>
        <w:t>会计政策的恰当性和作出会计估计的合理性，以及评价财务报表的总体列报。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1"/>
          <w:szCs w:val="21"/>
        </w:rPr>
      </w:pPr>
    </w:p>
    <w:p>
      <w:pPr>
        <w:pStyle w:val="BodyText"/>
        <w:spacing w:line="240" w:lineRule="auto"/>
        <w:ind w:left="592" w:right="98"/>
        <w:jc w:val="left"/>
      </w:pPr>
      <w:r>
        <w:rPr/>
        <w:t>我们相信，我们获取的审计证据是充分、适当的，为发表审计意见提供了基础。</w:t>
      </w:r>
    </w:p>
    <w:p>
      <w:pPr>
        <w:spacing w:after="0" w:line="240" w:lineRule="auto"/>
        <w:jc w:val="left"/>
        <w:sectPr>
          <w:pgSz w:w="11910" w:h="16840"/>
          <w:pgMar w:header="907" w:footer="1016" w:top="1100" w:bottom="1200" w:left="1020" w:right="900"/>
        </w:sectPr>
      </w:pPr>
    </w:p>
    <w:p>
      <w:pPr>
        <w:spacing w:line="240" w:lineRule="auto" w:before="9"/>
        <w:rPr>
          <w:rFonts w:ascii="宋体" w:hAnsi="宋体" w:cs="宋体" w:eastAsia="宋体" w:hint="default"/>
          <w:sz w:val="20"/>
          <w:szCs w:val="20"/>
        </w:rPr>
      </w:pPr>
    </w:p>
    <w:p>
      <w:pPr>
        <w:pStyle w:val="BodyText"/>
        <w:spacing w:line="312" w:lineRule="exact" w:before="56"/>
        <w:ind w:left="592" w:right="0"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我们认为，上述财务报表在所有重大方面按照企业会计准则的规定编制，公允反映了鼎</w:t>
      </w:r>
    </w:p>
    <w:p>
      <w:pPr>
        <w:pStyle w:val="BodyText"/>
        <w:spacing w:line="312" w:lineRule="exact"/>
        <w:ind w:right="0"/>
        <w:jc w:val="left"/>
      </w:pPr>
      <w:r>
        <w:rPr/>
        <w:t>泰新材公司2015年12月31日合并及公司的财务状况以及2015年度合并及公司的经营成果和现</w:t>
      </w:r>
      <w:r>
        <w:rPr>
          <w:spacing w:val="-89"/>
        </w:rPr>
        <w:t> </w:t>
      </w:r>
      <w:r>
        <w:rPr>
          <w:spacing w:val="-89"/>
        </w:rPr>
      </w:r>
      <w:r>
        <w:rPr/>
        <w:t>金流量。</w:t>
      </w:r>
    </w:p>
    <w:p>
      <w:pPr>
        <w:spacing w:line="240" w:lineRule="auto" w:before="10"/>
        <w:rPr>
          <w:rFonts w:ascii="宋体" w:hAnsi="宋体" w:cs="宋体" w:eastAsia="宋体" w:hint="default"/>
          <w:sz w:val="25"/>
          <w:szCs w:val="25"/>
        </w:rPr>
      </w:pPr>
    </w:p>
    <w:p>
      <w:pPr>
        <w:spacing w:line="2145" w:lineRule="exact"/>
        <w:ind w:left="115"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5276136" cy="136207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4" cstate="print"/>
                    <a:stretch>
                      <a:fillRect/>
                    </a:stretch>
                  </pic:blipFill>
                  <pic:spPr>
                    <a:xfrm>
                      <a:off x="0" y="0"/>
                      <a:ext cx="5276136" cy="1362075"/>
                    </a:xfrm>
                    <a:prstGeom prst="rect">
                      <a:avLst/>
                    </a:prstGeom>
                  </pic:spPr>
                </pic:pic>
              </a:graphicData>
            </a:graphic>
          </wp:inline>
        </w:drawing>
      </w:r>
      <w:r>
        <w:rPr>
          <w:rFonts w:ascii="宋体" w:hAnsi="宋体" w:cs="宋体" w:eastAsia="宋体" w:hint="default"/>
          <w:position w:val="-42"/>
          <w:sz w:val="20"/>
          <w:szCs w:val="20"/>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23"/>
          <w:pgSz w:w="11910" w:h="16840"/>
          <w:pgMar w:footer="1016" w:header="907" w:top="1100" w:bottom="1200" w:left="1020" w:right="1020"/>
          <w:pgNumType w:start="5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编制单位：马鞍山鼎泰稀土新材料股份有限公司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1020" w:right="1020"/>
          <w:cols w:num="3" w:equalWidth="0">
            <w:col w:w="3893" w:space="184"/>
            <w:col w:w="1599" w:space="3242"/>
            <w:col w:w="9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94,010,542.16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109,104,690.53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63,864,782.09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130,281,164.29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209,655,207.97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171,408,840.69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72,484,294.94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88,974,770.85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178,161.87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273,506.39</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3,147,954.77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4,528,025.61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150,772,384.36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155,098,937.15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166,509.01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594,279,837.17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659,669,935.51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10,025,000.00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10,025,000.00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218,017,487.75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231,053,621.84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672,380.70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50,529,609.82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51,723,181.90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2,153,461.90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1,713,562.95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9,733,730.00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9,738,200.00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291,131,670.17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304,253,566.69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885,411,507.34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963,923,502.20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67,000,000.00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97,000,000.00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4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58,288,000.00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11,531,353.14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14,617,826.78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5,715,957.34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3,935,265.11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1,934,141.92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2,453,367.50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22,462,057.27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24,643,744.64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2,781,066.13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3,265,640.01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1,056,763.99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1,472,213.63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170,769,339.79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192,388,057.67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53,640,000.00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53,640,000.00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177,409,339.79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246,028,057.67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116,746,170.00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77,830,780.00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541,080,749.78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579,996,139.78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29,545,033.37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26,982,505.00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20,630,214.40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33,086,019.75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708,002,167.55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717,895,444.53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708,002,167.55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717,895,444.53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885,411,507.34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963,923,502.20</w:t>
            </w:r>
          </w:p>
        </w:tc>
      </w:tr>
    </w:tbl>
    <w:p>
      <w:pPr>
        <w:spacing w:line="240" w:lineRule="auto" w:before="3"/>
        <w:rPr>
          <w:rFonts w:ascii="Times New Roman" w:hAnsi="Times New Roman" w:cs="Times New Roman" w:eastAsia="Times New Roman" w:hint="default"/>
          <w:sz w:val="23"/>
          <w:szCs w:val="23"/>
        </w:rPr>
      </w:pPr>
    </w:p>
    <w:p>
      <w:pPr>
        <w:tabs>
          <w:tab w:pos="3599" w:val="left" w:leader="none"/>
          <w:tab w:pos="7739" w:val="left" w:leader="none"/>
        </w:tabs>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法定代表人：刘冀鲁</w:t>
        <w:tab/>
        <w:t>主管会计工作负责人：张彦</w:t>
        <w:tab/>
        <w:t>会计机构负责人：张彦</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92,171,132.32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105,170,967.92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63,864,782.09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130,281,164.29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161,477,605.37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140,644,654.60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86,217,596.53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74,193,807.90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178,161.87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273,506.39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150,537,020.98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151,400,340.40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123,661,078.50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145,407,853.03</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678,107,377.66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747,372,294.53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105,248,526.45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110,728,698.47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672,380.70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19,868,098.66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20,379,039.70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1,859,788.03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1,532,352.02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9,733,730.00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9,732,200.00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187,432,523.84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192,422,290.19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865,539,901.50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939,794,584.72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58,288,000.00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7,896,982.58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9,906,154.29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1,229,279.97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3,181,447.97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1,316,309.09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1,225,429.36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15,542,452.12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12,057,133.95</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2,781,066.13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3,265,640.01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912,126.16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1,186,526.36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154,966,216.05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172,822,331.94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6,640,000.00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53,640,000.00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53,640,000.00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161,606,216.05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226,462,331.94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116,746,170.00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77,830,780.00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541,080,749.78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579,996,139.78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29,545,033.37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26,982,505.00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16,561,732.30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28,522,828.00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703,933,685.45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713,332,252.78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865,539,901.50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939,794,584.72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80"/>
        </w:sectPr>
      </w:pPr>
    </w:p>
    <w:p>
      <w:pPr>
        <w:spacing w:line="240" w:lineRule="auto" w:before="9"/>
        <w:rPr>
          <w:rFonts w:ascii="Times New Roman" w:hAnsi="Times New Roman" w:cs="Times New Roman" w:eastAsia="Times New Roman" w:hint="default"/>
          <w:sz w:val="24"/>
          <w:szCs w:val="24"/>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668,465,543.43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812,645,896.90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668,465,543.43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812,645,896.90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640,950,523.60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783,259,040.19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572,532,142.72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705,785,116.77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2,068,435.90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1,629,986.91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34,708,963.99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34,602,879.93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26,684,436.74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29,950,505.48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2,023,883.57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11,310,753.42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2,932,660.68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-20,202.32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 w:right="100"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222,000.00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-2,278,759.70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2"/>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27,737,019.83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27,108,097.01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3,225,382.36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1,379,138.40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0"/>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1,685,737.40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572,310.77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00"/>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29,276,664.79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27,914,924.64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4,146,090.77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3,790,509.71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25,130,574.02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24,124,414.93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25,130,574.02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24,124,414.93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0" w:firstLine="352"/>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00" w:firstLine="352"/>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6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25,130,574.02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24,124,414.93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6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25,130,574.02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24,124,414.93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907" w:footer="1016"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0.21</w:t>
            </w:r>
          </w:p>
        </w:tc>
      </w:tr>
    </w:tbl>
    <w:p>
      <w:pPr>
        <w:tabs>
          <w:tab w:pos="3712" w:val="left" w:leader="none"/>
          <w:tab w:pos="7852" w:val="left" w:leader="none"/>
        </w:tabs>
        <w:spacing w:line="624" w:lineRule="auto" w:before="50"/>
        <w:ind w:left="112" w:right="211"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法定代表人：刘冀鲁</w:t>
        <w:tab/>
        <w:t>主管会计工作负责人：张彦</w:t>
        <w:tab/>
        <w:t>会计机构负责人：张彦</w:t>
      </w:r>
    </w:p>
    <w:p>
      <w:pPr>
        <w:spacing w:before="65"/>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492,324,013.91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550,746,722.25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409,701,963.71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461,066,425.63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1,767,606.67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1,588,849.67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30,242,239.29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28,409,412.75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18,265,454.56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21,922,981.70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2,145,613.29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10,167,370.02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2,182,907.74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-1,122,948.68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1,019,575.03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15,120,616.83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29,037,803.68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43,835,247.99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2,306,715.43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1,035,268.73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其中：非流动资产处置利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1,628,472.06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509,515.66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29,716,047.05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44,361,001.06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4,090,763.38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3,638,283.72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25,625,283.67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40,722,717.34</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 划净负债或净资产的变动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101"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101"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51" w:right="0"/>
              <w:jc w:val="left"/>
              <w:rPr>
                <w:rFonts w:ascii="Times New Roman" w:hAnsi="Times New Roman" w:cs="Times New Roman" w:eastAsia="Times New Roman" w:hint="default"/>
                <w:sz w:val="18"/>
                <w:szCs w:val="18"/>
              </w:rPr>
            </w:pPr>
            <w:r>
              <w:rPr>
                <w:rFonts w:ascii="Times New Roman"/>
                <w:sz w:val="18"/>
              </w:rPr>
              <w:t>25,625,283.67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53" w:right="0"/>
              <w:jc w:val="left"/>
              <w:rPr>
                <w:rFonts w:ascii="Times New Roman" w:hAnsi="Times New Roman" w:cs="Times New Roman" w:eastAsia="Times New Roman" w:hint="default"/>
                <w:sz w:val="18"/>
                <w:szCs w:val="18"/>
              </w:rPr>
            </w:pPr>
            <w:r>
              <w:rPr>
                <w:rFonts w:ascii="Times New Roman"/>
                <w:sz w:val="18"/>
              </w:rPr>
              <w:t>40,722,717.34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3" w:right="0"/>
              <w:jc w:val="left"/>
              <w:rPr>
                <w:rFonts w:ascii="Times New Roman" w:hAnsi="Times New Roman" w:cs="Times New Roman" w:eastAsia="Times New Roman" w:hint="default"/>
                <w:sz w:val="18"/>
                <w:szCs w:val="18"/>
              </w:rPr>
            </w:pPr>
            <w:r>
              <w:rPr>
                <w:rFonts w:ascii="Times New Roman"/>
                <w:sz w:val="18"/>
              </w:rPr>
              <w:t>728,363,004.12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2" w:right="0"/>
              <w:jc w:val="left"/>
              <w:rPr>
                <w:rFonts w:ascii="Times New Roman" w:hAnsi="Times New Roman" w:cs="Times New Roman" w:eastAsia="Times New Roman" w:hint="default"/>
                <w:sz w:val="18"/>
                <w:szCs w:val="18"/>
              </w:rPr>
            </w:pPr>
            <w:r>
              <w:rPr>
                <w:rFonts w:ascii="Times New Roman"/>
                <w:sz w:val="18"/>
              </w:rPr>
              <w:t>887,262,745.65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662,539.32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4,311,425.13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5,144,673.58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4,437,596.99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734,170,217.02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896,011,767.77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526,168,140.53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645,624,357.78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40,685,651.05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37,253,905.96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22,523,938.68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22,466,488.91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38,893,322.03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42,122,329.54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628,271,052.29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747,467,082.19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105,899,164.73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148,544,685.58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59,615,375.60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222,000.00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1,165,864.70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46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1016" w:header="907" w:top="1100" w:bottom="1200" w:left="1020" w:right="1080"/>
          <w:pgNumType w:start="6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55,500,000.00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55,722,000.00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60,781,240.30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5,088,212.86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21,877,734.83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63,060,000.00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55,500,000.00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52,588,212.86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140,437,734.83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3,133,787.14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-79,656,494.53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489,000,000.00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14,048,400.34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107,706,241.89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54,048,400.34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596,706,241.89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117,000,000.00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679,060,000.00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40,595,529.16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44,083,274.67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19,545,574.49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14,048,400.34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177,141,103.65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737,191,675.01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-123,092,703.31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-140,485,433.12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1,468,428.92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227,812.76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-12,591,322.52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-71,369,429.31</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39,556,290.19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110,925,719.50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52" w:right="0"/>
              <w:jc w:val="left"/>
              <w:rPr>
                <w:rFonts w:ascii="Times New Roman" w:hAnsi="Times New Roman" w:cs="Times New Roman" w:eastAsia="Times New Roman" w:hint="default"/>
                <w:sz w:val="18"/>
                <w:szCs w:val="18"/>
              </w:rPr>
            </w:pPr>
            <w:r>
              <w:rPr>
                <w:rFonts w:ascii="Times New Roman"/>
                <w:sz w:val="18"/>
              </w:rPr>
              <w:t>26,964,967.67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53" w:right="0"/>
              <w:jc w:val="left"/>
              <w:rPr>
                <w:rFonts w:ascii="Times New Roman" w:hAnsi="Times New Roman" w:cs="Times New Roman" w:eastAsia="Times New Roman" w:hint="default"/>
                <w:sz w:val="18"/>
                <w:szCs w:val="18"/>
              </w:rPr>
            </w:pPr>
            <w:r>
              <w:rPr>
                <w:rFonts w:ascii="Times New Roman"/>
                <w:sz w:val="18"/>
              </w:rPr>
              <w:t>39,556,290.19</w:t>
            </w:r>
          </w:p>
        </w:tc>
      </w:tr>
    </w:tbl>
    <w:p>
      <w:pPr>
        <w:spacing w:line="240" w:lineRule="auto" w:before="0"/>
        <w:rPr>
          <w:rFonts w:ascii="Times New Roman" w:hAnsi="Times New Roman" w:cs="Times New Roman" w:eastAsia="Times New Roman" w:hint="default"/>
          <w:sz w:val="22"/>
          <w:szCs w:val="22"/>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535,058,821.81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638,667,855.81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4,203,725.80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3,399,379.51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539,262,547.61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642,067,235.32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400,907,098.12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375,993,775.85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29,959,690.22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28,841,383.16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19,397,146.74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18,269,860.06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32,222,932.59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30,620,249.48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482,486,867.67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453,725,268.55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56,775,679.94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188,341,966.77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59,615,375.60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1,019,575.03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18,565,241.23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55,500,000.00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56,519,575.03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78,180,616.83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4,192,659.07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4,539,620.41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63,060,000.00</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55,500,000.00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51,692,659.07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123,099,620.41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4,826,915.96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-44,919,003.58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439,000,000.00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14,048,400.34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107,226,241.89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54,048,400.34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546,226,241.89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67,000,000.00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679,060,000.00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40,684,097.58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43,081,990.67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18,795,224.51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14,048,400.34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126,479,322.09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736,190,391.01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-72,430,921.75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-189,964,149.12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1,081,666.08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265,080.50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-9,746,659.77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-46,276,105.43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35,622,567.58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81,898,673.01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25,875,907.81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35,622,567.58</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142" w:right="144"/>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5" w:right="184"/>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7" w:right="144"/>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5" w:right="14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9" w:right="169"/>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5" w:right="0"/>
              <w:jc w:val="left"/>
              <w:rPr>
                <w:rFonts w:ascii="Times New Roman" w:hAnsi="Times New Roman" w:cs="Times New Roman" w:eastAsia="Times New Roman" w:hint="default"/>
                <w:sz w:val="18"/>
                <w:szCs w:val="18"/>
              </w:rPr>
            </w:pPr>
            <w:r>
              <w:rPr>
                <w:rFonts w:ascii="Times New Roman"/>
                <w:sz w:val="18"/>
              </w:rPr>
              <w:t>77,8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30,7</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5" w:right="0"/>
              <w:jc w:val="left"/>
              <w:rPr>
                <w:rFonts w:ascii="Times New Roman" w:hAnsi="Times New Roman" w:cs="Times New Roman" w:eastAsia="Times New Roman" w:hint="default"/>
                <w:sz w:val="18"/>
                <w:szCs w:val="18"/>
              </w:rPr>
            </w:pPr>
            <w:r>
              <w:rPr>
                <w:rFonts w:ascii="Times New Roman"/>
                <w:sz w:val="18"/>
              </w:rPr>
              <w:t>579,9</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96,13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5" w:right="0"/>
              <w:jc w:val="left"/>
              <w:rPr>
                <w:rFonts w:ascii="Times New Roman" w:hAnsi="Times New Roman" w:cs="Times New Roman" w:eastAsia="Times New Roman" w:hint="default"/>
                <w:sz w:val="18"/>
                <w:szCs w:val="18"/>
              </w:rPr>
            </w:pPr>
            <w:r>
              <w:rPr>
                <w:rFonts w:ascii="Times New Roman"/>
                <w:sz w:val="18"/>
              </w:rPr>
              <w:t>26,98</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2,505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8" w:right="0"/>
              <w:jc w:val="left"/>
              <w:rPr>
                <w:rFonts w:ascii="Times New Roman" w:hAnsi="Times New Roman" w:cs="Times New Roman" w:eastAsia="Times New Roman" w:hint="default"/>
                <w:sz w:val="18"/>
                <w:szCs w:val="18"/>
              </w:rPr>
            </w:pPr>
            <w:r>
              <w:rPr>
                <w:rFonts w:ascii="Times New Roman"/>
                <w:sz w:val="18"/>
              </w:rPr>
              <w:t>33,08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6,019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0" w:right="0"/>
              <w:jc w:val="left"/>
              <w:rPr>
                <w:rFonts w:ascii="Times New Roman" w:hAnsi="Times New Roman" w:cs="Times New Roman" w:eastAsia="Times New Roman" w:hint="default"/>
                <w:sz w:val="18"/>
                <w:szCs w:val="18"/>
              </w:rPr>
            </w:pPr>
            <w:r>
              <w:rPr>
                <w:rFonts w:ascii="Times New Roman"/>
                <w:sz w:val="18"/>
              </w:rPr>
              <w:t>717,8</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95,44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6" w:right="0"/>
              <w:jc w:val="left"/>
              <w:rPr>
                <w:rFonts w:ascii="Times New Roman" w:hAnsi="Times New Roman" w:cs="Times New Roman" w:eastAsia="Times New Roman" w:hint="default"/>
                <w:sz w:val="18"/>
                <w:szCs w:val="18"/>
              </w:rPr>
            </w:pPr>
            <w:r>
              <w:rPr>
                <w:rFonts w:ascii="Times New Roman"/>
                <w:sz w:val="18"/>
              </w:rPr>
              <w:t>9.78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8" w:right="0"/>
              <w:jc w:val="left"/>
              <w:rPr>
                <w:rFonts w:ascii="Times New Roman" w:hAnsi="Times New Roman" w:cs="Times New Roman" w:eastAsia="Times New Roman" w:hint="default"/>
                <w:sz w:val="18"/>
                <w:szCs w:val="18"/>
              </w:rPr>
            </w:pPr>
            <w:r>
              <w:rPr>
                <w:rFonts w:ascii="Times New Roman"/>
                <w:sz w:val="18"/>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Times New Roman" w:hAnsi="Times New Roman" w:cs="Times New Roman" w:eastAsia="Times New Roman" w:hint="default"/>
                <w:sz w:val="18"/>
                <w:szCs w:val="18"/>
              </w:rPr>
            </w:pPr>
            <w:r>
              <w:rPr>
                <w:rFonts w:ascii="Times New Roman"/>
                <w:sz w:val="18"/>
              </w:rPr>
              <w:t>4.53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0"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44"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44"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77,8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30,7</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579,9</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96,13</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26,98</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2,505</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33,08</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6,019</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717,8</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95,44</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4.53</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64"/>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15,3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15,39</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2,562</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,528.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55,80</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5.35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-9,89</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3,276</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.98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25,13</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0,574</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Times New Roman" w:hAnsi="Times New Roman" w:cs="Times New Roman" w:eastAsia="Times New Roman" w:hint="default"/>
                <w:sz w:val="18"/>
                <w:szCs w:val="18"/>
              </w:rPr>
            </w:pPr>
            <w:r>
              <w:rPr>
                <w:rFonts w:ascii="Times New Roman"/>
                <w:sz w:val="18"/>
              </w:rPr>
              <w:t>25,13</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0,574</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.02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2,562</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,528.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t>-37,5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86,37</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23,85</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1.00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2,562</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,528.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-2,56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2,528</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23,85</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23,85</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15,3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15,39</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15,3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15,39</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116,</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746,</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170.</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541,0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80,74</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29,54</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5,033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20,63</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0,214</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708,0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02,16</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7.55</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6" w:right="183"/>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6" w:right="14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026" w:hRule="exact"/>
        </w:trPr>
        <w:tc>
          <w:tcPr>
            <w:tcW w:w="1437"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69" w:right="17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71" w:right="16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77,8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30,7</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579,9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96,13</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22,91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0,233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44,16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6,188.</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55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724,9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03,34</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1.60</w:t>
            </w:r>
          </w:p>
        </w:tc>
      </w:tr>
      <w:tr>
        <w:trPr>
          <w:trHeight w:val="400"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462" w:right="0"/>
              <w:jc w:val="left"/>
              <w:rPr>
                <w:rFonts w:ascii="宋体" w:hAnsi="宋体" w:cs="宋体" w:eastAsia="宋体" w:hint="default"/>
                <w:sz w:val="18"/>
                <w:szCs w:val="18"/>
              </w:rPr>
            </w:pPr>
            <w:r>
              <w:rPr>
                <w:rFonts w:ascii="宋体" w:hAnsi="宋体" w:cs="宋体" w:eastAsia="宋体" w:hint="default"/>
                <w:spacing w:val="-8"/>
                <w:sz w:val="18"/>
                <w:szCs w:val="18"/>
              </w:rPr>
              <w:t>加：会计政</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43"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43"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77,8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30,7</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579,9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96,13</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22,91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0,233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44,16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6,188.</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55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724,9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03,34</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1.60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4,072</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 w:right="0"/>
              <w:jc w:val="left"/>
              <w:rPr>
                <w:rFonts w:ascii="Times New Roman" w:hAnsi="Times New Roman" w:cs="Times New Roman" w:eastAsia="Times New Roman" w:hint="default"/>
                <w:sz w:val="18"/>
                <w:szCs w:val="18"/>
              </w:rPr>
            </w:pPr>
            <w:r>
              <w:rPr>
                <w:rFonts w:ascii="Times New Roman"/>
                <w:sz w:val="18"/>
              </w:rPr>
              <w:t>-11,08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0,168.</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center"/>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40" w:right="0"/>
              <w:jc w:val="center"/>
              <w:rPr>
                <w:rFonts w:ascii="Times New Roman" w:hAnsi="Times New Roman" w:cs="Times New Roman" w:eastAsia="Times New Roman" w:hint="default"/>
                <w:sz w:val="18"/>
                <w:szCs w:val="18"/>
              </w:rPr>
            </w:pPr>
            <w:r>
              <w:rPr>
                <w:rFonts w:ascii="Times New Roman"/>
                <w:sz w:val="18"/>
              </w:rPr>
              <w:t>7,897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.07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 w:right="0"/>
              <w:jc w:val="left"/>
              <w:rPr>
                <w:rFonts w:ascii="Times New Roman" w:hAnsi="Times New Roman" w:cs="Times New Roman" w:eastAsia="Times New Roman" w:hint="default"/>
                <w:sz w:val="18"/>
                <w:szCs w:val="18"/>
              </w:rPr>
            </w:pPr>
            <w:r>
              <w:rPr>
                <w:rFonts w:ascii="Times New Roman"/>
                <w:sz w:val="18"/>
              </w:rPr>
              <w:t>24,12</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4,414.</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93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24,12</w:t>
            </w:r>
          </w:p>
          <w:p>
            <w:pPr>
              <w:pStyle w:val="TableParagraph"/>
              <w:spacing w:line="240" w:lineRule="auto" w:before="105"/>
              <w:ind w:left="40" w:right="0"/>
              <w:jc w:val="center"/>
              <w:rPr>
                <w:rFonts w:ascii="Times New Roman" w:hAnsi="Times New Roman" w:cs="Times New Roman" w:eastAsia="Times New Roman" w:hint="default"/>
                <w:sz w:val="18"/>
                <w:szCs w:val="18"/>
              </w:rPr>
            </w:pPr>
            <w:r>
              <w:rPr>
                <w:rFonts w:ascii="Times New Roman"/>
                <w:sz w:val="18"/>
              </w:rPr>
              <w:t>4,414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4,072</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-35,2</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04,58</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3.73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32,31</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2.00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4,072</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-4,07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2,271.</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73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0" w:right="0"/>
              <w:jc w:val="left"/>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32,31</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2.00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32,31</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2.00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77,8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30,7</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579,9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96,13</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26,98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2,505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33,08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6,019.</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75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717,8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95,44</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4.53</w:t>
            </w:r>
          </w:p>
        </w:tc>
      </w:tr>
    </w:tbl>
    <w:p>
      <w:pPr>
        <w:spacing w:line="240" w:lineRule="auto" w:before="0"/>
        <w:rPr>
          <w:rFonts w:ascii="Times New Roman" w:hAnsi="Times New Roman" w:cs="Times New Roman" w:eastAsia="Times New Roman" w:hint="default"/>
          <w:sz w:val="22"/>
          <w:szCs w:val="22"/>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8" w:right="1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7"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77,83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0,780.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579,99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6,139.7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26,982,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505.00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28,52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2,828.</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713,33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2,252.7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3" w:right="0"/>
              <w:jc w:val="left"/>
              <w:rPr>
                <w:rFonts w:ascii="Times New Roman" w:hAnsi="Times New Roman" w:cs="Times New Roman" w:eastAsia="Times New Roman" w:hint="default"/>
                <w:sz w:val="18"/>
                <w:szCs w:val="18"/>
              </w:rPr>
            </w:pPr>
            <w:r>
              <w:rPr>
                <w:rFonts w:ascii="Times New Roman"/>
                <w:sz w:val="18"/>
              </w:rPr>
              <w:t>77,83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579,99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6,139.7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26,982,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505.00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7" w:right="0"/>
              <w:jc w:val="left"/>
              <w:rPr>
                <w:rFonts w:ascii="Times New Roman" w:hAnsi="Times New Roman" w:cs="Times New Roman" w:eastAsia="Times New Roman" w:hint="default"/>
                <w:sz w:val="18"/>
                <w:szCs w:val="18"/>
              </w:rPr>
            </w:pPr>
            <w:r>
              <w:rPr>
                <w:rFonts w:ascii="Times New Roman"/>
                <w:sz w:val="18"/>
              </w:rPr>
              <w:t>28,52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2,828.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2" w:right="0"/>
              <w:jc w:val="left"/>
              <w:rPr>
                <w:rFonts w:ascii="Times New Roman" w:hAnsi="Times New Roman" w:cs="Times New Roman" w:eastAsia="Times New Roman" w:hint="default"/>
                <w:sz w:val="18"/>
                <w:szCs w:val="18"/>
              </w:rPr>
            </w:pPr>
            <w:r>
              <w:rPr>
                <w:rFonts w:ascii="Times New Roman"/>
                <w:sz w:val="18"/>
              </w:rPr>
              <w:t>713,33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2,252.7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67"/>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38,91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5,390.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-38,915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,390.00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2,562,5</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28.37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left"/>
              <w:rPr>
                <w:rFonts w:ascii="Times New Roman" w:hAnsi="Times New Roman" w:cs="Times New Roman" w:eastAsia="Times New Roman" w:hint="default"/>
                <w:sz w:val="18"/>
                <w:szCs w:val="18"/>
              </w:rPr>
            </w:pPr>
            <w:r>
              <w:rPr>
                <w:rFonts w:ascii="Times New Roman"/>
                <w:sz w:val="18"/>
              </w:rPr>
              <w:t>-11,96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1,095.</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-9,398,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567.33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25,62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5,283.</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25,625,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283.67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2,562,5</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28.37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-37,5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86,37</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9.37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-35,023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,851.00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2,562,5</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28.37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-2,56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2,528.</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37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23,85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-35,023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,851.00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38,91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5,390.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-38,915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,390.00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38,91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5,390.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-38,915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,390.00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0" w:right="0"/>
              <w:jc w:val="left"/>
              <w:rPr>
                <w:rFonts w:ascii="Times New Roman" w:hAnsi="Times New Roman" w:cs="Times New Roman" w:eastAsia="Times New Roman" w:hint="default"/>
                <w:sz w:val="18"/>
                <w:szCs w:val="18"/>
              </w:rPr>
            </w:pPr>
            <w:r>
              <w:rPr>
                <w:rFonts w:ascii="Times New Roman"/>
                <w:sz w:val="18"/>
              </w:rPr>
              <w:t>116,7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46,17</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541,08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0,749.7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29,545,</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033.37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16,56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1,732.</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703,93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3,685.4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8" w:right="1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7"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3" w:right="0"/>
              <w:jc w:val="left"/>
              <w:rPr>
                <w:rFonts w:ascii="Times New Roman" w:hAnsi="Times New Roman" w:cs="Times New Roman" w:eastAsia="Times New Roman" w:hint="default"/>
                <w:sz w:val="18"/>
                <w:szCs w:val="18"/>
              </w:rPr>
            </w:pPr>
            <w:r>
              <w:rPr>
                <w:rFonts w:ascii="Times New Roman"/>
                <w:sz w:val="18"/>
              </w:rPr>
              <w:t>77,83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0,780.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579,99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6,139.7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22,910,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233.27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23,00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4,694.</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703,74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1,847.4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3" w:right="0"/>
              <w:jc w:val="left"/>
              <w:rPr>
                <w:rFonts w:ascii="Times New Roman" w:hAnsi="Times New Roman" w:cs="Times New Roman" w:eastAsia="Times New Roman" w:hint="default"/>
                <w:sz w:val="18"/>
                <w:szCs w:val="18"/>
              </w:rPr>
            </w:pPr>
            <w:r>
              <w:rPr>
                <w:rFonts w:ascii="Times New Roman"/>
                <w:sz w:val="18"/>
              </w:rPr>
              <w:t>77,83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0,780.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579,99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6,139.7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22,910,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233.27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23,00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4,694.</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703,74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1,847.4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 w:right="67"/>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4,072,2</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71.73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5,518,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9,590,4</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05.34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40,72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2,717.</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40,722,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717.34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4,072,2</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71.73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-35,2</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04,58</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3.73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-31,132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,312.00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4,072,2</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71.73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-4,07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2,271.</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73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-31,132</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,312.00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32,31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-31,132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,312.00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3" w:right="0"/>
              <w:jc w:val="left"/>
              <w:rPr>
                <w:rFonts w:ascii="Times New Roman" w:hAnsi="Times New Roman" w:cs="Times New Roman" w:eastAsia="Times New Roman" w:hint="default"/>
                <w:sz w:val="18"/>
                <w:szCs w:val="18"/>
              </w:rPr>
            </w:pPr>
            <w:r>
              <w:rPr>
                <w:rFonts w:ascii="Times New Roman"/>
                <w:sz w:val="18"/>
              </w:rPr>
              <w:t>77,83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0,780.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579,99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6,139.7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26,982,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505.00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28,52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2,828.</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713,33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2,252.7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一、公司基本情况</w:t>
      </w:r>
    </w:p>
    <w:p>
      <w:pPr>
        <w:spacing w:line="316" w:lineRule="auto" w:before="76"/>
        <w:ind w:left="112" w:right="5894" w:firstLine="0"/>
        <w:jc w:val="left"/>
        <w:rPr>
          <w:rFonts w:ascii="宋体" w:hAnsi="宋体" w:cs="宋体" w:eastAsia="宋体" w:hint="default"/>
          <w:sz w:val="18"/>
          <w:szCs w:val="18"/>
        </w:rPr>
      </w:pPr>
      <w:r>
        <w:rPr>
          <w:rFonts w:ascii="宋体" w:hAnsi="宋体" w:cs="宋体" w:eastAsia="宋体" w:hint="default"/>
          <w:sz w:val="18"/>
          <w:szCs w:val="18"/>
        </w:rPr>
        <w:t>（一）公司概况 公司名称：马鞍山鼎泰稀土新材料股份有限公司 注册地址：安徽省马鞍山市当涂工业园 办公地址：安徽省马鞍山市当涂工业园</w:t>
      </w:r>
    </w:p>
    <w:p>
      <w:pPr>
        <w:spacing w:after="0" w:line="316" w:lineRule="auto"/>
        <w:jc w:val="left"/>
        <w:rPr>
          <w:rFonts w:ascii="宋体" w:hAnsi="宋体" w:cs="宋体" w:eastAsia="宋体" w:hint="default"/>
          <w:sz w:val="18"/>
          <w:szCs w:val="18"/>
        </w:rPr>
        <w:sectPr>
          <w:footerReference w:type="default" r:id="rId26"/>
          <w:pgSz w:w="11910" w:h="16840"/>
          <w:pgMar w:footer="1016" w:header="907" w:top="1100" w:bottom="1200" w:left="1020" w:right="1080"/>
          <w:pgNumType w:start="70"/>
        </w:sectPr>
      </w:pPr>
    </w:p>
    <w:p>
      <w:pPr>
        <w:spacing w:line="240" w:lineRule="auto" w:before="13"/>
        <w:rPr>
          <w:rFonts w:ascii="宋体" w:hAnsi="宋体" w:cs="宋体" w:eastAsia="宋体" w:hint="default"/>
          <w:sz w:val="22"/>
          <w:szCs w:val="22"/>
        </w:rPr>
      </w:pPr>
    </w:p>
    <w:p>
      <w:pPr>
        <w:spacing w:line="316" w:lineRule="auto" w:before="44"/>
        <w:ind w:left="112" w:right="6574" w:firstLine="0"/>
        <w:jc w:val="left"/>
        <w:rPr>
          <w:rFonts w:ascii="宋体" w:hAnsi="宋体" w:cs="宋体" w:eastAsia="宋体" w:hint="default"/>
          <w:sz w:val="18"/>
          <w:szCs w:val="18"/>
        </w:rPr>
      </w:pPr>
      <w:r>
        <w:rPr>
          <w:rFonts w:ascii="宋体" w:hAnsi="宋体" w:cs="宋体" w:eastAsia="宋体" w:hint="default"/>
          <w:sz w:val="18"/>
          <w:szCs w:val="18"/>
        </w:rPr>
        <w:t>注册资本：11,674.617万元 法定代表人：刘冀鲁 统一社会信用代码：91340500150660397M</w:t>
      </w:r>
    </w:p>
    <w:p>
      <w:pPr>
        <w:spacing w:line="316" w:lineRule="auto" w:before="19"/>
        <w:ind w:left="112" w:right="94" w:firstLine="0"/>
        <w:jc w:val="left"/>
        <w:rPr>
          <w:rFonts w:ascii="宋体" w:hAnsi="宋体" w:cs="宋体" w:eastAsia="宋体" w:hint="default"/>
          <w:sz w:val="18"/>
          <w:szCs w:val="18"/>
        </w:rPr>
      </w:pPr>
      <w:r>
        <w:rPr>
          <w:rFonts w:ascii="宋体" w:hAnsi="宋体" w:cs="宋体" w:eastAsia="宋体" w:hint="default"/>
          <w:sz w:val="18"/>
          <w:szCs w:val="18"/>
        </w:rPr>
        <w:t>（二）公司行业性质、经营范围 </w:t>
      </w:r>
      <w:r>
        <w:rPr>
          <w:rFonts w:ascii="宋体" w:hAnsi="宋体" w:cs="宋体" w:eastAsia="宋体" w:hint="default"/>
          <w:spacing w:val="-4"/>
          <w:sz w:val="18"/>
          <w:szCs w:val="18"/>
        </w:rPr>
        <w:t>行业性质：根据中国证监会发布的《上市公司行业分类指引》，本公司所从事的行业归属于“金属制品业”。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经营范围：生产、销售：稀土多元合金镀层丝绳及镀件、金属丝绳及其制品、紧固件、弹簧；交通安全设施产品制造、安装；</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自营或代理各类商品和技术进出口业务（国家限定企业经营或禁止进出口的商品和技术除外）。（依法需经批准的项目经相关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部门批准后方可经营）。</w:t>
      </w:r>
    </w:p>
    <w:p>
      <w:pPr>
        <w:spacing w:line="316" w:lineRule="auto" w:before="19"/>
        <w:ind w:left="112" w:right="2794" w:firstLine="0"/>
        <w:jc w:val="left"/>
        <w:rPr>
          <w:rFonts w:ascii="宋体" w:hAnsi="宋体" w:cs="宋体" w:eastAsia="宋体" w:hint="default"/>
          <w:sz w:val="18"/>
          <w:szCs w:val="18"/>
        </w:rPr>
      </w:pPr>
      <w:r>
        <w:rPr>
          <w:rFonts w:ascii="宋体" w:hAnsi="宋体" w:cs="宋体" w:eastAsia="宋体" w:hint="default"/>
          <w:sz w:val="18"/>
          <w:szCs w:val="18"/>
        </w:rPr>
        <w:t>（三）公司主要产品或提供的劳务 主要产品及提供的劳务：稀土锌铝合金镀层钢丝、稀土锌铝合金镀层钢绞线及PC钢绞线。</w:t>
      </w:r>
    </w:p>
    <w:p>
      <w:pPr>
        <w:spacing w:line="316" w:lineRule="auto" w:before="19"/>
        <w:ind w:left="112" w:right="94" w:firstLine="0"/>
        <w:jc w:val="left"/>
        <w:rPr>
          <w:rFonts w:ascii="宋体" w:hAnsi="宋体" w:cs="宋体" w:eastAsia="宋体" w:hint="default"/>
          <w:sz w:val="18"/>
          <w:szCs w:val="18"/>
        </w:rPr>
      </w:pPr>
      <w:r>
        <w:rPr>
          <w:rFonts w:ascii="宋体" w:hAnsi="宋体" w:cs="宋体" w:eastAsia="宋体" w:hint="default"/>
          <w:sz w:val="18"/>
          <w:szCs w:val="18"/>
        </w:rPr>
        <w:t>（四）合并财务报表范围及其变化情况 </w:t>
      </w:r>
      <w:r>
        <w:rPr>
          <w:rFonts w:ascii="宋体" w:hAnsi="宋体" w:cs="宋体" w:eastAsia="宋体" w:hint="default"/>
          <w:spacing w:val="-4"/>
          <w:sz w:val="18"/>
          <w:szCs w:val="18"/>
        </w:rPr>
        <w:t>本公司2015年度纳入合并范围的子公司共1户，详见本附注八“在其他主体中的权益”。本公司本年度合并范围与上年度相比</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未发生变化。</w:t>
      </w:r>
    </w:p>
    <w:p>
      <w:pPr>
        <w:spacing w:line="316" w:lineRule="auto" w:before="19"/>
        <w:ind w:left="112" w:right="3244" w:firstLine="0"/>
        <w:jc w:val="left"/>
        <w:rPr>
          <w:rFonts w:ascii="宋体" w:hAnsi="宋体" w:cs="宋体" w:eastAsia="宋体" w:hint="default"/>
          <w:sz w:val="18"/>
          <w:szCs w:val="18"/>
        </w:rPr>
      </w:pPr>
      <w:r>
        <w:rPr>
          <w:rFonts w:ascii="宋体" w:hAnsi="宋体" w:cs="宋体" w:eastAsia="宋体" w:hint="default"/>
          <w:sz w:val="18"/>
          <w:szCs w:val="18"/>
        </w:rPr>
        <w:t>（五）财务报表的批准 本公司财务报表业经本公司第三届董事会第十一次会议于2016年4月21日批准报出。</w:t>
      </w:r>
    </w:p>
    <w:p>
      <w:pPr>
        <w:spacing w:line="316" w:lineRule="auto" w:before="19"/>
        <w:ind w:left="112" w:right="184" w:firstLine="0"/>
        <w:jc w:val="left"/>
        <w:rPr>
          <w:rFonts w:ascii="宋体" w:hAnsi="宋体" w:cs="宋体" w:eastAsia="宋体" w:hint="default"/>
          <w:sz w:val="18"/>
          <w:szCs w:val="18"/>
        </w:rPr>
      </w:pPr>
      <w:r>
        <w:rPr>
          <w:rFonts w:ascii="宋体" w:hAnsi="宋体" w:cs="宋体" w:eastAsia="宋体" w:hint="default"/>
          <w:sz w:val="18"/>
          <w:szCs w:val="18"/>
        </w:rPr>
        <w:t>本公司2015年度纳入合并范围的子公司共1户(重庆市隆泰稀土新材料有限责任公司)。本公司本年度合并范围与上年度相比 未发生变化。</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90" w:firstLine="480"/>
        <w:jc w:val="both"/>
      </w:pPr>
      <w:r>
        <w:rPr/>
        <w:t>本公司财务报表以持续经营假设为基础，根据实际发生的交易和事项，按照财政部发布 </w:t>
      </w:r>
      <w:r>
        <w:rPr>
          <w:spacing w:val="-8"/>
        </w:rPr>
        <w:t>的《企业会计准则——基本准则》（财政部令第33号发布、财政部令第76号修订）、于2006年2</w:t>
      </w:r>
      <w:r>
        <w:rPr>
          <w:spacing w:val="-75"/>
        </w:rPr>
        <w:t> </w:t>
      </w:r>
      <w:r>
        <w:rPr>
          <w:spacing w:val="-75"/>
        </w:rPr>
      </w:r>
      <w:r>
        <w:rPr/>
        <w:t>月15日及其后颁布和修订的41项具体会计准则、企业会计准则应用指南、企业会计准则解释</w:t>
      </w:r>
      <w:r>
        <w:rPr>
          <w:spacing w:val="-89"/>
        </w:rPr>
        <w:t> </w:t>
      </w:r>
      <w:r>
        <w:rPr>
          <w:spacing w:val="-89"/>
        </w:rPr>
      </w:r>
      <w:r>
        <w:rPr>
          <w:spacing w:val="-6"/>
        </w:rPr>
        <w:t>及其他相关规定（以下合称“企业会计准则”），并参照中国证券监督管理委员会《公开发行</w:t>
      </w:r>
      <w:r>
        <w:rPr>
          <w:spacing w:val="-83"/>
        </w:rPr>
        <w:t> </w:t>
      </w:r>
      <w:r>
        <w:rPr>
          <w:spacing w:val="-83"/>
        </w:rPr>
      </w:r>
      <w:r>
        <w:rPr>
          <w:spacing w:val="-5"/>
        </w:rPr>
        <w:t>证券的公司信息披露编报规则第15号——财务报告的一般规定》（2014年修订）的披露规定编</w:t>
      </w:r>
      <w:r>
        <w:rPr>
          <w:spacing w:val="-102"/>
        </w:rPr>
        <w:t> </w:t>
      </w:r>
      <w:r>
        <w:rPr>
          <w:spacing w:val="-102"/>
        </w:rPr>
      </w:r>
      <w:r>
        <w:rPr/>
        <w:t>制。</w:t>
      </w:r>
    </w:p>
    <w:p>
      <w:pPr>
        <w:pStyle w:val="BodyText"/>
        <w:spacing w:line="312" w:lineRule="exact"/>
        <w:ind w:right="192" w:firstLine="480"/>
        <w:jc w:val="both"/>
      </w:pPr>
      <w:r>
        <w:rPr/>
        <w:t>根据企业会计准则的相关规定，本公司会计核算以权责发生制为基础。除某些金融工具 外，本财务报表均以历史成本为计量基础。资产如果发生减值，则按照相关规定计提相应的</w:t>
      </w:r>
      <w:r>
        <w:rPr>
          <w:spacing w:val="-89"/>
        </w:rPr>
        <w:t> </w:t>
      </w:r>
      <w:r>
        <w:rPr>
          <w:spacing w:val="-89"/>
        </w:rPr>
      </w:r>
      <w:r>
        <w:rPr/>
        <w:t>减值准备。</w:t>
      </w:r>
    </w:p>
    <w:p>
      <w:pPr>
        <w:spacing w:line="240" w:lineRule="auto" w:before="4"/>
        <w:rPr>
          <w:rFonts w:ascii="宋体" w:hAnsi="宋体" w:cs="宋体" w:eastAsia="宋体" w:hint="default"/>
          <w:sz w:val="22"/>
          <w:szCs w:val="22"/>
        </w:rPr>
      </w:pPr>
    </w:p>
    <w:p>
      <w:pPr>
        <w:spacing w:line="499" w:lineRule="auto" w:before="0"/>
        <w:ind w:left="112" w:right="412"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pacing w:val="-2"/>
          <w:sz w:val="22"/>
          <w:szCs w:val="22"/>
        </w:rPr>
        <w:t>本公司自报告期末起12个月不存在对本公司持续经营能力产生重大疑虑的事项或情况。</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before="89"/>
        <w:ind w:left="112" w:right="94"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312" w:lineRule="exact" w:before="99"/>
        <w:ind w:right="192" w:firstLine="480"/>
        <w:jc w:val="both"/>
      </w:pPr>
      <w:r>
        <w:rPr/>
        <w:t>本公司及各子公司从事金属制品业经营。本公司及各子公司根据实际生产经营特点，依 据相关企业会计准则的规定，对收入确认等交易和事项制定了若干项具体会计政策和会计估</w:t>
      </w:r>
      <w:r>
        <w:rPr>
          <w:spacing w:val="-89"/>
        </w:rPr>
        <w:t> </w:t>
      </w:r>
      <w:r>
        <w:rPr>
          <w:spacing w:val="-89"/>
        </w:rPr>
      </w:r>
      <w:r>
        <w:rPr/>
        <w:t>计，详见本附注四、18“收入”等各项描述。关于管理层所作出的重大会计判断和估计的说</w:t>
      </w:r>
      <w:r>
        <w:rPr>
          <w:spacing w:val="-89"/>
        </w:rPr>
        <w:t> </w:t>
      </w:r>
      <w:r>
        <w:rPr>
          <w:spacing w:val="-89"/>
        </w:rPr>
      </w:r>
      <w:r>
        <w:rPr>
          <w:spacing w:val="-6"/>
        </w:rPr>
        <w:t>明，请参阅附注四、24“重大会计判断和估计”。</w:t>
      </w:r>
    </w:p>
    <w:p>
      <w:pPr>
        <w:spacing w:after="0" w:line="312" w:lineRule="exact"/>
        <w:jc w:val="both"/>
        <w:sectPr>
          <w:pgSz w:w="11910" w:h="16840"/>
          <w:pgMar w:header="907" w:footer="1016" w:top="1100" w:bottom="1200" w:left="1020" w:right="940"/>
        </w:sectPr>
      </w:pPr>
    </w:p>
    <w:p>
      <w:pPr>
        <w:spacing w:line="240" w:lineRule="auto" w:before="10"/>
        <w:rPr>
          <w:rFonts w:ascii="宋体" w:hAnsi="宋体" w:cs="宋体" w:eastAsia="宋体" w:hint="default"/>
          <w:sz w:val="21"/>
          <w:szCs w:val="21"/>
        </w:rPr>
      </w:pPr>
    </w:p>
    <w:p>
      <w:pPr>
        <w:spacing w:before="34"/>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230" w:firstLine="480"/>
        <w:jc w:val="both"/>
      </w:pPr>
      <w:r>
        <w:rPr/>
        <w:t>本公司编制的财务报表符合企业会计准则的要求，真实、完整地反映了本公司2015年12 月31日的财务状况及2015年度的经营成果和现金流量等有关信息。此外，本公司的财务报表</w:t>
      </w:r>
      <w:r>
        <w:rPr>
          <w:spacing w:val="-87"/>
        </w:rPr>
        <w:t> </w:t>
      </w:r>
      <w:r>
        <w:rPr>
          <w:spacing w:val="-87"/>
        </w:rPr>
      </w:r>
      <w:r>
        <w:rPr/>
        <w:t>在所有重大方面符合中国证券监督管理委员会2014年修订的《公开发行证券的公司信息披露</w:t>
      </w:r>
      <w:r>
        <w:rPr>
          <w:spacing w:val="-89"/>
        </w:rPr>
        <w:t> </w:t>
      </w:r>
      <w:r>
        <w:rPr>
          <w:spacing w:val="-89"/>
        </w:rPr>
      </w:r>
      <w:r>
        <w:rPr/>
        <w:t>编报规则第15号－财务报告的一般规定》有关财务报表及其附注的披露要求。</w:t>
      </w:r>
    </w:p>
    <w:p>
      <w:pPr>
        <w:spacing w:line="240" w:lineRule="auto" w:before="7"/>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232" w:firstLine="480"/>
        <w:jc w:val="both"/>
      </w:pPr>
      <w:r>
        <w:rPr/>
        <w:t>本公司的会计期间分为年度和中期，会计中期指短于一个完整的会计年度的报告期间。 本公司会计年度采用公历年度，即每年自1月1日起至12月31日止。</w:t>
      </w: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232" w:firstLine="480"/>
        <w:jc w:val="both"/>
      </w:pPr>
      <w:r>
        <w:rPr/>
        <w:t>正常营业周期是指本公司从购买用于加工的资产起至实现现金或现金等价物的期间。本 公司以12个月作为一个营业周期，并以其作为资产和负债的流动性划分标准。</w:t>
      </w: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pStyle w:val="BodyText"/>
        <w:spacing w:line="312" w:lineRule="exact"/>
        <w:ind w:right="232" w:firstLine="480"/>
        <w:jc w:val="both"/>
      </w:pPr>
      <w:r>
        <w:rPr/>
        <w:t>人民币为本公司及境内子公司经营所处的主要经济环境中的货币，本公司及境内子公司 以人民币为记账本位币。本公司之境外子公司根据其经营所处的主要经济环境中的货币确定</w:t>
      </w:r>
      <w:r>
        <w:rPr>
          <w:spacing w:val="-89"/>
        </w:rPr>
        <w:t> </w:t>
      </w:r>
      <w:r>
        <w:rPr>
          <w:spacing w:val="-89"/>
        </w:rPr>
      </w:r>
      <w:r>
        <w:rPr/>
        <w:t>人民币为其记账本位币。本公司编制本财务报表时所采用的货币为人民币。</w:t>
      </w: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232" w:firstLine="480"/>
        <w:jc w:val="both"/>
      </w:pPr>
      <w:r>
        <w:rPr/>
        <w:t>企业合并，是指将两个或两个以上单独的企业合并形成一个报告主体的交易或事项。企 业合并分为同一控制下企业合并和非同一控制下企业合并。</w:t>
      </w:r>
    </w:p>
    <w:p>
      <w:pPr>
        <w:pStyle w:val="BodyText"/>
        <w:spacing w:line="312" w:lineRule="exact"/>
        <w:ind w:left="592" w:right="98"/>
        <w:jc w:val="left"/>
      </w:pPr>
      <w:r>
        <w:rPr/>
        <w:t>（1）同一控制下企业合并 </w:t>
      </w:r>
      <w:r>
        <w:rPr>
          <w:spacing w:val="-3"/>
        </w:rPr>
        <w:t>参与合并的企业在合并前后均受同一方或相同的多方最终控制，且该控制并非暂时性的，</w:t>
      </w:r>
    </w:p>
    <w:p>
      <w:pPr>
        <w:pStyle w:val="BodyText"/>
        <w:spacing w:line="312" w:lineRule="exact"/>
        <w:ind w:right="232"/>
        <w:jc w:val="both"/>
      </w:pPr>
      <w:r>
        <w:rPr/>
        <w:t>为同一控制下的企业合并。同一控制下的企业合并，在合并日取得对其他参与合并企业控制</w:t>
      </w:r>
      <w:r>
        <w:rPr>
          <w:spacing w:val="-89"/>
        </w:rPr>
        <w:t> </w:t>
      </w:r>
      <w:r>
        <w:rPr>
          <w:spacing w:val="-89"/>
        </w:rPr>
      </w:r>
      <w:r>
        <w:rPr/>
        <w:t>权的一方为合并方，参与合并的其他企业为被合并方。合并日，是指合并方实际取得对被合</w:t>
      </w:r>
      <w:r>
        <w:rPr>
          <w:spacing w:val="-89"/>
        </w:rPr>
        <w:t> </w:t>
      </w:r>
      <w:r>
        <w:rPr>
          <w:spacing w:val="-89"/>
        </w:rPr>
      </w:r>
      <w:r>
        <w:rPr/>
        <w:t>并方控制权的日期。</w:t>
      </w:r>
    </w:p>
    <w:p>
      <w:pPr>
        <w:pStyle w:val="BodyText"/>
        <w:spacing w:line="312" w:lineRule="exact"/>
        <w:ind w:right="232" w:firstLine="480"/>
        <w:jc w:val="both"/>
      </w:pPr>
      <w:r>
        <w:rPr/>
        <w:t>合并方取得的资产和负债均按合并日在被合并方的账面价值计量。合并方取得的净资产 账面价值与支付的合并对价账面价值（或发行股份面值总额）的差额，调整资本公积（股本</w:t>
      </w:r>
      <w:r>
        <w:rPr>
          <w:spacing w:val="-89"/>
        </w:rPr>
        <w:t> </w:t>
      </w:r>
      <w:r>
        <w:rPr>
          <w:spacing w:val="-89"/>
        </w:rPr>
      </w:r>
      <w:r>
        <w:rPr>
          <w:spacing w:val="-5"/>
        </w:rPr>
        <w:t>溢价）；资本公积（股本溢价）不足以冲减的，调整留存收益。</w:t>
      </w:r>
    </w:p>
    <w:p>
      <w:pPr>
        <w:pStyle w:val="BodyText"/>
        <w:spacing w:line="282" w:lineRule="exact"/>
        <w:ind w:left="592" w:right="98"/>
        <w:jc w:val="left"/>
      </w:pPr>
      <w:r>
        <w:rPr/>
        <w:t>合并方为进行企业合并发生的各项直接费用，于发生时计入当期损益。</w:t>
      </w:r>
    </w:p>
    <w:p>
      <w:pPr>
        <w:pStyle w:val="BodyText"/>
        <w:spacing w:line="312" w:lineRule="exact" w:before="29"/>
        <w:ind w:left="592" w:right="98"/>
        <w:jc w:val="left"/>
      </w:pPr>
      <w:r>
        <w:rPr/>
        <w:t>（2）非同一控制下企业合并 参与合并的企业在合并前后不受同一方或相同的多方最终控制的，为非同一控制下的企</w:t>
      </w:r>
    </w:p>
    <w:p>
      <w:pPr>
        <w:pStyle w:val="BodyText"/>
        <w:spacing w:line="312" w:lineRule="exact"/>
        <w:ind w:right="232"/>
        <w:jc w:val="both"/>
      </w:pPr>
      <w:r>
        <w:rPr/>
        <w:t>业合并。非同一控制下的企业合并，在购买日取得对其他参与合并企业控制权的一方为购买</w:t>
      </w:r>
      <w:r>
        <w:rPr>
          <w:spacing w:val="-89"/>
        </w:rPr>
        <w:t> </w:t>
      </w:r>
      <w:r>
        <w:rPr>
          <w:spacing w:val="-89"/>
        </w:rPr>
      </w:r>
      <w:r>
        <w:rPr/>
        <w:t>方，参与合并的其他企业为被购买方。购买日，是指为购买方实际取得对被购买方控制权的</w:t>
      </w:r>
      <w:r>
        <w:rPr>
          <w:spacing w:val="-89"/>
        </w:rPr>
        <w:t> </w:t>
      </w:r>
      <w:r>
        <w:rPr>
          <w:spacing w:val="-89"/>
        </w:rPr>
      </w:r>
      <w:r>
        <w:rPr/>
        <w:t>日期。</w:t>
      </w:r>
    </w:p>
    <w:p>
      <w:pPr>
        <w:pStyle w:val="BodyText"/>
        <w:spacing w:line="312" w:lineRule="exact"/>
        <w:ind w:right="232" w:firstLine="480"/>
        <w:jc w:val="both"/>
      </w:pPr>
      <w:r>
        <w:rPr/>
        <w:t>对于非同一控制下的企业合并，合并成本包含购买日购买方为取得对被购买方的控制权 而付出的资产、发生或承担的负债以及发行的权益性证券的公允价值，为企业合并发生的审</w:t>
      </w:r>
      <w:r>
        <w:rPr>
          <w:spacing w:val="-89"/>
        </w:rPr>
        <w:t> </w:t>
      </w:r>
      <w:r>
        <w:rPr>
          <w:spacing w:val="-89"/>
        </w:rPr>
      </w:r>
      <w:r>
        <w:rPr/>
        <w:t>计、法律服务、评估咨询等中介费用以及其他管理费用于发生时计入当期损益。购买方作为</w:t>
      </w:r>
      <w:r>
        <w:rPr>
          <w:spacing w:val="-89"/>
        </w:rPr>
        <w:t> </w:t>
      </w:r>
      <w:r>
        <w:rPr>
          <w:spacing w:val="-89"/>
        </w:rPr>
      </w:r>
      <w:r>
        <w:rPr/>
        <w:t>合并对价发行的权益性证券或债务性证券的交易费用，计入权益性证券或债务性证券的初始</w:t>
      </w:r>
    </w:p>
    <w:p>
      <w:pPr>
        <w:spacing w:after="0" w:line="312" w:lineRule="exact"/>
        <w:jc w:val="both"/>
        <w:sectPr>
          <w:pgSz w:w="11910" w:h="16840"/>
          <w:pgMar w:header="907" w:footer="1016" w:top="1100" w:bottom="1200" w:left="1020" w:right="900"/>
        </w:sectPr>
      </w:pPr>
    </w:p>
    <w:p>
      <w:pPr>
        <w:spacing w:line="240" w:lineRule="auto" w:before="9"/>
        <w:rPr>
          <w:rFonts w:ascii="宋体" w:hAnsi="宋体" w:cs="宋体" w:eastAsia="宋体" w:hint="default"/>
          <w:sz w:val="20"/>
          <w:szCs w:val="20"/>
        </w:rPr>
      </w:pPr>
    </w:p>
    <w:p>
      <w:pPr>
        <w:pStyle w:val="BodyText"/>
        <w:spacing w:line="312" w:lineRule="exact" w:before="56"/>
        <w:ind w:right="112"/>
        <w:jc w:val="both"/>
      </w:pPr>
      <w:r>
        <w:rPr/>
        <w:t>确认金额。所涉及的或有对价按其在购买日的公允价值计入合并成本，购买日后12个月内出</w:t>
      </w:r>
      <w:r>
        <w:rPr>
          <w:spacing w:val="-89"/>
        </w:rPr>
        <w:t> </w:t>
      </w:r>
      <w:r>
        <w:rPr>
          <w:spacing w:val="-89"/>
        </w:rPr>
      </w:r>
      <w:r>
        <w:rPr/>
        <w:t>现对购买日已存在情况的新的或进一步证据而需要调整或有对价的，相应调整合并商誉。购</w:t>
      </w:r>
      <w:r>
        <w:rPr>
          <w:spacing w:val="-89"/>
        </w:rPr>
        <w:t> </w:t>
      </w:r>
      <w:r>
        <w:rPr>
          <w:spacing w:val="-89"/>
        </w:rPr>
      </w:r>
      <w:r>
        <w:rPr/>
        <w:t>买方发生的合并成本及在合并中取得的可辨认净资产按购买日的公允价值计量。合并成本大</w:t>
      </w:r>
      <w:r>
        <w:rPr>
          <w:spacing w:val="-89"/>
        </w:rPr>
        <w:t> </w:t>
      </w:r>
      <w:r>
        <w:rPr>
          <w:spacing w:val="-89"/>
        </w:rPr>
      </w:r>
      <w:r>
        <w:rPr/>
        <w:t>于合并中取得的被购买方于购买日可辨认净资产公允价值份额的差额，确认为商誉。合并成</w:t>
      </w:r>
      <w:r>
        <w:rPr>
          <w:spacing w:val="-89"/>
        </w:rPr>
        <w:t> </w:t>
      </w:r>
      <w:r>
        <w:rPr>
          <w:spacing w:val="-89"/>
        </w:rPr>
      </w:r>
      <w:r>
        <w:rPr/>
        <w:t>本小于合并中取得的被购买方可辨认净资产公允价值份额的，首先对取得的被购买方各项可</w:t>
      </w:r>
      <w:r>
        <w:rPr>
          <w:spacing w:val="-89"/>
        </w:rPr>
        <w:t> </w:t>
      </w:r>
      <w:r>
        <w:rPr>
          <w:spacing w:val="-89"/>
        </w:rPr>
      </w:r>
      <w:r>
        <w:rPr/>
        <w:t>辨认资产、负债及或有负债的公允价值以及合并成本的计量进行复核，复核后合并成本仍小</w:t>
      </w:r>
      <w:r>
        <w:rPr>
          <w:spacing w:val="-89"/>
        </w:rPr>
        <w:t> </w:t>
      </w:r>
      <w:r>
        <w:rPr>
          <w:spacing w:val="-89"/>
        </w:rPr>
      </w:r>
      <w:r>
        <w:rPr/>
        <w:t>于合并中取得的被购买方可辨认净资产公允价值份额的，其差额计入当期损益。</w:t>
      </w:r>
    </w:p>
    <w:p>
      <w:pPr>
        <w:pStyle w:val="BodyText"/>
        <w:spacing w:line="312" w:lineRule="exact"/>
        <w:ind w:right="112" w:firstLine="480"/>
        <w:jc w:val="both"/>
      </w:pPr>
      <w:r>
        <w:rPr/>
        <w:t>购买方取得被购买方的可抵扣暂时性差异，在购买日因不符合递延所得税资产确认条件 而未予确认的，在购买日后12个月内，如取得新的或进一步的信息表明购买日的相关情况已</w:t>
      </w:r>
      <w:r>
        <w:rPr>
          <w:spacing w:val="-89"/>
        </w:rPr>
        <w:t> </w:t>
      </w:r>
      <w:r>
        <w:rPr>
          <w:spacing w:val="-89"/>
        </w:rPr>
      </w:r>
      <w:r>
        <w:rPr/>
        <w:t>经存在，预期被购买方在购买日可抵扣暂时性差异带来的经济利益能够实现的，则确认相关</w:t>
      </w:r>
      <w:r>
        <w:rPr>
          <w:spacing w:val="-89"/>
        </w:rPr>
        <w:t> </w:t>
      </w:r>
      <w:r>
        <w:rPr>
          <w:spacing w:val="-89"/>
        </w:rPr>
      </w:r>
      <w:r>
        <w:rPr/>
        <w:t>的递延所得税资产，同时减少商誉，商誉不足冲减的，差额部分确认为当期损益；除上述情</w:t>
      </w:r>
      <w:r>
        <w:rPr>
          <w:spacing w:val="-89"/>
        </w:rPr>
        <w:t> </w:t>
      </w:r>
      <w:r>
        <w:rPr>
          <w:spacing w:val="-89"/>
        </w:rPr>
      </w:r>
      <w:r>
        <w:rPr/>
        <w:t>况以外，确认与企业合并相关的递延所得税资产的，计入当期损益。</w:t>
      </w:r>
    </w:p>
    <w:p>
      <w:pPr>
        <w:pStyle w:val="BodyText"/>
        <w:spacing w:line="312" w:lineRule="exact"/>
        <w:ind w:right="110" w:firstLine="480"/>
        <w:jc w:val="both"/>
      </w:pPr>
      <w:r>
        <w:rPr/>
        <w:t>通过多次交易分步实现的非同一控制下企业合并，根据《财政部关于印发企业会计准则 </w:t>
      </w:r>
      <w:r>
        <w:rPr>
          <w:spacing w:val="-2"/>
        </w:rPr>
        <w:t>解释第5号的通知》（财会〔2012〕19号）和《企业会计准则第33号——合并财务报表》第五</w:t>
      </w:r>
      <w:r>
        <w:rPr/>
        <w:t> 十一条关于“一揽子交易”的判断标准（参见本附注四、5（2</w:t>
      </w:r>
      <w:r>
        <w:rPr>
          <w:imprint/>
        </w:rPr>
        <w:t>）</w:t>
      </w:r>
      <w:r>
        <w:rPr>
          <w:shadow w:val="0"/>
        </w:rPr>
        <w:t>，判断该多次交易是否属于</w:t>
      </w:r>
      <w:r>
        <w:rPr>
          <w:shadow w:val="0"/>
          <w:spacing w:val="-89"/>
        </w:rPr>
        <w:t> </w:t>
      </w:r>
      <w:r>
        <w:rPr>
          <w:shadow w:val="0"/>
          <w:spacing w:val="-89"/>
        </w:rPr>
      </w:r>
      <w:r>
        <w:rPr>
          <w:shadow w:val="0"/>
          <w:spacing w:val="-5"/>
        </w:rPr>
        <w:t>“一揽子交易”。属于“一揽子交易”的，参考本部分前面各段描述及本附注四、11“长期股</w:t>
      </w:r>
      <w:r>
        <w:rPr>
          <w:shadow w:val="0"/>
          <w:spacing w:val="-111"/>
        </w:rPr>
        <w:t> </w:t>
      </w:r>
      <w:r>
        <w:rPr>
          <w:shadow w:val="0"/>
          <w:spacing w:val="-111"/>
        </w:rPr>
      </w:r>
      <w:r>
        <w:rPr>
          <w:shadow w:val="0"/>
        </w:rPr>
        <w:t>权投资”进行会计处理；不属于“一揽子交易”的，区分个别财务报表和合并财务报表进行</w:t>
      </w:r>
      <w:r>
        <w:rPr>
          <w:shadow w:val="0"/>
          <w:spacing w:val="-89"/>
        </w:rPr>
        <w:t> </w:t>
      </w:r>
      <w:r>
        <w:rPr>
          <w:shadow w:val="0"/>
          <w:spacing w:val="-89"/>
        </w:rPr>
      </w:r>
      <w:r>
        <w:rPr>
          <w:shadow w:val="0"/>
        </w:rPr>
        <w:t>相关会计处理：</w:t>
      </w:r>
    </w:p>
    <w:p>
      <w:pPr>
        <w:pStyle w:val="BodyText"/>
        <w:spacing w:line="312" w:lineRule="exact"/>
        <w:ind w:right="112" w:firstLine="480"/>
        <w:jc w:val="both"/>
      </w:pPr>
      <w:r>
        <w:rPr/>
        <w:t>在个别财务报表中，以购买日之前所持被购买方的股权投资的账面价值与购买日新增投 资成本之和，作为该项投资的初始投资成本；购买日之前持有的被购买方的股权涉及其他综</w:t>
      </w:r>
      <w:r>
        <w:rPr>
          <w:spacing w:val="-89"/>
        </w:rPr>
        <w:t> </w:t>
      </w:r>
      <w:r>
        <w:rPr>
          <w:spacing w:val="-89"/>
        </w:rPr>
      </w:r>
      <w:r>
        <w:rPr/>
        <w:t>合收益的，在处置该项投资时将与其相关的其他综合收益采用与被购买方直接处置相关资产</w:t>
      </w:r>
      <w:r>
        <w:rPr>
          <w:spacing w:val="-89"/>
        </w:rPr>
        <w:t> </w:t>
      </w:r>
      <w:r>
        <w:rPr>
          <w:spacing w:val="-89"/>
        </w:rPr>
      </w:r>
      <w:r>
        <w:rPr/>
        <w:t>或负债相同的基础进行会计处理（即，除了按照权益法核算的在被购买方重新计量设定受益</w:t>
      </w:r>
      <w:r>
        <w:rPr>
          <w:spacing w:val="-89"/>
        </w:rPr>
        <w:t> </w:t>
      </w:r>
      <w:r>
        <w:rPr>
          <w:spacing w:val="-89"/>
        </w:rPr>
      </w:r>
      <w:r>
        <w:rPr>
          <w:spacing w:val="-4"/>
        </w:rPr>
        <w:t>计划净负债或净资产导致的变动中的相应份额以外，其余转入当期投资收益）。</w:t>
      </w:r>
    </w:p>
    <w:p>
      <w:pPr>
        <w:pStyle w:val="BodyText"/>
        <w:spacing w:line="312" w:lineRule="exact"/>
        <w:ind w:right="112" w:firstLine="480"/>
        <w:jc w:val="both"/>
      </w:pPr>
      <w:r>
        <w:rPr/>
        <w:t>在合并财务报表中，对于购买日之前持有的被购买方的股权，按照该股权在购买日的公 允价值进行重新计量，公允价值与其账面价值的差额计入当期投资收益；购买日之前持有的</w:t>
      </w:r>
      <w:r>
        <w:rPr>
          <w:spacing w:val="-89"/>
        </w:rPr>
        <w:t> </w:t>
      </w:r>
      <w:r>
        <w:rPr>
          <w:spacing w:val="-89"/>
        </w:rPr>
      </w:r>
      <w:r>
        <w:rPr/>
        <w:t>被购买方的股权涉及其他综合收益的，与其相关的其他综合收益应当采用与被购买方直接处</w:t>
      </w:r>
      <w:r>
        <w:rPr>
          <w:spacing w:val="-89"/>
        </w:rPr>
        <w:t> </w:t>
      </w:r>
      <w:r>
        <w:rPr>
          <w:spacing w:val="-89"/>
        </w:rPr>
      </w:r>
      <w:r>
        <w:rPr/>
        <w:t>置相关资产或负债相同的基础进行会计处理（即，除了按照权益法核算的在被购买方重新计</w:t>
      </w:r>
      <w:r>
        <w:rPr>
          <w:spacing w:val="-89"/>
        </w:rPr>
        <w:t> </w:t>
      </w:r>
      <w:r>
        <w:rPr>
          <w:spacing w:val="-89"/>
        </w:rPr>
      </w:r>
      <w:r>
        <w:rPr/>
        <w:t>量设定受益计划净负债或净资产导致的变动中的相应份额以外，其余转为购买日所属当期投</w:t>
      </w:r>
      <w:r>
        <w:rPr>
          <w:spacing w:val="-89"/>
        </w:rPr>
        <w:t> </w:t>
      </w:r>
      <w:r>
        <w:rPr>
          <w:spacing w:val="-89"/>
        </w:rPr>
      </w:r>
      <w:r>
        <w:rPr>
          <w:spacing w:val="-24"/>
        </w:rPr>
        <w:t>资收益）。</w:t>
      </w: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0"/>
        <w:jc w:val="left"/>
      </w:pPr>
      <w:r>
        <w:rPr/>
        <w:t>（1）合并财务报表范围的确定原则 合并财务报表的合并范围以控制为基础予以确定。控制是指本公司拥有对被投资方的权</w:t>
      </w:r>
    </w:p>
    <w:p>
      <w:pPr>
        <w:pStyle w:val="BodyText"/>
        <w:spacing w:line="312" w:lineRule="exact"/>
        <w:ind w:right="112"/>
        <w:jc w:val="both"/>
      </w:pPr>
      <w:r>
        <w:rPr/>
        <w:t>力，通过参与被投资方的相关活动而享有可变回报，并且有能力运用对被投资方的权力影响</w:t>
      </w:r>
      <w:r>
        <w:rPr>
          <w:spacing w:val="-89"/>
        </w:rPr>
        <w:t> </w:t>
      </w:r>
      <w:r>
        <w:rPr>
          <w:spacing w:val="-89"/>
        </w:rPr>
      </w:r>
      <w:r>
        <w:rPr/>
        <w:t>该回报金额。合并范围包括本公司及全部子公司。子公司，是指被本公司控制的主体。</w:t>
      </w:r>
    </w:p>
    <w:p>
      <w:pPr>
        <w:pStyle w:val="BodyText"/>
        <w:spacing w:line="312" w:lineRule="exact"/>
        <w:ind w:right="112" w:firstLine="480"/>
        <w:jc w:val="both"/>
      </w:pPr>
      <w:r>
        <w:rPr/>
        <w:t>一旦相关事实和情况的变化导致上述控制定义涉及的相关要素发生了变化，本公司将进 行重新评估。</w:t>
      </w:r>
    </w:p>
    <w:p>
      <w:pPr>
        <w:pStyle w:val="BodyText"/>
        <w:spacing w:line="312" w:lineRule="exact"/>
        <w:ind w:left="592" w:right="0"/>
        <w:jc w:val="left"/>
      </w:pPr>
      <w:r>
        <w:rPr/>
        <w:t>（2）合并财务报表编制的方法 从取得子公司的净资产和生产经营决策的实际控制权之日起，本公司开始将其纳入合并</w:t>
      </w:r>
    </w:p>
    <w:p>
      <w:pPr>
        <w:pStyle w:val="BodyText"/>
        <w:spacing w:line="312" w:lineRule="exact"/>
        <w:ind w:right="112"/>
        <w:jc w:val="both"/>
      </w:pPr>
      <w:r>
        <w:rPr/>
        <w:t>范围；从丧失实际控制权之日起停止纳入合并范围。对于处置的子公司，处置日前的经营成</w:t>
      </w:r>
      <w:r>
        <w:rPr>
          <w:spacing w:val="-89"/>
        </w:rPr>
        <w:t> </w:t>
      </w:r>
      <w:r>
        <w:rPr>
          <w:spacing w:val="-89"/>
        </w:rPr>
      </w:r>
      <w:r>
        <w:rPr/>
        <w:t>果和现金流量已经适当地包括在合并利润表和合并现金流量表中；当期处置的子公司，不调</w:t>
      </w:r>
      <w:r>
        <w:rPr>
          <w:spacing w:val="-89"/>
        </w:rPr>
        <w:t> </w:t>
      </w:r>
      <w:r>
        <w:rPr>
          <w:spacing w:val="-89"/>
        </w:rPr>
      </w:r>
      <w:r>
        <w:rPr/>
        <w:t>整合并资产负债表的期初数。非同一控制下企业合并增加的子公司，其购买日后的经营成果</w:t>
      </w:r>
      <w:r>
        <w:rPr>
          <w:spacing w:val="-89"/>
        </w:rPr>
        <w:t> </w:t>
      </w:r>
      <w:r>
        <w:rPr>
          <w:spacing w:val="-89"/>
        </w:rPr>
      </w:r>
      <w:r>
        <w:rPr/>
        <w:t>及现金流量已经适当地包括在合并利润表和合并现金流量表中，且不调整合并财务报表的期</w:t>
      </w:r>
    </w:p>
    <w:p>
      <w:pPr>
        <w:spacing w:after="0" w:line="312" w:lineRule="exact"/>
        <w:jc w:val="both"/>
        <w:sectPr>
          <w:pgSz w:w="11910" w:h="16840"/>
          <w:pgMar w:header="907" w:footer="1016" w:top="1100" w:bottom="1200" w:left="1020" w:right="1020"/>
        </w:sectPr>
      </w:pPr>
    </w:p>
    <w:p>
      <w:pPr>
        <w:spacing w:line="240" w:lineRule="auto" w:before="9"/>
        <w:rPr>
          <w:rFonts w:ascii="宋体" w:hAnsi="宋体" w:cs="宋体" w:eastAsia="宋体" w:hint="default"/>
          <w:sz w:val="20"/>
          <w:szCs w:val="20"/>
        </w:rPr>
      </w:pPr>
    </w:p>
    <w:p>
      <w:pPr>
        <w:pStyle w:val="BodyText"/>
        <w:spacing w:line="312" w:lineRule="exact" w:before="56"/>
        <w:ind w:right="232"/>
        <w:jc w:val="both"/>
      </w:pPr>
      <w:r>
        <w:rPr/>
        <w:t>初数和对比数。同一控制下企业合并增加的子公司及吸收合并下的被合并方，其自合并当期</w:t>
      </w:r>
      <w:r>
        <w:rPr>
          <w:spacing w:val="-89"/>
        </w:rPr>
        <w:t> </w:t>
      </w:r>
      <w:r>
        <w:rPr>
          <w:spacing w:val="-89"/>
        </w:rPr>
      </w:r>
      <w:r>
        <w:rPr/>
        <w:t>期初至合并日的经营成果和现金流量已经适当地包括在合并利润表和合并现金流量表中，并</w:t>
      </w:r>
      <w:r>
        <w:rPr>
          <w:spacing w:val="-89"/>
        </w:rPr>
        <w:t> </w:t>
      </w:r>
      <w:r>
        <w:rPr>
          <w:spacing w:val="-89"/>
        </w:rPr>
      </w:r>
      <w:r>
        <w:rPr/>
        <w:t>且同时调整合并财务报表的对比数。</w:t>
      </w:r>
    </w:p>
    <w:p>
      <w:pPr>
        <w:pStyle w:val="BodyText"/>
        <w:spacing w:line="312" w:lineRule="exact"/>
        <w:ind w:right="232" w:firstLine="480"/>
        <w:jc w:val="both"/>
      </w:pPr>
      <w:r>
        <w:rPr/>
        <w:t>在编制合并财务报表时，子公司与本公司采用的会计政策或会计期间不一致的，按照本 公司的会计政策和会计期间对子公司财务报表进行必要的调整。对于非同一控制下企业合并</w:t>
      </w:r>
      <w:r>
        <w:rPr>
          <w:spacing w:val="-89"/>
        </w:rPr>
        <w:t> </w:t>
      </w:r>
      <w:r>
        <w:rPr>
          <w:spacing w:val="-89"/>
        </w:rPr>
      </w:r>
      <w:r>
        <w:rPr/>
        <w:t>取得的子公司，以购买日可辨认净资产公允价值为基础对其财务报表进行调整。</w:t>
      </w:r>
    </w:p>
    <w:p>
      <w:pPr>
        <w:pStyle w:val="BodyText"/>
        <w:spacing w:line="312" w:lineRule="exact"/>
        <w:ind w:left="592" w:right="98"/>
        <w:jc w:val="left"/>
      </w:pPr>
      <w:r>
        <w:rPr/>
        <w:t>公司内所有重大往来余额、交易及未实现利润在合并财务报表编制时予以抵销。 子公司的股东权益及当期净损益中不属于本公司所拥有的部分分别作为少数股东权益及</w:t>
      </w:r>
    </w:p>
    <w:p>
      <w:pPr>
        <w:pStyle w:val="BodyText"/>
        <w:spacing w:line="312" w:lineRule="exact"/>
        <w:ind w:right="232"/>
        <w:jc w:val="both"/>
      </w:pPr>
      <w:r>
        <w:rPr/>
        <w:t>少数股东损益在合并财务报表中股东权益及净利润项下单独列示。子公司当期净损益中属于</w:t>
      </w:r>
      <w:r>
        <w:rPr>
          <w:spacing w:val="-89"/>
        </w:rPr>
        <w:t> </w:t>
      </w:r>
      <w:r>
        <w:rPr>
          <w:spacing w:val="-89"/>
        </w:rPr>
      </w:r>
      <w:r>
        <w:rPr/>
        <w:t>少数股东权益的份额，在合并利润表中净利润项目下以“少数股东损益”项目列示。少数股</w:t>
      </w:r>
      <w:r>
        <w:rPr>
          <w:spacing w:val="-89"/>
        </w:rPr>
        <w:t> </w:t>
      </w:r>
      <w:r>
        <w:rPr>
          <w:spacing w:val="-89"/>
        </w:rPr>
      </w:r>
      <w:r>
        <w:rPr/>
        <w:t>东分担的子公司的亏损超过了少数股东在该子公司期初股东权益中所享有的份额，仍冲减少</w:t>
      </w:r>
      <w:r>
        <w:rPr>
          <w:spacing w:val="-89"/>
        </w:rPr>
        <w:t> </w:t>
      </w:r>
      <w:r>
        <w:rPr>
          <w:spacing w:val="-89"/>
        </w:rPr>
      </w:r>
      <w:r>
        <w:rPr/>
        <w:t>数股东权益。</w:t>
      </w:r>
    </w:p>
    <w:p>
      <w:pPr>
        <w:pStyle w:val="BodyText"/>
        <w:spacing w:line="312" w:lineRule="exact"/>
        <w:ind w:right="229" w:firstLine="480"/>
        <w:jc w:val="left"/>
      </w:pPr>
      <w:r>
        <w:rPr/>
        <w:t>当因处置部分股权投资或其他原因丧失了对原有子公司的控制权时，对于剩余股权，按 照其在丧失控制权日的公允价值进行重新计量。处置股权取得的对价与剩余股权公允价值之</w:t>
      </w:r>
      <w:r>
        <w:rPr>
          <w:spacing w:val="-89"/>
        </w:rPr>
        <w:t> </w:t>
      </w:r>
      <w:r>
        <w:rPr>
          <w:spacing w:val="-89"/>
        </w:rPr>
      </w:r>
      <w:r>
        <w:rPr/>
        <w:t>和，减去按原持股比例计算应享有原有子公司自购买日开始持续计算的净资产的份额之间的</w:t>
      </w:r>
      <w:r>
        <w:rPr>
          <w:spacing w:val="-89"/>
        </w:rPr>
        <w:t> </w:t>
      </w:r>
      <w:r>
        <w:rPr>
          <w:spacing w:val="-89"/>
        </w:rPr>
      </w:r>
      <w:r>
        <w:rPr/>
        <w:t>差额，计入丧失控制权当期的投资收益。与原有子公司股权投资相关的其他综合收益，在丧</w:t>
      </w:r>
      <w:r>
        <w:rPr>
          <w:spacing w:val="-89"/>
        </w:rPr>
        <w:t> </w:t>
      </w:r>
      <w:r>
        <w:rPr>
          <w:spacing w:val="-89"/>
        </w:rPr>
      </w:r>
      <w:r>
        <w:rPr/>
        <w:t>失控制权时采用与被购买方直接处置相关资产或负债相同的基础进行会计处理（即，除了在</w:t>
      </w:r>
      <w:r>
        <w:rPr>
          <w:spacing w:val="-89"/>
        </w:rPr>
        <w:t> </w:t>
      </w:r>
      <w:r>
        <w:rPr>
          <w:spacing w:val="-89"/>
        </w:rPr>
      </w:r>
      <w:r>
        <w:rPr/>
        <w:t>该原有子公司重新计量设定受益计划净负债或净资产导致的变动以外，其余一并转为当期投</w:t>
      </w:r>
      <w:r>
        <w:rPr>
          <w:spacing w:val="-89"/>
        </w:rPr>
        <w:t> </w:t>
      </w:r>
      <w:r>
        <w:rPr>
          <w:spacing w:val="-89"/>
        </w:rPr>
      </w:r>
      <w:r>
        <w:rPr>
          <w:spacing w:val="-3"/>
        </w:rPr>
        <w:t>资收益）。其后，对该部分剩余股权按照《企业会计准则第2号——长期股权投资》或《企业</w:t>
      </w:r>
      <w:r>
        <w:rPr>
          <w:spacing w:val="-86"/>
        </w:rPr>
        <w:t> </w:t>
      </w:r>
      <w:r>
        <w:rPr>
          <w:spacing w:val="-86"/>
        </w:rPr>
      </w:r>
      <w:r>
        <w:rPr>
          <w:spacing w:val="-5"/>
        </w:rPr>
        <w:t>会计准则第22号——金融工具确认和计量》等相关规定进行后续计量，详见本附注四、11“长</w:t>
      </w:r>
      <w:r>
        <w:rPr>
          <w:spacing w:val="-106"/>
        </w:rPr>
        <w:t> </w:t>
      </w:r>
      <w:r>
        <w:rPr>
          <w:spacing w:val="-106"/>
        </w:rPr>
      </w:r>
      <w:r>
        <w:rPr>
          <w:spacing w:val="-6"/>
        </w:rPr>
        <w:t>期股权投资”或本附注四、8“金融工具”。</w:t>
      </w:r>
      <w:r>
        <w:rPr/>
        <w:t> 本公司通过多次交易分步处置对子公司股权投资直至丧失控制权的，需区分处置对子公司股</w:t>
      </w:r>
      <w:r>
        <w:rPr>
          <w:spacing w:val="-89"/>
        </w:rPr>
        <w:t> </w:t>
      </w:r>
      <w:r>
        <w:rPr>
          <w:spacing w:val="-89"/>
        </w:rPr>
      </w:r>
      <w:r>
        <w:rPr/>
        <w:t>权投资直至丧失控制权的各项交易是否属于一揽子交易。处置对子公司股权投资的各项交易</w:t>
      </w:r>
      <w:r>
        <w:rPr>
          <w:spacing w:val="-89"/>
        </w:rPr>
        <w:t> </w:t>
      </w:r>
      <w:r>
        <w:rPr>
          <w:spacing w:val="-89"/>
        </w:rPr>
      </w:r>
      <w:r>
        <w:rPr/>
        <w:t>的条款、条件以及经济影响符合以下一种或多种情况，通常表明应将多次交易事项作为一揽</w:t>
      </w:r>
      <w:r>
        <w:rPr>
          <w:spacing w:val="-89"/>
        </w:rPr>
        <w:t> </w:t>
      </w:r>
      <w:r>
        <w:rPr>
          <w:spacing w:val="-89"/>
        </w:rPr>
      </w:r>
      <w:r>
        <w:rPr/>
        <w:t>子交易进行会计处理：①这些交易是同时或者在考虑了彼此影响的情况下订立的；②这些交</w:t>
      </w:r>
      <w:r>
        <w:rPr>
          <w:spacing w:val="-89"/>
        </w:rPr>
        <w:t> </w:t>
      </w:r>
      <w:r>
        <w:rPr>
          <w:spacing w:val="-89"/>
        </w:rPr>
      </w:r>
      <w:r>
        <w:rPr/>
        <w:t>易整体才能达成一项完整的商业结果；③一项交易的发生取决于其他至少一项交易的发生；</w:t>
      </w:r>
    </w:p>
    <w:p>
      <w:pPr>
        <w:pStyle w:val="BodyText"/>
        <w:spacing w:line="312" w:lineRule="exact"/>
        <w:ind w:right="96"/>
        <w:jc w:val="left"/>
      </w:pPr>
      <w:r>
        <w:rPr>
          <w:spacing w:val="-2"/>
        </w:rPr>
        <w:t>④一项交易单独看是不经济的，但是和其他交易一并考虑时是经济的。不属于一揽子交易的，</w:t>
      </w:r>
      <w:r>
        <w:rPr/>
        <w:t> 对其中的每一项交易视情况分别按照“不丧失控制权的情况下部分处置对子公司的长期股权</w:t>
      </w:r>
      <w:r>
        <w:rPr>
          <w:spacing w:val="-89"/>
        </w:rPr>
        <w:t> </w:t>
      </w:r>
      <w:r>
        <w:rPr>
          <w:spacing w:val="-89"/>
        </w:rPr>
      </w:r>
      <w:r>
        <w:rPr>
          <w:spacing w:val="-8"/>
        </w:rPr>
        <w:t>投资”（详见本附注四、11、（2）④）和“因处置部分股权投资或其他原因丧失了对原有子公</w:t>
      </w:r>
      <w:r>
        <w:rPr>
          <w:spacing w:val="-100"/>
        </w:rPr>
        <w:t> </w:t>
      </w:r>
      <w:r>
        <w:rPr>
          <w:spacing w:val="-100"/>
        </w:rPr>
      </w:r>
      <w:r>
        <w:rPr>
          <w:spacing w:val="-5"/>
        </w:rPr>
        <w:t>司的控制权”（详见前段）适用的原则进行会计处理。处置对子公司股权投资直至丧失控制权</w:t>
      </w:r>
      <w:r>
        <w:rPr>
          <w:spacing w:val="-116"/>
        </w:rPr>
        <w:t> </w:t>
      </w:r>
      <w:r>
        <w:rPr>
          <w:spacing w:val="-116"/>
        </w:rPr>
      </w:r>
      <w:r>
        <w:rPr/>
        <w:t>的各项交易属于一揽子交易的，将各项交易作为一项处置子公司并丧失控制权的交易进行会</w:t>
      </w:r>
      <w:r>
        <w:rPr>
          <w:spacing w:val="-89"/>
        </w:rPr>
        <w:t> </w:t>
      </w:r>
      <w:r>
        <w:rPr>
          <w:spacing w:val="-89"/>
        </w:rPr>
      </w:r>
      <w:r>
        <w:rPr/>
        <w:t>计处理；但是，在丧失控制权之前每一次处置价款与处置投资对应的享有该子公司净资产份</w:t>
      </w:r>
      <w:r>
        <w:rPr>
          <w:spacing w:val="-89"/>
        </w:rPr>
        <w:t> </w:t>
      </w:r>
      <w:r>
        <w:rPr>
          <w:spacing w:val="-89"/>
        </w:rPr>
      </w:r>
      <w:r>
        <w:rPr/>
        <w:t>额的差额，在合并财务报表中确认为其他综合收益，在丧失控制权时一并转入丧失控制权当</w:t>
      </w:r>
      <w:r>
        <w:rPr>
          <w:spacing w:val="-89"/>
        </w:rPr>
        <w:t> </w:t>
      </w:r>
      <w:r>
        <w:rPr>
          <w:spacing w:val="-89"/>
        </w:rPr>
      </w:r>
      <w:r>
        <w:rPr/>
        <w:t>期的损益。</w:t>
      </w: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230" w:firstLine="480"/>
        <w:jc w:val="both"/>
      </w:pPr>
      <w:r>
        <w:rPr/>
        <w:t>本公司现金及现金等价物包括库存现金、可以随时用于支付的存款以及本公司持有的期 </w:t>
      </w:r>
      <w:r>
        <w:rPr>
          <w:spacing w:val="-5"/>
        </w:rPr>
        <w:t>限短（一般为从购买日起，三个月内到期）、流动性强、易于转换为已知金额的现金、价值变</w:t>
      </w:r>
      <w:r>
        <w:rPr>
          <w:spacing w:val="-117"/>
        </w:rPr>
        <w:t> </w:t>
      </w:r>
      <w:r>
        <w:rPr>
          <w:spacing w:val="-117"/>
        </w:rPr>
      </w:r>
      <w:r>
        <w:rPr/>
        <w:t>动风险很小的投资。</w:t>
      </w:r>
    </w:p>
    <w:p>
      <w:pPr>
        <w:spacing w:after="0" w:line="312" w:lineRule="exact"/>
        <w:jc w:val="both"/>
        <w:sectPr>
          <w:pgSz w:w="11910" w:h="16840"/>
          <w:pgMar w:header="907" w:footer="1016" w:top="1100" w:bottom="1200" w:left="1020" w:right="900"/>
        </w:sectPr>
      </w:pPr>
    </w:p>
    <w:p>
      <w:pPr>
        <w:spacing w:line="240" w:lineRule="auto" w:before="10"/>
        <w:rPr>
          <w:rFonts w:ascii="宋体" w:hAnsi="宋体" w:cs="宋体" w:eastAsia="宋体" w:hint="default"/>
          <w:sz w:val="21"/>
          <w:szCs w:val="21"/>
        </w:rPr>
      </w:pPr>
    </w:p>
    <w:p>
      <w:pPr>
        <w:spacing w:before="34"/>
        <w:ind w:left="11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98"/>
        <w:jc w:val="left"/>
      </w:pPr>
      <w:r>
        <w:rPr/>
        <w:t>（1）外币交易的折算方法 </w:t>
      </w:r>
      <w:r>
        <w:rPr>
          <w:spacing w:val="-3"/>
        </w:rPr>
        <w:t>本公司发生的外币交易在初始确认时，按交易日的即期近似汇率折算为记账本位币金额，</w:t>
      </w:r>
    </w:p>
    <w:p>
      <w:pPr>
        <w:pStyle w:val="BodyText"/>
        <w:spacing w:line="312" w:lineRule="exact"/>
        <w:ind w:right="98"/>
        <w:jc w:val="left"/>
      </w:pPr>
      <w:r>
        <w:rPr/>
        <w:t>但公司发生的外币兑换业务或涉及外币兑换的交易事项，按照实际采用的汇率折算为记账本</w:t>
      </w:r>
      <w:r>
        <w:rPr>
          <w:spacing w:val="-89"/>
        </w:rPr>
        <w:t> </w:t>
      </w:r>
      <w:r>
        <w:rPr>
          <w:spacing w:val="-89"/>
        </w:rPr>
      </w:r>
      <w:r>
        <w:rPr/>
        <w:t>位币金额。</w:t>
      </w:r>
    </w:p>
    <w:p>
      <w:pPr>
        <w:pStyle w:val="BodyText"/>
        <w:spacing w:line="312" w:lineRule="exact"/>
        <w:ind w:left="592" w:right="98"/>
        <w:jc w:val="left"/>
      </w:pPr>
      <w:r>
        <w:rPr/>
        <w:t>（2）对于外币货币性项目和外币非货币性项目的折算方法 资产负债表日，对于外币货币性项目采用资产负债表日即期汇率折算，由此产生的汇兑</w:t>
      </w:r>
    </w:p>
    <w:p>
      <w:pPr>
        <w:pStyle w:val="BodyText"/>
        <w:spacing w:line="312" w:lineRule="exact"/>
        <w:ind w:right="232"/>
        <w:jc w:val="both"/>
      </w:pPr>
      <w:r>
        <w:rPr/>
        <w:t>差额，除：①属于与购建符合资本化条件的资产相关的外币专门借款产生的汇兑差额按照借</w:t>
      </w:r>
      <w:r>
        <w:rPr>
          <w:spacing w:val="-89"/>
        </w:rPr>
        <w:t> </w:t>
      </w:r>
      <w:r>
        <w:rPr>
          <w:spacing w:val="-89"/>
        </w:rPr>
      </w:r>
      <w:r>
        <w:rPr/>
        <w:t>款费用资本化的原则处理；②可供出售的外币货币性项目除摊余成本之外的其他账面余额变</w:t>
      </w:r>
      <w:r>
        <w:rPr>
          <w:spacing w:val="-89"/>
        </w:rPr>
        <w:t> </w:t>
      </w:r>
      <w:r>
        <w:rPr>
          <w:spacing w:val="-89"/>
        </w:rPr>
      </w:r>
      <w:r>
        <w:rPr/>
        <w:t>动产生的汇兑差额计入其他综合收益之外，均计入当期损益。</w:t>
      </w:r>
    </w:p>
    <w:p>
      <w:pPr>
        <w:pStyle w:val="BodyText"/>
        <w:spacing w:line="312" w:lineRule="exact"/>
        <w:ind w:right="232" w:firstLine="480"/>
        <w:jc w:val="both"/>
      </w:pPr>
      <w:r>
        <w:rPr/>
        <w:t>编制合并财务报表涉及境外经营的，如有实质上构成对境外经营净投资的外币货币性项 目，因汇率变动而产生的汇兑差额，计入其他综合收益；处置境外经营时，转入处置当期损</w:t>
      </w:r>
      <w:r>
        <w:rPr>
          <w:spacing w:val="-89"/>
        </w:rPr>
        <w:t> </w:t>
      </w:r>
      <w:r>
        <w:rPr>
          <w:spacing w:val="-89"/>
        </w:rPr>
      </w:r>
      <w:r>
        <w:rPr/>
        <w:t>益。</w:t>
      </w:r>
    </w:p>
    <w:p>
      <w:pPr>
        <w:pStyle w:val="BodyText"/>
        <w:spacing w:line="312" w:lineRule="exact"/>
        <w:ind w:right="96" w:firstLine="480"/>
        <w:jc w:val="left"/>
      </w:pPr>
      <w:r>
        <w:rPr/>
        <w:t>以历史成本计量的外币非货币性项目，仍采用交易发生日的即期汇率折算的记账本位币 金额计量。以公允价值计量的外币非货币性项目，采用公允价值确定日的即期汇率折算，折</w:t>
      </w:r>
      <w:r>
        <w:rPr>
          <w:spacing w:val="-89"/>
        </w:rPr>
        <w:t> </w:t>
      </w:r>
      <w:r>
        <w:rPr>
          <w:spacing w:val="-89"/>
        </w:rPr>
      </w:r>
      <w:r>
        <w:rPr>
          <w:spacing w:val="-2"/>
        </w:rPr>
        <w:t>算后的记账本位币金额与原记账本位币金额的差额，作为公允价值变动（含汇率变动）处理，</w:t>
      </w:r>
      <w:r>
        <w:rPr/>
        <w:t> 计入当期损益或确认为其他综合收益。</w:t>
      </w:r>
    </w:p>
    <w:p>
      <w:pPr>
        <w:pStyle w:val="BodyText"/>
        <w:spacing w:line="312" w:lineRule="exact"/>
        <w:ind w:left="592" w:right="98"/>
        <w:jc w:val="left"/>
      </w:pPr>
      <w:r>
        <w:rPr/>
        <w:t>（3）外币财务报表的折算方法 编制合并财务报表涉及境外经营的，如有实质上构成对境外经营净投资的外币货币性项</w:t>
      </w:r>
    </w:p>
    <w:p>
      <w:pPr>
        <w:pStyle w:val="BodyText"/>
        <w:spacing w:line="312" w:lineRule="exact"/>
        <w:ind w:right="98"/>
        <w:jc w:val="left"/>
      </w:pPr>
      <w:r>
        <w:rPr/>
        <w:t>目，因汇率变动而产生的汇兑差额，作为“外币报表折算差额”确认为其他综合收益；处置</w:t>
      </w:r>
      <w:r>
        <w:rPr>
          <w:spacing w:val="-89"/>
        </w:rPr>
        <w:t> </w:t>
      </w:r>
      <w:r>
        <w:rPr>
          <w:spacing w:val="-89"/>
        </w:rPr>
      </w:r>
      <w:r>
        <w:rPr/>
        <w:t>境外经营时，计入处置当期损益。</w:t>
      </w:r>
    </w:p>
    <w:p>
      <w:pPr>
        <w:pStyle w:val="BodyText"/>
        <w:spacing w:line="312" w:lineRule="exact"/>
        <w:ind w:right="232" w:firstLine="480"/>
        <w:jc w:val="both"/>
      </w:pPr>
      <w:r>
        <w:rPr/>
        <w:t>境外经营的外币财务报表按以下方法折算为人民币报表：资产负债表中的资产和负债项 目，采用资产负债表日的即期汇率折算；股东权益类项目除“未分配利润”项目外，其他项</w:t>
      </w:r>
      <w:r>
        <w:rPr>
          <w:spacing w:val="-89"/>
        </w:rPr>
        <w:t> </w:t>
      </w:r>
      <w:r>
        <w:rPr>
          <w:spacing w:val="-89"/>
        </w:rPr>
      </w:r>
      <w:r>
        <w:rPr/>
        <w:t>目采用发生时的即期汇率折算。利润表中的收入和费用项目，采用交易发生日的即期近似汇</w:t>
      </w:r>
      <w:r>
        <w:rPr>
          <w:spacing w:val="-89"/>
        </w:rPr>
        <w:t> </w:t>
      </w:r>
      <w:r>
        <w:rPr>
          <w:spacing w:val="-89"/>
        </w:rPr>
      </w:r>
      <w:r>
        <w:rPr/>
        <w:t>率折算。年初未分配利润为上一年折算后的年末未分配利润；年末未分配利润按折算后的利</w:t>
      </w:r>
      <w:r>
        <w:rPr>
          <w:spacing w:val="-89"/>
        </w:rPr>
        <w:t> </w:t>
      </w:r>
      <w:r>
        <w:rPr>
          <w:spacing w:val="-89"/>
        </w:rPr>
      </w:r>
      <w:r>
        <w:rPr/>
        <w:t>润分配各项目计算列示；折算后资产类项目与负债类项目和股东权益类项目合计数的差额，</w:t>
      </w:r>
      <w:r>
        <w:rPr>
          <w:spacing w:val="-89"/>
        </w:rPr>
        <w:t> </w:t>
      </w:r>
      <w:r>
        <w:rPr>
          <w:spacing w:val="-89"/>
        </w:rPr>
      </w:r>
      <w:r>
        <w:rPr/>
        <w:t>作为外币报表折算差额，确认为其他综合收益。处置境外经营并丧失控制权时，将资产负债</w:t>
      </w:r>
      <w:r>
        <w:rPr>
          <w:spacing w:val="-89"/>
        </w:rPr>
        <w:t> </w:t>
      </w:r>
      <w:r>
        <w:rPr>
          <w:spacing w:val="-89"/>
        </w:rPr>
      </w:r>
      <w:r>
        <w:rPr/>
        <w:t>表中股东权益项目下列示的、与该境外经营相关的外币报表折算差额，全部或按处置该境外</w:t>
      </w:r>
      <w:r>
        <w:rPr>
          <w:spacing w:val="-89"/>
        </w:rPr>
        <w:t> </w:t>
      </w:r>
      <w:r>
        <w:rPr>
          <w:spacing w:val="-89"/>
        </w:rPr>
      </w:r>
      <w:r>
        <w:rPr/>
        <w:t>经营的比例转入处置当期损益。</w:t>
      </w:r>
    </w:p>
    <w:p>
      <w:pPr>
        <w:pStyle w:val="BodyText"/>
        <w:spacing w:line="312" w:lineRule="exact"/>
        <w:ind w:right="232" w:firstLine="480"/>
        <w:jc w:val="both"/>
      </w:pPr>
      <w:r>
        <w:rPr/>
        <w:t>外币现金流量以及境外子公司的现金流量，采用现金流量发生日的即期汇率折算。汇率 变动对现金的影响额作为调节项目，在现金流量表中单独列报。</w:t>
      </w:r>
    </w:p>
    <w:p>
      <w:pPr>
        <w:pStyle w:val="BodyText"/>
        <w:spacing w:line="312" w:lineRule="exact"/>
        <w:ind w:left="592" w:right="98"/>
        <w:jc w:val="left"/>
      </w:pPr>
      <w:r>
        <w:rPr/>
        <w:t>年初数和上年实际数按照上年财务报表折算后的数额列示。 在处置本公司在境外经营的全部所有者权益或因处置部分股权投资或其他原因丧失了对</w:t>
      </w:r>
    </w:p>
    <w:p>
      <w:pPr>
        <w:pStyle w:val="BodyText"/>
        <w:spacing w:line="312" w:lineRule="exact"/>
        <w:ind w:right="98"/>
        <w:jc w:val="left"/>
      </w:pPr>
      <w:r>
        <w:rPr/>
        <w:t>境外经营控制权时，将资产负债表中所有者权益项目下列示的、与该境外经营相关的归属于</w:t>
      </w:r>
      <w:r>
        <w:rPr>
          <w:spacing w:val="-89"/>
        </w:rPr>
        <w:t> </w:t>
      </w:r>
      <w:r>
        <w:rPr>
          <w:spacing w:val="-89"/>
        </w:rPr>
      </w:r>
      <w:r>
        <w:rPr/>
        <w:t>母公司所有者权益的外币报表折算差额，全部转入处置当期损益。 在处置部分股权投资或其他原因导致持有境外经营权益比例降低但不丧失对境外经营控制权</w:t>
      </w:r>
      <w:r>
        <w:rPr>
          <w:spacing w:val="-89"/>
        </w:rPr>
        <w:t> </w:t>
      </w:r>
      <w:r>
        <w:rPr>
          <w:spacing w:val="-89"/>
        </w:rPr>
      </w:r>
      <w:r>
        <w:rPr/>
        <w:t>时，与该境外经营处置部分相关的外币报表折算差额将归属于少数股东权益，不转入当期损</w:t>
      </w:r>
      <w:r>
        <w:rPr>
          <w:spacing w:val="-89"/>
        </w:rPr>
        <w:t> </w:t>
      </w:r>
      <w:r>
        <w:rPr>
          <w:spacing w:val="-89"/>
        </w:rPr>
      </w:r>
      <w:r>
        <w:rPr/>
        <w:t>益。在处置境外经营为联营企业或合营企业的部分股权时，与该境外经营相关的外币报表折</w:t>
      </w:r>
      <w:r>
        <w:rPr>
          <w:spacing w:val="-89"/>
        </w:rPr>
        <w:t> </w:t>
      </w:r>
      <w:r>
        <w:rPr>
          <w:spacing w:val="-89"/>
        </w:rPr>
      </w:r>
      <w:r>
        <w:rPr/>
        <w:t>算差额，按处置该境外经营的比例转入处置当期损益。</w:t>
      </w:r>
    </w:p>
    <w:p>
      <w:pPr>
        <w:spacing w:line="240" w:lineRule="auto" w:before="7"/>
        <w:rPr>
          <w:rFonts w:ascii="宋体" w:hAnsi="宋体" w:cs="宋体" w:eastAsia="宋体" w:hint="default"/>
          <w:sz w:val="22"/>
          <w:szCs w:val="22"/>
        </w:rPr>
      </w:pPr>
    </w:p>
    <w:p>
      <w:pPr>
        <w:spacing w:before="0"/>
        <w:ind w:left="11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592" w:right="98"/>
        <w:jc w:val="left"/>
      </w:pPr>
      <w:r>
        <w:rPr/>
        <w:t>在本公司成为金融工具合同的一方时确认一项金融资产或金融负债。金融资产和金融负</w:t>
      </w:r>
    </w:p>
    <w:p>
      <w:pPr>
        <w:spacing w:after="0" w:line="240" w:lineRule="auto"/>
        <w:jc w:val="left"/>
        <w:sectPr>
          <w:pgSz w:w="11910" w:h="16840"/>
          <w:pgMar w:header="907" w:footer="1016" w:top="1100" w:bottom="1200" w:left="1020" w:right="900"/>
        </w:sectPr>
      </w:pPr>
    </w:p>
    <w:p>
      <w:pPr>
        <w:spacing w:line="240" w:lineRule="auto" w:before="9"/>
        <w:rPr>
          <w:rFonts w:ascii="宋体" w:hAnsi="宋体" w:cs="宋体" w:eastAsia="宋体" w:hint="default"/>
          <w:sz w:val="20"/>
          <w:szCs w:val="20"/>
        </w:rPr>
      </w:pPr>
    </w:p>
    <w:p>
      <w:pPr>
        <w:pStyle w:val="BodyText"/>
        <w:spacing w:line="312" w:lineRule="exact" w:before="56"/>
        <w:ind w:right="112"/>
        <w:jc w:val="both"/>
      </w:pPr>
      <w:r>
        <w:rPr/>
        <w:t>债在初始确认时以公允价值计量。对于以公允价值计量且其变动计入当期损益的金融资产和</w:t>
      </w:r>
      <w:r>
        <w:rPr>
          <w:spacing w:val="-89"/>
        </w:rPr>
        <w:t> </w:t>
      </w:r>
      <w:r>
        <w:rPr>
          <w:spacing w:val="-89"/>
        </w:rPr>
      </w:r>
      <w:r>
        <w:rPr/>
        <w:t>金融负债，相关的交易费用直接计入损益，对于其他类别的金融资产和金融负债，相关交易</w:t>
      </w:r>
      <w:r>
        <w:rPr>
          <w:spacing w:val="-89"/>
        </w:rPr>
        <w:t> </w:t>
      </w:r>
      <w:r>
        <w:rPr>
          <w:spacing w:val="-89"/>
        </w:rPr>
      </w:r>
      <w:r>
        <w:rPr/>
        <w:t>费用计入初始确认金额。</w:t>
      </w:r>
    </w:p>
    <w:p>
      <w:pPr>
        <w:pStyle w:val="BodyText"/>
        <w:spacing w:line="312" w:lineRule="exact"/>
        <w:ind w:left="592" w:right="0"/>
        <w:jc w:val="left"/>
      </w:pPr>
      <w:r>
        <w:rPr/>
        <w:t>（1）金融资产和金融负债的公允价值确定方法 公允价值，是指市场参与者在计量日发生的有序交易中，出售一项资产所能收到或者转</w:t>
      </w:r>
    </w:p>
    <w:p>
      <w:pPr>
        <w:pStyle w:val="BodyText"/>
        <w:spacing w:line="312" w:lineRule="exact"/>
        <w:ind w:right="112"/>
        <w:jc w:val="both"/>
      </w:pPr>
      <w:r>
        <w:rPr/>
        <w:t>移一项负债所需支付的价格。金融工具存在活跃市场的，本公司采用活跃市场中的报价确定</w:t>
      </w:r>
      <w:r>
        <w:rPr>
          <w:spacing w:val="-89"/>
        </w:rPr>
        <w:t> </w:t>
      </w:r>
      <w:r>
        <w:rPr>
          <w:spacing w:val="-89"/>
        </w:rPr>
      </w:r>
      <w:r>
        <w:rPr/>
        <w:t>其公允价值。活跃市场中的报价是指易于定期从交易所、经纪商、行业协会、定价服务机构</w:t>
      </w:r>
      <w:r>
        <w:rPr>
          <w:spacing w:val="-89"/>
        </w:rPr>
        <w:t> </w:t>
      </w:r>
      <w:r>
        <w:rPr>
          <w:spacing w:val="-89"/>
        </w:rPr>
      </w:r>
      <w:r>
        <w:rPr/>
        <w:t>等获得的价格，且代表了在公平交易中实际发生的市场交易的价格。金融工具不存在活跃市</w:t>
      </w:r>
      <w:r>
        <w:rPr>
          <w:spacing w:val="-89"/>
        </w:rPr>
        <w:t> </w:t>
      </w:r>
      <w:r>
        <w:rPr>
          <w:spacing w:val="-89"/>
        </w:rPr>
      </w:r>
      <w:r>
        <w:rPr/>
        <w:t>场的，本公司采用估值技术确定其公允价值。估值技术包括参考熟悉情况并自愿交易的各方</w:t>
      </w:r>
      <w:r>
        <w:rPr>
          <w:spacing w:val="-89"/>
        </w:rPr>
        <w:t> </w:t>
      </w:r>
      <w:r>
        <w:rPr>
          <w:spacing w:val="-89"/>
        </w:rPr>
      </w:r>
      <w:r>
        <w:rPr/>
        <w:t>最近进行的市场交易中使用的价格、参照实质上相同的其他金融工具当前的公允价值、现金</w:t>
      </w:r>
      <w:r>
        <w:rPr>
          <w:spacing w:val="-89"/>
        </w:rPr>
        <w:t> </w:t>
      </w:r>
      <w:r>
        <w:rPr>
          <w:spacing w:val="-89"/>
        </w:rPr>
      </w:r>
      <w:r>
        <w:rPr/>
        <w:t>流量折现法和期权定价模型等。</w:t>
      </w:r>
    </w:p>
    <w:p>
      <w:pPr>
        <w:pStyle w:val="BodyText"/>
        <w:spacing w:line="312" w:lineRule="exact"/>
        <w:ind w:left="592" w:right="0"/>
        <w:jc w:val="left"/>
      </w:pPr>
      <w:r>
        <w:rPr/>
        <w:t>（2）金融资产的分类、确认和计量 以常规方式买卖金融资产，按交易日进行会计确认和终止确认。金融资产在初始确认时</w:t>
      </w:r>
    </w:p>
    <w:p>
      <w:pPr>
        <w:pStyle w:val="BodyText"/>
        <w:spacing w:line="312" w:lineRule="exact"/>
        <w:ind w:right="112"/>
        <w:jc w:val="both"/>
      </w:pPr>
      <w:r>
        <w:rPr/>
        <w:t>划分为以公允价值计量且其变动计入当期损益的金融资产、持有至到期投资、贷款和应收款</w:t>
      </w:r>
      <w:r>
        <w:rPr>
          <w:spacing w:val="-89"/>
        </w:rPr>
        <w:t> </w:t>
      </w:r>
      <w:r>
        <w:rPr>
          <w:spacing w:val="-89"/>
        </w:rPr>
      </w:r>
      <w:r>
        <w:rPr/>
        <w:t>项以及可供出售金融资产。</w:t>
      </w:r>
    </w:p>
    <w:p>
      <w:pPr>
        <w:pStyle w:val="BodyText"/>
        <w:spacing w:line="312" w:lineRule="exact"/>
        <w:ind w:left="592" w:right="0"/>
        <w:jc w:val="left"/>
      </w:pPr>
      <w:r>
        <w:rPr/>
        <w:t>①以公允价值计量且其变动计入当期损益的金融资产 包括交易性金融资产和指定为以公允价值计量且其变动计入当期损益的金融资产。本公</w:t>
      </w:r>
    </w:p>
    <w:p>
      <w:pPr>
        <w:pStyle w:val="BodyText"/>
        <w:spacing w:line="312" w:lineRule="exact"/>
        <w:ind w:left="592" w:right="0" w:hanging="480"/>
        <w:jc w:val="left"/>
      </w:pPr>
      <w:r>
        <w:rPr/>
        <w:t>司以公允价值计量且其变动计入当期损益的金融资产均为交易性金融资产。 交易性金融资产是指满足下列条件之一的金融资产：A.取得该金融资产的目的，主要是</w:t>
      </w:r>
    </w:p>
    <w:p>
      <w:pPr>
        <w:pStyle w:val="BodyText"/>
        <w:spacing w:line="312" w:lineRule="exact"/>
        <w:ind w:left="0" w:right="112"/>
        <w:jc w:val="right"/>
      </w:pPr>
      <w:r>
        <w:rPr/>
        <w:t>为了近期内出售或回购；B.属于进行集中管理的可辨认金融工具组合的一部分，且有客观证</w:t>
      </w:r>
      <w:r>
        <w:rPr>
          <w:spacing w:val="-103"/>
        </w:rPr>
        <w:t> </w:t>
      </w:r>
      <w:r>
        <w:rPr>
          <w:spacing w:val="-103"/>
        </w:rPr>
      </w:r>
      <w:r>
        <w:rPr/>
        <w:t>据表明本公司近期采用短期获利方式对该组合进行管理；C.属于衍生工具，但是，被指定且</w:t>
      </w:r>
      <w:r>
        <w:rPr>
          <w:spacing w:val="-103"/>
        </w:rPr>
        <w:t> </w:t>
      </w:r>
      <w:r>
        <w:rPr>
          <w:spacing w:val="-103"/>
        </w:rPr>
      </w:r>
      <w:r>
        <w:rPr/>
        <w:t>为有效套期工具的衍生工具、属于财务担保合同的衍生工具、与在活跃市场中没有报价且其</w:t>
      </w:r>
      <w:r>
        <w:rPr>
          <w:spacing w:val="-103"/>
        </w:rPr>
        <w:t> </w:t>
      </w:r>
      <w:r>
        <w:rPr>
          <w:spacing w:val="-103"/>
        </w:rPr>
      </w:r>
      <w:r>
        <w:rPr/>
        <w:t>公允价值不能可靠计量的权益工具投资挂钩并须通过交付该权益工具结算的衍生工具除外。 交易性金融资产采用公允价值进行后续计量，公允价值变动形成的利得或损失以及与该</w:t>
      </w:r>
    </w:p>
    <w:p>
      <w:pPr>
        <w:pStyle w:val="BodyText"/>
        <w:spacing w:line="282" w:lineRule="exact"/>
        <w:ind w:right="0"/>
        <w:jc w:val="both"/>
      </w:pPr>
      <w:r>
        <w:rPr/>
        <w:t>金融资产相关的股利和利息收入计入当期损益。</w:t>
      </w:r>
    </w:p>
    <w:p>
      <w:pPr>
        <w:pStyle w:val="BodyText"/>
        <w:spacing w:line="312" w:lineRule="exact" w:before="29"/>
        <w:ind w:left="592" w:right="0"/>
        <w:jc w:val="left"/>
      </w:pPr>
      <w:r>
        <w:rPr/>
        <w:t>②持有至到期投资 是指到期日固定、回收金额固定或可确定，且本公司有明确意图和能力持有至到期的非</w:t>
      </w:r>
    </w:p>
    <w:p>
      <w:pPr>
        <w:pStyle w:val="BodyText"/>
        <w:spacing w:line="312" w:lineRule="exact"/>
        <w:ind w:left="592" w:right="0" w:hanging="480"/>
        <w:jc w:val="left"/>
      </w:pPr>
      <w:r>
        <w:rPr/>
        <w:t>衍生金融资产。 持有至到期投资采用实际利率法，按摊余成本进行后续计量，在终止确认、发生减值或</w:t>
      </w:r>
    </w:p>
    <w:p>
      <w:pPr>
        <w:pStyle w:val="BodyText"/>
        <w:spacing w:line="312" w:lineRule="exact"/>
        <w:ind w:left="592" w:right="0" w:hanging="480"/>
        <w:jc w:val="left"/>
      </w:pPr>
      <w:r>
        <w:rPr/>
        <w:t>摊销时产生的利得或损失，计入当期损益。 实际利率法是指按照金融资产或金融负债（含一组金融资产或金融负债）的实际利率计</w:t>
      </w:r>
    </w:p>
    <w:p>
      <w:pPr>
        <w:pStyle w:val="BodyText"/>
        <w:spacing w:line="312" w:lineRule="exact"/>
        <w:ind w:right="112"/>
        <w:jc w:val="both"/>
      </w:pPr>
      <w:r>
        <w:rPr/>
        <w:t>算其摊余成本及各期利息收入或支出的方法。实际利率是指将金融资产或金融负债在预期存</w:t>
      </w:r>
      <w:r>
        <w:rPr>
          <w:spacing w:val="-89"/>
        </w:rPr>
        <w:t> </w:t>
      </w:r>
      <w:r>
        <w:rPr>
          <w:spacing w:val="-89"/>
        </w:rPr>
      </w:r>
      <w:r>
        <w:rPr/>
        <w:t>续期间或适用的更短期间内的未来现金流量，折现为该金融资产或金融负债当前账面价值所</w:t>
      </w:r>
      <w:r>
        <w:rPr>
          <w:spacing w:val="-89"/>
        </w:rPr>
        <w:t> </w:t>
      </w:r>
      <w:r>
        <w:rPr>
          <w:spacing w:val="-89"/>
        </w:rPr>
      </w:r>
      <w:r>
        <w:rPr/>
        <w:t>使用的利率。</w:t>
      </w:r>
    </w:p>
    <w:p>
      <w:pPr>
        <w:pStyle w:val="BodyText"/>
        <w:spacing w:line="312" w:lineRule="exact"/>
        <w:ind w:right="112" w:firstLine="480"/>
        <w:jc w:val="both"/>
      </w:pPr>
      <w:r>
        <w:rPr/>
        <w:t>在计算实际利率时，本公司将在考虑金融资产或金融负债所有合同条款的基础上预计未 </w:t>
      </w:r>
      <w:r>
        <w:rPr>
          <w:spacing w:val="-5"/>
        </w:rPr>
        <w:t>来现金流量（不考虑未来的信用损失），同时还将考虑金融资产或金融负债合同各方之间支付</w:t>
      </w:r>
      <w:r>
        <w:rPr>
          <w:spacing w:val="-117"/>
        </w:rPr>
        <w:t> </w:t>
      </w:r>
      <w:r>
        <w:rPr>
          <w:spacing w:val="-117"/>
        </w:rPr>
      </w:r>
      <w:r>
        <w:rPr/>
        <w:t>或收取的、属于实际利率组成部分的各项收费、交易费用及折价或溢价等。</w:t>
      </w:r>
    </w:p>
    <w:p>
      <w:pPr>
        <w:pStyle w:val="BodyText"/>
        <w:spacing w:line="312" w:lineRule="exact"/>
        <w:ind w:left="592" w:right="0"/>
        <w:jc w:val="left"/>
      </w:pPr>
      <w:r>
        <w:rPr/>
        <w:t>③贷款和应收款项 是指在活跃市场中没有报价、回收金额固定或可确定的非衍生金融资产。本公司划分为</w:t>
      </w:r>
    </w:p>
    <w:p>
      <w:pPr>
        <w:pStyle w:val="BodyText"/>
        <w:spacing w:line="312" w:lineRule="exact"/>
        <w:ind w:left="592" w:right="0" w:hanging="480"/>
        <w:jc w:val="left"/>
      </w:pPr>
      <w:r>
        <w:rPr/>
        <w:t>贷款和应收款的金融资产包括应收票据、应收账款、应收利息、应收股利及其他应收款等。 贷款和应收款项采用实际利率法，按摊余成本进行后续计量，在终止确认、发生减值或</w:t>
      </w:r>
    </w:p>
    <w:p>
      <w:pPr>
        <w:pStyle w:val="BodyText"/>
        <w:spacing w:line="282" w:lineRule="exact"/>
        <w:ind w:right="0"/>
        <w:jc w:val="both"/>
      </w:pPr>
      <w:r>
        <w:rPr/>
        <w:t>摊销时产生的利得或损失，计入当期损益。</w:t>
      </w:r>
    </w:p>
    <w:p>
      <w:pPr>
        <w:pStyle w:val="BodyText"/>
        <w:spacing w:line="312" w:lineRule="exact" w:before="29"/>
        <w:ind w:left="592" w:right="0"/>
        <w:jc w:val="left"/>
      </w:pPr>
      <w:r>
        <w:rPr/>
        <w:t>④可供出售金融资产 包括初始确认时即被指定为可供出售的非衍生金融资产，以及除了以公允价值计量且其</w:t>
      </w:r>
    </w:p>
    <w:p>
      <w:pPr>
        <w:spacing w:after="0" w:line="312" w:lineRule="exact"/>
        <w:jc w:val="left"/>
        <w:sectPr>
          <w:pgSz w:w="11910" w:h="16840"/>
          <w:pgMar w:header="907" w:footer="1016" w:top="1100" w:bottom="1200" w:left="1020" w:right="1020"/>
        </w:sectPr>
      </w:pPr>
    </w:p>
    <w:p>
      <w:pPr>
        <w:spacing w:line="240" w:lineRule="auto" w:before="9"/>
        <w:rPr>
          <w:rFonts w:ascii="宋体" w:hAnsi="宋体" w:cs="宋体" w:eastAsia="宋体" w:hint="default"/>
          <w:sz w:val="20"/>
          <w:szCs w:val="20"/>
        </w:rPr>
      </w:pPr>
    </w:p>
    <w:p>
      <w:pPr>
        <w:pStyle w:val="BodyText"/>
        <w:spacing w:line="312" w:lineRule="exact" w:before="56"/>
        <w:ind w:left="592" w:right="94" w:hanging="480"/>
        <w:jc w:val="left"/>
      </w:pPr>
      <w:r>
        <w:rPr/>
        <w:t>变动计入当期损益的金融资产、贷款和应收款项、持有至到期投资以外的金融资产。 可供出售债务工具投资的期末成本按照其摊余成本法确定，即初始确认金额扣除已偿还</w:t>
      </w:r>
    </w:p>
    <w:p>
      <w:pPr>
        <w:pStyle w:val="BodyText"/>
        <w:spacing w:line="312" w:lineRule="exact"/>
        <w:ind w:right="192"/>
        <w:jc w:val="both"/>
      </w:pPr>
      <w:r>
        <w:rPr/>
        <w:t>的本金，加上或减去采用实际利率法将该初始确认金额与到期日金额之间的差额进行摊销形</w:t>
      </w:r>
      <w:r>
        <w:rPr>
          <w:spacing w:val="-89"/>
        </w:rPr>
        <w:t> </w:t>
      </w:r>
      <w:r>
        <w:rPr>
          <w:spacing w:val="-89"/>
        </w:rPr>
      </w:r>
      <w:r>
        <w:rPr/>
        <w:t>成的累计摊销额，并扣除已发生的减值损失后的金额。可供出售权益工具投资的期末成本为</w:t>
      </w:r>
      <w:r>
        <w:rPr>
          <w:spacing w:val="-89"/>
        </w:rPr>
        <w:t> </w:t>
      </w:r>
      <w:r>
        <w:rPr>
          <w:spacing w:val="-89"/>
        </w:rPr>
      </w:r>
      <w:r>
        <w:rPr/>
        <w:t>其初始取得成本。</w:t>
      </w:r>
    </w:p>
    <w:p>
      <w:pPr>
        <w:pStyle w:val="BodyText"/>
        <w:spacing w:line="312" w:lineRule="exact"/>
        <w:ind w:right="192" w:firstLine="480"/>
        <w:jc w:val="both"/>
      </w:pPr>
      <w:r>
        <w:rPr/>
        <w:t>可供出售金融资产采用公允价值进行后续计量，公允价值变动形成的利得或损失，除减 值损失和外币货币性金融资产与摊余成本相关的汇兑差额计入当期损益外，确认为其他综合</w:t>
      </w:r>
      <w:r>
        <w:rPr>
          <w:spacing w:val="-89"/>
        </w:rPr>
        <w:t> </w:t>
      </w:r>
      <w:r>
        <w:rPr>
          <w:spacing w:val="-89"/>
        </w:rPr>
      </w:r>
      <w:r>
        <w:rPr/>
        <w:t>收益，在该金融资产终止确认时转出，计入当期损益。但是，在活跃市场中没有报价且其公</w:t>
      </w:r>
      <w:r>
        <w:rPr>
          <w:spacing w:val="-89"/>
        </w:rPr>
        <w:t> </w:t>
      </w:r>
      <w:r>
        <w:rPr>
          <w:spacing w:val="-89"/>
        </w:rPr>
      </w:r>
      <w:r>
        <w:rPr/>
        <w:t>允价值不能可靠计量的权益工具投资，以及与该权益工具挂钩并须通过交付该权益工具结算</w:t>
      </w:r>
      <w:r>
        <w:rPr>
          <w:spacing w:val="-89"/>
        </w:rPr>
        <w:t> </w:t>
      </w:r>
      <w:r>
        <w:rPr>
          <w:spacing w:val="-89"/>
        </w:rPr>
      </w:r>
      <w:r>
        <w:rPr/>
        <w:t>的衍生金融资产，按照成本进行后续计量。</w:t>
      </w:r>
    </w:p>
    <w:p>
      <w:pPr>
        <w:pStyle w:val="BodyText"/>
        <w:spacing w:line="312" w:lineRule="exact"/>
        <w:ind w:right="192" w:firstLine="480"/>
        <w:jc w:val="both"/>
      </w:pPr>
      <w:r>
        <w:rPr/>
        <w:t>可供出售金融资产持有期间取得的利息及被投资单位宣告发放的现金股利，计入投资收 益。</w:t>
      </w:r>
    </w:p>
    <w:p>
      <w:pPr>
        <w:pStyle w:val="BodyText"/>
        <w:spacing w:line="312" w:lineRule="exact"/>
        <w:ind w:left="592" w:right="94"/>
        <w:jc w:val="left"/>
      </w:pPr>
      <w:r>
        <w:rPr/>
        <w:t>（3）金融资产减值 本公司在每个资产负债表日对金融资产的账面价值进行检查，有客观证据表明金融资产</w:t>
      </w:r>
    </w:p>
    <w:p>
      <w:pPr>
        <w:pStyle w:val="BodyText"/>
        <w:spacing w:line="312" w:lineRule="exact"/>
        <w:ind w:left="592" w:right="94" w:hanging="480"/>
        <w:jc w:val="left"/>
      </w:pPr>
      <w:r>
        <w:rPr/>
        <w:t>发生减值的，计提减值准备。 本公司对单项金额重大的金融资产单独进行减值测试；对单项金额不重大的金融资产，</w:t>
      </w:r>
    </w:p>
    <w:p>
      <w:pPr>
        <w:pStyle w:val="BodyText"/>
        <w:spacing w:line="312" w:lineRule="exact"/>
        <w:ind w:right="192"/>
        <w:jc w:val="both"/>
      </w:pPr>
      <w:r>
        <w:rPr/>
        <w:t>单独进行减值测试或包括在具有类似信用风险特征的金融资产组合中进行减值测试。单独测</w:t>
      </w:r>
      <w:r>
        <w:rPr>
          <w:spacing w:val="-89"/>
        </w:rPr>
        <w:t> </w:t>
      </w:r>
      <w:r>
        <w:rPr>
          <w:spacing w:val="-89"/>
        </w:rPr>
      </w:r>
      <w:r>
        <w:rPr>
          <w:spacing w:val="-5"/>
        </w:rPr>
        <w:t>试未发生减值的金融资产（包括单项金额重大和不重大的金融资产），包括在具有类似信用风</w:t>
      </w:r>
      <w:r>
        <w:rPr>
          <w:spacing w:val="-117"/>
        </w:rPr>
        <w:t> </w:t>
      </w:r>
      <w:r>
        <w:rPr>
          <w:spacing w:val="-117"/>
        </w:rPr>
      </w:r>
      <w:r>
        <w:rPr/>
        <w:t>险特征的金融资产组合中再进行减值测试。已单项确认减值损失的金融资产，不包括在具有</w:t>
      </w:r>
      <w:r>
        <w:rPr>
          <w:spacing w:val="-89"/>
        </w:rPr>
        <w:t> </w:t>
      </w:r>
      <w:r>
        <w:rPr>
          <w:spacing w:val="-89"/>
        </w:rPr>
      </w:r>
      <w:r>
        <w:rPr/>
        <w:t>类似信用风险特征的金融资产组合中进行减值测试。</w:t>
      </w:r>
    </w:p>
    <w:p>
      <w:pPr>
        <w:pStyle w:val="BodyText"/>
        <w:spacing w:line="312" w:lineRule="exact"/>
        <w:ind w:left="592" w:right="176"/>
        <w:jc w:val="left"/>
      </w:pPr>
      <w:r>
        <w:rPr/>
        <w:t>（4）金融资产转移的确认依据和计量方法 </w:t>
      </w:r>
      <w:r>
        <w:rPr>
          <w:spacing w:val="-4"/>
        </w:rPr>
        <w:t>满足下列条件之一的金融资产，予以终止确认：①</w:t>
      </w:r>
      <w:r>
        <w:rPr>
          <w:spacing w:val="6"/>
        </w:rPr>
        <w:t> </w:t>
      </w:r>
      <w:r>
        <w:rPr/>
        <w:t>收取该金融资产现金流量的合同权利</w:t>
      </w:r>
    </w:p>
    <w:p>
      <w:pPr>
        <w:pStyle w:val="BodyText"/>
        <w:spacing w:line="282" w:lineRule="exact"/>
        <w:ind w:right="0"/>
        <w:jc w:val="both"/>
      </w:pPr>
      <w:r>
        <w:rPr/>
        <w:t>终止；② 该金融资产已转移，且将金融资产所有权上几乎所有的风险和报酬转移给转入方；</w:t>
      </w:r>
    </w:p>
    <w:p>
      <w:pPr>
        <w:pStyle w:val="BodyText"/>
        <w:spacing w:line="312" w:lineRule="exact" w:before="29"/>
        <w:ind w:right="195"/>
        <w:jc w:val="both"/>
      </w:pPr>
      <w:r>
        <w:rPr/>
        <w:t>③该金融资产已转移，虽然企业既没有转移也没有保留金融资产所有权上几乎所有的风险和</w:t>
      </w:r>
      <w:r>
        <w:rPr>
          <w:spacing w:val="-91"/>
        </w:rPr>
        <w:t> </w:t>
      </w:r>
      <w:r>
        <w:rPr>
          <w:spacing w:val="-91"/>
        </w:rPr>
      </w:r>
      <w:r>
        <w:rPr/>
        <w:t>报酬，但是放弃了对该金融资产控制。</w:t>
      </w:r>
    </w:p>
    <w:p>
      <w:pPr>
        <w:pStyle w:val="BodyText"/>
        <w:spacing w:line="312" w:lineRule="exact"/>
        <w:ind w:right="192" w:firstLine="480"/>
        <w:jc w:val="both"/>
      </w:pPr>
      <w:r>
        <w:rPr/>
        <w:t>若企业既没有转移也没有保留金融资产所有权上几乎所有的风险和报酬，且未放弃对该 金融资产的控制的，则按照继续涉入所转移金融资产的程度确认有关金融资产，并相应确认</w:t>
      </w:r>
      <w:r>
        <w:rPr>
          <w:spacing w:val="-89"/>
        </w:rPr>
        <w:t> </w:t>
      </w:r>
      <w:r>
        <w:rPr>
          <w:spacing w:val="-89"/>
        </w:rPr>
      </w:r>
      <w:r>
        <w:rPr/>
        <w:t>有关负债。继续涉入所转移金融资产的程度，是指该金融资产价值变动使企业面临的风险水</w:t>
      </w:r>
      <w:r>
        <w:rPr>
          <w:spacing w:val="-89"/>
        </w:rPr>
        <w:t> </w:t>
      </w:r>
      <w:r>
        <w:rPr>
          <w:spacing w:val="-89"/>
        </w:rPr>
      </w:r>
      <w:r>
        <w:rPr/>
        <w:t>平。</w:t>
      </w:r>
    </w:p>
    <w:p>
      <w:pPr>
        <w:pStyle w:val="BodyText"/>
        <w:spacing w:line="312" w:lineRule="exact"/>
        <w:ind w:right="192"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12" w:lineRule="exact"/>
        <w:ind w:right="192" w:firstLine="480"/>
        <w:jc w:val="both"/>
      </w:pPr>
      <w:r>
        <w:rPr/>
        <w:t>金融资产部分转移满足终止确认条件的，将所转移金融资产的账面价值在终止确认及未 终止确认部分之间按其相对的公允价值进行分摊，并将因转移而收到的对价与应分摊至终止</w:t>
      </w:r>
      <w:r>
        <w:rPr>
          <w:spacing w:val="-89"/>
        </w:rPr>
        <w:t> </w:t>
      </w:r>
      <w:r>
        <w:rPr>
          <w:spacing w:val="-89"/>
        </w:rPr>
      </w:r>
      <w:r>
        <w:rPr/>
        <w:t>确认部分的原计入其他综合收益的公允价值变动累计额之和与分摊的前述账面金额之差额计</w:t>
      </w:r>
      <w:r>
        <w:rPr>
          <w:spacing w:val="-89"/>
        </w:rPr>
        <w:t> </w:t>
      </w:r>
      <w:r>
        <w:rPr>
          <w:spacing w:val="-89"/>
        </w:rPr>
      </w:r>
      <w:r>
        <w:rPr/>
        <w:t>入当期损益。</w:t>
      </w:r>
    </w:p>
    <w:p>
      <w:pPr>
        <w:pStyle w:val="BodyText"/>
        <w:spacing w:line="312" w:lineRule="exact"/>
        <w:ind w:right="192" w:firstLine="480"/>
        <w:jc w:val="both"/>
      </w:pPr>
      <w:r>
        <w:rPr/>
        <w:t>本公司对采用附追索权方式出售的金融资产，或将持有的金融资产背书转让，需确定该 金融资产所有权上几乎所有的风险和报酬是否已经转移。已将该金融资产所有权上几乎所有</w:t>
      </w:r>
      <w:r>
        <w:rPr>
          <w:spacing w:val="-89"/>
        </w:rPr>
        <w:t> </w:t>
      </w:r>
      <w:r>
        <w:rPr>
          <w:spacing w:val="-89"/>
        </w:rPr>
      </w:r>
      <w:r>
        <w:rPr/>
        <w:t>的风险和报酬转移给转入方的，终止确认该金融资产；保留了金融资产所有权上几乎所有的</w:t>
      </w:r>
      <w:r>
        <w:rPr>
          <w:spacing w:val="-89"/>
        </w:rPr>
        <w:t> </w:t>
      </w:r>
      <w:r>
        <w:rPr>
          <w:spacing w:val="-89"/>
        </w:rPr>
      </w:r>
      <w:r>
        <w:rPr/>
        <w:t>风险和报酬的，不终止确认该金融资产；既没有转移也没有保留金融资产所有权上几乎所有</w:t>
      </w:r>
      <w:r>
        <w:rPr>
          <w:spacing w:val="-89"/>
        </w:rPr>
        <w:t> </w:t>
      </w:r>
      <w:r>
        <w:rPr>
          <w:spacing w:val="-89"/>
        </w:rPr>
      </w:r>
      <w:r>
        <w:rPr/>
        <w:t>的风险和报酬的，则继续判断企业是否对该资产保留了控制，并根据前面各段所述的原则进</w:t>
      </w:r>
      <w:r>
        <w:rPr>
          <w:spacing w:val="-89"/>
        </w:rPr>
        <w:t> </w:t>
      </w:r>
      <w:r>
        <w:rPr>
          <w:spacing w:val="-89"/>
        </w:rPr>
      </w:r>
      <w:r>
        <w:rPr/>
        <w:t>行会计处理。</w:t>
      </w:r>
    </w:p>
    <w:p>
      <w:pPr>
        <w:pStyle w:val="BodyText"/>
        <w:spacing w:line="312" w:lineRule="exact"/>
        <w:ind w:left="592" w:right="94"/>
        <w:jc w:val="left"/>
      </w:pPr>
      <w:r>
        <w:rPr/>
        <w:t>（5）权益工具 权益工具是指能证明拥有本公司在扣除所有负债后的资产中的剩余权益的合同。本公司</w:t>
      </w:r>
    </w:p>
    <w:p>
      <w:pPr>
        <w:pStyle w:val="BodyText"/>
        <w:spacing w:line="283" w:lineRule="exact"/>
        <w:ind w:right="0"/>
        <w:jc w:val="both"/>
      </w:pPr>
      <w:r>
        <w:rPr/>
        <w:t>发</w:t>
      </w:r>
      <w:r>
        <w:rPr>
          <w:spacing w:val="-20"/>
        </w:rPr>
        <w:t>行</w:t>
      </w:r>
      <w:r>
        <w:rPr/>
        <w:t>（含再融资</w:t>
      </w:r>
      <w:r>
        <w:rPr>
          <w:spacing w:val="-120"/>
        </w:rPr>
        <w:t>）</w:t>
      </w:r>
      <w:r>
        <w:rPr>
          <w:spacing w:val="-22"/>
        </w:rPr>
        <w:t>、</w:t>
      </w:r>
      <w:r>
        <w:rPr/>
        <w:t>回购</w:t>
      </w:r>
      <w:r>
        <w:rPr>
          <w:spacing w:val="-20"/>
        </w:rPr>
        <w:t>、</w:t>
      </w:r>
      <w:r>
        <w:rPr/>
        <w:t>出售或注销权益工具作为权益的变动处理</w:t>
      </w:r>
      <w:r>
        <w:rPr>
          <w:spacing w:val="-20"/>
        </w:rPr>
        <w:t>。</w:t>
      </w:r>
      <w:r>
        <w:rPr/>
        <w:t>本公司不确认权益工具</w:t>
      </w:r>
    </w:p>
    <w:p>
      <w:pPr>
        <w:spacing w:after="0" w:line="283" w:lineRule="exact"/>
        <w:jc w:val="both"/>
        <w:sectPr>
          <w:pgSz w:w="11910" w:h="16840"/>
          <w:pgMar w:header="907" w:footer="1016" w:top="1100" w:bottom="1200" w:left="1020" w:right="940"/>
        </w:sectPr>
      </w:pPr>
    </w:p>
    <w:p>
      <w:pPr>
        <w:spacing w:line="240" w:lineRule="auto" w:before="9"/>
        <w:rPr>
          <w:rFonts w:ascii="宋体" w:hAnsi="宋体" w:cs="宋体" w:eastAsia="宋体" w:hint="default"/>
          <w:sz w:val="20"/>
          <w:szCs w:val="20"/>
        </w:rPr>
      </w:pPr>
    </w:p>
    <w:p>
      <w:pPr>
        <w:pStyle w:val="BodyText"/>
        <w:spacing w:line="312" w:lineRule="exact" w:before="56"/>
        <w:ind w:left="592" w:right="0" w:hanging="480"/>
        <w:jc w:val="left"/>
      </w:pPr>
      <w:r>
        <w:rPr/>
        <w:t>的公允价值变动。与权益性交易相关的交易费用从权益中扣减。 </w:t>
      </w:r>
      <w:r>
        <w:rPr>
          <w:spacing w:val="-6"/>
        </w:rPr>
        <w:t>本公司对权益工具持有方的各种分配（不包括股票股利），减少股东权益。本公司不确认</w:t>
      </w:r>
    </w:p>
    <w:p>
      <w:pPr>
        <w:pStyle w:val="BodyText"/>
        <w:spacing w:line="283" w:lineRule="exact"/>
        <w:ind w:right="0"/>
        <w:jc w:val="left"/>
      </w:pPr>
      <w:r>
        <w:rPr/>
        <w:t>权益工具的公允价值变动额。</w:t>
      </w:r>
    </w:p>
    <w:p>
      <w:pPr>
        <w:spacing w:line="240" w:lineRule="auto" w:before="7"/>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106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300" w:lineRule="auto"/>
              <w:ind w:left="103" w:right="168"/>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万元以上的应收款项确认为单 项金额重大的应收款项。</w:t>
            </w:r>
          </w:p>
        </w:tc>
      </w:tr>
      <w:tr>
        <w:trPr>
          <w:trHeight w:val="355"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独测试未发生减值的金融资产，包括在具有类似信用风险</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特征的金融资产组合中进行减值测试。单项测试已确认减</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值损失的应收款项，不再包括在具有类似信用风险特征的</w:t>
            </w:r>
          </w:p>
        </w:tc>
      </w:tr>
      <w:tr>
        <w:trPr>
          <w:trHeight w:val="359"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应收款项组合中进行减值测试。</w:t>
            </w:r>
          </w:p>
        </w:tc>
      </w:tr>
    </w:tbl>
    <w:p>
      <w:pPr>
        <w:spacing w:line="240" w:lineRule="auto" w:before="3"/>
        <w:rPr>
          <w:rFonts w:ascii="宋体" w:hAnsi="宋体" w:cs="宋体" w:eastAsia="宋体" w:hint="default"/>
          <w:b/>
          <w:bCs/>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无信用风险组合</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按账龄组合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60" w:lineRule="auto" w:before="115"/>
        <w:ind w:left="112" w:right="649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5"/>
        <w:rPr>
          <w:rFonts w:ascii="宋体" w:hAnsi="宋体" w:cs="宋体" w:eastAsia="宋体" w:hint="default"/>
          <w:b/>
          <w:bCs/>
          <w:sz w:val="25"/>
          <w:szCs w:val="25"/>
        </w:rPr>
      </w:pPr>
    </w:p>
    <w:p>
      <w:pPr>
        <w:spacing w:line="1350" w:lineRule="exact"/>
        <w:ind w:left="104"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79.4pt;height:67.55pt;mso-position-horizontal-relative:char;mso-position-vertical-relative:line" coordorigin="0,0" coordsize="9588,1351">
            <v:group style="position:absolute;left:13;top:13;width:4779;height:1333" coordorigin="13,13" coordsize="4779,1333">
              <v:shape style="position:absolute;left:13;top:13;width:4779;height:1333" coordorigin="13,13" coordsize="4779,1333" path="m13,13l4792,13,4792,1346,13,1346,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1346;width:9578;height:2" coordorigin="5,1346" coordsize="9578,2">
              <v:shape style="position:absolute;left:5;top:1346;width:9578;height:2" coordorigin="5,1346" coordsize="9578,0" path="m5,1346l9582,1346e" filled="false" stroked="true" strokeweight=".48pt" strokecolor="#000000">
                <v:path arrowok="t"/>
              </v:shape>
            </v:group>
            <v:group style="position:absolute;left:10;top:5;width:2;height:1336" coordorigin="10,5" coordsize="2,1336">
              <v:shape style="position:absolute;left:10;top:5;width:2;height:1336" coordorigin="10,5" coordsize="0,1336" path="m10,5l10,1341e" filled="false" stroked="true" strokeweight=".48pt" strokecolor="#000000">
                <v:path arrowok="t"/>
              </v:shape>
            </v:group>
            <v:group style="position:absolute;left:4794;top:5;width:2;height:1336" coordorigin="4794,5" coordsize="2,1336">
              <v:shape style="position:absolute;left:4794;top:5;width:2;height:1336" coordorigin="4794,5" coordsize="0,1336" path="m4794,5l4794,1341e" filled="false" stroked="true" strokeweight=".48pt" strokecolor="#000000">
                <v:path arrowok="t"/>
              </v:shape>
            </v:group>
            <v:group style="position:absolute;left:9578;top:5;width:2;height:1336" coordorigin="9578,5" coordsize="2,1336">
              <v:shape style="position:absolute;left:9578;top:5;width:2;height:1336" coordorigin="9578,5" coordsize="0,1336" path="m9578,5l9578,1341e" filled="false" stroked="true" strokeweight=".48pt" strokecolor="#000000">
                <v:path arrowok="t"/>
              </v:shape>
              <v:shape style="position:absolute;left:10;top:10;width:4784;height:133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1"/>
                          <w:szCs w:val="21"/>
                        </w:rPr>
                      </w:pPr>
                    </w:p>
                    <w:p>
                      <w:pPr>
                        <w:spacing w:before="0"/>
                        <w:ind w:left="106"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4794;top:10;width:4784;height:1336" type="#_x0000_t202" filled="false" stroked="false">
                <v:textbox inset="0,0,0,0">
                  <w:txbxContent>
                    <w:p>
                      <w:pPr>
                        <w:spacing w:line="316" w:lineRule="auto" w:before="55"/>
                        <w:ind w:left="108" w:right="173" w:firstLine="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单项金额虽不重大但单项计提坏账准备的应收款项的特 征：应收关联方款项；与对方存在争议或涉及诉讼、仲裁 的应收款项；已有明显迹象表明债务人很可能无法履行还 款义务的应收款项。</w:t>
                      </w:r>
                    </w:p>
                  </w:txbxContent>
                </v:textbox>
                <w10:wrap type="none"/>
              </v:shape>
            </v:group>
          </v:group>
        </w:pict>
      </w:r>
      <w:r>
        <w:rPr>
          <w:rFonts w:ascii="宋体" w:hAnsi="宋体" w:cs="宋体" w:eastAsia="宋体" w:hint="default"/>
          <w:position w:val="-26"/>
          <w:sz w:val="20"/>
          <w:szCs w:val="20"/>
        </w:rPr>
      </w:r>
    </w:p>
    <w:p>
      <w:pPr>
        <w:spacing w:after="0" w:line="1350" w:lineRule="exact"/>
        <w:rPr>
          <w:rFonts w:ascii="宋体" w:hAnsi="宋体" w:cs="宋体" w:eastAsia="宋体" w:hint="default"/>
          <w:sz w:val="20"/>
          <w:szCs w:val="20"/>
        </w:rPr>
        <w:sectPr>
          <w:pgSz w:w="11910" w:h="16840"/>
          <w:pgMar w:header="907" w:footer="1016" w:top="1100" w:bottom="1200" w:left="1020" w:right="1020"/>
        </w:sectPr>
      </w:pPr>
    </w:p>
    <w:p>
      <w:pPr>
        <w:spacing w:line="240" w:lineRule="auto" w:before="1"/>
        <w:rPr>
          <w:rFonts w:ascii="宋体" w:hAnsi="宋体" w:cs="宋体" w:eastAsia="宋体" w:hint="default"/>
          <w:b/>
          <w:bCs/>
          <w:sz w:val="25"/>
          <w:szCs w:val="25"/>
        </w:rPr>
      </w:pPr>
    </w:p>
    <w:p>
      <w:pPr>
        <w:spacing w:line="1352" w:lineRule="exact"/>
        <w:ind w:left="104"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79.4pt;height:67.650pt;mso-position-horizontal-relative:char;mso-position-vertical-relative:line" coordorigin="0,0" coordsize="9588,1353">
            <v:group style="position:absolute;left:13;top:13;width:4779;height:1333" coordorigin="13,13" coordsize="4779,1333">
              <v:shape style="position:absolute;left:13;top:13;width:4779;height:1333" coordorigin="13,13" coordsize="4779,1333" path="m13,13l4792,13,4792,1346,13,1346,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1348;width:9578;height:2" coordorigin="5,1348" coordsize="9578,2">
              <v:shape style="position:absolute;left:5;top:1348;width:9578;height:2" coordorigin="5,1348" coordsize="9578,0" path="m5,1348l9582,1348e" filled="false" stroked="true" strokeweight=".48pt" strokecolor="#000000">
                <v:path arrowok="t"/>
              </v:shape>
            </v:group>
            <v:group style="position:absolute;left:10;top:5;width:2;height:1338" coordorigin="10,5" coordsize="2,1338">
              <v:shape style="position:absolute;left:10;top:5;width:2;height:1338" coordorigin="10,5" coordsize="0,1338" path="m10,5l10,1343e" filled="false" stroked="true" strokeweight=".48pt" strokecolor="#000000">
                <v:path arrowok="t"/>
              </v:shape>
            </v:group>
            <v:group style="position:absolute;left:4794;top:5;width:2;height:1338" coordorigin="4794,5" coordsize="2,1338">
              <v:shape style="position:absolute;left:4794;top:5;width:2;height:1338" coordorigin="4794,5" coordsize="0,1338" path="m4794,5l4794,1343e" filled="false" stroked="true" strokeweight=".48pt" strokecolor="#000000">
                <v:path arrowok="t"/>
              </v:shape>
            </v:group>
            <v:group style="position:absolute;left:9578;top:5;width:2;height:1338" coordorigin="9578,5" coordsize="2,1338">
              <v:shape style="position:absolute;left:9578;top:5;width:2;height:1338" coordorigin="9578,5" coordsize="0,1338" path="m9578,5l9578,1343e" filled="false" stroked="true" strokeweight=".48pt" strokecolor="#000000">
                <v:path arrowok="t"/>
              </v:shape>
              <v:shape style="position:absolute;left:116;top:588;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坏账准备的计提方法</w:t>
                      </w:r>
                    </w:p>
                  </w:txbxContent>
                </v:textbox>
                <w10:wrap type="none"/>
              </v:shape>
              <v:shape style="position:absolute;left:4794;top:10;width:4784;height:1338" type="#_x0000_t202" filled="false" stroked="false">
                <v:textbox inset="0,0,0,0">
                  <w:txbxContent>
                    <w:p>
                      <w:pPr>
                        <w:spacing w:line="316" w:lineRule="auto" w:before="54"/>
                        <w:ind w:left="108" w:right="15" w:firstLine="0"/>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 </w:t>
                      </w:r>
                      <w:r>
                        <w:rPr>
                          <w:rFonts w:ascii="宋体" w:hAnsi="宋体" w:cs="宋体" w:eastAsia="宋体" w:hint="default"/>
                          <w:spacing w:val="-1"/>
                          <w:sz w:val="18"/>
                          <w:szCs w:val="18"/>
                        </w:rPr>
                        <w:t>项，单独进行减值测试，有客观证据表明其发生了减值的，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根据其未来现金流量现值低于其账面价值的差额，确认减 值损失，计提坏账准备。</w:t>
                      </w:r>
                    </w:p>
                  </w:txbxContent>
                </v:textbox>
                <w10:wrap type="none"/>
              </v:shape>
            </v:group>
          </v:group>
        </w:pict>
      </w:r>
      <w:r>
        <w:rPr>
          <w:rFonts w:ascii="宋体" w:hAnsi="宋体" w:cs="宋体" w:eastAsia="宋体" w:hint="default"/>
          <w:position w:val="-26"/>
          <w:sz w:val="20"/>
          <w:szCs w:val="20"/>
        </w:rPr>
      </w:r>
    </w:p>
    <w:p>
      <w:pPr>
        <w:spacing w:line="240" w:lineRule="auto" w:before="5"/>
        <w:rPr>
          <w:rFonts w:ascii="宋体" w:hAnsi="宋体" w:cs="宋体" w:eastAsia="宋体" w:hint="default"/>
          <w:b/>
          <w:bCs/>
          <w:sz w:val="19"/>
          <w:szCs w:val="19"/>
        </w:rPr>
      </w:pPr>
    </w:p>
    <w:p>
      <w:pPr>
        <w:spacing w:before="34"/>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334"/>
        <w:jc w:val="left"/>
      </w:pPr>
      <w:r>
        <w:rPr/>
        <w:t>（1）存货的分类 存货分为库存商品、原材料、委托加工材料、在产品、产成品、低值易耗品、包装物</w:t>
      </w:r>
    </w:p>
    <w:p>
      <w:pPr>
        <w:pStyle w:val="BodyText"/>
        <w:spacing w:line="312" w:lineRule="exact"/>
        <w:ind w:left="592" w:right="94"/>
        <w:jc w:val="left"/>
      </w:pPr>
      <w:r>
        <w:rPr/>
        <w:t>（2）存货取得和发出的计价方法 存货在取得时按实际成本计价，存货成本包括采购成本、加工成本和其他成本。领用和</w:t>
      </w:r>
    </w:p>
    <w:p>
      <w:pPr>
        <w:pStyle w:val="BodyText"/>
        <w:spacing w:line="282" w:lineRule="exact"/>
        <w:ind w:right="0"/>
        <w:jc w:val="both"/>
      </w:pPr>
      <w:r>
        <w:rPr/>
        <w:t>发出时按加权平均法计价。</w:t>
      </w:r>
    </w:p>
    <w:p>
      <w:pPr>
        <w:pStyle w:val="BodyText"/>
        <w:spacing w:line="312" w:lineRule="exact" w:before="29"/>
        <w:ind w:left="592" w:right="94"/>
        <w:jc w:val="left"/>
      </w:pPr>
      <w:r>
        <w:rPr/>
        <w:t>（3）存货可变现净值的确认和跌价准备的计提方法 可变现净值是指在日常活动中，存货的估计售价减去至完工时估计将要发生的成本、估</w:t>
      </w:r>
    </w:p>
    <w:p>
      <w:pPr>
        <w:pStyle w:val="BodyText"/>
        <w:spacing w:line="312" w:lineRule="exact"/>
        <w:ind w:right="94"/>
        <w:jc w:val="left"/>
      </w:pPr>
      <w:r>
        <w:rPr/>
        <w:t>计的销售费用以及相关税费后的金额。在确定存货的可变现净值时，以取得的确凿证据为基 础，同时考虑持有存货的目的以及资产负债表日后事项的影响。</w:t>
      </w:r>
    </w:p>
    <w:p>
      <w:pPr>
        <w:pStyle w:val="BodyText"/>
        <w:spacing w:line="312" w:lineRule="exact"/>
        <w:ind w:right="111" w:firstLine="480"/>
        <w:jc w:val="both"/>
      </w:pPr>
      <w:r>
        <w:rPr/>
        <w:t>在资产负债表日，存货按照成本与可变现净值孰低计量。当其可变现净值低于成本时， 提取存货跌价准备。存货跌价准备按单个存货项目的成本高于其可变现净值的差额提取。</w:t>
      </w:r>
    </w:p>
    <w:p>
      <w:pPr>
        <w:pStyle w:val="BodyText"/>
        <w:spacing w:line="312" w:lineRule="exact"/>
        <w:ind w:right="111" w:firstLine="480"/>
        <w:jc w:val="both"/>
      </w:pPr>
      <w:r>
        <w:rPr/>
        <w:t>计提存货跌价准备后，如果以前减记存货价值的影响因素已经消失，导致存货的可变现 净值高于其账面价值的，在原已计提的存货跌价准备金额内予以转回，转回的金额计入当期 损益。</w:t>
      </w:r>
    </w:p>
    <w:p>
      <w:pPr>
        <w:pStyle w:val="BodyText"/>
        <w:spacing w:line="282" w:lineRule="exact"/>
        <w:ind w:left="592" w:right="334"/>
        <w:jc w:val="left"/>
      </w:pPr>
      <w:r>
        <w:rPr/>
        <w:t>（4）存货的盘存制度为永续盘存制。</w:t>
      </w:r>
    </w:p>
    <w:p>
      <w:pPr>
        <w:pStyle w:val="BodyText"/>
        <w:spacing w:line="312" w:lineRule="exact" w:before="29"/>
        <w:ind w:left="592" w:right="1054"/>
        <w:jc w:val="left"/>
      </w:pPr>
      <w:r>
        <w:rPr/>
        <w:t>（5）低值易耗品和包装物的摊销方法 低值易耗品于领用时按一次摊销法摊销；包装物于领用时按一次摊销法摊销。</w:t>
      </w: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1" w:firstLine="480"/>
        <w:jc w:val="both"/>
      </w:pPr>
      <w:r>
        <w:rPr/>
        <w:t>本部分所指的长期股权投资是指本公司对被投资单位具有控制、共同控制或重大影响的 长期股权投资。本公司对被投资单位不具有控制、共同控制或重大影响的长期股权投资，作 为可供出售金融资产或以公允价值计量且其变动计入当期损益的金融资产核算，其会计政策 </w:t>
      </w:r>
      <w:r>
        <w:rPr>
          <w:spacing w:val="-9"/>
        </w:rPr>
        <w:t>详见附注四、8“金融工具”。</w:t>
      </w:r>
    </w:p>
    <w:p>
      <w:pPr>
        <w:pStyle w:val="BodyText"/>
        <w:spacing w:line="312" w:lineRule="exact"/>
        <w:ind w:right="111" w:firstLine="480"/>
        <w:jc w:val="both"/>
      </w:pPr>
      <w:r>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BodyText"/>
        <w:spacing w:line="312" w:lineRule="exact"/>
        <w:ind w:left="592" w:right="94"/>
        <w:jc w:val="left"/>
      </w:pPr>
      <w:r>
        <w:rPr/>
        <w:t>（1）投资成本的确定 对于同一控制下的企业合并取得的长期股权投资，在合并日按照被合并方股东权益在最</w:t>
      </w:r>
    </w:p>
    <w:p>
      <w:pPr>
        <w:pStyle w:val="BodyText"/>
        <w:spacing w:line="312" w:lineRule="exact"/>
        <w:ind w:right="111"/>
        <w:jc w:val="both"/>
      </w:pPr>
      <w:r>
        <w:rPr/>
        <w:t>终控制方合并财务报表中的账面价值的份额作为长期股权投资的初始投资成本。长期股权投 资初始投资成本与支付的现金、转让的非现金资产以及所承担债务账面价值之间的差额，调 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w:t>
      </w:r>
    </w:p>
    <w:p>
      <w:pPr>
        <w:spacing w:after="0" w:line="312" w:lineRule="exact"/>
        <w:jc w:val="both"/>
        <w:sectPr>
          <w:pgSz w:w="11910" w:h="16840"/>
          <w:pgMar w:header="907" w:footer="1016" w:top="1100" w:bottom="1200" w:left="1020" w:right="1060"/>
        </w:sectPr>
      </w:pPr>
    </w:p>
    <w:p>
      <w:pPr>
        <w:spacing w:line="240" w:lineRule="auto" w:before="9"/>
        <w:rPr>
          <w:rFonts w:ascii="宋体" w:hAnsi="宋体" w:cs="宋体" w:eastAsia="宋体" w:hint="default"/>
          <w:sz w:val="20"/>
          <w:szCs w:val="20"/>
        </w:rPr>
      </w:pPr>
    </w:p>
    <w:p>
      <w:pPr>
        <w:pStyle w:val="BodyText"/>
        <w:spacing w:line="312" w:lineRule="exact" w:before="56"/>
        <w:ind w:right="111"/>
        <w:jc w:val="both"/>
      </w:pPr>
      <w:r>
        <w:rPr/>
        <w:t>发行股份面值总额之间的差额，调整资本公积；资本公积不足冲减的，调整留存收益。通过 多次交易分步取得同一控制下被合并方的股权，最终形成同一控制下企业合并的，应分别是 否属于“一揽子交易”进行处理：属于“一揽子交易”的，将各项交易作为一项取得控制权 的交易进行会计处理。不属于“一揽子交易”的，在合并日按照应享有被合并方股东权益在 最终控制方合并财务报表中的账面价值的份额作为长期股权投资的初始投资成本，长期股权 投资初始投资成本与达到合并前的长期股权投资账面价值加上合并日进一步取得股份新支付 对价的账面价值之和的差额，调整资本公积；资本公积不足冲减的，调整留存收益。合并日 之前持有的股权投资因采用权益法核算或为可供出售金融资产而确认的其他综合收益，暂不 进行会计处理。</w:t>
      </w:r>
    </w:p>
    <w:p>
      <w:pPr>
        <w:pStyle w:val="BodyText"/>
        <w:spacing w:line="312" w:lineRule="exact"/>
        <w:ind w:right="111" w:firstLine="480"/>
        <w:jc w:val="both"/>
      </w:pPr>
      <w:r>
        <w:rPr/>
        <w:t>对于非同一控制下的企业合并取得的长期股权投资，在购买日按照合并成本作为长期股 权投资的初始投资成本，合并成本包括购买方付出的资产、发生或承担的负债、发行的权益 性证券的公允价值之和。通过多次交易分步取得被购买方的股权，最终形成非同一控制下的 企业合并的，应分别是否属于“一揽子交易”进行处理：属于“一揽子交易”的，将各项交 易作为一项取得控制权的交易进行会计处理。不属于“一揽子交易”的，按照原持有被购买 方的股权投资账面价值加上新增投资成本之和，作为改按成本法核算的长期股权投资的初始 投资成本。原持有的股权采用权益法核算的，相关其他综合收益暂不进行会计处理。原持有 股权投资为可供出售金融资产的，其公允价值与账面价值之间的差额，以及原计入其他综合 收益的累计公允价值变动转入当期损益。</w:t>
      </w:r>
    </w:p>
    <w:p>
      <w:pPr>
        <w:pStyle w:val="BodyText"/>
        <w:spacing w:line="312" w:lineRule="exact"/>
        <w:ind w:right="111" w:firstLine="480"/>
        <w:jc w:val="both"/>
      </w:pPr>
      <w:r>
        <w:rPr/>
        <w:t>合并方或购买方为企业合并发生的审计、法律服务、评估咨询等中介费用以及其他相关 管理费用，于发生时计入当期损益。</w:t>
      </w:r>
    </w:p>
    <w:p>
      <w:pPr>
        <w:pStyle w:val="BodyText"/>
        <w:spacing w:line="312" w:lineRule="exact"/>
        <w:ind w:right="111" w:firstLine="480"/>
        <w:jc w:val="both"/>
      </w:pPr>
      <w:r>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 价值或原账面价值、该项长期股权投资自身的公允价值等方式确定。与取得长期股权投资直 接相关的费用、税金及其他必要支出也计入投资成本。对于因追加投资能够对被投资单位实 施重大影响或实施共同控制但不构成控制的，长期股权投资成本为按照《企业会计准则第22 号——金融工具确认和计量》确定的原持有股权投资的公允价值加上新增投资成本之和。</w:t>
      </w:r>
    </w:p>
    <w:p>
      <w:pPr>
        <w:pStyle w:val="BodyText"/>
        <w:spacing w:line="312" w:lineRule="exact"/>
        <w:ind w:left="592" w:right="94"/>
        <w:jc w:val="left"/>
      </w:pPr>
      <w:r>
        <w:rPr/>
        <w:t>（2）后续计量及损益确认方法 对被投资单位具有共同控制（构成共同经营者除外）或重大影响的长期股权投资，采用</w:t>
      </w:r>
    </w:p>
    <w:p>
      <w:pPr>
        <w:pStyle w:val="BodyText"/>
        <w:spacing w:line="312" w:lineRule="exact"/>
        <w:ind w:right="111"/>
        <w:jc w:val="both"/>
      </w:pPr>
      <w:r>
        <w:rPr/>
        <w:t>权益法核算。此外，公司财务报表采用成本法核算能够对被投资单位实施控制的长期股权投 资。</w:t>
      </w:r>
    </w:p>
    <w:p>
      <w:pPr>
        <w:pStyle w:val="BodyText"/>
        <w:spacing w:line="312" w:lineRule="exact"/>
        <w:ind w:left="592" w:right="94"/>
        <w:jc w:val="left"/>
      </w:pPr>
      <w:r>
        <w:rPr/>
        <w:t>① 成本法核算的长期股权投资 采用成本法核算时，长期股权投资按初始投资成本计价，追加或收回投资调整长期股权</w:t>
      </w:r>
    </w:p>
    <w:p>
      <w:pPr>
        <w:pStyle w:val="BodyText"/>
        <w:spacing w:line="312" w:lineRule="exact"/>
        <w:ind w:right="111"/>
        <w:jc w:val="both"/>
      </w:pPr>
      <w:r>
        <w:rPr/>
        <w:t>投资的成本。除取得投资时实际支付的价款或者对价中包含的已宣告但尚未发放的现金股利 或者利润外，当期投资收益按照享有被投资单位宣告发放的现金股利或利润确认。</w:t>
      </w:r>
    </w:p>
    <w:p>
      <w:pPr>
        <w:pStyle w:val="BodyText"/>
        <w:spacing w:line="312" w:lineRule="exact"/>
        <w:ind w:left="592" w:right="94"/>
        <w:jc w:val="left"/>
      </w:pPr>
      <w:r>
        <w:rPr/>
        <w:t>② 权益法核算的长期股权投资 采用权益法核算时，长期股权投资的初始投资成本大于投资时应享有被投资单位可辨认</w:t>
      </w:r>
    </w:p>
    <w:p>
      <w:pPr>
        <w:pStyle w:val="BodyText"/>
        <w:spacing w:line="312" w:lineRule="exact"/>
        <w:ind w:right="111"/>
        <w:jc w:val="both"/>
      </w:pPr>
      <w:r>
        <w:rPr/>
        <w:t>净资产公允价值份额的，不调整长期股权投资的初始投资成本；初始投资成本小于投资时应 享有被投资单位可辨认净资产公允价值份额的，其差额计入当期损益，同时调整长期股权投 资的成本。</w:t>
      </w:r>
    </w:p>
    <w:p>
      <w:pPr>
        <w:pStyle w:val="BodyText"/>
        <w:spacing w:line="312" w:lineRule="exact"/>
        <w:ind w:right="111" w:firstLine="480"/>
        <w:jc w:val="both"/>
      </w:pPr>
      <w:r>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w:t>
      </w:r>
    </w:p>
    <w:p>
      <w:pPr>
        <w:spacing w:after="0" w:line="312" w:lineRule="exact"/>
        <w:jc w:val="both"/>
        <w:sectPr>
          <w:footerReference w:type="default" r:id="rId27"/>
          <w:pgSz w:w="11910" w:h="16840"/>
          <w:pgMar w:footer="1016" w:header="907" w:top="1100" w:bottom="1200" w:left="1020" w:right="1060"/>
          <w:pgNumType w:start="80"/>
        </w:sectPr>
      </w:pPr>
    </w:p>
    <w:p>
      <w:pPr>
        <w:spacing w:line="240" w:lineRule="auto" w:before="9"/>
        <w:rPr>
          <w:rFonts w:ascii="宋体" w:hAnsi="宋体" w:cs="宋体" w:eastAsia="宋体" w:hint="default"/>
          <w:sz w:val="20"/>
          <w:szCs w:val="20"/>
        </w:rPr>
      </w:pPr>
    </w:p>
    <w:p>
      <w:pPr>
        <w:pStyle w:val="BodyText"/>
        <w:spacing w:line="312" w:lineRule="exact" w:before="56"/>
        <w:ind w:right="96"/>
        <w:jc w:val="left"/>
      </w:pPr>
      <w:r>
        <w:rPr/>
        <w:t>权投资的账面价值并计入资本公积。在确认应享有被投资单位净损益的份额时，以取得投资 </w:t>
      </w:r>
      <w:r>
        <w:rPr>
          <w:spacing w:val="-2"/>
        </w:rPr>
        <w:t>时被投资单位各项可辨认资产等的公允价值为基础，对被投资单位的净利润进行调整后确认。</w:t>
      </w:r>
      <w:r>
        <w:rPr/>
        <w:t>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w:t>
      </w:r>
      <w:r>
        <w:rPr>
          <w:spacing w:val="-2"/>
        </w:rPr>
        <w:t>企业购入的资产构成业务的，按《企业会计准则第20号——企业合并》的规定进行会计处理，</w:t>
      </w:r>
      <w:r>
        <w:rPr/>
        <w:t> 全额确认与交易相关的利得或损失。</w:t>
      </w:r>
    </w:p>
    <w:p>
      <w:pPr>
        <w:pStyle w:val="BodyText"/>
        <w:spacing w:line="312" w:lineRule="exact"/>
        <w:ind w:right="271" w:firstLine="480"/>
        <w:jc w:val="both"/>
      </w:pPr>
      <w:r>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pStyle w:val="BodyText"/>
        <w:spacing w:line="312" w:lineRule="exact"/>
        <w:ind w:right="96" w:firstLine="480"/>
        <w:jc w:val="left"/>
      </w:pPr>
      <w:r>
        <w:rPr/>
        <w:t>对于本公司首次执行新会计准则之前已经持有的对联营企业和合营企业的长期股权投 </w:t>
      </w:r>
      <w:r>
        <w:rPr>
          <w:spacing w:val="-2"/>
        </w:rPr>
        <w:t>资，如存在与该投资相关的股权投资借方差额，按原剩余期限直线摊销的金额计入当期损益。</w:t>
      </w:r>
    </w:p>
    <w:p>
      <w:pPr>
        <w:pStyle w:val="BodyText"/>
        <w:spacing w:line="312" w:lineRule="exact"/>
        <w:ind w:left="592" w:right="254"/>
        <w:jc w:val="left"/>
      </w:pPr>
      <w:r>
        <w:rPr/>
        <w:t>③ 收购少数股权 在编制合并财务报表时，因购买少数股权新增的长期股权投资与按照新增持股比例计算</w:t>
      </w:r>
    </w:p>
    <w:p>
      <w:pPr>
        <w:pStyle w:val="BodyText"/>
        <w:spacing w:line="312" w:lineRule="exact"/>
        <w:ind w:right="98"/>
        <w:jc w:val="left"/>
      </w:pPr>
      <w:r>
        <w:rPr>
          <w:spacing w:val="-3"/>
        </w:rPr>
        <w:t>应享有子公司自购买日（或合并日）开始持续计算的净资产份额之间的差额，调整资本公积，</w:t>
      </w:r>
      <w:r>
        <w:rPr>
          <w:spacing w:val="-80"/>
        </w:rPr>
        <w:t> </w:t>
      </w:r>
      <w:r>
        <w:rPr>
          <w:spacing w:val="-80"/>
        </w:rPr>
      </w:r>
      <w:r>
        <w:rPr/>
        <w:t>资本公积不足冲减的，调整留存收益。</w:t>
      </w:r>
    </w:p>
    <w:p>
      <w:pPr>
        <w:pStyle w:val="BodyText"/>
        <w:spacing w:line="312" w:lineRule="exact"/>
        <w:ind w:left="592" w:right="98"/>
        <w:jc w:val="left"/>
      </w:pPr>
      <w:r>
        <w:rPr/>
        <w:t>④ 处置长期股权投资 </w:t>
      </w:r>
      <w:r>
        <w:rPr>
          <w:spacing w:val="-3"/>
        </w:rPr>
        <w:t>在合并财务报表中，母公司在不丧失控制权的情况下部分处置对子公司的长期股权投资，</w:t>
      </w:r>
    </w:p>
    <w:p>
      <w:pPr>
        <w:pStyle w:val="BodyText"/>
        <w:spacing w:line="312" w:lineRule="exact"/>
        <w:ind w:right="271"/>
        <w:jc w:val="both"/>
      </w:pPr>
      <w:r>
        <w:rPr/>
        <w:t>处置价款与处置长期股权投资相对应享有子公司净资产的差额计入股东权益；母公司部分处 </w:t>
      </w:r>
      <w:r>
        <w:rPr>
          <w:spacing w:val="-6"/>
        </w:rPr>
        <w:t>置对子公司的长期股权投资导致丧失对子公司控制权的，按本附注四、5、（2）“合并财务报</w:t>
      </w:r>
      <w:r>
        <w:rPr>
          <w:spacing w:val="-108"/>
        </w:rPr>
        <w:t> </w:t>
      </w:r>
      <w:r>
        <w:rPr>
          <w:spacing w:val="-108"/>
        </w:rPr>
      </w:r>
      <w:r>
        <w:rPr/>
        <w:t>表编制的方法”中所述的相关会计政策处理。</w:t>
      </w:r>
    </w:p>
    <w:p>
      <w:pPr>
        <w:pStyle w:val="BodyText"/>
        <w:spacing w:line="312" w:lineRule="exact"/>
        <w:ind w:right="98" w:firstLine="480"/>
        <w:jc w:val="left"/>
      </w:pPr>
      <w:r>
        <w:rPr>
          <w:spacing w:val="-3"/>
        </w:rPr>
        <w:t>其他情形下的长期股权投资处置，对于处置的股权，其账面价值与实际取得价款的差额，</w:t>
      </w:r>
      <w:r>
        <w:rPr/>
        <w:t> 计入当期损益。</w:t>
      </w:r>
    </w:p>
    <w:p>
      <w:pPr>
        <w:pStyle w:val="BodyText"/>
        <w:spacing w:line="312" w:lineRule="exact"/>
        <w:ind w:right="271" w:firstLine="480"/>
        <w:jc w:val="both"/>
      </w:pPr>
      <w:r>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BodyText"/>
        <w:spacing w:line="312" w:lineRule="exact"/>
        <w:ind w:right="271" w:firstLine="480"/>
        <w:jc w:val="both"/>
      </w:pPr>
      <w:r>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BodyText"/>
        <w:spacing w:line="312" w:lineRule="exact"/>
        <w:ind w:right="271" w:firstLine="480"/>
        <w:jc w:val="both"/>
      </w:pPr>
      <w:r>
        <w:rPr/>
        <w:t>本公司因处置部分股权投资丧失了对被投资单位的控制的，在编制个别财务报表时，处 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w:t>
      </w:r>
    </w:p>
    <w:p>
      <w:pPr>
        <w:spacing w:after="0" w:line="312" w:lineRule="exact"/>
        <w:jc w:val="both"/>
        <w:sectPr>
          <w:pgSz w:w="11910" w:h="16840"/>
          <w:pgMar w:header="907" w:footer="1016" w:top="1100" w:bottom="1200" w:left="1020" w:right="900"/>
        </w:sectPr>
      </w:pPr>
    </w:p>
    <w:p>
      <w:pPr>
        <w:spacing w:line="240" w:lineRule="auto" w:before="9"/>
        <w:rPr>
          <w:rFonts w:ascii="宋体" w:hAnsi="宋体" w:cs="宋体" w:eastAsia="宋体" w:hint="default"/>
          <w:sz w:val="20"/>
          <w:szCs w:val="20"/>
        </w:rPr>
      </w:pPr>
    </w:p>
    <w:p>
      <w:pPr>
        <w:pStyle w:val="BodyText"/>
        <w:spacing w:line="312" w:lineRule="exact" w:before="56"/>
        <w:ind w:right="151"/>
        <w:jc w:val="both"/>
      </w:pPr>
      <w:r>
        <w:rPr/>
        <w:t>资单位的控制之前，因采用权益法核算或金融工具确认和计量准则核算而确认的其他综合收 益，在丧失对被投资单位控制时采用与被投资单位直接处置相关资产或负债相同的基础进行 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BodyText"/>
        <w:spacing w:line="312" w:lineRule="exact"/>
        <w:ind w:right="151" w:firstLine="480"/>
        <w:jc w:val="both"/>
      </w:pPr>
      <w:r>
        <w:rPr/>
        <w:t>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w:t>
      </w:r>
    </w:p>
    <w:p>
      <w:pPr>
        <w:pStyle w:val="BodyText"/>
        <w:spacing w:line="312" w:lineRule="exact"/>
        <w:ind w:right="134" w:firstLine="480"/>
        <w:jc w:val="left"/>
      </w:pPr>
      <w:r>
        <w:rPr/>
        <w:t>本公司通过多次交易分步处置对子公司股权投资直至丧失控制权，如果上述交易属于一 揽子交易的，将各项交易作为一项处置子公司股权投资并丧失控制权的交易进行会计处理， 在丧失控制权之前每一次处置价款与所处置的股权对应的长期股权投资账面价值之间的差 额，先确认为其他综合收益，到丧失控制权时再一并转入丧失控制权的当期损益。</w:t>
      </w: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793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2"/>
        <w:rPr>
          <w:rFonts w:ascii="宋体" w:hAnsi="宋体" w:cs="宋体" w:eastAsia="宋体" w:hint="default"/>
          <w:sz w:val="19"/>
          <w:szCs w:val="19"/>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112" w:right="112" w:firstLine="360"/>
        <w:jc w:val="both"/>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固定资产是指为生产商品、提供劳务、出租或经营管理而持有的，使用寿命超过一个会计年度的有形资产。固定资产仅</w:t>
      </w:r>
      <w:r>
        <w:rPr>
          <w:rFonts w:ascii="宋体" w:hAnsi="宋体" w:cs="宋体" w:eastAsia="宋体" w:hint="default"/>
          <w:sz w:val="18"/>
          <w:szCs w:val="18"/>
        </w:rPr>
        <w:t> </w:t>
      </w:r>
      <w:r>
        <w:rPr>
          <w:rFonts w:ascii="宋体" w:hAnsi="宋体" w:cs="宋体" w:eastAsia="宋体" w:hint="default"/>
          <w:spacing w:val="-2"/>
          <w:sz w:val="18"/>
          <w:szCs w:val="18"/>
        </w:rPr>
        <w:t>在与其有关的经济利益很可能流入本公司，且其成本能够可靠地计量时才予以确认。固定资产按成本并考虑预计弃置费用因</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素的影响进行初始计量。</w:t>
      </w:r>
    </w:p>
    <w:p>
      <w:pPr>
        <w:spacing w:line="240" w:lineRule="auto" w:before="6"/>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276" w:lineRule="exact"/>
        <w:ind w:left="592" w:right="0"/>
        <w:jc w:val="left"/>
      </w:pPr>
      <w:r>
        <w:rPr/>
        <w:t>预计净残值是指假定固定资产预计使用寿命已满并处于使用寿命终了时的预期状态，本</w:t>
      </w:r>
    </w:p>
    <w:p>
      <w:pPr>
        <w:pStyle w:val="BodyText"/>
        <w:spacing w:line="313" w:lineRule="exact"/>
        <w:ind w:right="0"/>
        <w:jc w:val="left"/>
      </w:pPr>
      <w:r>
        <w:rPr/>
        <w:t>公司目前从该项资产处置中获得的扣除预计处置费用后的金额。</w:t>
      </w:r>
    </w:p>
    <w:p>
      <w:pPr>
        <w:spacing w:after="0" w:line="313" w:lineRule="exact"/>
        <w:jc w:val="left"/>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112" w:right="112" w:firstLine="360"/>
        <w:jc w:val="both"/>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w:t>
      </w:r>
      <w:r>
        <w:rPr>
          <w:rFonts w:ascii="宋体" w:hAnsi="宋体" w:cs="宋体" w:eastAsia="宋体" w:hint="default"/>
          <w:sz w:val="18"/>
          <w:szCs w:val="18"/>
        </w:rPr>
        <w:t> </w:t>
      </w:r>
      <w:r>
        <w:rPr>
          <w:rFonts w:ascii="宋体" w:hAnsi="宋体" w:cs="宋体" w:eastAsia="宋体" w:hint="default"/>
          <w:spacing w:val="-2"/>
          <w:sz w:val="18"/>
          <w:szCs w:val="18"/>
        </w:rPr>
        <w:t>租赁方式租入的固定资产采用与自有固定资产一致的政策计提租赁资产折旧。能够合理确定租赁期届满时取得租赁资产所有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权的在租赁资产使用寿命内计提折旧，无法合理确定租赁期届满能够取得租赁资产所有权的，在租赁期与租赁资产使用寿命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两者中较短的期间内计提折旧。</w:t>
      </w:r>
    </w:p>
    <w:p>
      <w:pPr>
        <w:spacing w:line="240" w:lineRule="auto" w:before="8"/>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34" w:firstLine="480"/>
        <w:jc w:val="left"/>
      </w:pPr>
      <w:r>
        <w:rPr/>
        <w:t>在建工程成本按实际工程支出确定，包括在建期间发生的各项工程支出、工程达到预定 可使用状态前的资本化的借款费用以及其他相关费用等。在建工程在达到预定可使用状态后 结转为固定资产。 </w:t>
      </w:r>
      <w:r>
        <w:rPr>
          <w:spacing w:val="-4"/>
        </w:rPr>
        <w:t>在建工程的减值测试方法和减值准备计提方法详见附注四、16“长期资产减值”。</w:t>
      </w: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51" w:firstLine="480"/>
        <w:jc w:val="both"/>
      </w:pPr>
      <w:r>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经开始时，开始资本化；购建或者生产的符合资本化条件的资产达到预定可使用状态或者可 销售状态时，停止资本化。其余借款费用在发生当期确认为费用。</w:t>
      </w:r>
    </w:p>
    <w:p>
      <w:pPr>
        <w:pStyle w:val="BodyText"/>
        <w:spacing w:line="312" w:lineRule="exact"/>
        <w:ind w:right="151" w:firstLine="480"/>
        <w:jc w:val="both"/>
      </w:pPr>
      <w:r>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BodyText"/>
        <w:spacing w:line="312" w:lineRule="exact"/>
        <w:ind w:right="134" w:firstLine="480"/>
        <w:jc w:val="left"/>
      </w:pPr>
      <w:r>
        <w:rPr/>
        <w:t>资本化期间内，外币专门借款的汇兑差额全部予以资本化；外币一般借款的汇兑差额计 入当期损益。</w:t>
      </w:r>
    </w:p>
    <w:p>
      <w:pPr>
        <w:pStyle w:val="BodyText"/>
        <w:spacing w:line="312" w:lineRule="exact"/>
        <w:ind w:right="0" w:firstLine="480"/>
        <w:jc w:val="left"/>
      </w:pPr>
      <w:r>
        <w:rPr/>
        <w:t>符合资本化条件的资产指需要经过相当长时间的购建或者生产活动才能达到预定可使用 或可销售状态的固定资产、投资性房地产和存货等资产。 </w:t>
      </w:r>
      <w:r>
        <w:rPr>
          <w:spacing w:val="3"/>
        </w:rPr>
        <w:t>如果符合资本化条件的资产在购建或生产过程中发生非正常中断、并且中断时间连续超过3</w:t>
      </w:r>
      <w:r>
        <w:rPr>
          <w:spacing w:val="-108"/>
        </w:rPr>
        <w:t> </w:t>
      </w:r>
      <w:r>
        <w:rPr>
          <w:spacing w:val="-108"/>
        </w:rPr>
      </w:r>
      <w:r>
        <w:rPr/>
        <w:t>个月的，暂停借款费用的资本化，直至资产的购建或生产活动重新开始。</w:t>
      </w: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pStyle w:val="BodyText"/>
        <w:spacing w:line="312" w:lineRule="exact"/>
        <w:ind w:left="592" w:right="134"/>
        <w:jc w:val="left"/>
      </w:pPr>
      <w:r>
        <w:rPr/>
        <w:t>无形资产是指本公司拥有或者控制的没有实物形态的可辨认非货币性资产。 无形资产按成本进行初始计量。与无形资产有关的支出，如果相关的经济利益很可能流</w:t>
      </w:r>
    </w:p>
    <w:p>
      <w:pPr>
        <w:pStyle w:val="BodyText"/>
        <w:spacing w:line="312" w:lineRule="exact"/>
        <w:ind w:right="134"/>
        <w:jc w:val="left"/>
      </w:pPr>
      <w:r>
        <w:rPr/>
        <w:t>入本公司且其成本能可靠地计量，则计入无形资产成本。除此以外的其他项目的支出，在发 生时计入当期损益。</w:t>
      </w:r>
    </w:p>
    <w:p>
      <w:pPr>
        <w:pStyle w:val="BodyText"/>
        <w:spacing w:line="283" w:lineRule="exact"/>
        <w:ind w:left="592" w:right="0"/>
        <w:jc w:val="left"/>
      </w:pPr>
      <w:r>
        <w:rPr/>
        <w:t>取得的土地使用权通常作为无形资产核算。自行开发建造厂房等建筑物，相关的土地使</w:t>
      </w:r>
    </w:p>
    <w:p>
      <w:pPr>
        <w:spacing w:after="0" w:line="283" w:lineRule="exact"/>
        <w:jc w:val="left"/>
        <w:sectPr>
          <w:pgSz w:w="11910" w:h="16840"/>
          <w:pgMar w:header="907" w:footer="1016" w:top="1100" w:bottom="1200" w:left="1020" w:right="1020"/>
        </w:sectPr>
      </w:pPr>
    </w:p>
    <w:p>
      <w:pPr>
        <w:spacing w:line="240" w:lineRule="auto" w:before="9"/>
        <w:rPr>
          <w:rFonts w:ascii="宋体" w:hAnsi="宋体" w:cs="宋体" w:eastAsia="宋体" w:hint="default"/>
          <w:sz w:val="20"/>
          <w:szCs w:val="20"/>
        </w:rPr>
      </w:pPr>
    </w:p>
    <w:p>
      <w:pPr>
        <w:pStyle w:val="BodyText"/>
        <w:spacing w:line="312" w:lineRule="exact" w:before="56"/>
        <w:ind w:right="96"/>
        <w:jc w:val="left"/>
      </w:pP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 理。</w:t>
      </w:r>
    </w:p>
    <w:p>
      <w:pPr>
        <w:pStyle w:val="BodyText"/>
        <w:spacing w:line="312" w:lineRule="exact"/>
        <w:ind w:right="271" w:firstLine="480"/>
        <w:jc w:val="both"/>
      </w:pPr>
      <w:r>
        <w:rPr/>
        <w:t>使用寿命有限的无形资产自可供使用时起，对其原值减去已计提的减值准备累计金额在 其预计使用寿命内采用直线法分期平均摊销。使用寿命不确定的无形资产不予摊销。</w:t>
      </w:r>
    </w:p>
    <w:p>
      <w:pPr>
        <w:pStyle w:val="BodyText"/>
        <w:spacing w:line="312" w:lineRule="exact"/>
        <w:ind w:right="232" w:firstLine="420"/>
        <w:jc w:val="both"/>
      </w:pPr>
      <w:r>
        <w:rPr>
          <w:spacing w:val="2"/>
        </w:rPr>
        <w:t>期末，对使用寿命有限的无形资产的使用寿命和摊销方法进行复核，如发生变更则作为</w:t>
      </w:r>
      <w:r>
        <w:rPr/>
        <w:t> 会计估计变更处理。此外，还对使用寿命不确定的无形资产的使用寿命进行复核，如果有证</w:t>
      </w:r>
      <w:r>
        <w:rPr>
          <w:spacing w:val="-89"/>
        </w:rPr>
        <w:t> </w:t>
      </w:r>
      <w:r>
        <w:rPr>
          <w:spacing w:val="-89"/>
        </w:rPr>
      </w:r>
      <w:r>
        <w:rPr/>
        <w:t>据表明该无形资产为企业带来经济利益的期限是可预见的，则估计其使用寿命并按照使用寿</w:t>
      </w:r>
      <w:r>
        <w:rPr>
          <w:spacing w:val="-89"/>
        </w:rPr>
        <w:t> </w:t>
      </w:r>
      <w:r>
        <w:rPr>
          <w:spacing w:val="-89"/>
        </w:rPr>
      </w:r>
      <w:r>
        <w:rPr/>
        <w:t>命有限的无形资产的摊销政策进行摊销。</w:t>
      </w:r>
    </w:p>
    <w:p>
      <w:pPr>
        <w:spacing w:line="240" w:lineRule="auto" w:before="4"/>
        <w:rPr>
          <w:rFonts w:ascii="宋体" w:hAnsi="宋体" w:cs="宋体" w:eastAsia="宋体" w:hint="default"/>
          <w:sz w:val="22"/>
          <w:szCs w:val="22"/>
        </w:rPr>
      </w:pPr>
    </w:p>
    <w:p>
      <w:pPr>
        <w:spacing w:before="0"/>
        <w:ind w:left="112"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254"/>
        <w:jc w:val="left"/>
      </w:pPr>
      <w:r>
        <w:rPr/>
        <w:t>本公司内部研究开发项目的支出分为研究阶段支出与开发阶段支出。 研究阶段的支出，于发生时计入当期损益。 开发阶段的支出同时满足下列条件的，确认为无形资产，不能满足下述条件的开发阶段</w:t>
      </w:r>
    </w:p>
    <w:p>
      <w:pPr>
        <w:pStyle w:val="BodyText"/>
        <w:spacing w:line="282" w:lineRule="exact"/>
        <w:ind w:right="98"/>
        <w:jc w:val="left"/>
      </w:pPr>
      <w:r>
        <w:rPr/>
        <w:t>的支出计入当期损益：</w:t>
      </w:r>
    </w:p>
    <w:p>
      <w:pPr>
        <w:pStyle w:val="BodyText"/>
        <w:spacing w:line="312" w:lineRule="exact"/>
        <w:ind w:left="592" w:right="98"/>
        <w:jc w:val="left"/>
      </w:pPr>
      <w:r>
        <w:rPr/>
        <w:t>① 完成该无形资产以使其能够使用或出售在技术上具有可行性；</w:t>
      </w:r>
    </w:p>
    <w:p>
      <w:pPr>
        <w:pStyle w:val="BodyText"/>
        <w:spacing w:line="312" w:lineRule="exact"/>
        <w:ind w:left="592" w:right="98"/>
        <w:jc w:val="left"/>
      </w:pPr>
      <w:r>
        <w:rPr/>
        <w:t>② 具有完成该无形资产并使用或出售的意图；</w:t>
      </w:r>
    </w:p>
    <w:p>
      <w:pPr>
        <w:pStyle w:val="BodyText"/>
        <w:spacing w:line="312" w:lineRule="exact" w:before="29"/>
        <w:ind w:right="232" w:firstLine="480"/>
        <w:jc w:val="both"/>
      </w:pPr>
      <w:r>
        <w:rPr/>
        <w:t>③</w:t>
      </w:r>
      <w:r>
        <w:rPr>
          <w:spacing w:val="27"/>
        </w:rPr>
        <w:t> </w:t>
      </w:r>
      <w:r>
        <w:rPr>
          <w:spacing w:val="-3"/>
        </w:rPr>
        <w:t>无形资产产生经济利益的方式，包括能够证明运用该无形资产生产的产品存在市场或</w:t>
      </w:r>
      <w:r>
        <w:rPr/>
        <w:t> 无形资产自身存在市场，无形资产将在内部使用的，能够证明其有用性；</w:t>
      </w:r>
    </w:p>
    <w:p>
      <w:pPr>
        <w:pStyle w:val="BodyText"/>
        <w:spacing w:line="312" w:lineRule="exact"/>
        <w:ind w:right="232" w:firstLine="480"/>
        <w:jc w:val="both"/>
      </w:pPr>
      <w:r>
        <w:rPr/>
        <w:t>④</w:t>
      </w:r>
      <w:r>
        <w:rPr>
          <w:spacing w:val="26"/>
        </w:rPr>
        <w:t> </w:t>
      </w:r>
      <w:r>
        <w:rPr>
          <w:spacing w:val="-3"/>
        </w:rPr>
        <w:t>有足够的技术、财务资源和其他资源支持，以完成该无形资产的开发，并有能力使用</w:t>
      </w:r>
      <w:r>
        <w:rPr/>
        <w:t> 或出售该无形资产；</w:t>
      </w:r>
    </w:p>
    <w:p>
      <w:pPr>
        <w:pStyle w:val="BodyText"/>
        <w:spacing w:line="312" w:lineRule="exact"/>
        <w:ind w:left="592" w:right="734"/>
        <w:jc w:val="left"/>
      </w:pPr>
      <w:r>
        <w:rPr/>
        <w:t>⑤ 归属于该无形资产开发阶段的支出能够可靠地计量。 无法区分研究阶段支出和开发阶段支出的，将发生的研发支出全部计入当期损益。</w:t>
      </w:r>
    </w:p>
    <w:p>
      <w:pPr>
        <w:spacing w:line="240" w:lineRule="auto" w:before="7"/>
        <w:rPr>
          <w:rFonts w:ascii="宋体" w:hAnsi="宋体" w:cs="宋体" w:eastAsia="宋体" w:hint="default"/>
          <w:sz w:val="22"/>
          <w:szCs w:val="22"/>
        </w:rPr>
      </w:pPr>
    </w:p>
    <w:p>
      <w:pPr>
        <w:spacing w:before="0"/>
        <w:ind w:left="11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271" w:firstLine="480"/>
        <w:jc w:val="both"/>
      </w:pPr>
      <w:r>
        <w:rPr/>
        <w:t>对于固定资产、在建工程、使用寿命有限的无形资产及对子公司的长期股权投资等非流 动非金融资产，本公司于资产负债表日判断是否存在减值迹象。如存在减值迹象的，则估计 其可收回金额，进行减值测试。</w:t>
      </w:r>
    </w:p>
    <w:p>
      <w:pPr>
        <w:pStyle w:val="BodyText"/>
        <w:spacing w:line="312" w:lineRule="exact"/>
        <w:ind w:right="271" w:firstLine="480"/>
        <w:jc w:val="both"/>
      </w:pPr>
      <w:r>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BodyText"/>
        <w:spacing w:line="283" w:lineRule="exact"/>
        <w:ind w:left="592" w:right="98"/>
        <w:jc w:val="left"/>
      </w:pPr>
      <w:r>
        <w:rPr/>
        <w:t>上述资产减值损失一经确认，以后期间不予转回价值得以恢复的部分。</w:t>
      </w:r>
    </w:p>
    <w:p>
      <w:pPr>
        <w:spacing w:after="0" w:line="283" w:lineRule="exact"/>
        <w:jc w:val="left"/>
        <w:sectPr>
          <w:pgSz w:w="11910" w:h="16840"/>
          <w:pgMar w:header="907" w:footer="1016" w:top="1100" w:bottom="1200" w:left="1020" w:right="900"/>
        </w:sectPr>
      </w:pPr>
    </w:p>
    <w:p>
      <w:pPr>
        <w:spacing w:line="240" w:lineRule="auto" w:before="10"/>
        <w:rPr>
          <w:rFonts w:ascii="宋体" w:hAnsi="宋体" w:cs="宋体" w:eastAsia="宋体" w:hint="default"/>
          <w:sz w:val="21"/>
          <w:szCs w:val="21"/>
        </w:rPr>
      </w:pPr>
    </w:p>
    <w:p>
      <w:pPr>
        <w:spacing w:before="34"/>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1" w:firstLine="480"/>
        <w:jc w:val="both"/>
      </w:pPr>
      <w:r>
        <w:rPr/>
        <w:t>短期薪酬主要包括工资、奖金、津贴和补贴、职工福利费、医疗保险费、生育保险费、 工伤保险费、住房公积金、工会经费和职工教育经费、非货币性福利等。本公司在职工为本 公司提供服务的会计期间将实际发生的短期职工薪酬确认为负债，并计入当期损益或相关资 产成本。其中非货币性福利按公允价值计量。</w:t>
      </w: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pStyle w:val="BodyText"/>
        <w:spacing w:line="312" w:lineRule="exact"/>
        <w:ind w:right="111" w:firstLine="480"/>
        <w:jc w:val="both"/>
      </w:pPr>
      <w:r>
        <w:rPr/>
        <w:t>离职后福利主要包括设定提存计划，设定提存计划主要包括基本养老保险、失业保险以 及年金等，相应的应缴存金额于发生时计入相关资产成本或当期损益。</w:t>
      </w: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1" w:firstLine="480"/>
        <w:jc w:val="both"/>
      </w:pPr>
      <w:r>
        <w:rPr/>
        <w:t>在职工劳动合同到期之前解除与职工的劳动关系，或为鼓励职工自愿接受裁减而提出给 予补偿的建议，在本公司不能单方面撤回因解除劳动关系计划或裁减建议所提供的辞退福利 时，和本公司确认与涉及支付辞退福利的重组相关的成本两者孰早日，确认辞退福利产生的 职工薪酬负债，并计入当期损益。但辞退福利预期在年度报告期结束后十二个月不能完全支 付的，按照其他长期职工薪酬处理。</w:t>
      </w:r>
    </w:p>
    <w:p>
      <w:pPr>
        <w:spacing w:line="240" w:lineRule="auto" w:before="7"/>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94"/>
        <w:jc w:val="left"/>
      </w:pPr>
      <w:r>
        <w:rPr/>
        <w:t>本公司向职工提供的其他长期职工福利，符合设定提存计划的，按照设定提存计划进行会计 处理，除此之外按照设定收益计划进行会计处理。</w:t>
      </w: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94"/>
        <w:jc w:val="left"/>
      </w:pPr>
      <w:r>
        <w:rPr/>
        <w:t>（1）商品销售收入 在已将商品所有权上的主要风险和报酬转移给买方，既没有保留通常与所有权相联系的</w:t>
      </w:r>
    </w:p>
    <w:p>
      <w:pPr>
        <w:pStyle w:val="BodyText"/>
        <w:spacing w:line="312" w:lineRule="exact"/>
        <w:ind w:right="111"/>
        <w:jc w:val="both"/>
      </w:pPr>
      <w:r>
        <w:rPr/>
        <w:t>继续管理权，也没有对已售商品实施有效控制，收入的金额能够可靠地计量，相关的经济利 益很可能流入企业，相关的已发生或将发生的成本能够可靠地计量时，确认商品销售收入的 实现。</w:t>
      </w:r>
    </w:p>
    <w:p>
      <w:pPr>
        <w:pStyle w:val="BodyText"/>
        <w:spacing w:line="312" w:lineRule="exact"/>
        <w:ind w:left="592" w:right="94"/>
        <w:jc w:val="left"/>
      </w:pPr>
      <w:r>
        <w:rPr/>
        <w:t>（2）提供劳务收入 在提供劳务交易的结果能够可靠估计的情况下，于资产负债表日按照完工百分比法确认</w:t>
      </w:r>
    </w:p>
    <w:p>
      <w:pPr>
        <w:pStyle w:val="BodyText"/>
        <w:spacing w:line="283" w:lineRule="exact"/>
        <w:ind w:right="0"/>
        <w:jc w:val="both"/>
      </w:pPr>
      <w:r>
        <w:rPr/>
        <w:t>提供的劳务收入。劳务交易的完工进度按已经发生的劳务成本占估计总成本的比例确定。</w:t>
      </w:r>
    </w:p>
    <w:p>
      <w:pPr>
        <w:spacing w:after="0" w:line="283" w:lineRule="exact"/>
        <w:jc w:val="both"/>
        <w:sectPr>
          <w:pgSz w:w="11910" w:h="16840"/>
          <w:pgMar w:header="907" w:footer="1016" w:top="1100" w:bottom="1200" w:left="1020" w:right="1060"/>
        </w:sectPr>
      </w:pPr>
    </w:p>
    <w:p>
      <w:pPr>
        <w:spacing w:line="240" w:lineRule="auto" w:before="9"/>
        <w:rPr>
          <w:rFonts w:ascii="宋体" w:hAnsi="宋体" w:cs="宋体" w:eastAsia="宋体" w:hint="default"/>
          <w:sz w:val="20"/>
          <w:szCs w:val="20"/>
        </w:rPr>
      </w:pPr>
    </w:p>
    <w:p>
      <w:pPr>
        <w:pStyle w:val="BodyText"/>
        <w:spacing w:line="312" w:lineRule="exact" w:before="56"/>
        <w:ind w:right="271" w:firstLine="480"/>
        <w:jc w:val="both"/>
      </w:pPr>
      <w:r>
        <w:rPr/>
        <w:t>提供劳务交易的结果能够可靠估计是指同时满足：①收入的金额能够可靠地计量；②相 关的经济利益很可能流入企业；③交易的完工程度能够可靠地确定；④交易中已发生和将发 生的成本能够可靠地计量。</w:t>
      </w:r>
    </w:p>
    <w:p>
      <w:pPr>
        <w:pStyle w:val="BodyText"/>
        <w:spacing w:line="312" w:lineRule="exact"/>
        <w:ind w:right="271" w:firstLine="480"/>
        <w:jc w:val="both"/>
      </w:pPr>
      <w:r>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BodyText"/>
        <w:spacing w:line="312" w:lineRule="exact"/>
        <w:ind w:right="271" w:firstLine="480"/>
        <w:jc w:val="both"/>
      </w:pPr>
      <w:r>
        <w:rPr/>
        <w:t>本公司与其他企业签订的合同或协议包括销售商品和提供劳务时，如销售商品部分和提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pStyle w:val="BodyText"/>
        <w:spacing w:line="312" w:lineRule="exact"/>
        <w:ind w:left="592" w:right="254"/>
        <w:jc w:val="left"/>
      </w:pPr>
      <w:r>
        <w:rPr/>
        <w:t>（3）建造合同收入 在建造合同的结果能够可靠估计的情况下，于资产负债表日按照完工百分比法确认合同</w:t>
      </w:r>
    </w:p>
    <w:p>
      <w:pPr>
        <w:pStyle w:val="BodyText"/>
        <w:spacing w:line="312" w:lineRule="exact"/>
        <w:ind w:left="0" w:right="271"/>
        <w:jc w:val="right"/>
      </w:pPr>
      <w:r>
        <w:rPr/>
        <w:t>收入和合同费用。合同完工进度按已经完成的合同工作量占合同预计总工作量的比例确定。 建造合同的结果能够可靠估计是指同时满足：①合同总收入能够可靠地计量；②与合同 相关的经济利益很可能流入企业；③实际发生的合同成本能够清楚地区分和可靠地计量；④</w:t>
      </w:r>
    </w:p>
    <w:p>
      <w:pPr>
        <w:pStyle w:val="BodyText"/>
        <w:spacing w:line="312" w:lineRule="exact"/>
        <w:ind w:left="592" w:right="254" w:hanging="480"/>
        <w:jc w:val="left"/>
      </w:pPr>
      <w:r>
        <w:rPr/>
        <w:t>合同完工进度和为完成合同尚需发生的成本能够可靠地确定。 如建造合同的结果不能可靠地估计，但合同成本能够收回的，合同收入根据能够收回的</w:t>
      </w:r>
    </w:p>
    <w:p>
      <w:pPr>
        <w:pStyle w:val="BodyText"/>
        <w:spacing w:line="312" w:lineRule="exact"/>
        <w:ind w:right="96"/>
        <w:jc w:val="left"/>
      </w:pPr>
      <w:r>
        <w:rPr>
          <w:spacing w:val="-2"/>
        </w:rPr>
        <w:t>实际合同成本予以确认，合同成本在其发生的当期确认为合同费用；合同成本不可能收回的，</w:t>
      </w:r>
      <w:r>
        <w:rPr/>
        <w:t> 在发生时立即确认为合同费用，不确认合同收入。使建造合同的结果不能可靠估计的不确定 因素不复存在的，按照完工百分比法确定与建造合同有关的收入和费用。</w:t>
      </w:r>
    </w:p>
    <w:p>
      <w:pPr>
        <w:pStyle w:val="BodyText"/>
        <w:spacing w:line="312" w:lineRule="exact"/>
        <w:ind w:right="98" w:firstLine="480"/>
        <w:jc w:val="left"/>
      </w:pPr>
      <w:r>
        <w:rPr/>
        <w:t>合同预计总成本超过合同总收入的，将预计损失确认为当期费用。 在建合同累计已发生的成本和累计已确认的毛利(亏损)与已结算的价款在资产负债表中以抵</w:t>
      </w:r>
      <w:r>
        <w:rPr>
          <w:spacing w:val="-89"/>
        </w:rPr>
        <w:t> </w:t>
      </w:r>
      <w:r>
        <w:rPr>
          <w:spacing w:val="-89"/>
        </w:rPr>
      </w:r>
      <w:r>
        <w:rPr/>
        <w:t>销后的净额列示。在建合同累计已发生的成本和累计已确认的毛利(亏损)之和超过已结算价</w:t>
      </w:r>
      <w:r>
        <w:rPr>
          <w:spacing w:val="-89"/>
        </w:rPr>
        <w:t> </w:t>
      </w:r>
      <w:r>
        <w:rPr>
          <w:spacing w:val="-89"/>
        </w:rPr>
      </w:r>
      <w:r>
        <w:rPr/>
        <w:t>款的部分作为存货列示；在建合同已结算的价款超过累计已发生的成本与累计已确认的毛利</w:t>
      </w:r>
      <w:r>
        <w:rPr>
          <w:spacing w:val="-89"/>
        </w:rPr>
        <w:t> </w:t>
      </w:r>
      <w:r>
        <w:rPr>
          <w:spacing w:val="-89"/>
        </w:rPr>
      </w:r>
      <w:r>
        <w:rPr/>
        <w:t>(亏损)之和的部分作为预收款项列示。</w:t>
      </w:r>
    </w:p>
    <w:p>
      <w:pPr>
        <w:spacing w:line="240" w:lineRule="auto" w:before="4"/>
        <w:rPr>
          <w:rFonts w:ascii="宋体" w:hAnsi="宋体" w:cs="宋体" w:eastAsia="宋体" w:hint="default"/>
          <w:sz w:val="22"/>
          <w:szCs w:val="22"/>
        </w:rPr>
      </w:pPr>
    </w:p>
    <w:p>
      <w:pPr>
        <w:spacing w:before="0"/>
        <w:ind w:left="11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271" w:firstLine="480"/>
        <w:jc w:val="both"/>
      </w:pPr>
      <w:r>
        <w:rPr/>
        <w:t>本公司将所取得的用于购建或以其他方式形成长期资产的政府补助界定为与资产相关的 政府补助。与资产相关的政府补助，确认为递延收益，并在相关资产的使用寿命内平均分配 计入当期损益。</w:t>
      </w:r>
    </w:p>
    <w:p>
      <w:pPr>
        <w:spacing w:line="240" w:lineRule="auto" w:before="4"/>
        <w:rPr>
          <w:rFonts w:ascii="宋体" w:hAnsi="宋体" w:cs="宋体" w:eastAsia="宋体" w:hint="default"/>
          <w:sz w:val="22"/>
          <w:szCs w:val="22"/>
        </w:rPr>
      </w:pPr>
    </w:p>
    <w:p>
      <w:pPr>
        <w:spacing w:before="0"/>
        <w:ind w:left="112"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271" w:firstLine="480"/>
        <w:jc w:val="both"/>
      </w:pPr>
      <w:r>
        <w:rPr/>
        <w:t>其余政府补助界定为与收益相关的政府补助。与收益相关的政府补助，用于补偿以后期 间的相关费用和损失的，确认为递延收益，并在确认相关费用的期间计入当期损益；用于补 偿已经发生的相关费用和损失的，直接计入当期损益。</w:t>
      </w:r>
    </w:p>
    <w:p>
      <w:pPr>
        <w:spacing w:line="240" w:lineRule="auto" w:before="4"/>
        <w:rPr>
          <w:rFonts w:ascii="宋体" w:hAnsi="宋体" w:cs="宋体" w:eastAsia="宋体" w:hint="default"/>
          <w:sz w:val="22"/>
          <w:szCs w:val="22"/>
        </w:rPr>
      </w:pPr>
    </w:p>
    <w:p>
      <w:pPr>
        <w:spacing w:before="0"/>
        <w:ind w:left="11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pStyle w:val="BodyText"/>
        <w:spacing w:line="312" w:lineRule="exact"/>
        <w:ind w:left="592" w:right="98"/>
        <w:jc w:val="left"/>
      </w:pPr>
      <w:r>
        <w:rPr/>
        <w:t>（1）当期所得税 </w:t>
      </w:r>
      <w:r>
        <w:rPr>
          <w:spacing w:val="-6"/>
        </w:rPr>
        <w:t>资产负债表日，对于当期和以前期间形成的当期所得税负债（或资产），以按照税法规定</w:t>
      </w:r>
    </w:p>
    <w:p>
      <w:pPr>
        <w:spacing w:after="0" w:line="312" w:lineRule="exact"/>
        <w:jc w:val="left"/>
        <w:sectPr>
          <w:pgSz w:w="11910" w:h="16840"/>
          <w:pgMar w:header="907" w:footer="1016" w:top="1100" w:bottom="1200" w:left="1020" w:right="900"/>
        </w:sectPr>
      </w:pPr>
    </w:p>
    <w:p>
      <w:pPr>
        <w:spacing w:line="240" w:lineRule="auto" w:before="9"/>
        <w:rPr>
          <w:rFonts w:ascii="宋体" w:hAnsi="宋体" w:cs="宋体" w:eastAsia="宋体" w:hint="default"/>
          <w:sz w:val="20"/>
          <w:szCs w:val="20"/>
        </w:rPr>
      </w:pPr>
    </w:p>
    <w:p>
      <w:pPr>
        <w:pStyle w:val="BodyText"/>
        <w:spacing w:line="312" w:lineRule="exact" w:before="56"/>
        <w:ind w:right="254"/>
        <w:jc w:val="left"/>
      </w:pPr>
      <w:r>
        <w:rPr/>
        <w:t>计算的预期应交纳（或返还）的所得税金额计量。计算当期所得税费用所依据的应纳税所得 额系根据有关税法规定对本年度税前会计利润作相应调整后计算得出。</w:t>
      </w:r>
    </w:p>
    <w:p>
      <w:pPr>
        <w:pStyle w:val="BodyText"/>
        <w:spacing w:line="312" w:lineRule="exact"/>
        <w:ind w:left="592" w:right="254"/>
        <w:jc w:val="left"/>
      </w:pPr>
      <w:r>
        <w:rPr/>
        <w:t>（2）递延所得税资产及递延所得税负债 某些资产、负债项目的账面价值与其计税基础之间的差额，以及未作为资产和负债确认</w:t>
      </w:r>
    </w:p>
    <w:p>
      <w:pPr>
        <w:pStyle w:val="BodyText"/>
        <w:spacing w:line="312" w:lineRule="exact"/>
        <w:ind w:right="254"/>
        <w:jc w:val="left"/>
      </w:pPr>
      <w:r>
        <w:rPr/>
        <w:t>但按照税法规定可以确定其计税基础的项目的账面价值与计税基础之间的差额产生的暂时性 差异，采用资产负债表债务法确认递延所得税资产及递延所得税负债。</w:t>
      </w:r>
    </w:p>
    <w:p>
      <w:pPr>
        <w:pStyle w:val="BodyText"/>
        <w:spacing w:line="312" w:lineRule="exact"/>
        <w:ind w:right="271" w:firstLine="480"/>
        <w:jc w:val="both"/>
      </w:pPr>
      <w:r>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BodyText"/>
        <w:spacing w:line="312" w:lineRule="exact"/>
        <w:ind w:right="96" w:firstLine="480"/>
        <w:jc w:val="left"/>
      </w:pPr>
      <w:r>
        <w:rPr/>
        <w:t>与既不是企业合并、发生时也不影响会计利润和应纳税所得额（或可抵扣亏损）的交易 </w:t>
      </w:r>
      <w:r>
        <w:rPr>
          <w:spacing w:val="-2"/>
        </w:rPr>
        <w:t>中产生的资产或负债的初始确认有关的可抵扣暂时性差异，不予确认有关的递延所得税资产。</w:t>
      </w:r>
      <w:r>
        <w:rPr/>
        <w:t>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BodyText"/>
        <w:spacing w:line="312" w:lineRule="exact"/>
        <w:ind w:right="271" w:firstLine="480"/>
        <w:jc w:val="both"/>
      </w:pPr>
      <w:r>
        <w:rPr/>
        <w:t>对于能够结转以后年度的可抵扣亏损和税款抵减，以很可能获得用来抵扣可抵扣亏损和 税款抵减的未来应纳税所得额为限，确认相应的递延所得税资产。</w:t>
      </w:r>
    </w:p>
    <w:p>
      <w:pPr>
        <w:pStyle w:val="BodyText"/>
        <w:spacing w:line="312" w:lineRule="exact"/>
        <w:ind w:right="271" w:firstLine="480"/>
        <w:jc w:val="both"/>
      </w:pPr>
      <w:r>
        <w:rPr/>
        <w:t>资产负债表日，对于递延所得税资产和递延所得税负债，根据税法规定，按照预期收回 相关资产或清偿相关负债期间的适用税率计量。</w:t>
      </w:r>
    </w:p>
    <w:p>
      <w:pPr>
        <w:pStyle w:val="BodyText"/>
        <w:spacing w:line="312" w:lineRule="exact"/>
        <w:ind w:right="271" w:firstLine="480"/>
        <w:jc w:val="both"/>
      </w:pPr>
      <w:r>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BodyText"/>
        <w:spacing w:line="312" w:lineRule="exact"/>
        <w:ind w:left="592" w:right="4814"/>
        <w:jc w:val="left"/>
      </w:pPr>
      <w:r>
        <w:rPr/>
        <w:t>（3）所得税费用 所得税费用包括当期所得税和递延所得税。</w:t>
      </w:r>
    </w:p>
    <w:p>
      <w:pPr>
        <w:pStyle w:val="BodyText"/>
        <w:spacing w:line="312" w:lineRule="exact"/>
        <w:ind w:right="271" w:firstLine="480"/>
        <w:jc w:val="both"/>
      </w:pPr>
      <w:r>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BodyText"/>
        <w:spacing w:line="312" w:lineRule="exact"/>
        <w:ind w:left="592" w:right="254"/>
        <w:jc w:val="left"/>
      </w:pPr>
      <w:r>
        <w:rPr/>
        <w:t>（4）所得税的抵销 当拥有以净额结算的法定权利，且意图以净额结算或取得资产、清偿负债同时进行时，</w:t>
      </w:r>
    </w:p>
    <w:p>
      <w:pPr>
        <w:pStyle w:val="BodyText"/>
        <w:spacing w:line="312" w:lineRule="exact"/>
        <w:ind w:right="98"/>
        <w:jc w:val="left"/>
      </w:pPr>
      <w:r>
        <w:rPr/>
        <w:t>本公司当期所得税资产及当期所得税负债以抵销后的净额列报。 当拥有以净额结算当期所得税资产及当期所得税负债的法定权利，且递延所得税资产及递延</w:t>
      </w:r>
      <w:r>
        <w:rPr>
          <w:spacing w:val="-89"/>
        </w:rPr>
        <w:t> </w:t>
      </w:r>
      <w:r>
        <w:rPr>
          <w:spacing w:val="-89"/>
        </w:rPr>
      </w:r>
      <w:r>
        <w:rPr/>
        <w:t>所得税负债是与同一税收征管部门对同一纳税主体征收的所得税相关或者是对不同的纳税主</w:t>
      </w:r>
      <w:r>
        <w:rPr>
          <w:spacing w:val="-89"/>
        </w:rPr>
        <w:t> </w:t>
      </w:r>
      <w:r>
        <w:rPr>
          <w:spacing w:val="-89"/>
        </w:rPr>
      </w:r>
      <w:r>
        <w:rPr/>
        <w:t>体相关，但在未来每一具有重要性的递延所得税资产及负债转回的期间内，涉及的纳税主体</w:t>
      </w:r>
      <w:r>
        <w:rPr>
          <w:spacing w:val="-89"/>
        </w:rPr>
        <w:t> </w:t>
      </w:r>
      <w:r>
        <w:rPr>
          <w:spacing w:val="-89"/>
        </w:rPr>
      </w:r>
      <w:r>
        <w:rPr/>
        <w:t>意图以净额结算当期所得税资产和负债或是同时取得资产、清偿负债时，本公司递延所得税</w:t>
      </w:r>
      <w:r>
        <w:rPr>
          <w:spacing w:val="-89"/>
        </w:rPr>
        <w:t> </w:t>
      </w:r>
      <w:r>
        <w:rPr>
          <w:spacing w:val="-89"/>
        </w:rPr>
      </w:r>
      <w:r>
        <w:rPr/>
        <w:t>资产及递延所得税负债以抵销后的净额列报。</w:t>
      </w:r>
    </w:p>
    <w:p>
      <w:pPr>
        <w:spacing w:after="0" w:line="312" w:lineRule="exact"/>
        <w:jc w:val="left"/>
        <w:sectPr>
          <w:pgSz w:w="11910" w:h="16840"/>
          <w:pgMar w:header="907" w:footer="1016" w:top="1100" w:bottom="1200" w:left="1020" w:right="900"/>
        </w:sectPr>
      </w:pPr>
    </w:p>
    <w:p>
      <w:pPr>
        <w:spacing w:line="240" w:lineRule="auto" w:before="10"/>
        <w:rPr>
          <w:rFonts w:ascii="宋体" w:hAnsi="宋体" w:cs="宋体" w:eastAsia="宋体" w:hint="default"/>
          <w:sz w:val="21"/>
          <w:szCs w:val="21"/>
        </w:rPr>
      </w:pPr>
    </w:p>
    <w:p>
      <w:pPr>
        <w:spacing w:before="34"/>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94" w:firstLine="480"/>
        <w:jc w:val="left"/>
      </w:pPr>
      <w:r>
        <w:rPr/>
        <w:t>融资租赁为实质上转移了与资产所有权有关的全部风险和报酬的租赁，其所有权最终可 能转移，也可能不转移。融资租赁以外的其他租赁为经营租赁。</w:t>
      </w:r>
    </w:p>
    <w:p>
      <w:pPr>
        <w:pStyle w:val="BodyText"/>
        <w:spacing w:line="312" w:lineRule="exact"/>
        <w:ind w:left="592" w:right="94"/>
        <w:jc w:val="left"/>
      </w:pPr>
      <w:r>
        <w:rPr/>
        <w:t>（1）本公司作为承租人记录经营租赁业务 经营租赁的租金支出在租赁期内的各个期间按直线法计入相关资产成本或当期损益。初</w:t>
      </w:r>
    </w:p>
    <w:p>
      <w:pPr>
        <w:pStyle w:val="BodyText"/>
        <w:spacing w:line="282" w:lineRule="exact"/>
        <w:ind w:right="0"/>
        <w:jc w:val="both"/>
      </w:pPr>
      <w:r>
        <w:rPr/>
        <w:t>始直接费用计入当期损益。或有租金于实际发生时计入当期损益。</w:t>
      </w:r>
    </w:p>
    <w:p>
      <w:pPr>
        <w:pStyle w:val="BodyText"/>
        <w:spacing w:line="312" w:lineRule="exact" w:before="29"/>
        <w:ind w:left="592" w:right="94"/>
        <w:jc w:val="left"/>
      </w:pPr>
      <w:r>
        <w:rPr/>
        <w:t>（2）本公司作为出租人记录经营租赁业务 经营租赁的租金收入在租赁期内的各个期间按直线法确认为当期损益。对金额较大的初</w:t>
      </w:r>
    </w:p>
    <w:p>
      <w:pPr>
        <w:pStyle w:val="BodyText"/>
        <w:spacing w:line="312" w:lineRule="exact"/>
        <w:ind w:right="111"/>
        <w:jc w:val="both"/>
      </w:pPr>
      <w:r>
        <w:rPr/>
        <w:t>始直接费用于发生时予以资本化，在整个租赁期间内按照与确认租金收入相同的基础分期计 入当期损益；其他金额较小的初始直接费用于发生时计入当期损益。或有租金于实际发生时 计入当期损益。</w:t>
      </w:r>
    </w:p>
    <w:p>
      <w:pPr>
        <w:pStyle w:val="BodyText"/>
        <w:spacing w:line="312" w:lineRule="exact"/>
        <w:ind w:left="592" w:right="94"/>
        <w:jc w:val="left"/>
      </w:pPr>
      <w:r>
        <w:rPr/>
        <w:t>（3）本公司作为承租人记录融资租赁业务 于租赁期开始日，将租赁开始日租赁资产的公允价值与最低租赁付款额现值两者中较低</w:t>
      </w:r>
    </w:p>
    <w:p>
      <w:pPr>
        <w:pStyle w:val="BodyText"/>
        <w:spacing w:line="312" w:lineRule="exact"/>
        <w:ind w:right="111"/>
        <w:jc w:val="both"/>
      </w:pPr>
      <w:r>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BodyText"/>
        <w:spacing w:line="312" w:lineRule="exact"/>
        <w:ind w:right="94" w:firstLine="480"/>
        <w:jc w:val="left"/>
      </w:pPr>
      <w:r>
        <w:rPr/>
        <w:t>未确认融资费用在租赁期内采用实际利率法计算确认当期的融资费用。或有租金于实际 发生时计入当期损益。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pStyle w:val="BodyText"/>
        <w:spacing w:line="312" w:lineRule="exact"/>
        <w:ind w:left="592" w:right="94"/>
        <w:jc w:val="left"/>
      </w:pPr>
      <w:r>
        <w:rPr/>
        <w:t>（1）终止经营 终止经营，是指满足下列条件之一的已被本公司处置或划归为持有待售的、在经营和编</w:t>
      </w:r>
    </w:p>
    <w:p>
      <w:pPr>
        <w:pStyle w:val="BodyText"/>
        <w:spacing w:line="312" w:lineRule="exact"/>
        <w:ind w:right="111"/>
        <w:jc w:val="both"/>
      </w:pPr>
      <w:r>
        <w:rPr/>
        <w:t>制财务报表时能够单独区分的组成部分：①该组成部分代表一项独立的主要业务或一个主要 经营地区；②该组成部分是拟对一项独立的主要业务或一个主要经营地区进行处置计划的一 部分；③该组成部分是仅仅为了再出售而取得的子公司。</w:t>
      </w:r>
    </w:p>
    <w:p>
      <w:pPr>
        <w:pStyle w:val="BodyText"/>
        <w:spacing w:line="312" w:lineRule="exact"/>
        <w:ind w:left="592" w:right="7654"/>
        <w:jc w:val="left"/>
      </w:pPr>
      <w:r>
        <w:rPr/>
        <w:t>（2）套期会计 无。</w:t>
      </w:r>
    </w:p>
    <w:p>
      <w:pPr>
        <w:pStyle w:val="BodyText"/>
        <w:spacing w:line="312" w:lineRule="exact"/>
        <w:ind w:left="592" w:right="7654"/>
        <w:jc w:val="left"/>
      </w:pPr>
      <w:r>
        <w:rPr/>
        <w:t>（3）回购股份 无。</w:t>
      </w:r>
    </w:p>
    <w:p>
      <w:pPr>
        <w:pStyle w:val="BodyText"/>
        <w:spacing w:line="312" w:lineRule="exact"/>
        <w:ind w:left="592" w:right="7414"/>
        <w:jc w:val="left"/>
      </w:pPr>
      <w:r>
        <w:rPr/>
        <w:t>（4）资产证券化 无。</w:t>
      </w: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both"/>
        <w:rPr>
          <w:rFonts w:ascii="宋体" w:hAnsi="宋体" w:cs="宋体" w:eastAsia="宋体" w:hint="default"/>
          <w:sz w:val="18"/>
          <w:szCs w:val="18"/>
        </w:rPr>
        <w:sectPr>
          <w:pgSz w:w="11910" w:h="16840"/>
          <w:pgMar w:header="907" w:footer="1016" w:top="1100" w:bottom="1200" w:left="1020" w:right="1060"/>
        </w:sectPr>
      </w:pPr>
    </w:p>
    <w:p>
      <w:pPr>
        <w:spacing w:line="240" w:lineRule="auto" w:before="10"/>
        <w:rPr>
          <w:rFonts w:ascii="宋体" w:hAnsi="宋体" w:cs="宋体" w:eastAsia="宋体" w:hint="default"/>
          <w:sz w:val="21"/>
          <w:szCs w:val="21"/>
        </w:rPr>
      </w:pPr>
    </w:p>
    <w:p>
      <w:pPr>
        <w:spacing w:before="34"/>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271" w:firstLine="480"/>
        <w:jc w:val="both"/>
      </w:pPr>
      <w:r>
        <w:rPr/>
        <w:t>本公司在运用会计政策过程中，由于经营活动内在的不确定性，本公司需要对无法准确 计量的报表项目的账面价值进行判断、估计和假设。这些判断、估计和假设是基于本公司管 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 影响的资产或负债的账面金额进行重大调整。</w:t>
      </w:r>
    </w:p>
    <w:p>
      <w:pPr>
        <w:pStyle w:val="BodyText"/>
        <w:spacing w:line="312" w:lineRule="exact"/>
        <w:ind w:right="271" w:firstLine="480"/>
        <w:jc w:val="both"/>
      </w:pPr>
      <w:r>
        <w:rPr/>
        <w:t>本公司对前述判断、估计和假设在持续经营的基础上进行定期复核，会计估计的变更仅 影响变更当期的，其影响数在变更当期予以确认；既影响变更当期又影响未来期间的，其影 响数在变更当期和未来期间予以确认。</w:t>
      </w:r>
    </w:p>
    <w:p>
      <w:pPr>
        <w:pStyle w:val="BodyText"/>
        <w:spacing w:line="282" w:lineRule="exact"/>
        <w:ind w:left="592" w:right="98"/>
        <w:jc w:val="left"/>
      </w:pPr>
      <w:r>
        <w:rPr>
          <w:spacing w:val="-3"/>
        </w:rPr>
        <w:t>于资产负债表日，本公司需对财务报表项目金额进行判断、估计和假设的重要领域如下：</w:t>
      </w:r>
    </w:p>
    <w:p>
      <w:pPr>
        <w:pStyle w:val="BodyText"/>
        <w:spacing w:line="312" w:lineRule="exact" w:before="29"/>
        <w:ind w:left="592" w:right="254"/>
        <w:jc w:val="left"/>
      </w:pPr>
      <w:r>
        <w:rPr/>
        <w:t>（1）坏账准备计提 本公司根据应收款项的会计政策，采用备抵法核算坏账损失。应收款项减值是基于评估</w:t>
      </w:r>
    </w:p>
    <w:p>
      <w:pPr>
        <w:pStyle w:val="BodyText"/>
        <w:spacing w:line="312" w:lineRule="exact"/>
        <w:ind w:right="271"/>
        <w:jc w:val="both"/>
      </w:pPr>
      <w:r>
        <w:rPr/>
        <w:t>应收款项的可收回性。鉴定应收款项减值要求管理层的判断和估计。实际的结果与原先估计 的差异将在估计被改变的期间影响应收款项的账面价值及应收款项坏账准备的计提或转回。</w:t>
      </w:r>
    </w:p>
    <w:p>
      <w:pPr>
        <w:pStyle w:val="BodyText"/>
        <w:spacing w:line="312" w:lineRule="exact"/>
        <w:ind w:left="592" w:right="254"/>
        <w:jc w:val="left"/>
      </w:pPr>
      <w:r>
        <w:rPr/>
        <w:t>（2）存货跌价准备 本公司根据存货会计政策，按照成本与可变现净值孰低计量，对成本高于可变现净值及</w:t>
      </w:r>
    </w:p>
    <w:p>
      <w:pPr>
        <w:pStyle w:val="BodyText"/>
        <w:spacing w:line="312" w:lineRule="exact"/>
        <w:ind w:right="271"/>
        <w:jc w:val="both"/>
      </w:pPr>
      <w:r>
        <w:rPr/>
        <w:t>陈旧和滞销的存货，计提存货跌价准备。存货减值至可变现净值是基于评估存货的可售性及 其可变现净值。鉴定存货减值要求管理层在取得确凿证据，并且考虑持有存货的目的、资产 负债表日后事项的影响等因素的基础上作出判断和估计。实际的结果与原先估计的差异将在 估计被改变的期间影响存货的账面价值及存货跌价准备的计提或转回。</w:t>
      </w:r>
    </w:p>
    <w:p>
      <w:pPr>
        <w:pStyle w:val="BodyText"/>
        <w:spacing w:line="312" w:lineRule="exact"/>
        <w:ind w:left="592" w:right="254"/>
        <w:jc w:val="left"/>
      </w:pPr>
      <w:r>
        <w:rPr/>
        <w:t>（3）金融工具公允价值 对不存在活跃交易市场的金融工具，本公司通过各种估值方法确定其公允价值。这些估</w:t>
      </w:r>
    </w:p>
    <w:p>
      <w:pPr>
        <w:pStyle w:val="BodyText"/>
        <w:spacing w:line="312" w:lineRule="exact"/>
        <w:ind w:right="271"/>
        <w:jc w:val="both"/>
      </w:pPr>
      <w:r>
        <w:rPr/>
        <w:t>值方法包括贴现现金流模型分析等。估值时本公司需对未来现金流量、信用风险、市场波动 率和相关性等方面进行估计，并选择适当的折现率。这些相关假设具有不确定性，其变化会 对金融工具的公允价值产生影响。</w:t>
      </w:r>
    </w:p>
    <w:p>
      <w:pPr>
        <w:pStyle w:val="BodyText"/>
        <w:spacing w:line="312" w:lineRule="exact"/>
        <w:ind w:left="592" w:right="254"/>
        <w:jc w:val="left"/>
      </w:pPr>
      <w:r>
        <w:rPr/>
        <w:t>（4）折旧和摊销 本公司对投资性房地产、固定资产和无形资产在考虑其残值后，在使用寿命内按直线法</w:t>
      </w:r>
    </w:p>
    <w:p>
      <w:pPr>
        <w:pStyle w:val="BodyText"/>
        <w:spacing w:line="312" w:lineRule="exact"/>
        <w:ind w:right="271"/>
        <w:jc w:val="both"/>
      </w:pPr>
      <w:r>
        <w:rPr/>
        <w:t>计提折旧和摊销。本公司定期复核使用寿命，以决定将计入每个报告期的折旧和摊销费用数 额。使用寿命是本公司根据对同类资产的以往经验并结合预期的技术更新而确定的。如果以 前的估计发生重大变化，则会在未来期间对折旧和摊销费用进行调整。</w:t>
      </w:r>
    </w:p>
    <w:p>
      <w:pPr>
        <w:pStyle w:val="BodyText"/>
        <w:spacing w:line="312" w:lineRule="exact"/>
        <w:ind w:left="592" w:right="254"/>
        <w:jc w:val="left"/>
      </w:pPr>
      <w:r>
        <w:rPr/>
        <w:t>（5）开发支出 确定资本化的金额时，本公司管理层需要作出有关资产的预计未来现金流量、适用的折</w:t>
      </w:r>
    </w:p>
    <w:p>
      <w:pPr>
        <w:pStyle w:val="BodyText"/>
        <w:spacing w:line="282" w:lineRule="exact"/>
        <w:ind w:right="0"/>
        <w:jc w:val="both"/>
      </w:pPr>
      <w:r>
        <w:rPr/>
        <w:t>现率以及预计受益期间的假设。</w:t>
      </w:r>
    </w:p>
    <w:p>
      <w:pPr>
        <w:pStyle w:val="BodyText"/>
        <w:spacing w:line="312" w:lineRule="exact" w:before="29"/>
        <w:ind w:left="592" w:right="254"/>
        <w:jc w:val="left"/>
      </w:pPr>
      <w:r>
        <w:rPr/>
        <w:t>（6）递延所得税资产 在很有可能有足够的应纳税利润来抵扣亏损的限度内，本公司就所有未利用的税务亏损</w:t>
      </w:r>
    </w:p>
    <w:p>
      <w:pPr>
        <w:pStyle w:val="BodyText"/>
        <w:spacing w:line="312" w:lineRule="exact"/>
        <w:ind w:right="271"/>
        <w:jc w:val="both"/>
      </w:pPr>
      <w:r>
        <w:rPr/>
        <w:t>确认递延所得税资产。这需要本公司管理层运用大量的判断来估计未来应纳税利润发生的时 间和金额，结合纳税筹划策略，以决定应确认的递延所得税资产的金额。</w:t>
      </w:r>
    </w:p>
    <w:p>
      <w:pPr>
        <w:pStyle w:val="BodyText"/>
        <w:spacing w:line="283" w:lineRule="exact"/>
        <w:ind w:left="592" w:right="98"/>
        <w:jc w:val="left"/>
      </w:pPr>
      <w:r>
        <w:rPr/>
        <w:t>（7）所得税</w:t>
      </w:r>
    </w:p>
    <w:p>
      <w:pPr>
        <w:spacing w:after="0" w:line="283" w:lineRule="exact"/>
        <w:jc w:val="left"/>
        <w:sectPr>
          <w:pgSz w:w="11910" w:h="16840"/>
          <w:pgMar w:header="907" w:footer="1016" w:top="1100" w:bottom="1200" w:left="1020" w:right="900"/>
        </w:sectPr>
      </w:pPr>
    </w:p>
    <w:p>
      <w:pPr>
        <w:spacing w:line="240" w:lineRule="auto" w:before="9"/>
        <w:rPr>
          <w:rFonts w:ascii="宋体" w:hAnsi="宋体" w:cs="宋体" w:eastAsia="宋体" w:hint="default"/>
          <w:sz w:val="20"/>
          <w:szCs w:val="20"/>
        </w:rPr>
      </w:pPr>
    </w:p>
    <w:p>
      <w:pPr>
        <w:pStyle w:val="BodyText"/>
        <w:spacing w:line="312" w:lineRule="exact" w:before="56"/>
        <w:ind w:right="98" w:firstLine="480"/>
        <w:jc w:val="left"/>
      </w:pPr>
      <w:r>
        <w:rPr>
          <w:spacing w:val="-3"/>
        </w:rPr>
        <w:t>本公司在正常的经营活动中，有部分交易其最终的税务处理和计算存在一定的不确定性。</w:t>
      </w:r>
      <w:r>
        <w:rPr/>
        <w:t> 部分项目是否能够在税前列支需要税收主管机关的审批。如果这些税务事项的最终认定结果 同最初估计的金额存在差异，则该差异将对其最终认定期间的当期所得税和递延所得税产生 影响。</w:t>
      </w:r>
    </w:p>
    <w:p>
      <w:pPr>
        <w:spacing w:line="240" w:lineRule="auto" w:before="8"/>
        <w:rPr>
          <w:rFonts w:ascii="宋体" w:hAnsi="宋体" w:cs="宋体" w:eastAsia="宋体" w:hint="default"/>
          <w:sz w:val="20"/>
          <w:szCs w:val="20"/>
        </w:rPr>
      </w:pPr>
    </w:p>
    <w:p>
      <w:pPr>
        <w:pStyle w:val="Heading2"/>
        <w:spacing w:line="240" w:lineRule="auto"/>
        <w:ind w:right="98"/>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spacing w:before="0"/>
        <w:ind w:left="11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61" w:hRule="exact"/>
        </w:trPr>
        <w:tc>
          <w:tcPr>
            <w:tcW w:w="3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的税率计算销项税，</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并按扣除当期允许抵扣的进项税额后</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17%</w:t>
            </w:r>
          </w:p>
        </w:tc>
      </w:tr>
      <w:tr>
        <w:trPr>
          <w:trHeight w:val="353" w:hRule="exact"/>
        </w:trPr>
        <w:tc>
          <w:tcPr>
            <w:tcW w:w="3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的差额计缴增值税。</w:t>
            </w: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教育费及附加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地方教育费及附加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12" w:right="98"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3d3d3"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纳税主体名称</w:t>
                      </w:r>
                    </w:p>
                  </w:txbxContent>
                </v:textbox>
                <w10:wrap type="none"/>
              </v:shape>
              <v:shape style="position:absolute;left:4792;top:10;width:4786;height:402" type="#_x0000_t202" filled="false" stroked="false">
                <v:textbox inset="0,0,0,0">
                  <w:txbxContent>
                    <w:p>
                      <w:pPr>
                        <w:spacing w:before="55"/>
                        <w:ind w:left="2" w:right="0" w:firstLine="0"/>
                        <w:jc w:val="center"/>
                        <w:rPr>
                          <w:rFonts w:ascii="宋体" w:hAnsi="宋体" w:cs="宋体" w:eastAsia="宋体" w:hint="default"/>
                          <w:sz w:val="18"/>
                          <w:szCs w:val="18"/>
                        </w:rPr>
                      </w:pPr>
                      <w:r>
                        <w:rPr>
                          <w:rFonts w:ascii="宋体" w:hAnsi="宋体" w:cs="宋体" w:eastAsia="宋体" w:hint="default"/>
                          <w:sz w:val="18"/>
                          <w:szCs w:val="18"/>
                        </w:rPr>
                        <w:t>所得税税率</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19"/>
          <w:szCs w:val="19"/>
        </w:rPr>
      </w:pPr>
    </w:p>
    <w:p>
      <w:pPr>
        <w:spacing w:before="34"/>
        <w:ind w:left="11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2534"/>
        <w:jc w:val="left"/>
      </w:pPr>
      <w:r>
        <w:rPr/>
        <w:t>（1）企业所得税基本税率 本公司及下属的在中国境内的控股子公司企业所得税税率为25%；</w:t>
      </w:r>
    </w:p>
    <w:p>
      <w:pPr>
        <w:pStyle w:val="BodyText"/>
        <w:spacing w:line="312" w:lineRule="exact"/>
        <w:ind w:left="592" w:right="254"/>
        <w:jc w:val="left"/>
      </w:pPr>
      <w:r>
        <w:rPr/>
        <w:t>（2）企业所得税优惠税率及批文 2014年7月2日，经安徽省科学技术厅、安徽省财政厅、安徽省国家税务局、安徽省地方</w:t>
      </w:r>
    </w:p>
    <w:p>
      <w:pPr>
        <w:pStyle w:val="BodyText"/>
        <w:spacing w:line="312" w:lineRule="exact"/>
        <w:ind w:right="232"/>
        <w:jc w:val="both"/>
      </w:pPr>
      <w:r>
        <w:rPr>
          <w:spacing w:val="-5"/>
        </w:rPr>
        <w:t>税务局联合下发的《关于公示安徽省2014年第一批拟认定高新技术企业名单的通知》（皖高企</w:t>
      </w:r>
      <w:r>
        <w:rPr>
          <w:spacing w:val="-107"/>
        </w:rPr>
        <w:t> </w:t>
      </w:r>
      <w:r>
        <w:rPr>
          <w:spacing w:val="-107"/>
        </w:rPr>
      </w:r>
      <w:r>
        <w:rPr/>
        <w:t>认【2014】19号）认定，本公司通过高新技术企业认定，证书编号：GR201434000682，有效 </w:t>
      </w:r>
      <w:r>
        <w:rPr>
          <w:spacing w:val="-2"/>
        </w:rPr>
        <w:t>期三年。自2014年1月1日起三年内，公司享受国家关于高新技术企业的相关优惠政策，按15%</w:t>
      </w:r>
      <w:r>
        <w:rPr>
          <w:spacing w:val="-113"/>
        </w:rPr>
        <w:t> </w:t>
      </w:r>
      <w:r>
        <w:rPr>
          <w:spacing w:val="-113"/>
        </w:rPr>
      </w:r>
      <w:r>
        <w:rPr/>
        <w:t>的税率缴纳企业所得税。</w:t>
      </w:r>
    </w:p>
    <w:p>
      <w:pPr>
        <w:pStyle w:val="BodyText"/>
        <w:spacing w:line="312" w:lineRule="exact"/>
        <w:ind w:right="232" w:firstLine="480"/>
        <w:jc w:val="both"/>
      </w:pPr>
      <w:r>
        <w:rPr>
          <w:spacing w:val="-5"/>
        </w:rPr>
        <w:t>2012年5月30日，重庆市经济和信息化委员会下发的编号为（内）鼓励类确认（2012）173</w:t>
      </w:r>
      <w:r>
        <w:rPr/>
        <w:t> 号国家鼓励类产业确认书认定重庆市隆泰稀土新材料有限责任公司为从事国家鼓励类产业的 内资企业，按15%的税率缴纳企业所得税。</w:t>
      </w:r>
    </w:p>
    <w:p>
      <w:pPr>
        <w:spacing w:line="240" w:lineRule="auto" w:before="7"/>
        <w:rPr>
          <w:rFonts w:ascii="宋体" w:hAnsi="宋体" w:cs="宋体" w:eastAsia="宋体" w:hint="default"/>
          <w:sz w:val="22"/>
          <w:szCs w:val="22"/>
        </w:rPr>
      </w:pPr>
    </w:p>
    <w:p>
      <w:pPr>
        <w:spacing w:line="487" w:lineRule="auto" w:before="0"/>
        <w:ind w:left="112" w:right="69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7"/>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28"/>
          <w:pgSz w:w="11910" w:h="16840"/>
          <w:pgMar w:footer="1016" w:header="907" w:top="1100" w:bottom="1200" w:left="1020" w:right="900"/>
          <w:pgNumType w:start="9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11,670.10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23,093.81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74,453,297.57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95,033,196.38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19,545,574.49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14,048,400.34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94,010,542.16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109,104,690.53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9"/>
        <w:ind w:right="0" w:firstLine="480"/>
        <w:jc w:val="left"/>
      </w:pPr>
      <w:r>
        <w:rPr/>
        <w:t>其他货币资金67,045,574.49元</w:t>
      </w:r>
      <w:r>
        <w:rPr>
          <w:sz w:val="21"/>
          <w:szCs w:val="21"/>
        </w:rPr>
        <w:t>，</w:t>
      </w:r>
      <w:r>
        <w:rPr/>
        <w:t>其中，承兑保证金17,486,400.00元，履约保函保证金</w:t>
      </w:r>
      <w:r>
        <w:rPr/>
        <w:t> 2,059,174.49??结构???47,500,000.00??</w:t>
      </w:r>
    </w:p>
    <w:p>
      <w:pPr>
        <w:spacing w:line="240" w:lineRule="auto" w:before="7"/>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56,870,009.39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123,431,164.29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6,994,772.70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6,850,000.00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63,864,782.09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130,281,164.29</w:t>
            </w:r>
          </w:p>
        </w:tc>
      </w:tr>
    </w:tbl>
    <w:p>
      <w:pPr>
        <w:spacing w:line="240" w:lineRule="auto" w:before="5"/>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3d3d3"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97,991,479.40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97,991,479.40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3d3d3"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7"/>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223,20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3,070.7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13,547,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862.73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209,65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5,207.9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7" w:right="0"/>
              <w:jc w:val="left"/>
              <w:rPr>
                <w:rFonts w:ascii="Times New Roman" w:hAnsi="Times New Roman" w:cs="Times New Roman" w:eastAsia="Times New Roman" w:hint="default"/>
                <w:sz w:val="18"/>
                <w:szCs w:val="18"/>
              </w:rPr>
            </w:pPr>
            <w:r>
              <w:rPr>
                <w:rFonts w:ascii="Times New Roman"/>
                <w:sz w:val="18"/>
              </w:rPr>
              <w:t>182,0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61,23</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10,652,</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398.94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171,408,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840.69</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223,20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3,070.7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13,547,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862.73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209,65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5,207.9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182,0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61,23</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10,652,</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398.94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171,408,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840.69</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12"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9"/>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1020"/>
          <w:cols w:num="2" w:equalWidth="0">
            <w:col w:w="4253" w:space="457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205,004,454.41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6,150,133.64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205,004,454.41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6,150,133.64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8,006,340.80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800,634.08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4,493,975.59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898,795.11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5,698,299.90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5,698,299.90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223,203,070.70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13,547,862.73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6.07%</w:t>
            </w:r>
          </w:p>
        </w:tc>
      </w:tr>
    </w:tbl>
    <w:p>
      <w:pPr>
        <w:spacing w:line="357" w:lineRule="auto" w:before="51"/>
        <w:ind w:left="112" w:right="54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type w:val="continuous"/>
          <w:pgSz w:w="11910" w:h="16840"/>
          <w:pgMar w:top="1100" w:bottom="1200" w:left="1020" w:right="102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组合中，采用其他方法计提坏账准备的应收账款：</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1020"/>
        </w:sectPr>
      </w:pPr>
    </w:p>
    <w:p>
      <w:pPr>
        <w:spacing w:line="340" w:lineRule="auto" w:before="44"/>
        <w:ind w:left="112"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2,895,463.79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1020"/>
          <w:cols w:num="2" w:equalWidth="0">
            <w:col w:w="6010" w:space="2819"/>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3d3d3"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1" w:right="159"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470" w:firstLine="480"/>
        <w:jc w:val="both"/>
      </w:pPr>
      <w:r>
        <w:rPr/>
        <w:t>本公司本年按欠款方归集的年末余额前五名应收账款汇总金额为49,297,551.68元， </w:t>
      </w:r>
      <w:r>
        <w:rPr>
          <w:spacing w:val="3"/>
        </w:rPr>
        <w:t>占应收账款年末余额合计数的比例为22.09%，相应计提的坏账准备年末余额汇总金额为</w:t>
      </w:r>
      <w:r>
        <w:rPr>
          <w:spacing w:val="-109"/>
        </w:rPr>
        <w:t> </w:t>
      </w:r>
      <w:r>
        <w:rPr>
          <w:spacing w:val="-109"/>
        </w:rPr>
      </w:r>
      <w:r>
        <w:rPr/>
        <w:t>1,478,926.55元。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71,686,681.64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88,476,783.20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99.44%</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419,625.65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497,987.65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377,987.65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72,484,294.94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6" w:right="0"/>
              <w:jc w:val="left"/>
              <w:rPr>
                <w:rFonts w:ascii="Times New Roman" w:hAnsi="Times New Roman" w:cs="Times New Roman" w:eastAsia="Times New Roman" w:hint="default"/>
                <w:sz w:val="18"/>
                <w:szCs w:val="18"/>
              </w:rPr>
            </w:pPr>
            <w:r>
              <w:rPr>
                <w:rFonts w:ascii="Times New Roman"/>
                <w:sz w:val="18"/>
              </w:rPr>
              <w:t>88,974,770.85</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472" w:right="0" w:firstLine="480"/>
        <w:jc w:val="left"/>
      </w:pPr>
      <w:r>
        <w:rPr/>
        <w:t>本公司按预付对象归集的年末余额前五名预付账款汇总金额为64,958,912.27元，占 预付账款年末余额合计数的比例为88.66%。</w:t>
      </w:r>
    </w:p>
    <w:p>
      <w:pPr>
        <w:spacing w:before="58"/>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178,161.87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273,506.39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178,161.87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273,506.39</w:t>
            </w:r>
          </w:p>
        </w:tc>
      </w:tr>
    </w:tbl>
    <w:p>
      <w:pPr>
        <w:spacing w:line="240" w:lineRule="auto" w:before="2"/>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3,956,5</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04.67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808,54</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9.90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3,147,9</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54.77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5,299</w:t>
            </w:r>
          </w:p>
          <w:p>
            <w:pPr>
              <w:pStyle w:val="TableParagraph"/>
              <w:spacing w:line="240" w:lineRule="auto" w:before="105"/>
              <w:ind w:left="77" w:right="0"/>
              <w:jc w:val="center"/>
              <w:rPr>
                <w:rFonts w:ascii="Times New Roman" w:hAnsi="Times New Roman" w:cs="Times New Roman" w:eastAsia="Times New Roman" w:hint="default"/>
                <w:sz w:val="18"/>
                <w:szCs w:val="18"/>
              </w:rPr>
            </w:pPr>
            <w:r>
              <w:rPr>
                <w:rFonts w:ascii="Times New Roman"/>
                <w:sz w:val="18"/>
              </w:rPr>
              <w:t>,379.</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771,354</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4,528,02</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5.61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3,956,5</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04.67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808,54</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9.90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3,147,9</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54.77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7" w:right="0"/>
              <w:jc w:val="left"/>
              <w:rPr>
                <w:rFonts w:ascii="Times New Roman" w:hAnsi="Times New Roman" w:cs="Times New Roman" w:eastAsia="Times New Roman" w:hint="default"/>
                <w:sz w:val="18"/>
                <w:szCs w:val="18"/>
              </w:rPr>
            </w:pPr>
            <w:r>
              <w:rPr>
                <w:rFonts w:ascii="Times New Roman"/>
                <w:sz w:val="18"/>
              </w:rPr>
              <w:t>5,299</w:t>
            </w:r>
          </w:p>
          <w:p>
            <w:pPr>
              <w:pStyle w:val="TableParagraph"/>
              <w:spacing w:line="240" w:lineRule="auto" w:before="105"/>
              <w:ind w:left="77" w:right="0"/>
              <w:jc w:val="center"/>
              <w:rPr>
                <w:rFonts w:ascii="Times New Roman" w:hAnsi="Times New Roman" w:cs="Times New Roman" w:eastAsia="Times New Roman" w:hint="default"/>
                <w:sz w:val="18"/>
                <w:szCs w:val="18"/>
              </w:rPr>
            </w:pPr>
            <w:r>
              <w:rPr>
                <w:rFonts w:ascii="Times New Roman"/>
                <w:sz w:val="18"/>
              </w:rPr>
              <w:t>,379.</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771,354</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4,528,02</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5.61</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7"/>
        <w:ind w:left="112"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5"/>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1020"/>
          <w:cols w:num="2" w:equalWidth="0">
            <w:col w:w="4433" w:space="439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1,693,382.47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50,801.47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1,653,293.58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165,329.36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21,761.94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4,352.39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588,066.68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588,066.68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3,956,504.67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808,549.90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1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60" w:lineRule="auto" w:before="25"/>
        <w:ind w:left="112" w:right="559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40" w:lineRule="auto" w:before="0"/>
        <w:ind w:left="112" w:right="406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37,195.89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元；本期收回或转回坏账准备金额元。 其中本期坏账准备转回或收回金额重要的：</w:t>
      </w:r>
    </w:p>
    <w:p>
      <w:pPr>
        <w:spacing w:after="0" w:line="340" w:lineRule="auto"/>
        <w:jc w:val="left"/>
        <w:rPr>
          <w:rFonts w:ascii="宋体" w:hAnsi="宋体" w:cs="宋体" w:eastAsia="宋体" w:hint="default"/>
          <w:sz w:val="18"/>
          <w:szCs w:val="18"/>
        </w:rPr>
        <w:sectPr>
          <w:type w:val="continuous"/>
          <w:pgSz w:w="11910" w:h="16840"/>
          <w:pgMar w:top="1100" w:bottom="1200" w:left="1020" w:right="1020"/>
        </w:sectPr>
      </w:pPr>
    </w:p>
    <w:p>
      <w:pPr>
        <w:spacing w:line="240" w:lineRule="auto" w:before="13"/>
        <w:rPr>
          <w:rFonts w:ascii="宋体" w:hAnsi="宋体" w:cs="宋体" w:eastAsia="宋体" w:hint="default"/>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5;height:397" coordorigin="13,13" coordsize="4775,397">
              <v:shape style="position:absolute;left:13;top:13;width:4775;height:397" coordorigin="13,13" coordsize="4775,397" path="m13,13l4788,13,4788,410,13,410,13,13xe" filled="true" fillcolor="#d3d3d3" stroked="false">
                <v:path arrowok="t"/>
                <v:fill type="solid"/>
              </v:shape>
            </v:group>
            <v:group style="position:absolute;left:4793;top:13;width:4783;height:397" coordorigin="4793,13" coordsize="4783,397">
              <v:shape style="position:absolute;left:4793;top:13;width:4783;height:397" coordorigin="4793,13" coordsize="4783,397" path="m4793,13l9576,13,9576,410,4793,410,479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2" w:right="16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2,486,316.00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2,939,700.87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员工借支备用金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1,042,934.45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1,870,789.10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237,885.21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237,885.21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189,369.01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210,747.16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40,257.28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3,956,504.67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5,299,379.62</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2" w:right="16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1"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1,015,018.00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25.65%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97,160.54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2"/>
                <w:sz w:val="18"/>
              </w:rPr>
              <w:t>115,112.63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2.91%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3,453.38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94,320.00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2.38%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2,829.60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1,824,950.63</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156,458.52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3" w:right="142" w:hanging="452"/>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42,808,099.13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42,808,099.13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37,683,240.57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37,683,240.57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44,951,701.10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center"/>
              <w:rPr>
                <w:rFonts w:ascii="Times New Roman" w:hAnsi="Times New Roman" w:cs="Times New Roman" w:eastAsia="Times New Roman" w:hint="default"/>
                <w:sz w:val="18"/>
                <w:szCs w:val="18"/>
              </w:rPr>
            </w:pPr>
            <w:r>
              <w:rPr>
                <w:rFonts w:ascii="Times New Roman"/>
                <w:sz w:val="18"/>
              </w:rPr>
              <w:t>44,951,701.10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47,783,703.52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47,783,703.52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63,012,584.13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63,012,584.13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69,631,993.06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69,631,993.06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150,772,384.36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150,772,384.36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155,098,937.15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155,098,937.15</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8;height:397" coordorigin="13,13" coordsize="4778,397">
              <v:shape style="position:absolute;left:13;top:13;width:4778;height:397" coordorigin="13,13" coordsize="4778,397" path="m13,13l4791,13,4791,410,13,410,13,13xe" filled="true" fillcolor="#d3d3d3" stroked="false">
                <v:path arrowok="t"/>
                <v:fill type="solid"/>
              </v:shape>
            </v:group>
            <v:group style="position:absolute;left:4796;top:13;width:4780;height:397" coordorigin="4796,13" coordsize="4780,397">
              <v:shape style="position:absolute;left:4796;top:13;width:4780;height:397" coordorigin="4796,13" coordsize="4780,397" path="m4796,13l9576,13,9576,410,4796,410,4796,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、划分为持有待售的资产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预交税金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166,509.01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166,509.01</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10,025,000.0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10,025,000.0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10,025,000.0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10,025,000.00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10,025,000.0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10,025,000.0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10,025,000.0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10,025,000.00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10,025,000.0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10,025,000.0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10,025,000.0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10,025,000.00</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tcBorders>
              <w:top w:val="single" w:sz="4" w:space="0" w:color="000000"/>
              <w:left w:val="single" w:sz="4" w:space="0" w:color="000000"/>
              <w:bottom w:val="nil" w:sz="6" w:space="0" w:color="auto"/>
              <w:right w:val="single" w:sz="4" w:space="0" w:color="000000"/>
            </w:tcBorders>
            <w:shd w:val="clear" w:color="auto" w:fill="D3D3D3"/>
          </w:tcPr>
          <w:p>
            <w:pP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在被投</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11" w:hRule="exact"/>
        </w:trPr>
        <w:tc>
          <w:tcPr>
            <w:tcW w:w="8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0" w:lineRule="exact"/>
              <w:ind w:left="157" w:right="0"/>
              <w:jc w:val="left"/>
              <w:rPr>
                <w:rFonts w:ascii="宋体" w:hAnsi="宋体" w:cs="宋体" w:eastAsia="宋体" w:hint="default"/>
                <w:sz w:val="18"/>
                <w:szCs w:val="18"/>
              </w:rPr>
            </w:pPr>
            <w:r>
              <w:rPr>
                <w:rFonts w:ascii="宋体" w:hAnsi="宋体" w:cs="宋体" w:eastAsia="宋体" w:hint="default"/>
                <w:sz w:val="18"/>
                <w:szCs w:val="18"/>
              </w:rPr>
              <w:t>被投资</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0" w:lineRule="exact"/>
              <w:ind w:left="160" w:right="0"/>
              <w:jc w:val="left"/>
              <w:rPr>
                <w:rFonts w:ascii="宋体" w:hAnsi="宋体" w:cs="宋体" w:eastAsia="宋体" w:hint="default"/>
                <w:sz w:val="18"/>
                <w:szCs w:val="18"/>
              </w:rPr>
            </w:pPr>
            <w:r>
              <w:rPr>
                <w:rFonts w:ascii="宋体" w:hAnsi="宋体" w:cs="宋体" w:eastAsia="宋体" w:hint="default"/>
                <w:sz w:val="18"/>
                <w:szCs w:val="18"/>
              </w:rPr>
              <w:t>资单位</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0" w:lineRule="exact"/>
              <w:ind w:right="159"/>
              <w:jc w:val="right"/>
              <w:rPr>
                <w:rFonts w:ascii="宋体" w:hAnsi="宋体" w:cs="宋体" w:eastAsia="宋体" w:hint="default"/>
                <w:sz w:val="18"/>
                <w:szCs w:val="18"/>
              </w:rPr>
            </w:pPr>
            <w:r>
              <w:rPr>
                <w:rFonts w:ascii="宋体" w:hAnsi="宋体" w:cs="宋体" w:eastAsia="宋体" w:hint="default"/>
                <w:sz w:val="18"/>
                <w:szCs w:val="18"/>
              </w:rPr>
              <w:t>本期现</w:t>
            </w:r>
          </w:p>
        </w:tc>
      </w:tr>
      <w:tr>
        <w:trPr>
          <w:trHeight w:val="725" w:hRule="exact"/>
        </w:trPr>
        <w:tc>
          <w:tcPr>
            <w:tcW w:w="86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5"/>
              <w:ind w:left="245"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91" w:lineRule="exact"/>
              <w:ind w:right="1"/>
              <w:jc w:val="center"/>
              <w:rPr>
                <w:rFonts w:ascii="宋体" w:hAnsi="宋体" w:cs="宋体" w:eastAsia="宋体" w:hint="default"/>
                <w:sz w:val="18"/>
                <w:szCs w:val="18"/>
              </w:rPr>
            </w:pPr>
            <w:r>
              <w:rPr>
                <w:rFonts w:ascii="宋体" w:hAnsi="宋体" w:cs="宋体" w:eastAsia="宋体" w:hint="default"/>
                <w:sz w:val="18"/>
                <w:szCs w:val="18"/>
              </w:rPr>
              <w:t>本期增</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加</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91" w:lineRule="exact"/>
              <w:ind w:right="1"/>
              <w:jc w:val="center"/>
              <w:rPr>
                <w:rFonts w:ascii="宋体" w:hAnsi="宋体" w:cs="宋体" w:eastAsia="宋体" w:hint="default"/>
                <w:sz w:val="18"/>
                <w:szCs w:val="18"/>
              </w:rPr>
            </w:pPr>
            <w:r>
              <w:rPr>
                <w:rFonts w:ascii="宋体" w:hAnsi="宋体" w:cs="宋体" w:eastAsia="宋体" w:hint="default"/>
                <w:sz w:val="18"/>
                <w:szCs w:val="18"/>
              </w:rPr>
              <w:t>本期增</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加</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65"/>
              <w:ind w:left="340" w:right="15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5"/>
              <w:ind w:right="159"/>
              <w:jc w:val="right"/>
              <w:rPr>
                <w:rFonts w:ascii="宋体" w:hAnsi="宋体" w:cs="宋体" w:eastAsia="宋体" w:hint="default"/>
                <w:sz w:val="18"/>
                <w:szCs w:val="18"/>
              </w:rPr>
            </w:pPr>
            <w:r>
              <w:rPr>
                <w:rFonts w:ascii="宋体" w:hAnsi="宋体" w:cs="宋体" w:eastAsia="宋体" w:hint="default"/>
                <w:sz w:val="18"/>
                <w:szCs w:val="18"/>
              </w:rPr>
              <w:t>金红利</w:t>
            </w: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安徽华</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09"/>
              <w:jc w:val="both"/>
              <w:rPr>
                <w:rFonts w:ascii="宋体" w:hAnsi="宋体" w:cs="宋体" w:eastAsia="宋体" w:hint="default"/>
                <w:sz w:val="18"/>
                <w:szCs w:val="18"/>
              </w:rPr>
            </w:pPr>
            <w:r>
              <w:rPr>
                <w:rFonts w:ascii="宋体" w:hAnsi="宋体" w:cs="宋体" w:eastAsia="宋体" w:hint="default"/>
                <w:sz w:val="18"/>
                <w:szCs w:val="18"/>
              </w:rPr>
              <w:t>菱西厨 设备股 份有限</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9,975,00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9,975,00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92" w:right="0"/>
              <w:jc w:val="left"/>
              <w:rPr>
                <w:rFonts w:ascii="Times New Roman" w:hAnsi="Times New Roman" w:cs="Times New Roman" w:eastAsia="Times New Roman" w:hint="default"/>
                <w:sz w:val="18"/>
                <w:szCs w:val="18"/>
              </w:rPr>
            </w:pPr>
            <w:r>
              <w:rPr>
                <w:rFonts w:ascii="Times New Roman"/>
                <w:sz w:val="18"/>
              </w:rPr>
              <w:t>4.24%</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r>
        <w:trPr>
          <w:trHeight w:val="356"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台山市</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农村信</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12,000.0</w:t>
            </w:r>
          </w:p>
        </w:tc>
      </w:tr>
      <w:tr>
        <w:trPr>
          <w:trHeight w:val="312"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用合作</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联社</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10,025,0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10,025,0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222,000.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62" w:right="139" w:hanging="720"/>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17" w:right="138" w:hanging="180"/>
              <w:jc w:val="left"/>
              <w:rPr>
                <w:rFonts w:ascii="宋体" w:hAnsi="宋体" w:cs="宋体" w:eastAsia="宋体" w:hint="default"/>
                <w:sz w:val="18"/>
                <w:szCs w:val="18"/>
              </w:rPr>
            </w:pPr>
            <w:r>
              <w:rPr>
                <w:rFonts w:ascii="宋体" w:hAnsi="宋体" w:cs="宋体" w:eastAsia="宋体" w:hint="default"/>
                <w:sz w:val="18"/>
                <w:szCs w:val="18"/>
              </w:rPr>
              <w:t>可供出售权益 工具项目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39" w:right="136"/>
              <w:jc w:val="center"/>
              <w:rPr>
                <w:rFonts w:ascii="宋体" w:hAnsi="宋体" w:cs="宋体" w:eastAsia="宋体" w:hint="default"/>
                <w:sz w:val="18"/>
                <w:szCs w:val="18"/>
              </w:rPr>
            </w:pPr>
            <w:r>
              <w:rPr>
                <w:rFonts w:ascii="宋体" w:hAnsi="宋体" w:cs="宋体" w:eastAsia="宋体" w:hint="default"/>
                <w:sz w:val="18"/>
                <w:szCs w:val="18"/>
              </w:rPr>
              <w:t>公允价值相对 于成本的下跌 幅度</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87" w:right="136" w:hanging="449"/>
              <w:jc w:val="left"/>
              <w:rPr>
                <w:rFonts w:ascii="宋体" w:hAnsi="宋体" w:cs="宋体" w:eastAsia="宋体" w:hint="default"/>
                <w:sz w:val="18"/>
                <w:szCs w:val="18"/>
              </w:rPr>
            </w:pPr>
            <w:r>
              <w:rPr>
                <w:rFonts w:ascii="宋体" w:hAnsi="宋体" w:cs="宋体" w:eastAsia="宋体" w:hint="default"/>
                <w:sz w:val="18"/>
                <w:szCs w:val="18"/>
              </w:rPr>
              <w:t>已计提减值金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88" w:right="138" w:hanging="452"/>
              <w:jc w:val="left"/>
              <w:rPr>
                <w:rFonts w:ascii="宋体" w:hAnsi="宋体" w:cs="宋体" w:eastAsia="宋体" w:hint="default"/>
                <w:sz w:val="18"/>
                <w:szCs w:val="18"/>
              </w:rPr>
            </w:pPr>
            <w:r>
              <w:rPr>
                <w:rFonts w:ascii="宋体" w:hAnsi="宋体" w:cs="宋体" w:eastAsia="宋体" w:hint="default"/>
                <w:sz w:val="18"/>
                <w:szCs w:val="18"/>
              </w:rPr>
              <w:t>未计提减值原 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5"/>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12" w:right="120"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4"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footerReference w:type="default" r:id="rId29"/>
          <w:pgSz w:w="11910" w:h="16840"/>
          <w:pgMar w:footer="1016" w:header="907" w:top="1100" w:bottom="1200" w:left="1020" w:right="1020"/>
          <w:pgNumType w:start="10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6"/>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586" w:right="137" w:hanging="449"/>
              <w:jc w:val="left"/>
              <w:rPr>
                <w:rFonts w:ascii="宋体" w:hAnsi="宋体" w:cs="宋体" w:eastAsia="宋体" w:hint="default"/>
                <w:sz w:val="18"/>
                <w:szCs w:val="18"/>
              </w:rPr>
            </w:pPr>
            <w:r>
              <w:rPr>
                <w:rFonts w:ascii="宋体" w:hAnsi="宋体" w:cs="宋体" w:eastAsia="宋体" w:hint="default"/>
                <w:sz w:val="18"/>
                <w:szCs w:val="18"/>
              </w:rPr>
              <w:t>办公及其他设 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183,761,099.63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115,925,259.85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4,385,187.62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2,602,315.60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306,673,862.76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2,148,984.53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2,521,699.04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38,269.23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4,708,952.80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2,148,984.53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2,521,699.04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38,269.23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4,708,952.80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185,910,084.16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118,446,958.89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4,385,187.62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2,640,584.89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311,382,815.56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21,329,573.39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49,261,044.56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3,384,339.96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1,645,283.01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75,620,240.92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6,257,982.02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10,771,102.71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468,907.56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247,094.60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17,745,086.89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6,257,982.02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10,771,102.71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468,907.56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247,094.60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17,745,086.89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4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27,587,555.41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60,032,147.27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3,853,247.52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1,892,377.61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93,365,327.81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158,322,528.75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58,414,811.62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531,940.10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748,207.28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218,017,487.75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162,431,526.24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66,664,215.29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1,000,847.66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957,032.65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231,053,621.84</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3d3d3"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隆泰公司住宿楼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2,905,965.42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相关法律手续尚未办理齐全</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隆泰公司办公楼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3,708,126.09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相关法律手续尚未办理齐全</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隆泰公司预应力钢绞线车间厂房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19,055,326.17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相关法律手续尚未办理齐全</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隆泰公司镀锌钢绞线车间厂房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10,754,781.95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相关法律手续尚未办理齐全</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隆泰公司酸洗车间厂房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2,887,044.49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相关法律手续尚未办理齐全</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隆泰公司机修车间厂房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794,407.86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相关法律手续尚未办理齐全</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隆泰公司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车间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14,216,976.61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相关法律手续尚未办理齐全</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9"/>
        <w:ind w:right="112" w:firstLine="480"/>
        <w:jc w:val="both"/>
      </w:pPr>
      <w:r>
        <w:rPr>
          <w:spacing w:val="6"/>
        </w:rPr>
        <w:t>企业位于马鞍山市当涂县工业园区内的固定资产，权证标号为：房地权当房2008字第</w:t>
      </w:r>
      <w:r>
        <w:rPr/>
        <w:t> 000762号、房地权当房2008字第000763、号房地权当房2008字第003295号，作为企业向中国</w:t>
      </w:r>
      <w:r>
        <w:rPr>
          <w:spacing w:val="-89"/>
        </w:rPr>
        <w:t> </w:t>
      </w:r>
      <w:r>
        <w:rPr>
          <w:spacing w:val="-89"/>
        </w:rPr>
      </w:r>
      <w:r>
        <w:rPr/>
        <w:t>进出口银行和中国建设银行贷款抵押物。见附注六、40、所有权或使用权受限制的资产。</w:t>
      </w:r>
    </w:p>
    <w:p>
      <w:pPr>
        <w:spacing w:line="240" w:lineRule="auto" w:before="7"/>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672,380.70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672,380.70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672,380.70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672,380.70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72" w:right="180" w:hanging="89"/>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83" w:right="180"/>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83" w:right="82" w:hanging="82"/>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81"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58"/>
              <w:jc w:val="left"/>
              <w:rPr>
                <w:rFonts w:ascii="宋体" w:hAnsi="宋体" w:cs="宋体" w:eastAsia="宋体" w:hint="default"/>
                <w:sz w:val="18"/>
                <w:szCs w:val="18"/>
              </w:rPr>
            </w:pPr>
            <w:r>
              <w:rPr>
                <w:rFonts w:ascii="宋体" w:hAnsi="宋体" w:cs="宋体" w:eastAsia="宋体" w:hint="default"/>
                <w:sz w:val="18"/>
                <w:szCs w:val="18"/>
              </w:rPr>
              <w:t>新办 公楼</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672,38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672,38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1"/>
              <w:jc w:val="right"/>
              <w:rPr>
                <w:rFonts w:ascii="Times New Roman" w:hAnsi="Times New Roman" w:cs="Times New Roman" w:eastAsia="Times New Roman" w:hint="default"/>
                <w:sz w:val="18"/>
                <w:szCs w:val="18"/>
              </w:rPr>
            </w:pPr>
            <w:r>
              <w:rPr>
                <w:rFonts w:ascii="Times New Roman"/>
                <w:spacing w:val="-1"/>
                <w:sz w:val="18"/>
              </w:rPr>
              <w:t>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center"/>
              <w:rPr>
                <w:rFonts w:ascii="Times New Roman" w:hAnsi="Times New Roman" w:cs="Times New Roman" w:eastAsia="Times New Roman" w:hint="default"/>
                <w:sz w:val="18"/>
                <w:szCs w:val="18"/>
              </w:rPr>
            </w:pPr>
            <w:r>
              <w:rPr>
                <w:rFonts w:ascii="Times New Roman"/>
                <w:sz w:val="18"/>
              </w:rPr>
              <w:t>672,38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center"/>
              <w:rPr>
                <w:rFonts w:ascii="Times New Roman" w:hAnsi="Times New Roman" w:cs="Times New Roman" w:eastAsia="Times New Roman" w:hint="default"/>
                <w:sz w:val="18"/>
                <w:szCs w:val="18"/>
              </w:rPr>
            </w:pPr>
            <w:r>
              <w:rPr>
                <w:rFonts w:ascii="Times New Roman"/>
                <w:sz w:val="18"/>
              </w:rPr>
              <w:t>672,38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0.70</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30"/>
          <w:pgSz w:w="11910" w:h="16840"/>
          <w:pgMar w:footer="1016" w:header="907" w:top="1100" w:bottom="1200" w:left="1020" w:right="1020"/>
          <w:pgNumType w:start="103"/>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7" w:right="0"/>
              <w:jc w:val="left"/>
              <w:rPr>
                <w:rFonts w:ascii="Times New Roman" w:hAnsi="Times New Roman" w:cs="Times New Roman" w:eastAsia="Times New Roman" w:hint="default"/>
                <w:sz w:val="18"/>
                <w:szCs w:val="18"/>
              </w:rPr>
            </w:pPr>
            <w:r>
              <w:rPr>
                <w:rFonts w:ascii="Times New Roman"/>
                <w:sz w:val="18"/>
              </w:rPr>
              <w:t>57,772,763.79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0" w:right="0"/>
              <w:jc w:val="left"/>
              <w:rPr>
                <w:rFonts w:ascii="Times New Roman" w:hAnsi="Times New Roman" w:cs="Times New Roman" w:eastAsia="Times New Roman" w:hint="default"/>
                <w:sz w:val="18"/>
                <w:szCs w:val="18"/>
              </w:rPr>
            </w:pPr>
            <w:r>
              <w:rPr>
                <w:rFonts w:ascii="Times New Roman"/>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5" w:right="0"/>
              <w:jc w:val="left"/>
              <w:rPr>
                <w:rFonts w:ascii="Times New Roman" w:hAnsi="Times New Roman" w:cs="Times New Roman" w:eastAsia="Times New Roman" w:hint="default"/>
                <w:sz w:val="18"/>
                <w:szCs w:val="18"/>
              </w:rPr>
            </w:pPr>
            <w:r>
              <w:rPr>
                <w:rFonts w:ascii="Times New Roman"/>
                <w:sz w:val="18"/>
              </w:rPr>
              <w:t>57,922,763.79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29"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57,772,763.79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57,922,763.79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6,049,581.89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6,199,581.89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1,193,572.08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1,193,572.08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1,193,572.08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1,193,572.08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7,243,153.97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7,393,153.97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50,529,609.82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50,529,609.82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50,529,609.82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51,723,181.90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51,723,181.90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80"/>
        </w:sectPr>
      </w:pPr>
    </w:p>
    <w:p>
      <w:pPr>
        <w:spacing w:line="240" w:lineRule="auto" w:before="2"/>
        <w:rPr>
          <w:rFonts w:ascii="Times New Roman" w:hAnsi="Times New Roman" w:cs="Times New Roman" w:eastAsia="Times New Roman"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9"/>
        <w:ind w:right="110" w:firstLine="480"/>
        <w:jc w:val="both"/>
      </w:pPr>
      <w:r>
        <w:rPr>
          <w:spacing w:val="-5"/>
        </w:rPr>
        <w:t>企业位于马鞍山市当涂县工业园区内的土地使用权，权证标号为：当国用（2008）第0330</w:t>
      </w:r>
      <w:r>
        <w:rPr/>
        <w:t> 号、当国用（2008）第0329号，作为企业向中国建设银行和中国进出口银行贷款抵押物。见</w:t>
      </w:r>
      <w:r>
        <w:rPr>
          <w:spacing w:val="-87"/>
        </w:rPr>
        <w:t> </w:t>
      </w:r>
      <w:r>
        <w:rPr>
          <w:spacing w:val="-87"/>
        </w:rPr>
      </w:r>
      <w:r>
        <w:rPr/>
        <w:t>注六、39、所有权或使用权受限制的资产</w:t>
      </w:r>
    </w:p>
    <w:p>
      <w:pPr>
        <w:pStyle w:val="BodyText"/>
        <w:spacing w:line="312" w:lineRule="exact"/>
        <w:ind w:right="112" w:firstLine="480"/>
        <w:jc w:val="both"/>
      </w:pPr>
      <w:r>
        <w:rPr>
          <w:spacing w:val="7"/>
        </w:rPr>
        <w:t>其全资子公司重庆市隆泰稀土新材料有限责任公司为企业向中国进出口银行贷款做担</w:t>
      </w:r>
      <w:r>
        <w:rPr/>
        <w:t> </w:t>
      </w:r>
      <w:r>
        <w:rPr>
          <w:spacing w:val="-2"/>
        </w:rPr>
        <w:t>保，以其位于重庆市武隆县白马镇园区东路的权证标号为307房地证TD2011字第12号作为企业</w:t>
      </w:r>
      <w:r>
        <w:rPr>
          <w:spacing w:val="-110"/>
        </w:rPr>
        <w:t> </w:t>
      </w:r>
      <w:r>
        <w:rPr>
          <w:spacing w:val="-110"/>
        </w:rPr>
      </w:r>
      <w:r>
        <w:rPr/>
        <w:t>贷款抵押物。见附注六、40、所有权或使用权受限制的资产</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3189"/>
        <w:gridCol w:w="3189"/>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4"/>
        <w:gridCol w:w="2734"/>
        <w:gridCol w:w="1367"/>
      </w:tblGrid>
      <w:tr>
        <w:trPr>
          <w:trHeight w:val="358"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被投资单位名</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称或形成商誉</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的事项</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4"/>
        <w:gridCol w:w="2734"/>
        <w:gridCol w:w="1367"/>
      </w:tblGrid>
      <w:tr>
        <w:trPr>
          <w:trHeight w:val="358"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被投资单位名</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称或形成商誉</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的事项</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360" w:lineRule="auto" w:before="50"/>
        <w:ind w:left="112" w:right="5054"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14,356,412.63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2,153,461.90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11,423,752.95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1,713,562.95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14,356,412.63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2,153,461.90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11,423,752.95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1,713,562.95</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23"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21"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5" w:right="0"/>
              <w:jc w:val="left"/>
              <w:rPr>
                <w:rFonts w:ascii="Times New Roman" w:hAnsi="Times New Roman" w:cs="Times New Roman" w:eastAsia="Times New Roman" w:hint="default"/>
                <w:sz w:val="18"/>
                <w:szCs w:val="18"/>
              </w:rPr>
            </w:pPr>
            <w:r>
              <w:rPr>
                <w:rFonts w:ascii="Times New Roman"/>
                <w:sz w:val="18"/>
              </w:rPr>
              <w:t>2,153,461.90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5" w:right="0"/>
              <w:jc w:val="left"/>
              <w:rPr>
                <w:rFonts w:ascii="Times New Roman" w:hAnsi="Times New Roman" w:cs="Times New Roman" w:eastAsia="Times New Roman" w:hint="default"/>
                <w:sz w:val="18"/>
                <w:szCs w:val="18"/>
              </w:rPr>
            </w:pPr>
            <w:r>
              <w:rPr>
                <w:rFonts w:ascii="Times New Roman"/>
                <w:sz w:val="18"/>
              </w:rPr>
              <w:t>1,713,562.95</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9,660,000.00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9,660,000.00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73,730.00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78,200.00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9,733,730.00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9,738,200.00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21,800,000.00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25,200,000.00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97,000,000.00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68"/>
        <w:ind w:left="592" w:right="0"/>
        <w:jc w:val="left"/>
      </w:pPr>
      <w:r>
        <w:rPr/>
        <w:t>质押情况见附注六、40、所有权或使用权受限制的资产</w:t>
      </w:r>
    </w:p>
    <w:p>
      <w:pPr>
        <w:spacing w:line="240" w:lineRule="auto" w:before="9"/>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元，其中重要的已逾期未偿还的短期借款情况如下：</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58,288,000.00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58,288,000.00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45,000,000.00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10,090,261.61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13,885,713.53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1,168,345.36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92,952.59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37,394.30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306,818.28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235,351.87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332,342.38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11,531,353.14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14,617,826.78</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5,343,918.44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3,420,479.23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146,087.24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288,834.22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225,951.66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225,951.66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5,715,957.34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3,935,265.11</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4;height:397" coordorigin="13,13" coordsize="4774,397">
              <v:shape style="position:absolute;left:13;top:13;width:4774;height:397" coordorigin="13,13" coordsize="4774,397" path="m13,13l4787,13,4787,410,13,410,13,13xe" filled="true" fillcolor="#d3d3d3" stroked="false">
                <v:path arrowok="t"/>
                <v:fill type="solid"/>
              </v:shape>
            </v:group>
            <v:group style="position:absolute;left:4792;top:13;width:4784;height:397" coordorigin="4792,13" coordsize="4784,397">
              <v:shape style="position:absolute;left:4792;top:13;width:4784;height:397" coordorigin="4792,13" coordsize="4784,397" path="m4792,13l9576,13,9576,410,4792,410,4792,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9"/>
        <w:ind w:right="106"/>
        <w:jc w:val="left"/>
      </w:pPr>
      <w:r>
        <w:rPr>
          <w:spacing w:val="-2"/>
        </w:rPr>
        <w:t>账龄超过1年的预收款余额为人民币372,038.90元，由于相关产品尚未实现销售，故年末尚未</w:t>
      </w:r>
      <w:r>
        <w:rPr>
          <w:spacing w:val="-110"/>
        </w:rPr>
        <w:t> </w:t>
      </w:r>
      <w:r>
        <w:rPr>
          <w:spacing w:val="-110"/>
        </w:rPr>
      </w:r>
      <w:r>
        <w:rPr/>
        <w:t>结转收入。</w:t>
      </w: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2,453,367.50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39,886,628.53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39,367,402.95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1,934,141.92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4,441,413.35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4,441,413.35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2,453,367.50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44,328,041.88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43,808,816.30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1,934,141.92</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2,453,367.50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31,723,577.75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31,204,352.17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1,934,141.92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1,324,362.43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1,324,362.43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6,765,491.52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6,765,491.52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1,893,856.31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1,893,856.31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311,127.43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311,127.43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104,512.33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104,512.33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14,582.10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14,582.10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58,614.73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58,614.73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2,453,367.50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39,886,628.53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39,367,402.95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1,934,141.92</w:t>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1016" w:header="907" w:top="1100" w:bottom="1200" w:left="1020" w:right="1020"/>
          <w:pgNumType w:start="11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4,181,867.35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4,181,867.35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259,546.00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259,546.00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4,441,413.35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4,441,413.35</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right="110" w:firstLine="480"/>
        <w:jc w:val="both"/>
      </w:pPr>
      <w:r>
        <w:rPr/>
        <w:t>本公司按规定参加由政府机构设立的养老保险、失业保险计划，根据该等计划，本公司 </w:t>
      </w:r>
      <w:r>
        <w:rPr>
          <w:spacing w:val="-2"/>
        </w:rPr>
        <w:t>分别按员工基本工资的20%、1%每月向该等计划缴存费用。除上述每月缴存费用外，本公司不</w:t>
      </w:r>
      <w:r>
        <w:rPr>
          <w:spacing w:val="-115"/>
        </w:rPr>
        <w:t> </w:t>
      </w:r>
      <w:r>
        <w:rPr>
          <w:spacing w:val="-115"/>
        </w:rPr>
      </w:r>
      <w:r>
        <w:rPr/>
        <w:t>再承担进一步支付义务。相应的支出于发生时计入当期损益或相关资产的成本。</w:t>
      </w:r>
    </w:p>
    <w:p>
      <w:pPr>
        <w:spacing w:line="240" w:lineRule="auto" w:before="7"/>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14,999,387.67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17,159,902.27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3,830,142.17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3,466,365.78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2,547,991.88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3,034,723.29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331,942.62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268,186.89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186,975.43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148,721.97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111,130.79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85,628.49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264,694.72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264,694.72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73,972.67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1,120.40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115,819.32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214,400.83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22,462,057.27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24,643,744.64</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2,712,971.61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2,493,518.00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68,094.52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772,122.01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2,781,066.13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3,265,640.01</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9"/>
        <w:ind w:right="110" w:firstLine="480"/>
        <w:jc w:val="both"/>
      </w:pPr>
      <w:r>
        <w:rPr>
          <w:spacing w:val="-2"/>
        </w:rPr>
        <w:t>本公司承担了国家发展和改革委员会2005年重点行业机构调整《年产8万吨稀土多元合金</w:t>
      </w:r>
      <w:r>
        <w:rPr/>
        <w:t> </w:t>
      </w:r>
      <w:r>
        <w:rPr>
          <w:spacing w:val="-8"/>
        </w:rPr>
        <w:t>镀层装备系列产品》，此项目中央预算内专项补助资金664万元（国债贴息），地方预算内专项</w:t>
      </w:r>
      <w:r>
        <w:rPr>
          <w:spacing w:val="-97"/>
        </w:rPr>
        <w:t> </w:t>
      </w:r>
      <w:r>
        <w:rPr>
          <w:spacing w:val="-97"/>
        </w:rPr>
      </w:r>
      <w:r>
        <w:rPr>
          <w:spacing w:val="-3"/>
        </w:rPr>
        <w:t>资金人民币664万元。根据安徽当涂经济开发区管理委员会（原名“当涂工业园区管委会”）</w:t>
      </w:r>
      <w:r>
        <w:rPr>
          <w:spacing w:val="-83"/>
        </w:rPr>
        <w:t> </w:t>
      </w:r>
      <w:r>
        <w:rPr>
          <w:spacing w:val="-83"/>
        </w:rPr>
      </w:r>
      <w:r>
        <w:rPr/>
        <w:t>与本公司2006年4月4日签订转贷国债资金的协议及2007年12月25日签订的补充协议，由安徽</w:t>
      </w:r>
      <w:r>
        <w:rPr>
          <w:spacing w:val="-87"/>
        </w:rPr>
        <w:t> </w:t>
      </w:r>
      <w:r>
        <w:rPr>
          <w:spacing w:val="-87"/>
        </w:rPr>
      </w:r>
      <w:r>
        <w:rPr>
          <w:spacing w:val="-2"/>
        </w:rPr>
        <w:t>当涂经济开发区管理委员会提供地方专项转贷国债资金人民币664万元，国债转贷资金的年利</w:t>
      </w:r>
      <w:r>
        <w:rPr>
          <w:spacing w:val="-118"/>
        </w:rPr>
        <w:t> </w:t>
      </w:r>
      <w:r>
        <w:rPr>
          <w:spacing w:val="-118"/>
        </w:rPr>
      </w:r>
      <w:r>
        <w:rPr/>
        <w:t>率按起息日中国人民银行公布的一年期存款利率加0.3%确定。</w:t>
      </w: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3"/>
        <w:rPr>
          <w:rFonts w:ascii="宋体" w:hAnsi="宋体" w:cs="宋体" w:eastAsia="宋体" w:hint="default"/>
          <w:sz w:val="25"/>
          <w:szCs w:val="25"/>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328,660.00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714,158.47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567,031.79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627,730.89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161,072.20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130,324.27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1,056,763.99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1,472,213.63</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、划分为持有待售的负债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4" w:right="121"/>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4" w:right="122" w:hanging="92"/>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47,000,000.00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6,640,000.00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53,640,000.00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240" w:lineRule="auto" w:before="68"/>
        <w:ind w:right="0"/>
        <w:jc w:val="left"/>
      </w:pPr>
      <w:r>
        <w:rPr/>
        <w:t>抵押情况见附注六、39、所有权或使用权受限制的资产</w:t>
      </w:r>
    </w:p>
    <w:p>
      <w:pPr>
        <w:spacing w:before="87"/>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pStyle w:val="BodyText"/>
        <w:spacing w:line="240" w:lineRule="auto" w:before="68"/>
        <w:ind w:right="0"/>
        <w:jc w:val="left"/>
      </w:pPr>
      <w:r>
        <w:rPr/>
        <w:t>年末长期借款中664万元的借款利率为一年期存款利率加0.3%。</w:t>
      </w:r>
    </w:p>
    <w:p>
      <w:pPr>
        <w:spacing w:line="240" w:lineRule="auto" w:before="7"/>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7" w:footer="1016" w:top="1100" w:bottom="1200" w:left="1020" w:right="102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1020"/>
          <w:cols w:num="2" w:equalWidth="0">
            <w:col w:w="4613" w:space="421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66" w:right="166"/>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0"/>
        <w:ind w:left="112" w:right="649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3"/>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w:t>
      </w:r>
    </w:p>
    <w:p>
      <w:pPr>
        <w:spacing w:after="0"/>
        <w:jc w:val="left"/>
        <w:rPr>
          <w:rFonts w:ascii="宋体" w:hAnsi="宋体" w:cs="宋体" w:eastAsia="宋体" w:hint="default"/>
          <w:sz w:val="18"/>
          <w:szCs w:val="18"/>
        </w:rPr>
        <w:sectPr>
          <w:type w:val="continuous"/>
          <w:pgSz w:w="11910" w:h="16840"/>
          <w:pgMar w:top="1100" w:bottom="1200" w:left="1020" w:right="1020"/>
        </w:sectPr>
      </w:pPr>
    </w:p>
    <w:p>
      <w:pPr>
        <w:spacing w:line="240" w:lineRule="auto" w:before="13"/>
        <w:rPr>
          <w:rFonts w:ascii="宋体" w:hAnsi="宋体" w:cs="宋体" w:eastAsia="宋体" w:hint="default"/>
          <w:sz w:val="22"/>
          <w:szCs w:val="22"/>
        </w:rPr>
      </w:pPr>
    </w:p>
    <w:p>
      <w:pPr>
        <w:spacing w:line="357" w:lineRule="auto" w:before="44"/>
        <w:ind w:left="112" w:right="5594" w:firstLine="0"/>
        <w:jc w:val="left"/>
        <w:rPr>
          <w:rFonts w:ascii="宋体" w:hAnsi="宋体" w:cs="宋体" w:eastAsia="宋体" w:hint="default"/>
          <w:sz w:val="18"/>
          <w:szCs w:val="18"/>
        </w:rPr>
      </w:pPr>
      <w:r>
        <w:rPr>
          <w:rFonts w:ascii="宋体" w:hAnsi="宋体" w:cs="宋体" w:eastAsia="宋体" w:hint="default"/>
          <w:sz w:val="18"/>
          <w:szCs w:val="18"/>
        </w:rPr>
        <w:t>设定受益计划重大精算假设及敏感性分析结果说明： 其他说明：</w:t>
      </w:r>
    </w:p>
    <w:p>
      <w:pPr>
        <w:spacing w:line="240" w:lineRule="auto" w:before="3"/>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98" w:right="137"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7" w:right="136"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317" w:right="111" w:hanging="20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77,830,780.0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38,915,390.0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38,915,390.0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116,746,170.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66" w:right="166"/>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0"/>
        <w:ind w:left="112" w:right="361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579,996,139.78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38,915,390.00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541,080,749.78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579,996,139.78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38,915,390.00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541,080,749.78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8" w:hRule="exact"/>
        </w:trPr>
        <w:tc>
          <w:tcPr>
            <w:tcW w:w="2810" w:type="dxa"/>
            <w:vMerge/>
            <w:tcBorders>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2" w:right="190"/>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1" w:right="118"/>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91"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2"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vMerge/>
            <w:tcBorders>
              <w:left w:val="single" w:sz="4" w:space="0" w:color="000000"/>
              <w:bottom w:val="single" w:sz="4" w:space="0" w:color="000000"/>
              <w:right w:val="single" w:sz="4" w:space="0" w:color="000000"/>
            </w:tcBorders>
            <w:shd w:val="clear" w:color="auto" w:fill="D3D3D3"/>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26,982,505.00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2,562,528.37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29,545,033.37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26,982,505.00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2,562,528.37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29,545,033.37</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312" w:lineRule="exact" w:before="99"/>
        <w:ind w:right="98"/>
        <w:jc w:val="left"/>
      </w:pPr>
      <w:r>
        <w:rPr>
          <w:spacing w:val="-2"/>
        </w:rPr>
        <w:t>根据公司法、章程的规定，本公司按净利润的10%提取法定盈余公积金。法定盈余公积累计额</w:t>
      </w:r>
      <w:r>
        <w:rPr/>
        <w:t> 为本公司注册资本50%以上的，可不再提取。</w:t>
      </w: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33,086,019.75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44,166,188.55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33,086,019.75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44,166,188.55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25,470,574.02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24,124,414.93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2,596,528.37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4,072,271.73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35,023,851.00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31,132,312.00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20,630,214.40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33,086,019.75</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3"/>
        <w:rPr>
          <w:rFonts w:ascii="宋体" w:hAnsi="宋体" w:cs="宋体" w:eastAsia="宋体" w:hint="default"/>
          <w:sz w:val="25"/>
          <w:szCs w:val="25"/>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667,145,448.65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572,532,142.72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810,673,003.69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705,785,116.77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1,320,094.78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1,972,893.21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668,465,543.43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572,532,142.72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812,645,896.90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705,785,116.77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1,034,217.92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814,993.46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1,034,217.98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814,993.45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2,068,435.90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1,629,986.91</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left="592" w:right="0"/>
        <w:jc w:val="left"/>
      </w:pPr>
      <w:r>
        <w:rPr/>
        <w:t>注：各项营业税金及附加的计缴标准详见附注五、税项。</w:t>
      </w:r>
    </w:p>
    <w:p>
      <w:pPr>
        <w:spacing w:line="240" w:lineRule="auto" w:before="9"/>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出口及运输费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21,959,390.13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20,500,235.42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3,486,313.03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3,161,122.32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2,659,585.89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1,615,433.23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2,306,480.70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4,725,121.97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1,645,247.14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1,604,500.30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1,083,877.32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717,473.65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949,085.00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720,041.30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121,819.85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185,315.01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497,164.93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1,373,636.73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34,708,963.99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34,602,879.93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6,765,491.52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5,452,609.02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4,277,046.92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4,611,346.26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3,777,470.10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5,716,827.82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3,055,187.52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2,921,184.87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2,498,688.41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2,403,661.65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2,103,313.55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1,743,740.34</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1,165,509.60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1,175,684.11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875,255.78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665,052.20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绿化费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2,493,697.71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2,166,473.34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2,766,701.50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26,684,436.74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29,950,505.48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5,261,672.70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12,859,577.10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1,861,142.59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2,129,492.42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-1,869,425.18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-317,684.37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489,178.64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280,365.37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617,987.74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2,023,883.57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11,310,753.42</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2,932,660.68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-20,202.32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2,932,660.68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-20,202.32</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222,000.00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220,000.00</w:t>
            </w:r>
          </w:p>
        </w:tc>
      </w:tr>
      <w:tr>
        <w:trPr>
          <w:trHeight w:val="400"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投资期货取得的收益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-3,444,624.40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理财产品持有期间取得的投资收益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945,864.70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222,000.00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-2,278,759.70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2,694,241.72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2,694,241.72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531,140.64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59,138.40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531,140.64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3,225,382.36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1,379,138.40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3,225,382.36</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65" w:right="16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140" w:right="142"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年进 出口外汇 奖金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 级专项资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年县 级科技项 目资金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31"/>
              <w:jc w:val="both"/>
              <w:rPr>
                <w:rFonts w:ascii="宋体" w:hAnsi="宋体" w:cs="宋体" w:eastAsia="宋体" w:hint="default"/>
                <w:sz w:val="18"/>
                <w:szCs w:val="18"/>
              </w:rPr>
            </w:pPr>
            <w:r>
              <w:rPr>
                <w:rFonts w:ascii="宋体" w:hAnsi="宋体" w:cs="宋体" w:eastAsia="宋体" w:hint="default"/>
                <w:sz w:val="18"/>
                <w:szCs w:val="18"/>
              </w:rPr>
              <w:t>经科信付 十佳创新 企业奖励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62"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1" w:right="231"/>
              <w:jc w:val="left"/>
              <w:rPr>
                <w:rFonts w:ascii="宋体" w:hAnsi="宋体" w:cs="宋体" w:eastAsia="宋体" w:hint="default"/>
                <w:sz w:val="18"/>
                <w:szCs w:val="18"/>
              </w:rPr>
            </w:pPr>
            <w:r>
              <w:rPr>
                <w:rFonts w:ascii="宋体" w:hAnsi="宋体" w:cs="宋体" w:eastAsia="宋体" w:hint="default"/>
                <w:sz w:val="18"/>
                <w:szCs w:val="18"/>
              </w:rPr>
              <w:t>外贸进出 口先进企</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业奖金</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年纳 税大户奖 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62"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1" w:right="231"/>
              <w:jc w:val="left"/>
              <w:rPr>
                <w:rFonts w:ascii="宋体" w:hAnsi="宋体" w:cs="宋体" w:eastAsia="宋体" w:hint="default"/>
                <w:sz w:val="18"/>
                <w:szCs w:val="18"/>
              </w:rPr>
            </w:pPr>
            <w:r>
              <w:rPr>
                <w:rFonts w:ascii="宋体" w:hAnsi="宋体" w:cs="宋体" w:eastAsia="宋体" w:hint="default"/>
                <w:sz w:val="18"/>
                <w:szCs w:val="18"/>
              </w:rPr>
              <w:t>产业扶持 政策兑现</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604,000.00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5"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32"/>
          <w:pgSz w:w="11910" w:h="16840"/>
          <w:pgMar w:footer="1016" w:header="907" w:top="1100" w:bottom="1200" w:left="1020" w:right="1020"/>
          <w:pgNumType w:start="1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31"/>
              <w:jc w:val="both"/>
              <w:rPr>
                <w:rFonts w:ascii="宋体" w:hAnsi="宋体" w:cs="宋体" w:eastAsia="宋体" w:hint="default"/>
                <w:sz w:val="18"/>
                <w:szCs w:val="18"/>
              </w:rPr>
            </w:pPr>
            <w:r>
              <w:rPr>
                <w:rFonts w:ascii="宋体" w:hAnsi="宋体" w:cs="宋体" w:eastAsia="宋体" w:hint="default"/>
                <w:sz w:val="18"/>
                <w:szCs w:val="18"/>
              </w:rPr>
              <w:t>当涂经济 开发区扶 持款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860,258.00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 级中小企 业国际市 场开拓资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31"/>
              <w:jc w:val="both"/>
              <w:rPr>
                <w:rFonts w:ascii="宋体" w:hAnsi="宋体" w:cs="宋体" w:eastAsia="宋体" w:hint="default"/>
                <w:sz w:val="18"/>
                <w:szCs w:val="18"/>
              </w:rPr>
            </w:pPr>
            <w:r>
              <w:rPr>
                <w:rFonts w:ascii="宋体" w:hAnsi="宋体" w:cs="宋体" w:eastAsia="宋体" w:hint="default"/>
                <w:sz w:val="18"/>
                <w:szCs w:val="18"/>
              </w:rPr>
              <w:t>市委组织 部奖励扶 持资金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31"/>
              <w:jc w:val="both"/>
              <w:rPr>
                <w:rFonts w:ascii="宋体" w:hAnsi="宋体" w:cs="宋体" w:eastAsia="宋体" w:hint="default"/>
                <w:sz w:val="18"/>
                <w:szCs w:val="18"/>
              </w:rPr>
            </w:pPr>
            <w:r>
              <w:rPr>
                <w:rFonts w:ascii="宋体" w:hAnsi="宋体" w:cs="宋体" w:eastAsia="宋体" w:hint="default"/>
                <w:sz w:val="18"/>
                <w:szCs w:val="18"/>
              </w:rPr>
              <w:t>当涂税务 局个人所 得税返还 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pacing w:val="-1"/>
                <w:sz w:val="18"/>
              </w:rPr>
              <w:t>53,368.00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奖励款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31"/>
              <w:jc w:val="both"/>
              <w:rPr>
                <w:rFonts w:ascii="宋体" w:hAnsi="宋体" w:cs="宋体" w:eastAsia="宋体" w:hint="default"/>
                <w:sz w:val="18"/>
                <w:szCs w:val="18"/>
              </w:rPr>
            </w:pPr>
            <w:r>
              <w:rPr>
                <w:rFonts w:ascii="宋体" w:hAnsi="宋体" w:cs="宋体" w:eastAsia="宋体" w:hint="default"/>
                <w:sz w:val="18"/>
                <w:szCs w:val="18"/>
              </w:rPr>
              <w:t>三峡电力 扶持专项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31"/>
              <w:jc w:val="left"/>
              <w:rPr>
                <w:rFonts w:ascii="宋体" w:hAnsi="宋体" w:cs="宋体" w:eastAsia="宋体" w:hint="default"/>
                <w:sz w:val="18"/>
                <w:szCs w:val="18"/>
              </w:rPr>
            </w:pPr>
            <w:r>
              <w:rPr>
                <w:rFonts w:ascii="宋体" w:hAnsi="宋体" w:cs="宋体" w:eastAsia="宋体" w:hint="default"/>
                <w:sz w:val="18"/>
                <w:szCs w:val="18"/>
              </w:rPr>
              <w:t>外贸发展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31"/>
              <w:jc w:val="left"/>
              <w:rPr>
                <w:rFonts w:ascii="宋体" w:hAnsi="宋体" w:cs="宋体" w:eastAsia="宋体" w:hint="default"/>
                <w:sz w:val="18"/>
                <w:szCs w:val="18"/>
              </w:rPr>
            </w:pPr>
            <w:r>
              <w:rPr>
                <w:rFonts w:ascii="宋体" w:hAnsi="宋体" w:cs="宋体" w:eastAsia="宋体" w:hint="default"/>
                <w:sz w:val="18"/>
                <w:szCs w:val="18"/>
              </w:rPr>
              <w:t>企业技改 研发资金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 口研发补 贴资金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年突 出贡献企 业及优秀 企业奖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31"/>
              <w:jc w:val="left"/>
              <w:rPr>
                <w:rFonts w:ascii="宋体" w:hAnsi="宋体" w:cs="宋体" w:eastAsia="宋体" w:hint="default"/>
                <w:sz w:val="18"/>
                <w:szCs w:val="18"/>
              </w:rPr>
            </w:pPr>
            <w:r>
              <w:rPr>
                <w:rFonts w:ascii="宋体" w:hAnsi="宋体" w:cs="宋体" w:eastAsia="宋体" w:hint="default"/>
                <w:sz w:val="18"/>
                <w:szCs w:val="18"/>
              </w:rPr>
              <w:t>失业稳岗 贴补助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37,144.00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31"/>
              <w:jc w:val="left"/>
              <w:rPr>
                <w:rFonts w:ascii="宋体" w:hAnsi="宋体" w:cs="宋体" w:eastAsia="宋体" w:hint="default"/>
                <w:sz w:val="18"/>
                <w:szCs w:val="18"/>
              </w:rPr>
            </w:pPr>
            <w:r>
              <w:rPr>
                <w:rFonts w:ascii="宋体" w:hAnsi="宋体" w:cs="宋体" w:eastAsia="宋体" w:hint="default"/>
                <w:sz w:val="18"/>
                <w:szCs w:val="18"/>
              </w:rPr>
              <w:t>工业园区 支非公党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31"/>
              <w:jc w:val="left"/>
              <w:rPr>
                <w:rFonts w:ascii="宋体" w:hAnsi="宋体" w:cs="宋体" w:eastAsia="宋体" w:hint="default"/>
                <w:sz w:val="18"/>
                <w:szCs w:val="18"/>
              </w:rPr>
            </w:pPr>
            <w:r>
              <w:rPr>
                <w:rFonts w:ascii="宋体" w:hAnsi="宋体" w:cs="宋体" w:eastAsia="宋体" w:hint="default"/>
                <w:sz w:val="18"/>
                <w:szCs w:val="18"/>
              </w:rPr>
              <w:t>税局奖励 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771.72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98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31"/>
              <w:jc w:val="both"/>
              <w:rPr>
                <w:rFonts w:ascii="宋体" w:hAnsi="宋体" w:cs="宋体" w:eastAsia="宋体" w:hint="default"/>
                <w:sz w:val="18"/>
                <w:szCs w:val="18"/>
              </w:rPr>
            </w:pPr>
            <w:r>
              <w:rPr>
                <w:rFonts w:ascii="宋体" w:hAnsi="宋体" w:cs="宋体" w:eastAsia="宋体" w:hint="default"/>
                <w:sz w:val="18"/>
                <w:szCs w:val="18"/>
              </w:rPr>
              <w:t>组织部付 国家级博 士后科研</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6"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98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31"/>
              <w:jc w:val="both"/>
              <w:rPr>
                <w:rFonts w:ascii="宋体" w:hAnsi="宋体" w:cs="宋体" w:eastAsia="宋体" w:hint="default"/>
                <w:sz w:val="18"/>
                <w:szCs w:val="18"/>
              </w:rPr>
            </w:pPr>
            <w:r>
              <w:rPr>
                <w:rFonts w:ascii="宋体" w:hAnsi="宋体" w:cs="宋体" w:eastAsia="宋体" w:hint="default"/>
                <w:sz w:val="18"/>
                <w:szCs w:val="18"/>
              </w:rPr>
              <w:t>工作站张 良安博士 补助资金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31"/>
              <w:jc w:val="left"/>
              <w:rPr>
                <w:rFonts w:ascii="宋体" w:hAnsi="宋体" w:cs="宋体" w:eastAsia="宋体" w:hint="default"/>
                <w:sz w:val="18"/>
                <w:szCs w:val="18"/>
              </w:rPr>
            </w:pPr>
            <w:r>
              <w:rPr>
                <w:rFonts w:ascii="宋体" w:hAnsi="宋体" w:cs="宋体" w:eastAsia="宋体" w:hint="default"/>
                <w:sz w:val="18"/>
                <w:szCs w:val="18"/>
              </w:rPr>
              <w:t>贸易摩擦 应对资金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62"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1" w:right="231"/>
              <w:jc w:val="left"/>
              <w:rPr>
                <w:rFonts w:ascii="宋体" w:hAnsi="宋体" w:cs="宋体" w:eastAsia="宋体" w:hint="default"/>
                <w:sz w:val="18"/>
                <w:szCs w:val="18"/>
              </w:rPr>
            </w:pPr>
            <w:r>
              <w:rPr>
                <w:rFonts w:ascii="宋体" w:hAnsi="宋体" w:cs="宋体" w:eastAsia="宋体" w:hint="default"/>
                <w:sz w:val="18"/>
                <w:szCs w:val="18"/>
              </w:rPr>
              <w:t>二批次国 际市场开</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拓资金</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31"/>
              <w:jc w:val="left"/>
              <w:rPr>
                <w:rFonts w:ascii="宋体" w:hAnsi="宋体" w:cs="宋体" w:eastAsia="宋体" w:hint="default"/>
                <w:sz w:val="18"/>
                <w:szCs w:val="18"/>
              </w:rPr>
            </w:pPr>
            <w:r>
              <w:rPr>
                <w:rFonts w:ascii="宋体" w:hAnsi="宋体" w:cs="宋体" w:eastAsia="宋体" w:hint="default"/>
                <w:sz w:val="18"/>
                <w:szCs w:val="18"/>
              </w:rPr>
              <w:t>出口创汇 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31"/>
              <w:jc w:val="left"/>
              <w:rPr>
                <w:rFonts w:ascii="宋体" w:hAnsi="宋体" w:cs="宋体" w:eastAsia="宋体" w:hint="default"/>
                <w:sz w:val="18"/>
                <w:szCs w:val="18"/>
              </w:rPr>
            </w:pPr>
            <w:r>
              <w:rPr>
                <w:rFonts w:ascii="宋体" w:hAnsi="宋体" w:cs="宋体" w:eastAsia="宋体" w:hint="default"/>
                <w:sz w:val="18"/>
                <w:szCs w:val="18"/>
              </w:rPr>
              <w:t>纳税大户 奖励资金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31"/>
              <w:jc w:val="both"/>
              <w:rPr>
                <w:rFonts w:ascii="宋体" w:hAnsi="宋体" w:cs="宋体" w:eastAsia="宋体" w:hint="default"/>
                <w:sz w:val="18"/>
                <w:szCs w:val="18"/>
              </w:rPr>
            </w:pPr>
            <w:r>
              <w:rPr>
                <w:rFonts w:ascii="宋体" w:hAnsi="宋体" w:cs="宋体" w:eastAsia="宋体" w:hint="default"/>
                <w:sz w:val="18"/>
                <w:szCs w:val="18"/>
              </w:rPr>
              <w:t>市管局付 县政府奖 励金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监控补助</w:t>
            </w:r>
          </w:p>
          <w:p>
            <w:pPr>
              <w:pStyle w:val="TableParagraph"/>
              <w:spacing w:line="316" w:lineRule="auto" w:before="76"/>
              <w:ind w:left="101" w:right="231"/>
              <w:jc w:val="left"/>
              <w:rPr>
                <w:rFonts w:ascii="宋体" w:hAnsi="宋体" w:cs="宋体" w:eastAsia="宋体" w:hint="default"/>
                <w:sz w:val="18"/>
                <w:szCs w:val="18"/>
              </w:rPr>
            </w:pPr>
            <w:r>
              <w:rPr>
                <w:rFonts w:ascii="宋体" w:hAnsi="宋体" w:cs="宋体" w:eastAsia="宋体" w:hint="default"/>
                <w:sz w:val="18"/>
                <w:szCs w:val="18"/>
              </w:rPr>
              <w:t>（市环保 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31"/>
              <w:jc w:val="both"/>
              <w:rPr>
                <w:rFonts w:ascii="宋体" w:hAnsi="宋体" w:cs="宋体" w:eastAsia="宋体" w:hint="default"/>
                <w:sz w:val="18"/>
                <w:szCs w:val="18"/>
              </w:rPr>
            </w:pPr>
            <w:r>
              <w:rPr>
                <w:rFonts w:ascii="宋体" w:hAnsi="宋体" w:cs="宋体" w:eastAsia="宋体" w:hint="default"/>
                <w:sz w:val="18"/>
                <w:szCs w:val="18"/>
              </w:rPr>
              <w:t>市人才办 专项资金 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31"/>
              <w:jc w:val="both"/>
              <w:rPr>
                <w:rFonts w:ascii="宋体" w:hAnsi="宋体" w:cs="宋体" w:eastAsia="宋体" w:hint="default"/>
                <w:sz w:val="18"/>
                <w:szCs w:val="18"/>
              </w:rPr>
            </w:pPr>
            <w:r>
              <w:rPr>
                <w:rFonts w:ascii="宋体" w:hAnsi="宋体" w:cs="宋体" w:eastAsia="宋体" w:hint="default"/>
                <w:sz w:val="18"/>
                <w:szCs w:val="18"/>
              </w:rPr>
              <w:t>知识产权 局付省专 利资助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科技计划 项目经费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商务局支</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31"/>
              <w:jc w:val="left"/>
              <w:rPr>
                <w:rFonts w:ascii="宋体" w:hAnsi="宋体" w:cs="宋体" w:eastAsia="宋体" w:hint="default"/>
                <w:sz w:val="18"/>
                <w:szCs w:val="18"/>
              </w:rPr>
            </w:pPr>
            <w:r>
              <w:rPr>
                <w:rFonts w:ascii="宋体" w:hAnsi="宋体" w:cs="宋体" w:eastAsia="宋体" w:hint="default"/>
                <w:sz w:val="18"/>
                <w:szCs w:val="18"/>
              </w:rPr>
              <w:t>付企业政 策兑现资</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当涂县安</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31"/>
              <w:jc w:val="left"/>
              <w:rPr>
                <w:rFonts w:ascii="宋体" w:hAnsi="宋体" w:cs="宋体" w:eastAsia="宋体" w:hint="default"/>
                <w:sz w:val="18"/>
                <w:szCs w:val="18"/>
              </w:rPr>
            </w:pPr>
            <w:r>
              <w:rPr>
                <w:rFonts w:ascii="宋体" w:hAnsi="宋体" w:cs="宋体" w:eastAsia="宋体" w:hint="default"/>
                <w:sz w:val="18"/>
                <w:szCs w:val="18"/>
              </w:rPr>
              <w:t>监局付企 业标准化</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达标奖金</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年应用</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1" w:right="231"/>
              <w:jc w:val="left"/>
              <w:rPr>
                <w:rFonts w:ascii="宋体" w:hAnsi="宋体" w:cs="宋体" w:eastAsia="宋体" w:hint="default"/>
                <w:sz w:val="18"/>
                <w:szCs w:val="18"/>
              </w:rPr>
            </w:pPr>
            <w:r>
              <w:rPr>
                <w:rFonts w:ascii="宋体" w:hAnsi="宋体" w:cs="宋体" w:eastAsia="宋体" w:hint="default"/>
                <w:sz w:val="18"/>
                <w:szCs w:val="18"/>
              </w:rPr>
              <w:t>技术研究 与开发资</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4"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65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101" w:right="231"/>
              <w:jc w:val="both"/>
              <w:rPr>
                <w:rFonts w:ascii="宋体" w:hAnsi="宋体" w:cs="宋体" w:eastAsia="宋体" w:hint="default"/>
                <w:sz w:val="18"/>
                <w:szCs w:val="18"/>
              </w:rPr>
            </w:pPr>
            <w:r>
              <w:rPr>
                <w:rFonts w:ascii="宋体" w:hAnsi="宋体" w:cs="宋体" w:eastAsia="宋体" w:hint="default"/>
                <w:sz w:val="18"/>
                <w:szCs w:val="18"/>
              </w:rPr>
              <w:t>人社局付 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吨稀土多 元合金镀 层钢</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31"/>
              <w:jc w:val="left"/>
              <w:rPr>
                <w:rFonts w:ascii="宋体" w:hAnsi="宋体" w:cs="宋体" w:eastAsia="宋体" w:hint="default"/>
                <w:sz w:val="18"/>
                <w:szCs w:val="18"/>
              </w:rPr>
            </w:pPr>
            <w:r>
              <w:rPr>
                <w:rFonts w:ascii="宋体" w:hAnsi="宋体" w:cs="宋体" w:eastAsia="宋体" w:hint="default"/>
                <w:sz w:val="18"/>
                <w:szCs w:val="18"/>
              </w:rPr>
              <w:t>创新建设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31"/>
              <w:jc w:val="left"/>
              <w:rPr>
                <w:rFonts w:ascii="宋体" w:hAnsi="宋体" w:cs="宋体" w:eastAsia="宋体" w:hint="default"/>
                <w:sz w:val="18"/>
                <w:szCs w:val="18"/>
              </w:rPr>
            </w:pPr>
            <w:r>
              <w:rPr>
                <w:rFonts w:ascii="宋体" w:hAnsi="宋体" w:cs="宋体" w:eastAsia="宋体" w:hint="default"/>
                <w:sz w:val="18"/>
                <w:szCs w:val="18"/>
              </w:rPr>
              <w:t>企业政策 性补贴</w:t>
            </w:r>
          </w:p>
          <w:p>
            <w:pPr>
              <w:pStyle w:val="TableParagraph"/>
              <w:spacing w:line="309" w:lineRule="auto" w:before="19"/>
              <w:ind w:left="101" w:right="5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度安全生 产标准化）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31"/>
              <w:jc w:val="left"/>
              <w:rPr>
                <w:rFonts w:ascii="宋体" w:hAnsi="宋体" w:cs="宋体" w:eastAsia="宋体" w:hint="default"/>
                <w:sz w:val="18"/>
                <w:szCs w:val="18"/>
              </w:rPr>
            </w:pPr>
            <w:r>
              <w:rPr>
                <w:rFonts w:ascii="宋体" w:hAnsi="宋体" w:cs="宋体" w:eastAsia="宋体" w:hint="default"/>
                <w:sz w:val="18"/>
                <w:szCs w:val="18"/>
              </w:rPr>
              <w:t>民营经济 发展资金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 业经济目 标考核奖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85"/>
              <w:jc w:val="both"/>
              <w:rPr>
                <w:rFonts w:ascii="宋体" w:hAnsi="宋体" w:cs="宋体" w:eastAsia="宋体" w:hint="default"/>
                <w:sz w:val="18"/>
                <w:szCs w:val="18"/>
              </w:rPr>
            </w:pPr>
            <w:r>
              <w:rPr>
                <w:rFonts w:ascii="宋体" w:hAnsi="宋体" w:cs="宋体" w:eastAsia="宋体" w:hint="default"/>
                <w:sz w:val="18"/>
                <w:szCs w:val="18"/>
              </w:rPr>
              <w:t>武隆经信 委支付的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 型工业化 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2,694,241.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赔偿金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755,365.00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451,000.00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27,372.40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121,310.77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1,685,737.40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572,310.77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8"/>
        <w:ind w:right="0"/>
        <w:jc w:val="left"/>
      </w:pPr>
      <w:r>
        <w:rPr/>
        <w:t>上述营业外支出均计入相应各期非经常性损益。</w:t>
      </w:r>
    </w:p>
    <w:p>
      <w:pPr>
        <w:spacing w:after="0" w:line="240" w:lineRule="auto"/>
        <w:jc w:val="left"/>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4,585,989.72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3,777,129.84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-439,898.95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13,379.87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4,146,090.77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3,790,509.71</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29,276,664.79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4,391,499.72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-33,300.00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229,650.40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-441,759.35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4,146,090.77</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1,956,487.11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1,855,986.03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2,694,241.72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1,320,000.00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493,944.75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1,261,610.96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5,144,673.58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4,437,596.99</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21,400,503.70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19,245,864.56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1,824,340.78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1,365,093.50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2,810,756.74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2,770,184.41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业务办公费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3,177,007.37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2,505,850.82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492,778.64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898,353.11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1,685,737.40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557,956.90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7,502,197.40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14,779,026.24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38,893,322.03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42,122,329.54</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55,500,000.00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47,500,000.00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55,500,000.00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55,500,000.00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融资保证金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14,048,400.34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107,706,241.89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14,048,400.34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107,706,241.89</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after="0"/>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融资保证金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19,545,574.49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14,048,400.34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19,545,574.49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14,048,400.34</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25,130,574.02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24,124,414.93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2,932,660.68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-20,202.32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17,745,086.89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17,033,970.05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1,193,572.08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1,235,373.71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3,794,527.78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12,633,048.34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-222,000.00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2,278,759.70</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-439,898.95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13,379.87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4,326,552.79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407,130.61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43,585,477.07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82,543,877.38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7,852,612.37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8,294,933.31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105,899,164.73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148,544,685.58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26,964,967.67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39,556,290.19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39,556,290.19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110,925,719.50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-12,591,322.52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-71,369,429.31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26,964,967.67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39,556,290.19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11,670.10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23,093.81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26,953,297.57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39,533,196.38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26,964,967.67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39,556,290.19</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说明对上年期末余额进行调整的“其他”项目名称及调整金额等事项：</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67,045,574.49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银承保证金、保函、结构性存款</w:t>
            </w:r>
          </w:p>
        </w:tc>
      </w:tr>
      <w:tr>
        <w:trPr>
          <w:trHeight w:val="71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89"/>
              <w:jc w:val="left"/>
              <w:rPr>
                <w:rFonts w:ascii="宋体" w:hAnsi="宋体" w:cs="宋体" w:eastAsia="宋体" w:hint="default"/>
                <w:sz w:val="18"/>
                <w:szCs w:val="18"/>
              </w:rPr>
            </w:pPr>
            <w:r>
              <w:rPr>
                <w:rFonts w:ascii="宋体" w:hAnsi="宋体" w:cs="宋体" w:eastAsia="宋体" w:hint="default"/>
                <w:sz w:val="18"/>
                <w:szCs w:val="18"/>
              </w:rPr>
              <w:t>隆泰土地使用权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房地证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TD2011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字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30,661,511.16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中国进出口银行贷款抵押</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71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鼎泰土地使用权当国用（</w:t>
            </w:r>
            <w:r>
              <w:rPr>
                <w:rFonts w:ascii="Times New Roman" w:hAnsi="Times New Roman" w:cs="Times New Roman" w:eastAsia="Times New Roman" w:hint="default"/>
                <w:sz w:val="18"/>
                <w:szCs w:val="18"/>
              </w:rPr>
              <w:t>2008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0329</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号</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2,182,490.94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中国进出口银行贷款抵押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鼎泰房地权当房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000762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8,825,115.31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中国进出口银行贷款抵押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鼎泰房地权当房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003295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5,828,109.49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中国进出口银行贷款抵押</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鼎泰房地权当房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000763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5450.67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平方米）</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6,990,171.46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中国进出口银行贷款抵押</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鼎泰土地使用权马国用（</w:t>
            </w:r>
            <w:r>
              <w:rPr>
                <w:rFonts w:ascii="Times New Roman" w:hAnsi="Times New Roman" w:cs="Times New Roman" w:eastAsia="Times New Roman" w:hint="default"/>
                <w:sz w:val="18"/>
                <w:szCs w:val="18"/>
              </w:rPr>
              <w:t>2008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0330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号</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2,425,203.38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中国建设银行贷款抵押</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鼎泰房地权当房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000763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号（一 半面积抵押）</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6,212,697.04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中国建设银行贷款抵押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130,170,873.27</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101,035.46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656,083.86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1,874,768.22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12,173,994.89</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259" w:lineRule="auto" w:before="0"/>
        <w:ind w:left="112" w:right="0" w:firstLine="0"/>
        <w:jc w:val="left"/>
        <w:rPr>
          <w:rFonts w:ascii="宋体" w:hAnsi="宋体" w:cs="宋体" w:eastAsia="宋体" w:hint="default"/>
          <w:sz w:val="21"/>
          <w:szCs w:val="21"/>
        </w:rPr>
      </w:pPr>
      <w:r>
        <w:rPr>
          <w:rFonts w:ascii="宋体" w:hAnsi="宋体" w:cs="宋体" w:eastAsia="宋体" w:hint="default"/>
          <w:b/>
          <w:bCs/>
          <w:spacing w:val="3"/>
          <w:w w:val="95"/>
          <w:sz w:val="21"/>
          <w:szCs w:val="21"/>
        </w:rPr>
        <w:t>（</w:t>
      </w:r>
      <w:r>
        <w:rPr>
          <w:rFonts w:ascii="Times New Roman" w:hAnsi="Times New Roman" w:cs="Times New Roman" w:eastAsia="Times New Roman" w:hint="default"/>
          <w:b/>
          <w:bCs/>
          <w:spacing w:val="3"/>
          <w:w w:val="95"/>
          <w:sz w:val="21"/>
          <w:szCs w:val="21"/>
        </w:rPr>
        <w:t>2</w:t>
      </w:r>
      <w:r>
        <w:rPr>
          <w:rFonts w:ascii="宋体" w:hAnsi="宋体" w:cs="宋体" w:eastAsia="宋体" w:hint="default"/>
          <w:b/>
          <w:bCs/>
          <w:spacing w:val="3"/>
          <w:w w:val="95"/>
          <w:sz w:val="21"/>
          <w:szCs w:val="21"/>
        </w:rPr>
        <w:t>）境外经营实体说明，包括对于重要的境外经营实体，应披露其境外主要经营地、记账本位币及选择</w:t>
      </w:r>
      <w:r>
        <w:rPr>
          <w:rFonts w:ascii="宋体" w:hAnsi="宋体" w:cs="宋体" w:eastAsia="宋体" w:hint="default"/>
          <w:b/>
          <w:bCs/>
          <w:spacing w:val="93"/>
          <w:w w:val="95"/>
          <w:sz w:val="21"/>
          <w:szCs w:val="21"/>
        </w:rPr>
        <w:t> </w:t>
      </w:r>
      <w:r>
        <w:rPr>
          <w:rFonts w:ascii="宋体" w:hAnsi="宋体" w:cs="宋体" w:eastAsia="宋体" w:hint="default"/>
          <w:b/>
          <w:bCs/>
          <w:spacing w:val="93"/>
          <w:w w:val="95"/>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7" w:lineRule="auto" w:before="118"/>
        <w:ind w:left="112" w:right="73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before="8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100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356" w:hRule="exact"/>
        </w:trPr>
        <w:tc>
          <w:tcPr>
            <w:tcW w:w="10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购买日至</w:t>
            </w:r>
          </w:p>
        </w:tc>
        <w:tc>
          <w:tcPr>
            <w:tcW w:w="106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购买日至</w:t>
            </w:r>
          </w:p>
        </w:tc>
      </w:tr>
      <w:tr>
        <w:trPr>
          <w:trHeight w:val="624" w:hRule="exact"/>
        </w:trPr>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6" w:right="164"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7" w:right="165"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7" w:right="164"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7" w:right="165"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66" w:right="163"/>
              <w:jc w:val="left"/>
              <w:rPr>
                <w:rFonts w:ascii="宋体" w:hAnsi="宋体" w:cs="宋体" w:eastAsia="宋体" w:hint="default"/>
                <w:sz w:val="18"/>
                <w:szCs w:val="18"/>
              </w:rPr>
            </w:pPr>
            <w:r>
              <w:rPr>
                <w:rFonts w:ascii="宋体" w:hAnsi="宋体" w:cs="宋体" w:eastAsia="宋体" w:hint="default"/>
                <w:sz w:val="18"/>
                <w:szCs w:val="18"/>
              </w:rPr>
              <w:t>期末被购 买方的收</w:t>
            </w:r>
          </w:p>
        </w:tc>
        <w:tc>
          <w:tcPr>
            <w:tcW w:w="10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65" w:right="165"/>
              <w:jc w:val="left"/>
              <w:rPr>
                <w:rFonts w:ascii="宋体" w:hAnsi="宋体" w:cs="宋体" w:eastAsia="宋体" w:hint="default"/>
                <w:sz w:val="18"/>
                <w:szCs w:val="18"/>
              </w:rPr>
            </w:pPr>
            <w:r>
              <w:rPr>
                <w:rFonts w:ascii="宋体" w:hAnsi="宋体" w:cs="宋体" w:eastAsia="宋体" w:hint="default"/>
                <w:sz w:val="18"/>
                <w:szCs w:val="18"/>
              </w:rPr>
              <w:t>期末被购 买方的净</w:t>
            </w:r>
          </w:p>
        </w:tc>
      </w:tr>
      <w:tr>
        <w:trPr>
          <w:trHeight w:val="358" w:hRule="exact"/>
        </w:trPr>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入</w:t>
            </w:r>
          </w:p>
        </w:tc>
        <w:tc>
          <w:tcPr>
            <w:tcW w:w="106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3d3d3"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50"/>
        <w:ind w:left="112" w:right="505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51"/>
        <w:ind w:left="112" w:right="651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3"/>
        <w:rPr>
          <w:rFonts w:ascii="宋体" w:hAnsi="宋体" w:cs="宋体" w:eastAsia="宋体" w:hint="default"/>
          <w:sz w:val="20"/>
          <w:szCs w:val="20"/>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12"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spacing w:before="118"/>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44"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64" w:right="165"/>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5"/>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8" w:right="164"/>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7" w:right="165"/>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6" w:right="165"/>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68" w:right="164"/>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67" w:right="165"/>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spacing w:after="0" w:line="316" w:lineRule="auto"/>
        <w:jc w:val="both"/>
        <w:rPr>
          <w:rFonts w:ascii="宋体" w:hAnsi="宋体" w:cs="宋体" w:eastAsia="宋体" w:hint="default"/>
          <w:sz w:val="18"/>
          <w:szCs w:val="18"/>
        </w:rPr>
        <w:sectPr>
          <w:pgSz w:w="11910" w:h="16840"/>
          <w:pgMar w:header="907" w:footer="1016" w:top="1100" w:bottom="1200" w:left="1020" w:right="102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3d3d3"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51"/>
        <w:ind w:left="112" w:right="757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823"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13;top:12;width:3185;height:397" coordorigin="13,12" coordsize="3185,397">
              <v:shape style="position:absolute;left:13;top:12;width:3185;height:397" coordorigin="13,12" coordsize="3185,397" path="m13,12l3198,12,3198,409,13,409,13,12xe" filled="true" fillcolor="#d3d3d3" stroked="false">
                <v:path arrowok="t"/>
                <v:fill type="solid"/>
              </v:shape>
            </v:group>
            <v:group style="position:absolute;left:3203;top:12;width:6375;height:397" coordorigin="3203,12" coordsize="6375,397">
              <v:shape style="position:absolute;left:3203;top:12;width:6375;height:397" coordorigin="3203,12" coordsize="6375,397" path="m3203,12l9578,12,9578,409,3203,409,3203,12xe" filled="true" fillcolor="#e1ffff" stroked="false">
                <v:path arrowok="t"/>
                <v:fill type="solid"/>
              </v:shape>
            </v:group>
            <v:group style="position:absolute;left:13;top:414;width:3185;height:397" coordorigin="13,414" coordsize="3185,397">
              <v:shape style="position:absolute;left:13;top:414;width:3185;height:397" coordorigin="13,414" coordsize="3185,397" path="m13,414l3198,414,3198,811,13,811,13,414xe" filled="true" fillcolor="#d3d3d3" stroked="false">
                <v:path arrowok="t"/>
                <v:fill type="solid"/>
              </v:shape>
            </v:group>
            <v:group style="position:absolute;left:3203;top:414;width:3185;height:397" coordorigin="3203,414" coordsize="3185,397">
              <v:shape style="position:absolute;left:3203;top:414;width:3185;height:397" coordorigin="3203,414" coordsize="3185,397" path="m3203,414l6388,414,6388,811,3203,811,3203,414xe" filled="true" fillcolor="#d3d3d3" stroked="false">
                <v:path arrowok="t"/>
                <v:fill type="solid"/>
              </v:shape>
            </v:group>
            <v:group style="position:absolute;left:6393;top:414;width:3185;height:397" coordorigin="6393,414" coordsize="3185,397">
              <v:shape style="position:absolute;left:6393;top:414;width:3185;height:397" coordorigin="6393,414" coordsize="3185,397" path="m6393,414l9578,414,9578,811,6393,811,6393,414xe" filled="true" fillcolor="#d3d3d3"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2;width:9580;height:2" coordorigin="5,412" coordsize="9580,2">
              <v:shape style="position:absolute;left:5;top:412;width:9580;height:2" coordorigin="5,412" coordsize="9580,0" path="m5,412l9584,412e" filled="false" stroked="true" strokeweight=".48pt" strokecolor="#000000">
                <v:path arrowok="t"/>
              </v:shape>
            </v:group>
            <v:group style="position:absolute;left:5;top:814;width:9580;height:2" coordorigin="5,814" coordsize="9580,2">
              <v:shape style="position:absolute;left:5;top:814;width:9580;height:2" coordorigin="5,814" coordsize="9580,0" path="m5,814l9584,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200;top:5;width:2;height:804" coordorigin="3200,5" coordsize="2,804">
              <v:shape style="position:absolute;left:3200;top:5;width:2;height:804" coordorigin="3200,5" coordsize="0,804" path="m3200,5l3200,809e" filled="false" stroked="true" strokeweight=".48pt" strokecolor="#000000">
                <v:path arrowok="t"/>
              </v:shape>
            </v:group>
            <v:group style="position:absolute;left:6390;top:407;width:2;height:402" coordorigin="6390,407" coordsize="2,402">
              <v:shape style="position:absolute;left:6390;top:407;width:2;height:402" coordorigin="6390,407" coordsize="0,402" path="m6390,407l6390,809e" filled="false" stroked="true" strokeweight=".48pt" strokecolor="#000000">
                <v:path arrowok="t"/>
              </v:shape>
            </v:group>
            <v:group style="position:absolute;left:9580;top:14;width:2;height:804" coordorigin="9580,14" coordsize="2,804">
              <v:shape style="position:absolute;left:9580;top:14;width:2;height:804" coordorigin="9580,14" coordsize="0,804" path="m9580,14l9580,818e" filled="false" stroked="true" strokeweight=".48pt" strokecolor="#000000">
                <v:path arrowok="t"/>
              </v:shape>
              <v:shape style="position:absolute;left:3200;top:412;width:3190;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4"/>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6"/>
        <w:ind w:left="112" w:right="649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3"/>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性交易处理时调整权益的金额及其计算：</w:t>
      </w:r>
    </w:p>
    <w:p>
      <w:pPr>
        <w:spacing w:line="240" w:lineRule="auto" w:before="6"/>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60" w:lineRule="auto" w:before="115"/>
        <w:ind w:left="112" w:right="3974" w:firstLine="0"/>
        <w:jc w:val="left"/>
        <w:rPr>
          <w:rFonts w:ascii="宋体" w:hAnsi="宋体" w:cs="宋体" w:eastAsia="宋体" w:hint="default"/>
          <w:sz w:val="18"/>
          <w:szCs w:val="18"/>
        </w:rPr>
      </w:pPr>
      <w:r>
        <w:rPr>
          <w:rFonts w:ascii="宋体" w:hAnsi="宋体" w:cs="宋体" w:eastAsia="宋体" w:hint="default"/>
          <w:sz w:val="18"/>
          <w:szCs w:val="18"/>
        </w:rPr>
        <w:t>□ 是 √ 否 是否存在通过多次交易分步处置对子公司投资且在本期丧失控制权的情形</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18"/>
        <w:ind w:left="11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81"/>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2733"/>
        <w:gridCol w:w="1366"/>
      </w:tblGrid>
      <w:tr>
        <w:trPr>
          <w:trHeight w:val="400" w:hRule="exact"/>
        </w:trPr>
        <w:tc>
          <w:tcPr>
            <w:tcW w:w="1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footerReference w:type="default" r:id="rId33"/>
          <w:pgSz w:w="11910" w:h="16840"/>
          <w:pgMar w:footer="1016" w:header="907" w:top="1100" w:bottom="1200" w:left="1020" w:right="1020"/>
          <w:pgNumType w:start="13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8"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重庆市隆泰稀</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土新材料有限</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610" w:right="0"/>
              <w:jc w:val="left"/>
              <w:rPr>
                <w:rFonts w:ascii="Times New Roman" w:hAnsi="Times New Roman" w:cs="Times New Roman" w:eastAsia="Times New Roman" w:hint="default"/>
                <w:sz w:val="18"/>
                <w:szCs w:val="18"/>
              </w:rPr>
            </w:pPr>
            <w:r>
              <w:rPr>
                <w:rFonts w:ascii="Times New Roman"/>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0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简称”隆泰稀</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w:t>
            </w:r>
            <w:r>
              <w:rPr>
                <w:rFonts w:ascii="Times New Roman" w:hAnsi="Times New Roman" w:cs="Times New Roman" w:eastAsia="Times New Roman" w:hint="default"/>
                <w:sz w:val="18"/>
                <w:szCs w:val="18"/>
              </w:rPr>
              <w:t>)</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line="360" w:lineRule="auto" w:before="50"/>
        <w:ind w:left="112" w:right="19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5"/>
        <w:ind w:left="112" w:right="67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pStyle w:val="BodyText"/>
        <w:spacing w:line="312" w:lineRule="exact" w:before="9"/>
        <w:ind w:right="98" w:firstLine="480"/>
        <w:jc w:val="left"/>
      </w:pPr>
      <w:r>
        <w:rPr/>
        <w:t>2010年8月26日，本公司第一届董事会十五次会议审议通过了《关于设立全资子公司的议 </w:t>
      </w:r>
      <w:r>
        <w:rPr>
          <w:spacing w:val="-7"/>
        </w:rPr>
        <w:t>案》。根据协议、章程的规定，拟设全资子公司隆泰稀土注册资本为人民币1,000万元，于2010</w:t>
      </w:r>
      <w:r>
        <w:rPr/>
        <w:t> </w:t>
      </w:r>
      <w:r>
        <w:rPr>
          <w:spacing w:val="-5"/>
        </w:rPr>
        <w:t>年9月8日前由本公司一次缴足。截至2010年9月8日止，公司已向隆泰稀土货币出资1,000万元。</w:t>
      </w:r>
      <w:r>
        <w:rPr>
          <w:spacing w:val="-82"/>
        </w:rPr>
        <w:t> </w:t>
      </w:r>
      <w:r>
        <w:rPr>
          <w:spacing w:val="-82"/>
        </w:rPr>
      </w:r>
      <w:r>
        <w:rPr/>
        <w:t>2010年9月19日，隆泰稀土取得了重庆市武隆县工商行政管理局颁发的企业法人营业执照。</w:t>
      </w:r>
    </w:p>
    <w:p>
      <w:pPr>
        <w:pStyle w:val="BodyText"/>
        <w:spacing w:line="312" w:lineRule="exact"/>
        <w:ind w:right="232"/>
        <w:jc w:val="both"/>
      </w:pPr>
      <w:r>
        <w:rPr>
          <w:spacing w:val="-2"/>
        </w:rPr>
        <w:t>2011年2月10日，本公司2011年第一次临时股东大会审议通过了《关于使用部分超募资金对全</w:t>
      </w:r>
      <w:r>
        <w:rPr>
          <w:spacing w:val="-110"/>
        </w:rPr>
        <w:t> </w:t>
      </w:r>
      <w:r>
        <w:rPr>
          <w:spacing w:val="-110"/>
        </w:rPr>
      </w:r>
      <w:r>
        <w:rPr>
          <w:spacing w:val="-3"/>
        </w:rPr>
        <w:t>资子公司增资以实施年产6万吨高铁PC制品项目的议案》，决定对隆泰稀土以货币增资人民币</w:t>
      </w:r>
      <w:r>
        <w:rPr>
          <w:spacing w:val="-83"/>
        </w:rPr>
        <w:t> </w:t>
      </w:r>
      <w:r>
        <w:rPr>
          <w:spacing w:val="-83"/>
        </w:rPr>
      </w:r>
      <w:r>
        <w:rPr/>
        <w:t>4,000万元。截至2011年2月22日止，公司向隆泰稀土货币增资4,000万元。2011年7月19日取</w:t>
      </w:r>
      <w:r>
        <w:rPr>
          <w:spacing w:val="-91"/>
        </w:rPr>
        <w:t> </w:t>
      </w:r>
      <w:r>
        <w:rPr>
          <w:spacing w:val="-91"/>
        </w:rPr>
      </w:r>
      <w:r>
        <w:rPr/>
        <w:t>得增资后的营业执照。</w:t>
      </w:r>
    </w:p>
    <w:p>
      <w:pPr>
        <w:spacing w:line="240" w:lineRule="auto" w:before="4"/>
        <w:rPr>
          <w:rFonts w:ascii="宋体" w:hAnsi="宋体" w:cs="宋体" w:eastAsia="宋体" w:hint="default"/>
          <w:sz w:val="22"/>
          <w:szCs w:val="22"/>
        </w:rPr>
      </w:pPr>
    </w:p>
    <w:p>
      <w:pPr>
        <w:spacing w:before="0"/>
        <w:ind w:left="112"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3" w:right="139"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2" w:right="139"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bl>
    <w:p>
      <w:pPr>
        <w:spacing w:line="360" w:lineRule="auto" w:before="50"/>
        <w:ind w:left="112" w:right="55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2"/>
        <w:rPr>
          <w:rFonts w:ascii="宋体" w:hAnsi="宋体" w:cs="宋体" w:eastAsia="宋体" w:hint="default"/>
          <w:sz w:val="19"/>
          <w:szCs w:val="19"/>
        </w:rPr>
      </w:pPr>
    </w:p>
    <w:p>
      <w:pPr>
        <w:spacing w:before="0"/>
        <w:ind w:left="112"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302" w:hRule="exact"/>
        </w:trPr>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4414" w:type="dxa"/>
            <w:gridSpan w:val="6"/>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0" w:hRule="exact"/>
        </w:trPr>
        <w:tc>
          <w:tcPr>
            <w:tcW w:w="736" w:type="dxa"/>
            <w:vMerge w:val="restart"/>
            <w:tcBorders>
              <w:top w:val="nil" w:sz="6" w:space="0" w:color="auto"/>
              <w:left w:val="single" w:sz="4" w:space="0" w:color="000000"/>
              <w:right w:val="single" w:sz="4" w:space="0" w:color="000000"/>
            </w:tcBorders>
            <w:shd w:val="clear" w:color="auto" w:fill="D3D3D3"/>
          </w:tcPr>
          <w:p>
            <w:pPr>
              <w:pStyle w:val="TableParagraph"/>
              <w:spacing w:line="191" w:lineRule="exact"/>
              <w:ind w:left="183"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4414" w:type="dxa"/>
            <w:gridSpan w:val="6"/>
            <w:tcBorders>
              <w:top w:val="nil" w:sz="6" w:space="0" w:color="auto"/>
              <w:left w:val="single" w:sz="4" w:space="0" w:color="000000"/>
              <w:bottom w:val="single" w:sz="4" w:space="0" w:color="000000"/>
              <w:right w:val="single" w:sz="4" w:space="0" w:color="000000"/>
            </w:tcBorders>
            <w:shd w:val="clear" w:color="auto" w:fill="D3D3D3"/>
          </w:tcPr>
          <w:p>
            <w:pPr/>
          </w:p>
        </w:tc>
        <w:tc>
          <w:tcPr>
            <w:tcW w:w="4414" w:type="dxa"/>
            <w:gridSpan w:val="6"/>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0" w:hRule="exact"/>
        </w:trPr>
        <w:tc>
          <w:tcPr>
            <w:tcW w:w="736" w:type="dxa"/>
            <w:vMerge/>
            <w:tcBorders>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26" w:hRule="exact"/>
        </w:trPr>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67"/>
              <w:ind w:left="272" w:right="180" w:hanging="89"/>
              <w:jc w:val="left"/>
              <w:rPr>
                <w:rFonts w:ascii="宋体" w:hAnsi="宋体" w:cs="宋体" w:eastAsia="宋体" w:hint="default"/>
                <w:sz w:val="18"/>
                <w:szCs w:val="18"/>
              </w:rPr>
            </w:pPr>
            <w:r>
              <w:rPr>
                <w:rFonts w:ascii="宋体" w:hAnsi="宋体" w:cs="宋体" w:eastAsia="宋体" w:hint="default"/>
                <w:sz w:val="18"/>
                <w:szCs w:val="18"/>
              </w:rPr>
              <w:t>司名 称</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110"/>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90" w:lineRule="exact"/>
              <w:ind w:left="182" w:right="0"/>
              <w:jc w:val="left"/>
              <w:rPr>
                <w:rFonts w:ascii="宋体" w:hAnsi="宋体" w:cs="宋体" w:eastAsia="宋体" w:hint="default"/>
                <w:sz w:val="18"/>
                <w:szCs w:val="18"/>
              </w:rPr>
            </w:pPr>
            <w:r>
              <w:rPr>
                <w:rFonts w:ascii="宋体" w:hAnsi="宋体" w:cs="宋体" w:eastAsia="宋体" w:hint="default"/>
                <w:sz w:val="18"/>
                <w:szCs w:val="18"/>
              </w:rPr>
              <w:t>非流</w:t>
            </w:r>
          </w:p>
          <w:p>
            <w:pPr>
              <w:pStyle w:val="TableParagraph"/>
              <w:spacing w:line="316" w:lineRule="auto" w:before="76"/>
              <w:ind w:left="273" w:right="181" w:hanging="92"/>
              <w:jc w:val="left"/>
              <w:rPr>
                <w:rFonts w:ascii="宋体" w:hAnsi="宋体" w:cs="宋体" w:eastAsia="宋体" w:hint="default"/>
                <w:sz w:val="18"/>
                <w:szCs w:val="18"/>
              </w:rPr>
            </w:pPr>
            <w:r>
              <w:rPr>
                <w:rFonts w:ascii="宋体" w:hAnsi="宋体" w:cs="宋体" w:eastAsia="宋体" w:hint="default"/>
                <w:sz w:val="18"/>
                <w:szCs w:val="18"/>
              </w:rPr>
              <w:t>动资 产</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110"/>
              <w:ind w:left="183"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110"/>
              <w:ind w:left="181"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90" w:lineRule="exact"/>
              <w:ind w:left="182" w:right="0"/>
              <w:jc w:val="left"/>
              <w:rPr>
                <w:rFonts w:ascii="宋体" w:hAnsi="宋体" w:cs="宋体" w:eastAsia="宋体" w:hint="default"/>
                <w:sz w:val="18"/>
                <w:szCs w:val="18"/>
              </w:rPr>
            </w:pPr>
            <w:r>
              <w:rPr>
                <w:rFonts w:ascii="宋体" w:hAnsi="宋体" w:cs="宋体" w:eastAsia="宋体" w:hint="default"/>
                <w:sz w:val="18"/>
                <w:szCs w:val="18"/>
              </w:rPr>
              <w:t>非流</w:t>
            </w:r>
          </w:p>
          <w:p>
            <w:pPr>
              <w:pStyle w:val="TableParagraph"/>
              <w:spacing w:line="316" w:lineRule="auto" w:before="76"/>
              <w:ind w:left="271" w:right="180" w:hanging="89"/>
              <w:jc w:val="left"/>
              <w:rPr>
                <w:rFonts w:ascii="宋体" w:hAnsi="宋体" w:cs="宋体" w:eastAsia="宋体" w:hint="default"/>
                <w:sz w:val="18"/>
                <w:szCs w:val="18"/>
              </w:rPr>
            </w:pPr>
            <w:r>
              <w:rPr>
                <w:rFonts w:ascii="宋体" w:hAnsi="宋体" w:cs="宋体" w:eastAsia="宋体" w:hint="default"/>
                <w:sz w:val="18"/>
                <w:szCs w:val="18"/>
              </w:rPr>
              <w:t>动负 债</w:t>
            </w:r>
          </w:p>
        </w:tc>
        <w:tc>
          <w:tcPr>
            <w:tcW w:w="73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110"/>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110"/>
              <w:ind w:left="181" w:right="181"/>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90" w:lineRule="exact"/>
              <w:ind w:left="181" w:right="0"/>
              <w:jc w:val="left"/>
              <w:rPr>
                <w:rFonts w:ascii="宋体" w:hAnsi="宋体" w:cs="宋体" w:eastAsia="宋体" w:hint="default"/>
                <w:sz w:val="18"/>
                <w:szCs w:val="18"/>
              </w:rPr>
            </w:pPr>
            <w:r>
              <w:rPr>
                <w:rFonts w:ascii="宋体" w:hAnsi="宋体" w:cs="宋体" w:eastAsia="宋体" w:hint="default"/>
                <w:sz w:val="18"/>
                <w:szCs w:val="18"/>
              </w:rPr>
              <w:t>非流</w:t>
            </w:r>
          </w:p>
          <w:p>
            <w:pPr>
              <w:pStyle w:val="TableParagraph"/>
              <w:spacing w:line="316" w:lineRule="auto" w:before="76"/>
              <w:ind w:left="272" w:right="182" w:hanging="92"/>
              <w:jc w:val="left"/>
              <w:rPr>
                <w:rFonts w:ascii="宋体" w:hAnsi="宋体" w:cs="宋体" w:eastAsia="宋体" w:hint="default"/>
                <w:sz w:val="18"/>
                <w:szCs w:val="18"/>
              </w:rPr>
            </w:pPr>
            <w:r>
              <w:rPr>
                <w:rFonts w:ascii="宋体" w:hAnsi="宋体" w:cs="宋体" w:eastAsia="宋体" w:hint="default"/>
                <w:sz w:val="18"/>
                <w:szCs w:val="18"/>
              </w:rPr>
              <w:t>动资 产</w:t>
            </w:r>
          </w:p>
        </w:tc>
        <w:tc>
          <w:tcPr>
            <w:tcW w:w="73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110"/>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110"/>
              <w:ind w:left="182" w:right="183"/>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90" w:lineRule="exact"/>
              <w:ind w:left="181" w:right="0"/>
              <w:jc w:val="left"/>
              <w:rPr>
                <w:rFonts w:ascii="宋体" w:hAnsi="宋体" w:cs="宋体" w:eastAsia="宋体" w:hint="default"/>
                <w:sz w:val="18"/>
                <w:szCs w:val="18"/>
              </w:rPr>
            </w:pPr>
            <w:r>
              <w:rPr>
                <w:rFonts w:ascii="宋体" w:hAnsi="宋体" w:cs="宋体" w:eastAsia="宋体" w:hint="default"/>
                <w:sz w:val="18"/>
                <w:szCs w:val="18"/>
              </w:rPr>
              <w:t>非流</w:t>
            </w:r>
          </w:p>
          <w:p>
            <w:pPr>
              <w:pStyle w:val="TableParagraph"/>
              <w:spacing w:line="316" w:lineRule="auto" w:before="76"/>
              <w:ind w:left="273" w:right="182" w:hanging="92"/>
              <w:jc w:val="left"/>
              <w:rPr>
                <w:rFonts w:ascii="宋体" w:hAnsi="宋体" w:cs="宋体" w:eastAsia="宋体" w:hint="default"/>
                <w:sz w:val="18"/>
                <w:szCs w:val="18"/>
              </w:rPr>
            </w:pPr>
            <w:r>
              <w:rPr>
                <w:rFonts w:ascii="宋体" w:hAnsi="宋体" w:cs="宋体" w:eastAsia="宋体" w:hint="default"/>
                <w:sz w:val="18"/>
                <w:szCs w:val="18"/>
              </w:rPr>
              <w:t>动负 债</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110"/>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bl>
    <w:p>
      <w:pPr>
        <w:spacing w:before="50"/>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35" w:right="165"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7" w:right="165"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68" w:right="165"/>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bl>
    <w:p>
      <w:pPr>
        <w:spacing w:before="49"/>
        <w:ind w:left="112" w:right="9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90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3d3d3"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group>
          </v:group>
        </w:pict>
      </w:r>
      <w:r>
        <w:rPr>
          <w:rFonts w:ascii="宋体" w:hAnsi="宋体" w:cs="宋体" w:eastAsia="宋体" w:hint="default"/>
          <w:position w:val="-7"/>
          <w:sz w:val="20"/>
          <w:szCs w:val="20"/>
        </w:rPr>
      </w:r>
    </w:p>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对合营企业或</w:t>
            </w:r>
          </w:p>
        </w:tc>
      </w:tr>
      <w:tr>
        <w:trPr>
          <w:trHeight w:val="579" w:hRule="exact"/>
        </w:trPr>
        <w:tc>
          <w:tcPr>
            <w:tcW w:w="13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1" w:lineRule="exact"/>
              <w:ind w:left="229" w:right="0" w:hanging="89"/>
              <w:jc w:val="left"/>
              <w:rPr>
                <w:rFonts w:ascii="宋体" w:hAnsi="宋体" w:cs="宋体" w:eastAsia="宋体" w:hint="default"/>
                <w:sz w:val="18"/>
                <w:szCs w:val="18"/>
              </w:rPr>
            </w:pPr>
            <w:r>
              <w:rPr>
                <w:rFonts w:ascii="宋体" w:hAnsi="宋体" w:cs="宋体" w:eastAsia="宋体" w:hint="default"/>
                <w:sz w:val="18"/>
                <w:szCs w:val="18"/>
              </w:rPr>
              <w:t>合营企业或联</w:t>
            </w:r>
          </w:p>
          <w:p>
            <w:pPr>
              <w:pStyle w:val="TableParagraph"/>
              <w:spacing w:line="240" w:lineRule="auto" w:before="76"/>
              <w:ind w:left="229" w:right="0"/>
              <w:jc w:val="left"/>
              <w:rPr>
                <w:rFonts w:ascii="宋体" w:hAnsi="宋体" w:cs="宋体" w:eastAsia="宋体" w:hint="default"/>
                <w:sz w:val="18"/>
                <w:szCs w:val="18"/>
              </w:rPr>
            </w:pPr>
            <w:r>
              <w:rPr>
                <w:rFonts w:ascii="宋体" w:hAnsi="宋体" w:cs="宋体" w:eastAsia="宋体" w:hint="default"/>
                <w:sz w:val="18"/>
                <w:szCs w:val="18"/>
              </w:rPr>
              <w:t>营企业名称</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1"/>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1"/>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1" w:lineRule="exact"/>
              <w:ind w:left="138" w:right="0"/>
              <w:jc w:val="left"/>
              <w:rPr>
                <w:rFonts w:ascii="宋体" w:hAnsi="宋体" w:cs="宋体" w:eastAsia="宋体" w:hint="default"/>
                <w:sz w:val="18"/>
                <w:szCs w:val="18"/>
              </w:rPr>
            </w:pPr>
            <w:r>
              <w:rPr>
                <w:rFonts w:ascii="宋体" w:hAnsi="宋体" w:cs="宋体" w:eastAsia="宋体" w:hint="default"/>
                <w:sz w:val="18"/>
                <w:szCs w:val="18"/>
              </w:rPr>
              <w:t>联营企业投资</w:t>
            </w:r>
          </w:p>
          <w:p>
            <w:pPr>
              <w:pStyle w:val="TableParagraph"/>
              <w:spacing w:line="240" w:lineRule="auto" w:before="76"/>
              <w:ind w:left="138" w:right="0"/>
              <w:jc w:val="left"/>
              <w:rPr>
                <w:rFonts w:ascii="宋体" w:hAnsi="宋体" w:cs="宋体" w:eastAsia="宋体" w:hint="default"/>
                <w:sz w:val="18"/>
                <w:szCs w:val="18"/>
              </w:rPr>
            </w:pPr>
            <w:r>
              <w:rPr>
                <w:rFonts w:ascii="宋体" w:hAnsi="宋体" w:cs="宋体" w:eastAsia="宋体" w:hint="default"/>
                <w:sz w:val="18"/>
                <w:szCs w:val="18"/>
              </w:rPr>
              <w:t>的会计处理方</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法</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3"/>
        <w:rPr>
          <w:rFonts w:ascii="宋体" w:hAnsi="宋体" w:cs="宋体" w:eastAsia="宋体" w:hint="default"/>
          <w:sz w:val="25"/>
          <w:szCs w:val="25"/>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61" w:right="110" w:hanging="452"/>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12" w:right="451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spacing w:line="273" w:lineRule="auto" w:before="0"/>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本公司从事风险管理的目标是在风险和收益之间取得适当的平衡，将风险对本公司经营业绩的负面影响降</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低到最低水平，使股东及其其他权益投资者的利益最大化。基于该风险管理目标，本公司风险管理的基本</w:t>
      </w:r>
      <w:r>
        <w:rPr>
          <w:rFonts w:ascii="宋体" w:hAnsi="宋体" w:cs="宋体" w:eastAsia="宋体" w:hint="default"/>
          <w:sz w:val="21"/>
          <w:szCs w:val="21"/>
        </w:rPr>
      </w:r>
    </w:p>
    <w:p>
      <w:pPr>
        <w:spacing w:after="0" w:line="273" w:lineRule="auto"/>
        <w:jc w:val="left"/>
        <w:rPr>
          <w:rFonts w:ascii="宋体" w:hAnsi="宋体" w:cs="宋体" w:eastAsia="宋体" w:hint="default"/>
          <w:sz w:val="21"/>
          <w:szCs w:val="21"/>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line="273" w:lineRule="auto" w:before="34"/>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策略是确定和分析本公司所面临的各种风险，建立适当的风险承受底线和进行风险管理，并及时可靠地对</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各种风险进行监督，将风险控制在限定的范围之内。</w:t>
      </w:r>
    </w:p>
    <w:p>
      <w:pPr>
        <w:spacing w:before="7"/>
        <w:ind w:left="112" w:right="0" w:firstLine="0"/>
        <w:jc w:val="left"/>
        <w:rPr>
          <w:rFonts w:ascii="宋体" w:hAnsi="宋体" w:cs="宋体" w:eastAsia="宋体" w:hint="default"/>
          <w:sz w:val="21"/>
          <w:szCs w:val="21"/>
        </w:rPr>
      </w:pPr>
      <w:r>
        <w:rPr>
          <w:rFonts w:ascii="宋体" w:hAnsi="宋体" w:cs="宋体" w:eastAsia="宋体" w:hint="default"/>
          <w:sz w:val="21"/>
          <w:szCs w:val="21"/>
        </w:rPr>
        <w:t>1、市场风险</w:t>
      </w:r>
    </w:p>
    <w:p>
      <w:pPr>
        <w:spacing w:line="273" w:lineRule="auto" w:before="37"/>
        <w:ind w:left="112" w:right="0" w:firstLine="0"/>
        <w:jc w:val="left"/>
        <w:rPr>
          <w:rFonts w:ascii="宋体" w:hAnsi="宋体" w:cs="宋体" w:eastAsia="宋体" w:hint="default"/>
          <w:sz w:val="21"/>
          <w:szCs w:val="21"/>
        </w:rPr>
      </w:pPr>
      <w:r>
        <w:rPr>
          <w:rFonts w:ascii="宋体" w:hAnsi="宋体" w:cs="宋体" w:eastAsia="宋体" w:hint="default"/>
          <w:sz w:val="21"/>
          <w:szCs w:val="21"/>
        </w:rPr>
        <w:t>（1）外汇风险</w:t>
      </w:r>
      <w:r>
        <w:rPr>
          <w:rFonts w:ascii="宋体" w:hAnsi="宋体" w:cs="宋体" w:eastAsia="宋体" w:hint="default"/>
          <w:w w:val="99"/>
          <w:sz w:val="21"/>
          <w:szCs w:val="21"/>
        </w:rPr>
        <w:t> </w:t>
      </w:r>
      <w:r>
        <w:rPr>
          <w:rFonts w:ascii="宋体" w:hAnsi="宋体" w:cs="宋体" w:eastAsia="宋体" w:hint="default"/>
          <w:w w:val="95"/>
          <w:sz w:val="21"/>
          <w:szCs w:val="21"/>
        </w:rPr>
        <w:t>外汇风险指因汇率变动产生损失的风险。本公司承受外汇风险主要与美元有关，本公司、隆泰稀土以美元</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进行部分采购和销售；本公司的其他主要业务活动以人民币计价结算。于2015年12月31日，附注六、41所</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w w:val="95"/>
          <w:sz w:val="21"/>
          <w:szCs w:val="21"/>
        </w:rPr>
        <w:t>列项目为外币外，本公司的资产及负债均为人民币余额。该等外币余额的资产和负债产生的外汇风险可能</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对本公司的经营业绩产生影响。</w:t>
      </w:r>
      <w:r>
        <w:rPr>
          <w:rFonts w:ascii="宋体" w:hAnsi="宋体" w:cs="宋体" w:eastAsia="宋体" w:hint="default"/>
          <w:w w:val="99"/>
          <w:sz w:val="21"/>
          <w:szCs w:val="21"/>
        </w:rPr>
        <w:t> </w:t>
      </w:r>
      <w:r>
        <w:rPr>
          <w:rFonts w:ascii="宋体" w:hAnsi="宋体" w:cs="宋体" w:eastAsia="宋体" w:hint="default"/>
          <w:sz w:val="21"/>
          <w:szCs w:val="21"/>
        </w:rPr>
        <w:t>外汇风险敏感性分析：汇率可能发生的合理变动对当期损益和股东权益的税前影响如下</w:t>
      </w:r>
    </w:p>
    <w:p>
      <w:pPr>
        <w:spacing w:line="240" w:lineRule="auto" w:before="8"/>
        <w:rPr>
          <w:rFonts w:ascii="宋体" w:hAnsi="宋体" w:cs="宋体" w:eastAsia="宋体" w:hint="default"/>
          <w:sz w:val="4"/>
          <w:szCs w:val="4"/>
        </w:rPr>
      </w:pPr>
    </w:p>
    <w:p>
      <w:pPr>
        <w:spacing w:line="1171" w:lineRule="exact"/>
        <w:ind w:left="115"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5466338" cy="744093"/>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34" cstate="print"/>
                    <a:stretch>
                      <a:fillRect/>
                    </a:stretch>
                  </pic:blipFill>
                  <pic:spPr>
                    <a:xfrm>
                      <a:off x="0" y="0"/>
                      <a:ext cx="5466338" cy="744093"/>
                    </a:xfrm>
                    <a:prstGeom prst="rect">
                      <a:avLst/>
                    </a:prstGeom>
                  </pic:spPr>
                </pic:pic>
              </a:graphicData>
            </a:graphic>
          </wp:inline>
        </w:drawing>
      </w:r>
      <w:r>
        <w:rPr>
          <w:rFonts w:ascii="宋体" w:hAnsi="宋体" w:cs="宋体" w:eastAsia="宋体" w:hint="default"/>
          <w:position w:val="-22"/>
          <w:sz w:val="20"/>
          <w:szCs w:val="20"/>
        </w:rPr>
      </w:r>
    </w:p>
    <w:p>
      <w:pPr>
        <w:spacing w:line="273" w:lineRule="auto" w:before="24"/>
        <w:ind w:left="112" w:right="0" w:firstLine="0"/>
        <w:jc w:val="left"/>
        <w:rPr>
          <w:rFonts w:ascii="宋体" w:hAnsi="宋体" w:cs="宋体" w:eastAsia="宋体" w:hint="default"/>
          <w:sz w:val="21"/>
          <w:szCs w:val="21"/>
        </w:rPr>
      </w:pPr>
      <w:r>
        <w:rPr>
          <w:rFonts w:ascii="宋体" w:hAnsi="宋体" w:cs="宋体" w:eastAsia="宋体" w:hint="default"/>
          <w:sz w:val="21"/>
          <w:szCs w:val="21"/>
        </w:rPr>
        <w:t>（2）利率风险－现金流量变动风险</w:t>
      </w:r>
      <w:r>
        <w:rPr>
          <w:rFonts w:ascii="宋体" w:hAnsi="宋体" w:cs="宋体" w:eastAsia="宋体" w:hint="default"/>
          <w:w w:val="99"/>
          <w:sz w:val="21"/>
          <w:szCs w:val="21"/>
        </w:rPr>
        <w:t> </w:t>
      </w:r>
      <w:r>
        <w:rPr>
          <w:rFonts w:ascii="宋体" w:hAnsi="宋体" w:cs="宋体" w:eastAsia="宋体" w:hint="default"/>
          <w:w w:val="95"/>
          <w:sz w:val="21"/>
          <w:szCs w:val="21"/>
        </w:rPr>
        <w:t>本公司因利率变动引起金融工具现金流量变动的风险主要与浮动利率银行借款有关。本公司的政策是保持</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这些借款的浮动利率。</w:t>
      </w:r>
    </w:p>
    <w:p>
      <w:pPr>
        <w:spacing w:line="273" w:lineRule="auto" w:before="7"/>
        <w:ind w:left="112" w:right="4334" w:firstLine="0"/>
        <w:jc w:val="left"/>
        <w:rPr>
          <w:rFonts w:ascii="宋体" w:hAnsi="宋体" w:cs="宋体" w:eastAsia="宋体" w:hint="default"/>
          <w:sz w:val="21"/>
          <w:szCs w:val="21"/>
        </w:rPr>
      </w:pPr>
      <w:r>
        <w:rPr>
          <w:rFonts w:ascii="宋体" w:hAnsi="宋体" w:cs="宋体" w:eastAsia="宋体" w:hint="default"/>
          <w:sz w:val="21"/>
          <w:szCs w:val="21"/>
        </w:rPr>
        <w:t>利率风险敏感性分析：</w:t>
      </w:r>
      <w:r>
        <w:rPr>
          <w:rFonts w:ascii="宋体" w:hAnsi="宋体" w:cs="宋体" w:eastAsia="宋体" w:hint="default"/>
          <w:w w:val="99"/>
          <w:sz w:val="21"/>
          <w:szCs w:val="21"/>
        </w:rPr>
        <w:t> </w:t>
      </w:r>
      <w:r>
        <w:rPr>
          <w:rFonts w:ascii="宋体" w:hAnsi="宋体" w:cs="宋体" w:eastAsia="宋体" w:hint="default"/>
          <w:sz w:val="21"/>
          <w:szCs w:val="21"/>
        </w:rPr>
        <w:t>利率风险敏感性分析基于下述假设：</w:t>
      </w:r>
      <w:r>
        <w:rPr>
          <w:rFonts w:ascii="宋体" w:hAnsi="宋体" w:cs="宋体" w:eastAsia="宋体" w:hint="default"/>
          <w:w w:val="99"/>
          <w:sz w:val="21"/>
          <w:szCs w:val="21"/>
        </w:rPr>
        <w:t> </w:t>
      </w:r>
      <w:r>
        <w:rPr>
          <w:rFonts w:ascii="宋体" w:hAnsi="宋体" w:cs="宋体" w:eastAsia="宋体" w:hint="default"/>
          <w:w w:val="95"/>
          <w:sz w:val="21"/>
          <w:szCs w:val="21"/>
        </w:rPr>
        <w:t>市场利率变化影响可变利率金融工具的利息收入或费用；</w:t>
      </w:r>
      <w:r>
        <w:rPr>
          <w:rFonts w:ascii="宋体" w:hAnsi="宋体" w:cs="宋体" w:eastAsia="宋体" w:hint="default"/>
          <w:sz w:val="21"/>
          <w:szCs w:val="21"/>
        </w:rPr>
      </w:r>
    </w:p>
    <w:p>
      <w:pPr>
        <w:spacing w:line="273" w:lineRule="auto" w:before="7"/>
        <w:ind w:left="112" w:right="0" w:firstLine="0"/>
        <w:jc w:val="left"/>
        <w:rPr>
          <w:rFonts w:ascii="宋体" w:hAnsi="宋体" w:cs="宋体" w:eastAsia="宋体" w:hint="default"/>
          <w:sz w:val="21"/>
          <w:szCs w:val="21"/>
        </w:rPr>
      </w:pPr>
      <w:r>
        <w:rPr>
          <w:rFonts w:ascii="宋体" w:hAnsi="宋体" w:cs="宋体" w:eastAsia="宋体" w:hint="default"/>
          <w:sz w:val="21"/>
          <w:szCs w:val="21"/>
        </w:rPr>
        <w:t>对于以公允价值计量的固定利率金融工具，市场利率变化仅仅影响其利息收入或费用；</w:t>
      </w:r>
      <w:r>
        <w:rPr>
          <w:rFonts w:ascii="宋体" w:hAnsi="宋体" w:cs="宋体" w:eastAsia="宋体" w:hint="default"/>
          <w:w w:val="99"/>
          <w:sz w:val="21"/>
          <w:szCs w:val="21"/>
        </w:rPr>
        <w:t> </w:t>
      </w:r>
      <w:r>
        <w:rPr>
          <w:rFonts w:ascii="宋体" w:hAnsi="宋体" w:cs="宋体" w:eastAsia="宋体" w:hint="default"/>
          <w:w w:val="95"/>
          <w:sz w:val="21"/>
          <w:szCs w:val="21"/>
        </w:rPr>
        <w:t>对于指定为套期工具的衍生金融工具，市场利率变化影响其公允价值，并且所有利率套期预计都是高度有  </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效的；</w:t>
      </w:r>
      <w:r>
        <w:rPr>
          <w:rFonts w:ascii="宋体" w:hAnsi="宋体" w:cs="宋体" w:eastAsia="宋体" w:hint="default"/>
          <w:w w:val="99"/>
          <w:sz w:val="21"/>
          <w:szCs w:val="21"/>
        </w:rPr>
        <w:t> </w:t>
      </w:r>
      <w:r>
        <w:rPr>
          <w:rFonts w:ascii="宋体" w:hAnsi="宋体" w:cs="宋体" w:eastAsia="宋体" w:hint="default"/>
          <w:w w:val="95"/>
          <w:sz w:val="21"/>
          <w:szCs w:val="21"/>
        </w:rPr>
        <w:t>以资产负债表日市场利率采用现金流量折现法计算衍生金融工具及其他金融资产和负债的公允价值变化。</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w w:val="95"/>
          <w:sz w:val="21"/>
          <w:szCs w:val="21"/>
        </w:rPr>
        <w:t>在上述假设的基础上，在其他变量不变的情况下，利率可能发生的合理变动对当期损益和股东权益的税前</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4"/>
        <w:ind w:left="0" w:right="136" w:firstLine="0"/>
        <w:jc w:val="right"/>
        <w:rPr>
          <w:rFonts w:ascii="宋体" w:hAnsi="宋体" w:cs="宋体" w:eastAsia="宋体" w:hint="default"/>
          <w:sz w:val="21"/>
          <w:szCs w:val="21"/>
        </w:rPr>
      </w:pPr>
      <w:r>
        <w:rPr/>
        <w:pict>
          <v:shape style="position:absolute;margin-left:56.759998pt;margin-top:-73.445816pt;width:433.08pt;height:87.48pt;mso-position-horizontal-relative:page;mso-position-vertical-relative:paragraph;z-index:1936" type="#_x0000_t75" stroked="false">
            <v:imagedata r:id="rId35" o:title=""/>
          </v:shape>
        </w:pict>
      </w:r>
      <w:r>
        <w:rPr>
          <w:rFonts w:ascii="宋体" w:hAnsi="宋体" w:cs="宋体" w:eastAsia="宋体" w:hint="default"/>
          <w:spacing w:val="5"/>
          <w:w w:val="95"/>
          <w:sz w:val="21"/>
          <w:szCs w:val="21"/>
        </w:rPr>
        <w:t>2、信用风</w:t>
      </w:r>
      <w:r>
        <w:rPr>
          <w:rFonts w:ascii="宋体" w:hAnsi="宋体" w:cs="宋体" w:eastAsia="宋体" w:hint="default"/>
          <w:spacing w:val="5"/>
          <w:sz w:val="21"/>
          <w:szCs w:val="21"/>
        </w:rPr>
      </w:r>
    </w:p>
    <w:p>
      <w:pPr>
        <w:spacing w:before="49"/>
        <w:ind w:left="112" w:right="0" w:firstLine="0"/>
        <w:jc w:val="left"/>
        <w:rPr>
          <w:rFonts w:ascii="宋体" w:hAnsi="宋体" w:cs="宋体" w:eastAsia="宋体" w:hint="default"/>
          <w:sz w:val="21"/>
          <w:szCs w:val="21"/>
        </w:rPr>
      </w:pPr>
      <w:r>
        <w:rPr>
          <w:rFonts w:ascii="宋体" w:hAnsi="宋体" w:cs="宋体" w:eastAsia="宋体" w:hint="default"/>
          <w:w w:val="99"/>
          <w:sz w:val="21"/>
          <w:szCs w:val="21"/>
        </w:rPr>
        <w:t>险</w:t>
      </w:r>
      <w:r>
        <w:rPr>
          <w:rFonts w:ascii="宋体" w:hAnsi="宋体" w:cs="宋体" w:eastAsia="宋体" w:hint="default"/>
          <w:sz w:val="21"/>
          <w:szCs w:val="21"/>
        </w:rPr>
      </w:r>
    </w:p>
    <w:p>
      <w:pPr>
        <w:spacing w:line="273" w:lineRule="auto" w:before="37"/>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2015年12月31日，可能引起本公司财务损失的最大信用风险敞口主要来自于合同另一方未能履行义务而导</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致本公司金融资产产生的损失以及本公司承担的财务担保，具体包括：</w:t>
      </w:r>
      <w:r>
        <w:rPr>
          <w:rFonts w:ascii="宋体" w:hAnsi="宋体" w:cs="宋体" w:eastAsia="宋体" w:hint="default"/>
          <w:w w:val="99"/>
          <w:sz w:val="21"/>
          <w:szCs w:val="21"/>
        </w:rPr>
        <w:t> </w:t>
      </w:r>
      <w:r>
        <w:rPr>
          <w:rFonts w:ascii="宋体" w:hAnsi="宋体" w:cs="宋体" w:eastAsia="宋体" w:hint="default"/>
          <w:w w:val="95"/>
          <w:sz w:val="21"/>
          <w:szCs w:val="21"/>
        </w:rPr>
        <w:t>合并资产负债表中已确认的金融资产的账面金额；对于以公允价值计量的金融工具而言，账面价值反映了</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其风险敞口，但并非最大风险敞口，其最大风险敞口将随着未来公允价值的变化而改变。</w:t>
      </w:r>
      <w:r>
        <w:rPr>
          <w:rFonts w:ascii="宋体" w:hAnsi="宋体" w:cs="宋体" w:eastAsia="宋体" w:hint="default"/>
          <w:w w:val="99"/>
          <w:sz w:val="21"/>
          <w:szCs w:val="21"/>
        </w:rPr>
        <w:t> </w:t>
      </w:r>
      <w:r>
        <w:rPr>
          <w:rFonts w:ascii="宋体" w:hAnsi="宋体" w:cs="宋体" w:eastAsia="宋体" w:hint="default"/>
          <w:w w:val="95"/>
          <w:sz w:val="21"/>
          <w:szCs w:val="21"/>
        </w:rPr>
        <w:t>为降低信用风险，本公司制定了相关的内部控制政策负责确定信用额度、进行信用审批，并执行其他监控</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程序以确保采取必要的措施回收过期债权。此外，本公司于每个资产负债表日审核每一单项应收款的回收</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情况，以确保就无法回收的款项计提充分的坏账准备。因此，本公司管理层认为本公司所承担的信用风险</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已经大为降低。</w:t>
      </w:r>
    </w:p>
    <w:p>
      <w:pPr>
        <w:spacing w:before="7"/>
        <w:ind w:left="112" w:right="0" w:firstLine="0"/>
        <w:jc w:val="left"/>
        <w:rPr>
          <w:rFonts w:ascii="宋体" w:hAnsi="宋体" w:cs="宋体" w:eastAsia="宋体" w:hint="default"/>
          <w:sz w:val="21"/>
          <w:szCs w:val="21"/>
        </w:rPr>
      </w:pPr>
      <w:r>
        <w:rPr>
          <w:rFonts w:ascii="宋体" w:hAnsi="宋体" w:cs="宋体" w:eastAsia="宋体" w:hint="default"/>
          <w:sz w:val="21"/>
          <w:szCs w:val="21"/>
        </w:rPr>
        <w:t>本公司的流动资金存放在信用评级较高的银行，故流动资金的信用风险较低。</w:t>
      </w:r>
    </w:p>
    <w:p>
      <w:pPr>
        <w:spacing w:line="273" w:lineRule="auto" w:before="37"/>
        <w:ind w:left="112" w:right="5869" w:firstLine="0"/>
        <w:jc w:val="left"/>
        <w:rPr>
          <w:rFonts w:ascii="宋体" w:hAnsi="宋体" w:cs="宋体" w:eastAsia="宋体" w:hint="default"/>
          <w:sz w:val="21"/>
          <w:szCs w:val="21"/>
        </w:rPr>
      </w:pPr>
      <w:r>
        <w:rPr>
          <w:rFonts w:ascii="宋体" w:hAnsi="宋体" w:cs="宋体" w:eastAsia="宋体" w:hint="default"/>
          <w:sz w:val="21"/>
          <w:szCs w:val="21"/>
        </w:rPr>
        <w:t>（1）已逾期未减值的金融资产的账龄分析</w:t>
      </w:r>
      <w:r>
        <w:rPr>
          <w:rFonts w:ascii="宋体" w:hAnsi="宋体" w:cs="宋体" w:eastAsia="宋体" w:hint="default"/>
          <w:w w:val="99"/>
          <w:sz w:val="21"/>
          <w:szCs w:val="21"/>
        </w:rPr>
        <w:t> </w:t>
      </w:r>
      <w:r>
        <w:rPr>
          <w:rFonts w:ascii="宋体" w:hAnsi="宋体" w:cs="宋体" w:eastAsia="宋体" w:hint="default"/>
          <w:sz w:val="21"/>
          <w:szCs w:val="21"/>
        </w:rPr>
        <w:t>本公司无已逾期未计提减值的金融资产。</w:t>
      </w:r>
    </w:p>
    <w:p>
      <w:pPr>
        <w:spacing w:before="7"/>
        <w:ind w:left="112" w:right="0" w:firstLine="0"/>
        <w:jc w:val="left"/>
        <w:rPr>
          <w:rFonts w:ascii="宋体" w:hAnsi="宋体" w:cs="宋体" w:eastAsia="宋体" w:hint="default"/>
          <w:sz w:val="21"/>
          <w:szCs w:val="21"/>
        </w:rPr>
      </w:pPr>
      <w:r>
        <w:rPr>
          <w:rFonts w:ascii="宋体" w:hAnsi="宋体" w:cs="宋体" w:eastAsia="宋体" w:hint="default"/>
          <w:sz w:val="21"/>
          <w:szCs w:val="21"/>
        </w:rPr>
        <w:t>（2）已发生单项减值的金融资产的分析，包括判断该金融资产发生减值所考虑的因素。</w:t>
      </w:r>
    </w:p>
    <w:p>
      <w:pPr>
        <w:spacing w:after="0"/>
        <w:jc w:val="left"/>
        <w:rPr>
          <w:rFonts w:ascii="宋体" w:hAnsi="宋体" w:cs="宋体" w:eastAsia="宋体" w:hint="default"/>
          <w:sz w:val="21"/>
          <w:szCs w:val="21"/>
        </w:rPr>
        <w:sectPr>
          <w:pgSz w:w="11910" w:h="16840"/>
          <w:pgMar w:header="907" w:footer="1016" w:top="1100" w:bottom="1200" w:left="1020" w:right="1000"/>
        </w:sectPr>
      </w:pPr>
    </w:p>
    <w:p>
      <w:pPr>
        <w:spacing w:line="240" w:lineRule="auto" w:before="10"/>
        <w:rPr>
          <w:rFonts w:ascii="宋体" w:hAnsi="宋体" w:cs="宋体" w:eastAsia="宋体" w:hint="default"/>
          <w:sz w:val="21"/>
          <w:szCs w:val="21"/>
        </w:rPr>
      </w:pPr>
    </w:p>
    <w:p>
      <w:pPr>
        <w:spacing w:line="273" w:lineRule="auto" w:before="34"/>
        <w:ind w:left="112" w:right="5744" w:firstLine="0"/>
        <w:jc w:val="left"/>
        <w:rPr>
          <w:rFonts w:ascii="宋体" w:hAnsi="宋体" w:cs="宋体" w:eastAsia="宋体" w:hint="default"/>
          <w:sz w:val="21"/>
          <w:szCs w:val="21"/>
        </w:rPr>
      </w:pPr>
      <w:r>
        <w:rPr>
          <w:rFonts w:ascii="宋体" w:hAnsi="宋体" w:cs="宋体" w:eastAsia="宋体" w:hint="default"/>
          <w:sz w:val="21"/>
          <w:szCs w:val="21"/>
        </w:rPr>
        <w:t>本公司无单项确定已发生减值的应收账款。</w:t>
      </w:r>
      <w:r>
        <w:rPr>
          <w:rFonts w:ascii="宋体" w:hAnsi="宋体" w:cs="宋体" w:eastAsia="宋体" w:hint="default"/>
          <w:w w:val="99"/>
          <w:sz w:val="21"/>
          <w:szCs w:val="21"/>
        </w:rPr>
        <w:t> </w:t>
      </w:r>
      <w:r>
        <w:rPr>
          <w:rFonts w:ascii="宋体" w:hAnsi="宋体" w:cs="宋体" w:eastAsia="宋体" w:hint="default"/>
          <w:sz w:val="21"/>
          <w:szCs w:val="21"/>
        </w:rPr>
        <w:t>3、流动风险</w:t>
      </w:r>
    </w:p>
    <w:p>
      <w:pPr>
        <w:spacing w:line="273" w:lineRule="auto" w:before="7"/>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管理流动风险时，本公司保持管理层认为充分的现金及现金等价物并对其进行监控，以满足本公司经营需</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要，并降低现金流量波动的影响。本公司管理层对银行借款的使用情况进行监控并确保遵守借款协议。</w:t>
      </w:r>
      <w:r>
        <w:rPr>
          <w:rFonts w:ascii="宋体" w:hAnsi="宋体" w:cs="宋体" w:eastAsia="宋体" w:hint="default"/>
          <w:w w:val="99"/>
          <w:sz w:val="21"/>
          <w:szCs w:val="21"/>
        </w:rPr>
        <w:t> </w:t>
      </w:r>
      <w:r>
        <w:rPr>
          <w:rFonts w:ascii="宋体" w:hAnsi="宋体" w:cs="宋体" w:eastAsia="宋体" w:hint="default"/>
          <w:sz w:val="21"/>
          <w:szCs w:val="21"/>
        </w:rPr>
        <w:t>本公司持有的金融资产、金融负债按未折现剩余合同义务的到期期限分析如下：</w:t>
      </w:r>
    </w:p>
    <w:p>
      <w:pPr>
        <w:spacing w:line="240" w:lineRule="auto" w:before="1"/>
        <w:rPr>
          <w:rFonts w:ascii="宋体" w:hAnsi="宋体" w:cs="宋体" w:eastAsia="宋体" w:hint="default"/>
          <w:sz w:val="8"/>
          <w:szCs w:val="8"/>
        </w:rPr>
      </w:pPr>
    </w:p>
    <w:p>
      <w:pPr>
        <w:spacing w:line="3886" w:lineRule="exact"/>
        <w:ind w:left="115"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5461529" cy="2468118"/>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36" cstate="print"/>
                    <a:stretch>
                      <a:fillRect/>
                    </a:stretch>
                  </pic:blipFill>
                  <pic:spPr>
                    <a:xfrm>
                      <a:off x="0" y="0"/>
                      <a:ext cx="5461529" cy="2468118"/>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ind w:right="0"/>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62" w:right="139"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62" w:right="139"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102"/>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12" w:right="70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1" w:right="160"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2" w:right="162" w:hanging="92"/>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bl>
    <w:p>
      <w:pPr>
        <w:spacing w:line="360" w:lineRule="auto" w:before="50"/>
        <w:ind w:left="112" w:right="733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spacing w:line="240" w:lineRule="auto" w:before="12"/>
        <w:rPr>
          <w:rFonts w:ascii="宋体" w:hAnsi="宋体" w:cs="宋体" w:eastAsia="宋体" w:hint="default"/>
          <w:sz w:val="19"/>
          <w:szCs w:val="19"/>
        </w:rPr>
      </w:pPr>
    </w:p>
    <w:p>
      <w:pPr>
        <w:spacing w:line="547" w:lineRule="auto" w:before="0"/>
        <w:ind w:left="112" w:right="52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在子公司中的权益</w:t>
      </w:r>
      <w:r>
        <w:rPr>
          <w:rFonts w:ascii="宋体" w:hAnsi="宋体" w:cs="宋体" w:eastAsia="宋体" w:hint="default"/>
          <w:imprint/>
          <w:sz w:val="18"/>
          <w:szCs w:val="18"/>
        </w:rPr>
        <w:t>。</w:t>
      </w:r>
      <w:r>
        <w:rPr>
          <w:rFonts w:ascii="宋体" w:hAnsi="宋体" w:cs="宋体" w:eastAsia="宋体" w:hint="default"/>
          <w:shadow w:val="0"/>
          <w:sz w:val="18"/>
          <w:szCs w:val="18"/>
        </w:rPr>
      </w:r>
      <w:r>
        <w:rPr>
          <w:rFonts w:ascii="宋体" w:hAnsi="宋体" w:cs="宋体" w:eastAsia="宋体" w:hint="default"/>
          <w:shadow w:val="0"/>
          <w:sz w:val="18"/>
          <w:szCs w:val="18"/>
        </w:rPr>
        <w:t> </w:t>
      </w:r>
      <w:r>
        <w:rPr>
          <w:rFonts w:ascii="Times New Roman" w:hAnsi="Times New Roman" w:cs="Times New Roman" w:eastAsia="Times New Roman" w:hint="default"/>
          <w:b/>
          <w:bCs/>
          <w:shadow w:val="0"/>
          <w:sz w:val="21"/>
          <w:szCs w:val="21"/>
        </w:rPr>
        <w:t>3</w:t>
      </w:r>
      <w:r>
        <w:rPr>
          <w:rFonts w:ascii="宋体" w:hAnsi="宋体" w:cs="宋体" w:eastAsia="宋体" w:hint="default"/>
          <w:b/>
          <w:bCs/>
          <w:shadow w:val="0"/>
          <w:sz w:val="21"/>
          <w:szCs w:val="21"/>
        </w:rPr>
        <w:t>、本企业合营和联营企业情况</w:t>
      </w:r>
      <w:r>
        <w:rPr>
          <w:rFonts w:ascii="宋体" w:hAnsi="宋体" w:cs="宋体" w:eastAsia="宋体" w:hint="default"/>
          <w:shadow w:val="0"/>
          <w:sz w:val="21"/>
          <w:szCs w:val="21"/>
        </w:rPr>
      </w:r>
    </w:p>
    <w:p>
      <w:pPr>
        <w:spacing w:line="357" w:lineRule="auto" w:before="49"/>
        <w:ind w:left="112" w:right="12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3d3d3"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5"/>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before="64"/>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108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副总经理兼董事会秘书</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赵颖坤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胡卫红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陈炬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戴卫星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齐跃进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史志民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章大林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刘钊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日已离职</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8" w:right="112" w:hanging="38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8" w:right="113" w:hanging="38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9" w:right="113" w:hanging="38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7" w:right="112"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111"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38" w:right="112" w:hanging="2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13" w:right="111" w:hanging="3"/>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9" w:lineRule="auto"/>
        <w:jc w:val="center"/>
        <w:rPr>
          <w:rFonts w:ascii="宋体" w:hAnsi="宋体" w:cs="宋体" w:eastAsia="宋体" w:hint="default"/>
          <w:sz w:val="18"/>
          <w:szCs w:val="18"/>
        </w:rPr>
        <w:sectPr>
          <w:pgSz w:w="11910" w:h="16840"/>
          <w:pgMar w:header="907" w:footer="1016" w:top="1100" w:bottom="1200" w:left="1020" w:right="1020"/>
        </w:sectPr>
      </w:pPr>
    </w:p>
    <w:p>
      <w:pPr>
        <w:spacing w:line="338" w:lineRule="auto" w:before="50"/>
        <w:ind w:left="11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1020"/>
          <w:cols w:num="2" w:equalWidth="0">
            <w:col w:w="2504" w:space="6326"/>
            <w:col w:w="1040"/>
          </w:cols>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361"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本期确认的托</w:t>
            </w:r>
          </w:p>
        </w:tc>
      </w:tr>
      <w:tr>
        <w:trPr>
          <w:trHeight w:val="353"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定价依据</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3"/>
        <w:rPr>
          <w:rFonts w:ascii="宋体" w:hAnsi="宋体" w:cs="宋体" w:eastAsia="宋体" w:hint="default"/>
          <w:sz w:val="25"/>
          <w:szCs w:val="25"/>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1,038,700.00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1,138,400.00</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0" w:right="0"/>
              <w:jc w:val="left"/>
              <w:rPr>
                <w:rFonts w:ascii="Times New Roman" w:hAnsi="Times New Roman" w:cs="Times New Roman" w:eastAsia="Times New Roman" w:hint="default"/>
                <w:sz w:val="18"/>
                <w:szCs w:val="18"/>
              </w:rPr>
            </w:pPr>
            <w:r>
              <w:rPr>
                <w:rFonts w:ascii="Times New Roman"/>
                <w:sz w:val="18"/>
              </w:rPr>
              <w:t>13,300.00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1" w:right="0"/>
              <w:jc w:val="left"/>
              <w:rPr>
                <w:rFonts w:ascii="Times New Roman" w:hAnsi="Times New Roman" w:cs="Times New Roman" w:eastAsia="Times New Roman" w:hint="default"/>
                <w:sz w:val="18"/>
                <w:szCs w:val="18"/>
              </w:rPr>
            </w:pPr>
            <w:r>
              <w:rPr>
                <w:rFonts w:ascii="Times New Roman"/>
                <w:sz w:val="18"/>
              </w:rPr>
              <w:t>2,660.00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齐跃进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60.00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齐跃进</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12" w:right="77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487" w:lineRule="auto" w:before="0"/>
        <w:ind w:left="112" w:right="73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7"/>
        <w:ind w:left="11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68"/>
        <w:ind w:left="592" w:right="0"/>
        <w:jc w:val="left"/>
      </w:pPr>
      <w:r>
        <w:rPr/>
        <w:t>截止2015年12月31日，本公司不存在应披露的承诺事项。</w:t>
      </w:r>
    </w:p>
    <w:p>
      <w:pPr>
        <w:spacing w:line="240" w:lineRule="auto" w:before="7"/>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0" w:firstLine="480"/>
        <w:jc w:val="left"/>
      </w:pPr>
      <w:r>
        <w:rPr>
          <w:spacing w:val="12"/>
        </w:rPr>
        <w:t>截至</w:t>
      </w:r>
      <w:r>
        <w:rPr>
          <w:spacing w:val="-98"/>
        </w:rPr>
        <w:t> </w:t>
      </w:r>
      <w:r>
        <w:rPr/>
        <w:t>2015</w:t>
      </w:r>
      <w:r>
        <w:rPr>
          <w:spacing w:val="-95"/>
        </w:rPr>
        <w:t> </w:t>
      </w:r>
      <w:r>
        <w:rPr/>
        <w:t>年</w:t>
      </w:r>
      <w:r>
        <w:rPr>
          <w:spacing w:val="-98"/>
        </w:rPr>
        <w:t> </w:t>
      </w:r>
      <w:r>
        <w:rPr/>
        <w:t>12</w:t>
      </w:r>
      <w:r>
        <w:rPr>
          <w:spacing w:val="-95"/>
        </w:rPr>
        <w:t> </w:t>
      </w:r>
      <w:r>
        <w:rPr/>
        <w:t>月</w:t>
      </w:r>
      <w:r>
        <w:rPr>
          <w:spacing w:val="-95"/>
        </w:rPr>
        <w:t> </w:t>
      </w:r>
      <w:r>
        <w:rPr/>
        <w:t>31</w:t>
      </w:r>
      <w:r>
        <w:rPr>
          <w:spacing w:val="-98"/>
        </w:rPr>
        <w:t> </w:t>
      </w:r>
      <w:r>
        <w:rPr>
          <w:spacing w:val="12"/>
        </w:rPr>
        <w:t>日，</w:t>
      </w:r>
      <w:r>
        <w:rPr>
          <w:spacing w:val="-98"/>
        </w:rPr>
        <w:t> </w:t>
      </w:r>
      <w:r>
        <w:rPr>
          <w:spacing w:val="21"/>
        </w:rPr>
        <w:t>本公司以未到期承兑汇票背书给第三方，</w:t>
      </w:r>
      <w:r>
        <w:rPr>
          <w:spacing w:val="-98"/>
        </w:rPr>
        <w:t> </w:t>
      </w:r>
      <w:r>
        <w:rPr>
          <w:spacing w:val="19"/>
        </w:rPr>
        <w:t>金额共计人民币</w:t>
      </w:r>
      <w:r>
        <w:rPr/>
        <w:t> 11,414,821.84元。</w:t>
      </w:r>
    </w:p>
    <w:p>
      <w:pPr>
        <w:spacing w:line="240" w:lineRule="auto" w:before="7"/>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624" w:lineRule="exact" w:before="55"/>
        <w:ind w:left="112" w:right="667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0"/>
        <w:rPr>
          <w:rFonts w:ascii="宋体" w:hAnsi="宋体" w:cs="宋体" w:eastAsia="宋体" w:hint="default"/>
          <w:b/>
          <w:bCs/>
          <w:sz w:val="17"/>
          <w:szCs w:val="17"/>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16,344,463.80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16,344,463.80</w:t>
            </w:r>
          </w:p>
        </w:tc>
      </w:tr>
    </w:tbl>
    <w:p>
      <w:pPr>
        <w:spacing w:after="0" w:line="240" w:lineRule="auto"/>
        <w:jc w:val="right"/>
        <w:rPr>
          <w:rFonts w:ascii="Times New Roman" w:hAnsi="Times New Roman" w:cs="Times New Roman" w:eastAsia="Times New Roman" w:hint="default"/>
          <w:sz w:val="18"/>
          <w:szCs w:val="18"/>
        </w:rPr>
        <w:sectPr>
          <w:footerReference w:type="default" r:id="rId37"/>
          <w:pgSz w:w="11910" w:h="16840"/>
          <w:pgMar w:footer="1016" w:header="907" w:top="1100" w:bottom="1200" w:left="1020" w:right="1020"/>
          <w:pgNumType w:start="140"/>
        </w:sectPr>
      </w:pPr>
    </w:p>
    <w:p>
      <w:pPr>
        <w:spacing w:line="240" w:lineRule="auto" w:before="10"/>
        <w:rPr>
          <w:rFonts w:ascii="宋体" w:hAnsi="宋体" w:cs="宋体" w:eastAsia="宋体" w:hint="default"/>
          <w:sz w:val="21"/>
          <w:szCs w:val="21"/>
        </w:rPr>
      </w:pPr>
    </w:p>
    <w:p>
      <w:pPr>
        <w:spacing w:before="34"/>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313" w:lineRule="exact"/>
        <w:ind w:left="0" w:right="192"/>
        <w:jc w:val="right"/>
      </w:pPr>
      <w:r>
        <w:rPr>
          <w:spacing w:val="-2"/>
        </w:rPr>
        <w:t>2016年4月21日，本公司第三届董事会第十一次会议通过了2015年度利润分配预案，公司</w:t>
      </w:r>
    </w:p>
    <w:p>
      <w:pPr>
        <w:pStyle w:val="BodyText"/>
        <w:spacing w:line="312" w:lineRule="exact"/>
        <w:ind w:right="0"/>
        <w:jc w:val="both"/>
      </w:pPr>
      <w:r>
        <w:rPr/>
        <w:t>2015</w:t>
      </w:r>
      <w:r>
        <w:rPr>
          <w:spacing w:val="-93"/>
        </w:rPr>
        <w:t> </w:t>
      </w:r>
      <w:r>
        <w:rPr>
          <w:spacing w:val="20"/>
        </w:rPr>
        <w:t>年度利润分配采取发放现金股利和转增股本相结合的方式，</w:t>
      </w:r>
      <w:r>
        <w:rPr>
          <w:spacing w:val="-93"/>
        </w:rPr>
        <w:t> </w:t>
      </w:r>
      <w:r>
        <w:rPr>
          <w:spacing w:val="18"/>
        </w:rPr>
        <w:t>拟以目前公司总股本</w:t>
      </w:r>
    </w:p>
    <w:p>
      <w:pPr>
        <w:pStyle w:val="BodyText"/>
        <w:spacing w:line="312" w:lineRule="exact"/>
        <w:ind w:right="0"/>
        <w:jc w:val="both"/>
      </w:pPr>
      <w:r>
        <w:rPr/>
        <w:t>116,746,17</w:t>
      </w:r>
      <w:r>
        <w:rPr>
          <w:spacing w:val="4"/>
        </w:rPr>
        <w:t>0股为基数，向全</w:t>
      </w:r>
      <w:r>
        <w:rPr>
          <w:spacing w:val="2"/>
        </w:rPr>
        <w:t>体</w:t>
      </w:r>
      <w:r>
        <w:rPr>
          <w:spacing w:val="4"/>
        </w:rPr>
        <w:t>股东每</w:t>
      </w:r>
      <w:r>
        <w:rPr/>
        <w:t>1</w:t>
      </w:r>
      <w:r>
        <w:rPr>
          <w:spacing w:val="4"/>
        </w:rPr>
        <w:t>0股派发现金股利</w:t>
      </w:r>
      <w:r>
        <w:rPr/>
        <w:t>1.</w:t>
      </w:r>
      <w:r>
        <w:rPr>
          <w:spacing w:val="4"/>
        </w:rPr>
        <w:t>4元（含税</w:t>
      </w:r>
      <w:r>
        <w:rPr>
          <w:spacing w:val="-118"/>
        </w:rPr>
        <w:t>）</w:t>
      </w:r>
      <w:r>
        <w:rPr>
          <w:spacing w:val="4"/>
        </w:rPr>
        <w:t>，共计分配现金</w:t>
      </w:r>
      <w:r>
        <w:rPr>
          <w:spacing w:val="2"/>
        </w:rPr>
        <w:t>股</w:t>
      </w:r>
      <w:r>
        <w:rPr/>
        <w:t>利</w:t>
      </w:r>
    </w:p>
    <w:p>
      <w:pPr>
        <w:pStyle w:val="BodyText"/>
        <w:spacing w:line="312" w:lineRule="exact" w:before="29"/>
        <w:ind w:right="111"/>
        <w:jc w:val="both"/>
      </w:pPr>
      <w:r>
        <w:rPr>
          <w:spacing w:val="-2"/>
        </w:rPr>
        <w:t>16,344,463.80元，剩余4,285,750.60元未分配利润结转以后年度分配；同时以目前公司总股</w:t>
      </w:r>
      <w:r>
        <w:rPr>
          <w:spacing w:val="-96"/>
        </w:rPr>
        <w:t> </w:t>
      </w:r>
      <w:r>
        <w:rPr>
          <w:spacing w:val="-96"/>
        </w:rPr>
      </w:r>
      <w:r>
        <w:rPr/>
        <w:t>本116,746,170股为基数向全体股东每10股转增10股，合计转增股本116,746,170股，转增股</w:t>
      </w:r>
      <w:r>
        <w:rPr>
          <w:spacing w:val="-89"/>
        </w:rPr>
        <w:t> </w:t>
      </w:r>
      <w:r>
        <w:rPr>
          <w:spacing w:val="-89"/>
        </w:rPr>
      </w:r>
      <w:r>
        <w:rPr/>
        <w:t>本后公司总股本变更为233,492,340股；本年度不送红股。该预案待2015年度股东大会审议。</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r>
        <w:rPr/>
        <w:t>十六、其他重要事项</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0" w:right="19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spacing w:before="34"/>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spacing w:before="34"/>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9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归属于母公司</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所有者的终止</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经营利润</w:t>
            </w:r>
          </w:p>
        </w:tc>
      </w:tr>
    </w:tbl>
    <w:p>
      <w:pPr>
        <w:spacing w:before="50"/>
        <w:ind w:left="112" w:right="9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940"/>
        </w:sectPr>
      </w:pPr>
    </w:p>
    <w:p>
      <w:pPr>
        <w:spacing w:line="240" w:lineRule="auto" w:before="10"/>
        <w:rPr>
          <w:rFonts w:ascii="宋体" w:hAnsi="宋体" w:cs="宋体" w:eastAsia="宋体" w:hint="default"/>
          <w:sz w:val="21"/>
          <w:szCs w:val="21"/>
        </w:rPr>
      </w:pPr>
    </w:p>
    <w:p>
      <w:pPr>
        <w:spacing w:before="34"/>
        <w:ind w:left="11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96" w:firstLine="472"/>
        <w:jc w:val="left"/>
      </w:pPr>
      <w:r>
        <w:rPr/>
        <w:t>根据本公司的内部组织结构、管理要求及内部报告制度，本公司的经营业务划分为1个经 </w:t>
      </w:r>
      <w:r>
        <w:rPr>
          <w:spacing w:val="-2"/>
        </w:rPr>
        <w:t>营分部，本公司的管理层定期评价这个分部的经营成果，以决定向其分配资源及评价其业绩。</w:t>
      </w:r>
      <w:r>
        <w:rPr/>
        <w:t> 本公司报告分部提供的主要产品及劳务分别为稀土锌铝合金镀层钢丝、稀土锌铝合金镀层钢</w:t>
      </w:r>
      <w:r>
        <w:rPr>
          <w:spacing w:val="-89"/>
        </w:rPr>
        <w:t> </w:t>
      </w:r>
      <w:r>
        <w:rPr>
          <w:spacing w:val="-89"/>
        </w:rPr>
      </w:r>
      <w:r>
        <w:rPr/>
        <w:t>绞线及PC钢绞线。</w:t>
      </w:r>
    </w:p>
    <w:p>
      <w:pPr>
        <w:pStyle w:val="BodyText"/>
        <w:spacing w:line="312" w:lineRule="exact"/>
        <w:ind w:right="98" w:firstLine="472"/>
        <w:jc w:val="left"/>
      </w:pPr>
      <w:r>
        <w:rPr/>
        <w:t>分部报告信息根据各分部向管理层报告时采用的会计政策及计量标准披露，这些计量基 础与编制财务报表时的会计与计量基础保持一致。</w:t>
      </w:r>
    </w:p>
    <w:p>
      <w:pPr>
        <w:spacing w:line="240" w:lineRule="auto" w:before="4"/>
        <w:rPr>
          <w:rFonts w:ascii="宋体" w:hAnsi="宋体" w:cs="宋体" w:eastAsia="宋体" w:hint="default"/>
          <w:sz w:val="22"/>
          <w:szCs w:val="22"/>
        </w:rPr>
      </w:pPr>
    </w:p>
    <w:p>
      <w:pPr>
        <w:spacing w:before="0"/>
        <w:ind w:left="112"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隆泰新材</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215,927,528.05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202,616,177.54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262,008,168.99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207,939,686.89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spacing w:before="34"/>
        <w:ind w:left="112"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487" w:lineRule="auto" w:before="0"/>
        <w:ind w:left="112" w:right="59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81"/>
        <w:ind w:left="112"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9,402.1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11,761,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796.78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6.79%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161,47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7,605.3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7" w:right="0"/>
              <w:jc w:val="left"/>
              <w:rPr>
                <w:rFonts w:ascii="Times New Roman" w:hAnsi="Times New Roman" w:cs="Times New Roman" w:eastAsia="Times New Roman" w:hint="default"/>
                <w:sz w:val="18"/>
                <w:szCs w:val="18"/>
              </w:rPr>
            </w:pPr>
            <w:r>
              <w:rPr>
                <w:rFonts w:ascii="Times New Roman"/>
                <w:sz w:val="18"/>
              </w:rPr>
              <w:t>150,1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79,56</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9.30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9,534,9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14.70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6.35%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140,644,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654.60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90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9,402.1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11,761,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796.78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6.79%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161,47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7,605.3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7" w:right="0"/>
              <w:jc w:val="left"/>
              <w:rPr>
                <w:rFonts w:ascii="Times New Roman" w:hAnsi="Times New Roman" w:cs="Times New Roman" w:eastAsia="Times New Roman" w:hint="default"/>
                <w:sz w:val="18"/>
                <w:szCs w:val="18"/>
              </w:rPr>
            </w:pPr>
            <w:r>
              <w:rPr>
                <w:rFonts w:ascii="Times New Roman"/>
                <w:sz w:val="18"/>
              </w:rPr>
              <w:t>150,1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79,56</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9.30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9,534,9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14.70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6.35%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140,644,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654.60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12"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9"/>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1020"/>
          <w:cols w:num="2" w:equalWidth="0">
            <w:col w:w="4253" w:space="4576"/>
            <w:col w:w="104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156,890,001.24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4,706,700.04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156,890,001.24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4,706,700.04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7,585,015.06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758,501.51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3,084,738.27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616,947.65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5,679,647.58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5,679,647.58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173,239,402.15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11,761,796.78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2"/>
        <w:ind w:left="112" w:right="54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60" w:lineRule="auto" w:before="29"/>
        <w:ind w:left="11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1020"/>
        </w:sectPr>
      </w:pPr>
    </w:p>
    <w:p>
      <w:pPr>
        <w:spacing w:line="340" w:lineRule="auto" w:before="44"/>
        <w:ind w:left="112"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1,109,397.84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1020"/>
          <w:cols w:num="2" w:equalWidth="0">
            <w:col w:w="6010" w:space="2819"/>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3d3d3"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type w:val="continuous"/>
          <w:pgSz w:w="11910" w:h="16840"/>
          <w:pgMar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470" w:firstLine="480"/>
        <w:jc w:val="both"/>
      </w:pPr>
      <w:r>
        <w:rPr/>
        <w:t>本公司本年按欠款方归集的年末余额前五名应收账款汇总金额为30,592,340.23元， </w:t>
      </w:r>
      <w:r>
        <w:rPr>
          <w:spacing w:val="3"/>
        </w:rPr>
        <w:t>占应收账款年末余额合计数的比例为17.66%，相应计提的坏账准备年末余额汇总金额为</w:t>
      </w:r>
      <w:r>
        <w:rPr>
          <w:spacing w:val="-109"/>
        </w:rPr>
        <w:t> </w:t>
      </w:r>
      <w:r>
        <w:rPr>
          <w:spacing w:val="-109"/>
        </w:rPr>
      </w:r>
      <w:r>
        <w:rPr/>
        <w:t>9,177,702.07元。</w:t>
      </w:r>
    </w:p>
    <w:p>
      <w:pPr>
        <w:spacing w:line="240" w:lineRule="auto" w:before="7"/>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260"/>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1,305.3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98.54</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148,97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1,305.3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7" w:right="0"/>
              <w:jc w:val="left"/>
              <w:rPr>
                <w:rFonts w:ascii="Times New Roman" w:hAnsi="Times New Roman" w:cs="Times New Roman" w:eastAsia="Times New Roman" w:hint="default"/>
                <w:sz w:val="18"/>
                <w:szCs w:val="18"/>
              </w:rPr>
            </w:pPr>
            <w:r>
              <w:rPr>
                <w:rFonts w:ascii="Times New Roman"/>
                <w:sz w:val="18"/>
              </w:rPr>
              <w:t>148,9</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71,30</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5.31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97.96</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148,971,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305.31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2,202,5</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05.73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636,79</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0.06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28.91</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1,565,7</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15.67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7" w:right="0"/>
              <w:jc w:val="left"/>
              <w:rPr>
                <w:rFonts w:ascii="Times New Roman" w:hAnsi="Times New Roman" w:cs="Times New Roman" w:eastAsia="Times New Roman" w:hint="default"/>
                <w:sz w:val="18"/>
                <w:szCs w:val="18"/>
              </w:rPr>
            </w:pPr>
            <w:r>
              <w:rPr>
                <w:rFonts w:ascii="Times New Roman"/>
                <w:sz w:val="18"/>
              </w:rPr>
              <w:t>3,109</w:t>
            </w:r>
          </w:p>
          <w:p>
            <w:pPr>
              <w:pStyle w:val="TableParagraph"/>
              <w:spacing w:line="240" w:lineRule="auto" w:before="105"/>
              <w:ind w:left="77"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2.04%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680,765</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2,429,03</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5.09</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151,17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2"/>
                <w:sz w:val="18"/>
              </w:rPr>
              <w:t>3,811.0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636,79</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0.06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0.42%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150,53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7,020.9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7" w:right="0"/>
              <w:jc w:val="left"/>
              <w:rPr>
                <w:rFonts w:ascii="Times New Roman" w:hAnsi="Times New Roman" w:cs="Times New Roman" w:eastAsia="Times New Roman" w:hint="default"/>
                <w:sz w:val="18"/>
                <w:szCs w:val="18"/>
              </w:rPr>
            </w:pPr>
            <w:r>
              <w:rPr>
                <w:rFonts w:ascii="Times New Roman"/>
                <w:sz w:val="18"/>
              </w:rPr>
              <w:t>152,0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81,10</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5.80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680,765</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151,400,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340.40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5"/>
        <w:ind w:left="112"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7"/>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1020"/>
          <w:cols w:num="2" w:equalWidth="0">
            <w:col w:w="4433" w:space="4396"/>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1,459,393.90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43,781.82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3.00%</w:t>
            </w:r>
          </w:p>
        </w:tc>
      </w:tr>
      <w:tr>
        <w:trPr>
          <w:trHeight w:val="400"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1,459,393.90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43,781.82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3.00%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148,256.48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14,825.65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20,840.94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4,168.19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574,014.41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574,014.41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2,202,505.73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636,790.06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0"/>
        <w:ind w:left="11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57" w:lineRule="auto" w:before="27"/>
        <w:ind w:left="112" w:right="559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1020"/>
        </w:sectPr>
      </w:pPr>
    </w:p>
    <w:p>
      <w:pPr>
        <w:spacing w:line="338" w:lineRule="auto" w:before="44"/>
        <w:ind w:left="112"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-43,975.34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1020"/>
          <w:cols w:num="2" w:equalWidth="0">
            <w:col w:w="6205" w:space="2625"/>
            <w:col w:w="104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3d3d3"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148,971,305.31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148,971,305.31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960,453.51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1,774,467.25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1,004,167.01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1,097,213.03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237,885.21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238,120.21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151,173,811.04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152,081,105.80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1" w:right="17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1" w:right="17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隆泰稀土</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148,971,305.31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98.54%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115,112.63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3,453.38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94,320.00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2,829.60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92,203.10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2,766.09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80,300.00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2,409.00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149,353,241.04</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98.79%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11,458.07</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6" w:right="100" w:hanging="593"/>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50,000,000.00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center"/>
              <w:rPr>
                <w:rFonts w:ascii="Times New Roman" w:hAnsi="Times New Roman" w:cs="Times New Roman" w:eastAsia="Times New Roman" w:hint="default"/>
                <w:sz w:val="18"/>
                <w:szCs w:val="18"/>
              </w:rPr>
            </w:pPr>
            <w:r>
              <w:rPr>
                <w:rFonts w:ascii="Times New Roman"/>
                <w:sz w:val="18"/>
              </w:rPr>
              <w:t>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center"/>
              <w:rPr>
                <w:rFonts w:ascii="Times New Roman" w:hAnsi="Times New Roman" w:cs="Times New Roman" w:eastAsia="Times New Roman" w:hint="default"/>
                <w:sz w:val="18"/>
                <w:szCs w:val="18"/>
              </w:rPr>
            </w:pPr>
            <w:r>
              <w:rPr>
                <w:rFonts w:ascii="Times New Roman"/>
                <w:sz w:val="18"/>
              </w:rPr>
              <w:t>50,000,000.00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center"/>
              <w:rPr>
                <w:rFonts w:ascii="Times New Roman" w:hAnsi="Times New Roman" w:cs="Times New Roman" w:eastAsia="Times New Roman" w:hint="default"/>
                <w:sz w:val="18"/>
                <w:szCs w:val="18"/>
              </w:rPr>
            </w:pPr>
            <w:r>
              <w:rPr>
                <w:rFonts w:ascii="Times New Roman"/>
                <w:sz w:val="18"/>
              </w:rPr>
              <w:t>50,000,000.00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center"/>
              <w:rPr>
                <w:rFonts w:ascii="Times New Roman" w:hAnsi="Times New Roman" w:cs="Times New Roman" w:eastAsia="Times New Roman" w:hint="default"/>
                <w:sz w:val="18"/>
                <w:szCs w:val="18"/>
              </w:rPr>
            </w:pPr>
            <w:r>
              <w:rPr>
                <w:rFonts w:ascii="Times New Roman"/>
                <w:sz w:val="18"/>
              </w:rPr>
              <w:t>50,000,000.00</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9" w:right="148"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9" w:right="147"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隆泰稀土</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50,000,000.00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4"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492,171,787.59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409,701,963.71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548,855,001.97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460,093,166.64</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152,226.32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1,891,720.28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973,258.99</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492,324,013.91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409,701,963.71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550,746,722.25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461,066,425.63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1,007,575.03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17,609,376.53</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 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投资期货取得的收益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-3,444,624.40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理财产品持有期间取得的投资收益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945,864.70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1,019,575.03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15,120,616.83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2,694,241.72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-1,101,596.76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359,086.54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1,233,558.42</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300" w:lineRule="auto" w:before="51"/>
        <w:ind w:left="112" w:right="112"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号——非经常性损益》定义界定的非经常性损益项目，以及把《公</w:t>
      </w:r>
      <w:r>
        <w:rPr>
          <w:rFonts w:ascii="宋体" w:hAnsi="宋体" w:cs="宋体" w:eastAsia="宋体" w:hint="default"/>
          <w:sz w:val="18"/>
          <w:szCs w:val="18"/>
        </w:rPr>
        <w:t> 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3D3D3"/>
          </w:tcPr>
          <w:p>
            <w:pPr/>
          </w:p>
        </w:tc>
        <w:tc>
          <w:tcPr>
            <w:tcW w:w="3080"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0"/>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08"/>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0.22</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08"/>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0.20</w:t>
            </w:r>
          </w:p>
        </w:tc>
      </w:tr>
    </w:tbl>
    <w:p>
      <w:pPr>
        <w:spacing w:line="240" w:lineRule="auto" w:before="5"/>
        <w:rPr>
          <w:rFonts w:ascii="宋体" w:hAnsi="宋体" w:cs="宋体" w:eastAsia="宋体" w:hint="default"/>
          <w:b/>
          <w:bCs/>
          <w:sz w:val="19"/>
          <w:szCs w:val="19"/>
        </w:rPr>
      </w:pPr>
    </w:p>
    <w:p>
      <w:pPr>
        <w:spacing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1020"/>
        </w:sectPr>
      </w:pPr>
    </w:p>
    <w:p>
      <w:pPr>
        <w:spacing w:line="240" w:lineRule="auto" w:before="10"/>
        <w:rPr>
          <w:rFonts w:ascii="宋体" w:hAnsi="宋体" w:cs="宋体" w:eastAsia="宋体" w:hint="default"/>
          <w:sz w:val="21"/>
          <w:szCs w:val="21"/>
        </w:rPr>
      </w:pPr>
    </w:p>
    <w:p>
      <w:pPr>
        <w:spacing w:line="259" w:lineRule="auto" w:before="34"/>
        <w:ind w:left="112" w:right="0" w:firstLine="0"/>
        <w:jc w:val="left"/>
        <w:rPr>
          <w:rFonts w:ascii="宋体" w:hAnsi="宋体" w:cs="宋体" w:eastAsia="宋体" w:hint="default"/>
          <w:sz w:val="21"/>
          <w:szCs w:val="21"/>
        </w:rPr>
      </w:pPr>
      <w:r>
        <w:rPr>
          <w:rFonts w:ascii="宋体" w:hAnsi="宋体" w:cs="宋体" w:eastAsia="宋体" w:hint="default"/>
          <w:b/>
          <w:bCs/>
          <w:spacing w:val="3"/>
          <w:w w:val="95"/>
          <w:sz w:val="21"/>
          <w:szCs w:val="21"/>
        </w:rPr>
        <w:t>（</w:t>
      </w:r>
      <w:r>
        <w:rPr>
          <w:rFonts w:ascii="Times New Roman" w:hAnsi="Times New Roman" w:cs="Times New Roman" w:eastAsia="Times New Roman" w:hint="default"/>
          <w:b/>
          <w:bCs/>
          <w:spacing w:val="3"/>
          <w:w w:val="95"/>
          <w:sz w:val="21"/>
          <w:szCs w:val="21"/>
        </w:rPr>
        <w:t>3</w:t>
      </w:r>
      <w:r>
        <w:rPr>
          <w:rFonts w:ascii="宋体" w:hAnsi="宋体" w:cs="宋体" w:eastAsia="宋体" w:hint="default"/>
          <w:b/>
          <w:bCs/>
          <w:spacing w:val="3"/>
          <w:w w:val="95"/>
          <w:sz w:val="21"/>
          <w:szCs w:val="21"/>
        </w:rPr>
        <w:t>）境内外会计准则下会计数据差异原因说明，对已经境外审计机构审计的数据进行差异调节的，应注</w:t>
      </w:r>
      <w:r>
        <w:rPr>
          <w:rFonts w:ascii="宋体" w:hAnsi="宋体" w:cs="宋体" w:eastAsia="宋体" w:hint="default"/>
          <w:b/>
          <w:bCs/>
          <w:spacing w:val="93"/>
          <w:w w:val="95"/>
          <w:sz w:val="21"/>
          <w:szCs w:val="21"/>
        </w:rPr>
        <w:t> </w:t>
      </w:r>
      <w:r>
        <w:rPr>
          <w:rFonts w:ascii="宋体" w:hAnsi="宋体" w:cs="宋体" w:eastAsia="宋体" w:hint="default"/>
          <w:b/>
          <w:bCs/>
          <w:spacing w:val="93"/>
          <w:w w:val="95"/>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07" w:footer="1016" w:top="1100" w:bottom="1200" w:left="1020" w:right="100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1"/>
        <w:spacing w:line="240" w:lineRule="auto"/>
        <w:ind w:left="3247" w:right="0"/>
        <w:jc w:val="left"/>
        <w:rPr>
          <w:b w:val="0"/>
          <w:bCs w:val="0"/>
        </w:rPr>
      </w:pPr>
      <w:bookmarkStart w:name="_bookmark10" w:id="11"/>
      <w:bookmarkEnd w:id="11"/>
      <w:r>
        <w:rPr>
          <w:b w:val="0"/>
          <w:bCs w:val="0"/>
        </w:rPr>
      </w:r>
      <w:r>
        <w:rPr/>
        <w:t>第十一节</w:t>
      </w:r>
      <w:r>
        <w:rPr>
          <w:spacing w:val="-10"/>
        </w:rPr>
        <w:t> </w:t>
      </w:r>
      <w:r>
        <w:rPr/>
        <w:t>备查文件目录</w:t>
      </w:r>
      <w:r>
        <w:rPr>
          <w:b w:val="0"/>
          <w:bCs w:val="0"/>
        </w:rPr>
      </w:r>
    </w:p>
    <w:p>
      <w:pPr>
        <w:spacing w:line="240" w:lineRule="auto" w:before="7"/>
        <w:rPr>
          <w:rFonts w:ascii="宋体" w:hAnsi="宋体" w:cs="宋体" w:eastAsia="宋体" w:hint="default"/>
          <w:b/>
          <w:bCs/>
          <w:sz w:val="40"/>
          <w:szCs w:val="40"/>
        </w:rPr>
      </w:pPr>
    </w:p>
    <w:p>
      <w:pPr>
        <w:spacing w:line="537" w:lineRule="auto"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一、载有公司董事长签署、公司盖章的</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年度报告全文及摘要文本；</w:t>
      </w:r>
      <w:r>
        <w:rPr>
          <w:rFonts w:ascii="宋体" w:hAnsi="宋体" w:cs="宋体" w:eastAsia="宋体" w:hint="default"/>
          <w:w w:val="99"/>
          <w:sz w:val="21"/>
          <w:szCs w:val="21"/>
        </w:rPr>
        <w:t> </w:t>
      </w:r>
      <w:r>
        <w:rPr>
          <w:rFonts w:ascii="宋体" w:hAnsi="宋体" w:cs="宋体" w:eastAsia="宋体" w:hint="default"/>
          <w:sz w:val="21"/>
          <w:szCs w:val="21"/>
        </w:rPr>
        <w:t>二、载有法定代表人、主管会计工作负责人、会计机构负责人签名盖章的会计报表；</w:t>
      </w:r>
      <w:r>
        <w:rPr>
          <w:rFonts w:ascii="宋体" w:hAnsi="宋体" w:cs="宋体" w:eastAsia="宋体" w:hint="default"/>
          <w:w w:val="99"/>
          <w:sz w:val="21"/>
          <w:szCs w:val="21"/>
        </w:rPr>
        <w:t> </w:t>
      </w:r>
      <w:r>
        <w:rPr>
          <w:rFonts w:ascii="宋体" w:hAnsi="宋体" w:cs="宋体" w:eastAsia="宋体" w:hint="default"/>
          <w:w w:val="95"/>
          <w:sz w:val="21"/>
          <w:szCs w:val="21"/>
        </w:rPr>
        <w:t>三、载有瑞华会计师事务所（特殊普通合伙）盖章、注册会计师亲笔签名并盖章的审计报告原件；</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四、报告期内在中国证监会指定网站上公开披露过的所有公司文件的正本及公告的原稿；</w:t>
      </w:r>
      <w:r>
        <w:rPr>
          <w:rFonts w:ascii="宋体" w:hAnsi="宋体" w:cs="宋体" w:eastAsia="宋体" w:hint="default"/>
          <w:w w:val="99"/>
          <w:sz w:val="21"/>
          <w:szCs w:val="21"/>
        </w:rPr>
        <w:t> </w:t>
      </w:r>
      <w:r>
        <w:rPr>
          <w:rFonts w:ascii="宋体" w:hAnsi="宋体" w:cs="宋体" w:eastAsia="宋体" w:hint="default"/>
          <w:sz w:val="21"/>
          <w:szCs w:val="21"/>
        </w:rPr>
        <w:t>五、以上文件置备于公司证券部备查。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45"/>
        <w:ind w:left="7231" w:right="0" w:hanging="840"/>
        <w:jc w:val="left"/>
        <w:rPr>
          <w:rFonts w:ascii="宋体" w:hAnsi="宋体" w:cs="宋体" w:eastAsia="宋体" w:hint="default"/>
          <w:sz w:val="21"/>
          <w:szCs w:val="21"/>
        </w:rPr>
      </w:pPr>
      <w:r>
        <w:rPr>
          <w:rFonts w:ascii="宋体" w:hAnsi="宋体" w:cs="宋体" w:eastAsia="宋体" w:hint="default"/>
          <w:w w:val="95"/>
          <w:sz w:val="21"/>
          <w:szCs w:val="21"/>
        </w:rPr>
        <w:t>马鞍山鼎泰稀土新材料股份有限公司</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z w:val="21"/>
          <w:szCs w:val="21"/>
        </w:rPr>
        <w:t>法定代表人：刘冀鲁</w:t>
      </w:r>
    </w:p>
    <w:p>
      <w:pPr>
        <w:spacing w:before="7"/>
        <w:ind w:left="0" w:right="741" w:firstLine="0"/>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日</w:t>
      </w:r>
    </w:p>
    <w:sectPr>
      <w:footerReference w:type="default" r:id="rId38"/>
      <w:pgSz w:w="11910" w:h="16840"/>
      <w:pgMar w:footer="1016" w:header="907" w:top="1100" w:bottom="1200" w:left="1020" w:right="1020"/>
      <w:pgNumType w:start="1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93.647705pt;width:6.5pt;height:11pt;mso-position-horizontal-relative:page;mso-position-vertical-relative:page;z-index:-7109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3.1pt;height:11pt;mso-position-horizontal-relative:page;mso-position-vertical-relative:page;z-index:-710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3.1pt;height:11pt;mso-position-horizontal-relative:page;mso-position-vertical-relative:page;z-index:-710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3.1pt;height:11pt;mso-position-horizontal-relative:page;mso-position-vertical-relative:page;z-index:-710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7.5pt;height:11pt;mso-position-horizontal-relative:page;mso-position-vertical-relative:page;z-index:-710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7.5pt;height:11pt;mso-position-horizontal-relative:page;mso-position-vertical-relative:page;z-index:-710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7.3pt;height:11pt;mso-position-horizontal-relative:page;mso-position-vertical-relative:page;z-index:-710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7.5pt;height:11pt;mso-position-horizontal-relative:page;mso-position-vertical-relative:page;z-index:-710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7.5pt;height:11pt;mso-position-horizontal-relative:page;mso-position-vertical-relative:page;z-index:-710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7.5pt;height:11pt;mso-position-horizontal-relative:page;mso-position-vertical-relative:page;z-index:-710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7.5pt;height:11pt;mso-position-horizontal-relative:page;mso-position-vertical-relative:page;z-index:-710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8.5pt;height:11pt;mso-position-horizontal-relative:page;mso-position-vertical-relative:page;z-index:-710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3.1pt;height:11pt;mso-position-horizontal-relative:page;mso-position-vertical-relative:page;z-index:-710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3.1pt;height:11pt;mso-position-horizontal-relative:page;mso-position-vertical-relative:page;z-index:-710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3.1pt;height:11pt;mso-position-horizontal-relative:page;mso-position-vertical-relative:page;z-index:-710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3.1pt;height:11pt;mso-position-horizontal-relative:page;mso-position-vertical-relative:page;z-index:-710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3.1pt;height:11pt;mso-position-horizontal-relative:page;mso-position-vertical-relative:page;z-index:-710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3.1pt;height:11pt;mso-position-horizontal-relative:page;mso-position-vertical-relative:page;z-index:-710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463pt;width:13.1pt;height:11pt;mso-position-horizontal-relative:page;mso-position-vertical-relative:page;z-index:-710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8.355648pt;width:231.6pt;height:11.5pt;mso-position-horizontal-relative:page;mso-position-vertical-relative:page;z-index:-710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31.6pt;height:11.4pt;mso-position-horizontal-relative:page;mso-position-vertical-relative:page;z-index:-710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31.6pt;height:11.4pt;mso-position-horizontal-relative:page;mso-position-vertical-relative:page;z-index:-710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31.6pt;height:11.4pt;mso-position-horizontal-relative:page;mso-position-vertical-relative:page;z-index:-710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TOC2" w:type="paragraph">
    <w:name w:val="TOC 2"/>
    <w:basedOn w:val="Normal"/>
    <w:uiPriority w:val="1"/>
    <w:qFormat/>
    <w:pPr>
      <w:ind w:left="112"/>
    </w:pPr>
    <w:rPr>
      <w:rFonts w:ascii="Times New Roman" w:hAnsi="Times New Roman" w:eastAsia="Times New Roman"/>
      <w:b/>
      <w:bCs/>
      <w:i/>
    </w:rPr>
  </w:style>
  <w:style w:styleId="BodyText" w:type="paragraph">
    <w:name w:val="Body Text"/>
    <w:basedOn w:val="Normal"/>
    <w:uiPriority w:val="1"/>
    <w:qFormat/>
    <w:pPr>
      <w:ind w:left="112"/>
    </w:pPr>
    <w:rPr>
      <w:rFonts w:ascii="宋体" w:hAnsi="宋体" w:eastAsia="宋体"/>
      <w:sz w:val="24"/>
      <w:szCs w:val="24"/>
    </w:rPr>
  </w:style>
  <w:style w:styleId="Heading1" w:type="paragraph">
    <w:name w:val="Heading 1"/>
    <w:basedOn w:val="Normal"/>
    <w:uiPriority w:val="1"/>
    <w:qFormat/>
    <w:pPr>
      <w:ind w:left="2016"/>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dingtaicn.com/" TargetMode="External"/><Relationship Id="rId11" Type="http://schemas.openxmlformats.org/officeDocument/2006/relationships/hyperlink" Target="mailto:dtxc@dingtaicn.com" TargetMode="External"/><Relationship Id="rId12" Type="http://schemas.openxmlformats.org/officeDocument/2006/relationships/hyperlink" Target="http://www.cninfo.com/"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jpeg"/><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image" Target="media/image3.jpeg"/><Relationship Id="rId21" Type="http://schemas.openxmlformats.org/officeDocument/2006/relationships/footer" Target="footer7.xml"/><Relationship Id="rId22" Type="http://schemas.openxmlformats.org/officeDocument/2006/relationships/hyperlink" Target="http://www.cninfo.com.cn/" TargetMode="External"/><Relationship Id="rId23" Type="http://schemas.openxmlformats.org/officeDocument/2006/relationships/footer" Target="footer8.xml"/><Relationship Id="rId24" Type="http://schemas.openxmlformats.org/officeDocument/2006/relationships/image" Target="media/image4.jpeg"/><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image" Target="media/image5.jpeg"/><Relationship Id="rId35" Type="http://schemas.openxmlformats.org/officeDocument/2006/relationships/image" Target="media/image6.jpeg"/><Relationship Id="rId36" Type="http://schemas.openxmlformats.org/officeDocument/2006/relationships/image" Target="media/image7.jpeg"/><Relationship Id="rId37" Type="http://schemas.openxmlformats.org/officeDocument/2006/relationships/footer" Target="footer18.xml"/><Relationship Id="rId38"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2020-05-04T13:20:08Z</dcterms:created>
  <dcterms:modified xsi:type="dcterms:W3CDTF">2020-05-04T13:20:08Z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2016-04-21T00:00:00Z</vt:filetime>
  </property>
  <property fmtid="{D5CDD505-2E9C-101B-9397-08002B2CF9AE}" pid="3" name="Creator">
    <vt:lpwstr>WPS Office</vt:lpwstr>
  </property>
  <property fmtid="{D5CDD505-2E9C-101B-9397-08002B2CF9AE}" pid="4" name="LastSaved">
    <vt:filetime>2020-05-04T00:00:00Z</vt:filetime>
  </property>
</Properties>
</file>