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顺丰控股股份有限公司</w:t>
      </w:r>
      <w:bookmarkEnd w:id="0"/>
      <w:bookmarkEnd w:id="1"/>
      <w:bookmarkEnd w:id="2"/>
    </w:p>
    <w:p>
      <w:pPr>
        <w:pStyle w:val="Style8"/>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widowControl w:val="0"/>
      </w:pPr>
    </w:p>
    <w:p>
      <w:pPr>
        <w:pStyle w:val="Style13"/>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57" w:right="1052" w:bottom="2857" w:left="1047"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64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100"/>
        <w:ind w:left="0" w:right="0"/>
        <w:jc w:val="both"/>
      </w:pPr>
      <w:bookmarkStart w:id="9" w:name="bookmark9"/>
      <w:r>
        <w:rPr>
          <w:color w:val="000000"/>
          <w:spacing w:val="0"/>
          <w:w w:val="100"/>
          <w:position w:val="0"/>
        </w:rPr>
        <w:t>本公司董事会、监事会及董事、监事、高级管理人员保证年度报告内容的真 实、准确、完整，不存在虚假记载、误导性陈述或重大遗漏，并承担个别和连带 的法律责任。</w:t>
      </w:r>
      <w:bookmarkEnd w:id="9"/>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公司负责人王卫、主管会计工作负责人伍玮婷及会计机构负责人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王丽秀声明：保证年度报告中财务报告的真实、准确、完整。</w:t>
      </w:r>
    </w:p>
    <w:p>
      <w:pPr>
        <w:pStyle w:val="Style16"/>
        <w:keepNext w:val="0"/>
        <w:keepLines w:val="0"/>
        <w:widowControl w:val="0"/>
        <w:shd w:val="clear" w:color="auto" w:fill="auto"/>
        <w:bidi w:val="0"/>
        <w:spacing w:before="0" w:after="100" w:line="625"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0"/>
        <w:ind w:left="0" w:right="0"/>
        <w:jc w:val="both"/>
      </w:pPr>
      <w:r>
        <w:rPr>
          <w:color w:val="000000"/>
          <w:spacing w:val="0"/>
          <w:w w:val="100"/>
          <w:position w:val="0"/>
        </w:rPr>
        <w:t>本报告中涉及的未来发展规划等前瞻性陈述不构成公司对投资者的实质承 诺，敬请广大投资者理性投资，注意风险。</w:t>
      </w:r>
    </w:p>
    <w:p>
      <w:pPr>
        <w:pStyle w:val="Style16"/>
        <w:keepNext w:val="0"/>
        <w:keepLines w:val="0"/>
        <w:widowControl w:val="0"/>
        <w:shd w:val="clear" w:color="auto" w:fill="auto"/>
        <w:bidi w:val="0"/>
        <w:spacing w:before="0" w:after="0" w:line="653" w:lineRule="exact"/>
        <w:ind w:left="0" w:right="0"/>
        <w:jc w:val="both"/>
      </w:pPr>
      <w:r>
        <w:rPr>
          <w:color w:val="000000"/>
          <w:spacing w:val="0"/>
          <w:w w:val="100"/>
          <w:position w:val="0"/>
        </w:rPr>
        <w:t xml:space="preserve">公司在本年度报告中详细阐述了未来可能发生的有关风险因素及对策，详见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九、公司未来发展的展望呻的</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可能面临的风 险及应对措施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，敬请投资者予以关注。</w:t>
      </w:r>
    </w:p>
    <w:p>
      <w:pPr>
        <w:pStyle w:val="Style16"/>
        <w:keepNext w:val="0"/>
        <w:keepLines w:val="0"/>
        <w:widowControl w:val="0"/>
        <w:shd w:val="clear" w:color="auto" w:fill="auto"/>
        <w:bidi w:val="0"/>
        <w:spacing w:before="0" w:after="100" w:line="625" w:lineRule="exact"/>
        <w:ind w:left="0" w:right="0" w:firstLine="720"/>
        <w:jc w:val="both"/>
      </w:pP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年度公司发生重大资产重组事项，其以截至评估基准日</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日本公司前身鼎泰新材的全部资产及负债（简称：置出资产）与泰森控股全 体股东持有的截至评估基准日</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日）泰森控股</w:t>
      </w:r>
      <w:r>
        <w:rPr>
          <w:rFonts w:ascii="Times New Roman" w:eastAsia="Times New Roman" w:hAnsi="Times New Roman" w:cs="Times New Roman"/>
          <w:color w:val="000000"/>
          <w:spacing w:val="0"/>
          <w:w w:val="100"/>
          <w:position w:val="0"/>
          <w:sz w:val="28"/>
          <w:szCs w:val="28"/>
        </w:rPr>
        <w:t>100%</w:t>
      </w:r>
      <w:r>
        <w:rPr>
          <w:color w:val="000000"/>
          <w:spacing w:val="0"/>
          <w:w w:val="100"/>
          <w:position w:val="0"/>
        </w:rPr>
        <w:t>股权（简称： 置入资产）的等值部分进行置换，置入资产与置出资产的差额部分由本公司前身 鼎泰新材以发行股份的方式自泰森控股全体股东处购买。</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27</w:t>
      </w:r>
      <w:r>
        <w:rPr>
          <w:color w:val="000000"/>
          <w:spacing w:val="0"/>
          <w:w w:val="100"/>
          <w:position w:val="0"/>
        </w:rPr>
        <w:t>日， 重大资产重组相关方签署正式的资产交割确认函。</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28</w:t>
      </w:r>
      <w:r>
        <w:rPr>
          <w:color w:val="000000"/>
          <w:spacing w:val="0"/>
          <w:w w:val="100"/>
          <w:position w:val="0"/>
        </w:rPr>
        <w:t>日，公司前 身鼎泰新材召开</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年第二次临时股东大会顺利通过了《关于董事会换届选举 及提名第四届董事会独立及非独立董事候选人的议案》，当日董事会换届改选。</w:t>
      </w:r>
    </w:p>
    <w:p>
      <w:pPr>
        <w:pStyle w:val="Style16"/>
        <w:keepNext w:val="0"/>
        <w:keepLines w:val="0"/>
        <w:widowControl w:val="0"/>
        <w:shd w:val="clear" w:color="auto" w:fill="auto"/>
        <w:bidi w:val="0"/>
        <w:spacing w:before="0" w:line="616" w:lineRule="exact"/>
        <w:ind w:left="0" w:right="0" w:firstLine="720"/>
        <w:jc w:val="both"/>
      </w:pPr>
      <w:r>
        <w:rPr>
          <w:color w:val="000000"/>
          <w:spacing w:val="0"/>
          <w:w w:val="100"/>
          <w:position w:val="0"/>
        </w:rPr>
        <w:t>根据重大资产重组的安排，本公司前身鼎泰新材向泰森控股原股东发行了 每股面值人民币</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元的普通股，计</w:t>
      </w:r>
      <w:r>
        <w:rPr>
          <w:rFonts w:ascii="Times New Roman" w:eastAsia="Times New Roman" w:hAnsi="Times New Roman" w:cs="Times New Roman"/>
          <w:color w:val="000000"/>
          <w:spacing w:val="0"/>
          <w:w w:val="100"/>
          <w:position w:val="0"/>
          <w:sz w:val="28"/>
          <w:szCs w:val="28"/>
        </w:rPr>
        <w:t>3,950,185,873</w:t>
      </w:r>
      <w:r>
        <w:rPr>
          <w:color w:val="000000"/>
          <w:spacing w:val="0"/>
          <w:w w:val="100"/>
          <w:position w:val="0"/>
        </w:rPr>
        <w:t>股。该等新股于</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 xml:space="preserve">18 </w:t>
      </w:r>
      <w:r>
        <w:rPr>
          <w:color w:val="000000"/>
          <w:spacing w:val="0"/>
          <w:w w:val="100"/>
          <w:position w:val="0"/>
        </w:rPr>
        <w:t>日在中国证券登记结算有限责任公司深圳分公司办理了登记手续，并于</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23</w:t>
      </w:r>
      <w:r>
        <w:rPr>
          <w:color w:val="000000"/>
          <w:spacing w:val="0"/>
          <w:w w:val="100"/>
          <w:position w:val="0"/>
        </w:rPr>
        <w:t>日正式上市。</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上述重大资产重组交易对手方深圳明德控股发展有限公司、宁波顺达丰润投 资管理合伙企业（有限合伙）、嘉强顺风（深圳）股权投资合伙企业（有限合伙）、 深圳市招广投资有限公司、苏州工业园区元禾顺风股权投资企业（有限合伙）、 苏州古玉秋创股权投资合伙企业（有限合伙）、宁波顺信丰合投资管理合伙企业 （有限合伙））承诺：深圳顺丰泰森控股（集团）有限公司</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 度和</w:t>
      </w:r>
      <w:r>
        <w:rPr>
          <w:rFonts w:ascii="Times New Roman" w:eastAsia="Times New Roman" w:hAnsi="Times New Roman" w:cs="Times New Roman"/>
          <w:color w:val="000000"/>
          <w:spacing w:val="0"/>
          <w:w w:val="100"/>
          <w:position w:val="0"/>
          <w:sz w:val="28"/>
          <w:szCs w:val="28"/>
        </w:rPr>
        <w:t>2018</w:t>
      </w:r>
      <w:r>
        <w:rPr>
          <w:color w:val="000000"/>
          <w:spacing w:val="0"/>
          <w:w w:val="100"/>
          <w:position w:val="0"/>
        </w:rPr>
        <w:t>年度实现的合并报表范围扣除非经常性损益后归属于母公司所有者的 净利润（以下简称“扣非净利润数”）分别不低于</w:t>
      </w:r>
      <w:r>
        <w:rPr>
          <w:rFonts w:ascii="Times New Roman" w:eastAsia="Times New Roman" w:hAnsi="Times New Roman" w:cs="Times New Roman"/>
          <w:color w:val="000000"/>
          <w:spacing w:val="0"/>
          <w:w w:val="100"/>
          <w:position w:val="0"/>
          <w:sz w:val="28"/>
          <w:szCs w:val="28"/>
        </w:rPr>
        <w:t>218,500</w:t>
      </w:r>
      <w:r>
        <w:rPr>
          <w:color w:val="000000"/>
          <w:spacing w:val="0"/>
          <w:w w:val="100"/>
          <w:position w:val="0"/>
        </w:rPr>
        <w:t>万元、</w:t>
      </w:r>
      <w:r>
        <w:rPr>
          <w:rFonts w:ascii="Times New Roman" w:eastAsia="Times New Roman" w:hAnsi="Times New Roman" w:cs="Times New Roman"/>
          <w:color w:val="000000"/>
          <w:spacing w:val="0"/>
          <w:w w:val="100"/>
          <w:position w:val="0"/>
          <w:sz w:val="28"/>
          <w:szCs w:val="28"/>
        </w:rPr>
        <w:t>281,500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28"/>
          <w:szCs w:val="28"/>
        </w:rPr>
        <w:t>348,800</w:t>
      </w:r>
      <w:r>
        <w:rPr>
          <w:color w:val="000000"/>
          <w:spacing w:val="0"/>
          <w:w w:val="100"/>
          <w:position w:val="0"/>
        </w:rPr>
        <w:t xml:space="preserve">万元。深圳顺丰泰森控股（集团）有限公司在约定的利润补偿期内实现 的扣非净利润数未达到承诺扣非净利润数的，交易对手方以本次交易取得的顺丰 控股（即原鼎泰新材）股份或股份及现金对顺丰控股（即原鼎泰新材）进行补偿。 报告期内，公司实现归属上市公司股东的扣除非经常性损益的净利润为 </w:t>
      </w:r>
      <w:r>
        <w:rPr>
          <w:rFonts w:ascii="Times New Roman" w:eastAsia="Times New Roman" w:hAnsi="Times New Roman" w:cs="Times New Roman"/>
          <w:color w:val="000000"/>
          <w:spacing w:val="0"/>
          <w:w w:val="100"/>
          <w:position w:val="0"/>
          <w:sz w:val="28"/>
          <w:szCs w:val="28"/>
        </w:rPr>
        <w:t>264,320.94</w:t>
      </w:r>
      <w:r>
        <w:rPr>
          <w:color w:val="000000"/>
          <w:spacing w:val="0"/>
          <w:w w:val="100"/>
          <w:position w:val="0"/>
        </w:rPr>
        <w:t>万元，完成</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年度的业绩承诺。</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9</w:t>
      </w:r>
      <w:r>
        <w:rPr>
          <w:color w:val="000000"/>
          <w:spacing w:val="0"/>
          <w:w w:val="100"/>
          <w:position w:val="0"/>
        </w:rPr>
        <w:t>日董事会审议通过的利润分配预案为：以公司</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8"/>
          <w:szCs w:val="28"/>
        </w:rPr>
        <w:t>4,183,678,213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 xml:space="preserve">1.00 </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股（含税），不以公积金转增股本。</w:t>
      </w:r>
    </w:p>
    <w:p>
      <w:pPr>
        <w:pStyle w:val="Style2"/>
        <w:keepNext/>
        <w:keepLines/>
        <w:widowControl w:val="0"/>
        <w:shd w:val="clear" w:color="auto" w:fill="auto"/>
        <w:bidi w:val="0"/>
        <w:spacing w:before="0" w:after="15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17"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20"/>
        <w:keepNext w:val="0"/>
        <w:keepLines w:val="0"/>
        <w:widowControl w:val="0"/>
        <w:shd w:val="clear" w:color="auto" w:fill="auto"/>
        <w:tabs>
          <w:tab w:pos="723" w:val="left"/>
          <w:tab w:leader="dot" w:pos="9721" w:val="right"/>
        </w:tabs>
        <w:bidi w:val="0"/>
        <w:spacing w:before="0" w:line="240" w:lineRule="auto"/>
        <w:ind w:left="0" w:right="0" w:firstLine="0"/>
        <w:jc w:val="left"/>
        <w:rPr>
          <w:sz w:val="18"/>
          <w:szCs w:val="18"/>
        </w:rPr>
      </w:pPr>
      <w:hyperlink w:anchor="bookmark60" w:tooltip="Current Document">
        <w:r>
          <w:rPr>
            <w:color w:val="000000"/>
            <w:spacing w:val="0"/>
            <w:w w:val="100"/>
            <w:position w:val="0"/>
            <w:sz w:val="17"/>
            <w:szCs w:val="17"/>
          </w:rPr>
          <w:t>第三节</w:t>
          <w:tab/>
          <w:t>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105"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23</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212"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20"/>
        <w:keepNext w:val="0"/>
        <w:keepLines w:val="0"/>
        <w:widowControl w:val="0"/>
        <w:shd w:val="clear" w:color="auto" w:fill="auto"/>
        <w:tabs>
          <w:tab w:pos="723" w:val="left"/>
          <w:tab w:leader="dot" w:pos="9721" w:val="right"/>
        </w:tabs>
        <w:bidi w:val="0"/>
        <w:spacing w:before="0" w:line="240" w:lineRule="auto"/>
        <w:ind w:left="0" w:right="0" w:firstLine="0"/>
        <w:jc w:val="left"/>
        <w:rPr>
          <w:sz w:val="18"/>
          <w:szCs w:val="18"/>
        </w:rPr>
      </w:pPr>
      <w:hyperlink w:anchor="bookmark339" w:tooltip="Current Document">
        <w:r>
          <w:rPr>
            <w:color w:val="000000"/>
            <w:spacing w:val="0"/>
            <w:w w:val="100"/>
            <w:position w:val="0"/>
            <w:sz w:val="17"/>
            <w:szCs w:val="17"/>
          </w:rPr>
          <w:t>第六节</w:t>
          <w:tab/>
          <w:t>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128</w:t>
        </w:r>
      </w:hyperlink>
    </w:p>
    <w:p>
      <w:pPr>
        <w:pStyle w:val="Style20"/>
        <w:keepNext w:val="0"/>
        <w:keepLines w:val="0"/>
        <w:widowControl w:val="0"/>
        <w:shd w:val="clear" w:color="auto" w:fill="auto"/>
        <w:tabs>
          <w:tab w:pos="723" w:val="left"/>
          <w:tab w:leader="dot" w:pos="9721" w:val="right"/>
        </w:tabs>
        <w:bidi w:val="0"/>
        <w:spacing w:before="0" w:line="240" w:lineRule="auto"/>
        <w:ind w:left="0" w:right="0" w:firstLine="0"/>
        <w:jc w:val="left"/>
        <w:rPr>
          <w:sz w:val="18"/>
          <w:szCs w:val="18"/>
        </w:rPr>
      </w:pPr>
      <w:hyperlink w:anchor="bookmark209" w:tooltip="Current Document">
        <w:r>
          <w:rPr>
            <w:color w:val="000000"/>
            <w:spacing w:val="0"/>
            <w:w w:val="100"/>
            <w:position w:val="0"/>
            <w:sz w:val="17"/>
            <w:szCs w:val="17"/>
          </w:rPr>
          <w:t>第七节</w:t>
          <w:tab/>
          <w:t>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137</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362" w:tooltip="Current Document">
        <w:r>
          <w:rPr>
            <w:color w:val="000000"/>
            <w:spacing w:val="0"/>
            <w:w w:val="100"/>
            <w:position w:val="0"/>
            <w:sz w:val="17"/>
            <w:szCs w:val="17"/>
          </w:rPr>
          <w:t>第八节董事、监事、高级管理人员和员工情况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138</w:t>
        </w:r>
      </w:hyperlink>
    </w:p>
    <w:p>
      <w:pPr>
        <w:pStyle w:val="Style20"/>
        <w:keepNext w:val="0"/>
        <w:keepLines w:val="0"/>
        <w:widowControl w:val="0"/>
        <w:shd w:val="clear" w:color="auto" w:fill="auto"/>
        <w:tabs>
          <w:tab w:pos="723" w:val="left"/>
          <w:tab w:leader="dot" w:pos="9721" w:val="right"/>
        </w:tabs>
        <w:bidi w:val="0"/>
        <w:spacing w:before="0" w:line="240" w:lineRule="auto"/>
        <w:ind w:left="0" w:right="0" w:firstLine="0"/>
        <w:jc w:val="left"/>
        <w:rPr>
          <w:sz w:val="18"/>
          <w:szCs w:val="18"/>
        </w:rPr>
      </w:pPr>
      <w:hyperlink w:anchor="bookmark396" w:tooltip="Current Document">
        <w:r>
          <w:rPr>
            <w:color w:val="000000"/>
            <w:spacing w:val="0"/>
            <w:w w:val="100"/>
            <w:position w:val="0"/>
            <w:sz w:val="17"/>
            <w:szCs w:val="17"/>
          </w:rPr>
          <w:t>第九节</w:t>
          <w:tab/>
          <w:t>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162</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453"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167</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458" w:tooltip="Current Document">
        <w:r>
          <w:rPr>
            <w:color w:val="000000"/>
            <w:spacing w:val="0"/>
            <w:w w:val="100"/>
            <w:position w:val="0"/>
            <w:sz w:val="17"/>
            <w:szCs w:val="17"/>
          </w:rPr>
          <w:t>第十 节 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167</w:t>
        </w:r>
      </w:hyperlink>
    </w:p>
    <w:p>
      <w:pPr>
        <w:pStyle w:val="Style20"/>
        <w:keepNext w:val="0"/>
        <w:keepLines w:val="0"/>
        <w:widowControl w:val="0"/>
        <w:shd w:val="clear" w:color="auto" w:fill="auto"/>
        <w:tabs>
          <w:tab w:leader="dot" w:pos="9721" w:val="right"/>
        </w:tabs>
        <w:bidi w:val="0"/>
        <w:spacing w:before="0" w:line="240" w:lineRule="auto"/>
        <w:ind w:left="0" w:right="0" w:firstLine="0"/>
        <w:jc w:val="left"/>
        <w:rPr>
          <w:sz w:val="18"/>
          <w:szCs w:val="18"/>
        </w:rPr>
      </w:pPr>
      <w:hyperlink w:anchor="bookmark1129" w:tooltip="Current Document">
        <w:r>
          <w:rPr>
            <w:color w:val="000000"/>
            <w:spacing w:val="0"/>
            <w:w w:val="100"/>
            <w:position w:val="0"/>
            <w:sz w:val="17"/>
            <w:szCs w:val="17"/>
          </w:rPr>
          <w:t>第十二节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333</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鼎泰新材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马鞍山鼎泰稀土新材料股份有限公司，为顺丰控股股份有限公司前 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月更名为顺丰控股股份有限公司。</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公司、本公司、顺丰控股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顺丰控股股份有限公司，前身为马鞍山鼎泰稀土新材料股份有限公 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月完成重大资产重组（定义如下）后，于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月正式更名为顺丰控股股份有限公司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泰森控股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深圳顺丰泰森控股（集团）有限公司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明德控股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深圳明德控股发展有限公司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顺达丰润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宁波顺达丰润投资管理合伙企业（有限合伙）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嘉强顺风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嘉强顺风（深圳）股权投资合伙企业（有限合伙）</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招广投资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深圳市招广投资有限公司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元禾顺风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苏州工业园区元禾顺风股权投资企业（有限合伙）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古玉秋创</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苏州古玉秋创股权投资合伙企业（有限合伙）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顺信丰合</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宁波顺信丰合投资管理合伙企业（有限合伙）</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重组交易对手方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深圳明德控股发展有限公司、宁波顺达丰润投资管理合伙企业（有限 合伙）、嘉强顺风（深圳）股权投资合伙企业（有限合伙）、深圳市招 广投资有限公司、苏州工业园区元禾顺风股权投资企业（有限合伙）、 苏州古玉秋创股权投资合伙企业（有限合伙）、宁波顺信丰合投资管 理合伙企业（有限合伙）</w:t>
            </w:r>
          </w:p>
        </w:tc>
      </w:tr>
      <w:tr>
        <w:trPr>
          <w:trHeight w:val="20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月，本公司前身鼎泰新材以截至评估基准日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日的全部资产及负债（置出资产）与泰森控股全体股东持有的泰森控 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股权（置入资产）的等值部分进行置换，置入资产与置出资 产的差额部分由本公司前身鼎泰新材以发行股份的方式自泰森控股 全体股东处购买。</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置出资产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both"/>
            </w:pPr>
            <w:r>
              <w:rPr>
                <w:color w:val="000000"/>
                <w:spacing w:val="0"/>
                <w:w w:val="100"/>
                <w:position w:val="0"/>
              </w:rPr>
              <w:t>本公司前身鼎泰新材截至评估基准日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日的全部资产和 负债</w:t>
            </w:r>
          </w:p>
        </w:tc>
      </w:tr>
      <w:tr>
        <w:trPr>
          <w:trHeight w:val="67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泰森控股截至评估基准</w:t>
            </w:r>
            <w:r>
              <w:rPr>
                <w:color w:val="000000"/>
                <w:spacing w:val="0"/>
                <w:w w:val="100"/>
                <w:position w:val="0"/>
                <w:sz w:val="18"/>
                <w:szCs w:val="18"/>
              </w:rPr>
              <w:t>B</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合丰小额贷款</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深圳市顺丰合丰小额贷款有限公司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乐丰保理</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深圳市顺诚乐丰保理有限公司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顺诚融资租赁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顺诚融资租赁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97" w:right="1084" w:bottom="1523" w:left="1009" w:header="0" w:footer="3" w:gutter="0"/>
          <w:cols w:space="720"/>
          <w:noEndnote/>
          <w:rtlGutter w:val="0"/>
          <w:docGrid w:linePitch="360"/>
        </w:sectPr>
      </w:pPr>
    </w:p>
    <w:p>
      <w:pPr>
        <w:pStyle w:val="Style8"/>
        <w:keepNext/>
        <w:keepLines/>
        <w:widowControl w:val="0"/>
        <w:shd w:val="clear" w:color="auto" w:fill="auto"/>
        <w:bidi w:val="0"/>
        <w:spacing w:before="60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7"/>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sz w:val="24"/>
          <w:szCs w:val="24"/>
        </w:rPr>
        <w:t>一</w:t>
      </w:r>
      <w:bookmarkEnd w:id="22"/>
      <w:r>
        <w:rPr>
          <w:color w:val="000000"/>
          <w:spacing w:val="0"/>
          <w:w w:val="100"/>
          <w:position w:val="0"/>
          <w:sz w:val="24"/>
          <w:szCs w:val="24"/>
        </w:rPr>
        <w:t>、公司信息</w:t>
      </w:r>
      <w:bookmarkEnd w:id="20"/>
      <w:bookmarkEnd w:id="21"/>
      <w:bookmarkEnd w:id="23"/>
      <w:bookmarkEnd w:id="19"/>
    </w:p>
    <w:tbl>
      <w:tblPr>
        <w:tblOverlap w:val="never"/>
        <w:jc w:val="center"/>
        <w:tblLayout w:type="fixed"/>
      </w:tblPr>
      <w:tblGrid>
        <w:gridCol w:w="2294"/>
        <w:gridCol w:w="2952"/>
        <w:gridCol w:w="2155"/>
        <w:gridCol w:w="218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顺丰控股（鼎泰新材于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日更名为顺丰控股）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S.F. Holding Co., Ltd.</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SF Holding</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安徽省马鞍山市当涂工业园</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广东省深圳市福田区新洲十一街万基商务大厦</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sf-express. com</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"mailto:sfir@sf-express.com" </w:instrText>
            </w:r>
            <w:r>
              <w:fldChar w:fldCharType="separate"/>
            </w:r>
            <w:r>
              <w:rPr>
                <w:rFonts w:ascii="Times New Roman" w:eastAsia="Times New Roman" w:hAnsi="Times New Roman" w:cs="Times New Roman"/>
                <w:color w:val="000000"/>
                <w:spacing w:val="0"/>
                <w:w w:val="100"/>
                <w:position w:val="0"/>
                <w:sz w:val="18"/>
                <w:szCs w:val="18"/>
              </w:rPr>
              <w:t>sfir@sf-express.com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曾静</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广东省深圳市福田区新洲十一街万基商 务大厦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广东省深圳市福田区新洲十一街万基商 务大厦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0755-36395338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0755-36395338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0755-36646400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0755-36646400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sfir@sf-express. 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sfir@sf-express. com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、注册变更情况</w:t>
      </w:r>
      <w:bookmarkEnd w:id="32"/>
      <w:bookmarkEnd w:id="33"/>
      <w:bookmarkEnd w:id="3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91340500150660397M</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月完成了重大资产重组。重组前，公司的主营业务为稀土合金 镀层钢丝、绞线和</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钢绞线等金属制品的生产和销售。重组实施完成后，公司 的主营业务变更为快递物流行业。</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月完成了重大资产重组。重组完成后，公司的控股股东从刘冀 鲁先生变更为明德控股，实际控制人从刘冀鲁先生变更为王卫先生。</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、其他有关资料</w:t>
      </w:r>
      <w:bookmarkEnd w:id="36"/>
      <w:bookmarkEnd w:id="37"/>
      <w:bookmarkEnd w:id="3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中国上海市黄浦区湖滨路</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号企业天地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号楼普华永道中心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林崇云、华军</w:t>
            </w:r>
          </w:p>
        </w:tc>
      </w:tr>
    </w:tbl>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4011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号港中旅大厦</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张冠峰、李秋雨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2016.12.07-2019.12.31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号卓越时代广场（二期） 北座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李昊、邓淑芳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2016.12.07-2019.12.31</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中国深圳福田区益田路江苏 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傅承、吴宏兴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2016.12.07-2019.12.31</w:t>
            </w:r>
          </w:p>
        </w:tc>
      </w:tr>
    </w:tbl>
    <w:p>
      <w:pPr>
        <w:widowControl w:val="0"/>
        <w:spacing w:after="819" w:line="1" w:lineRule="exact"/>
      </w:pPr>
    </w:p>
    <w:p>
      <w:pPr>
        <w:pStyle w:val="Style27"/>
        <w:keepNext/>
        <w:keepLines/>
        <w:widowControl w:val="0"/>
        <w:shd w:val="clear" w:color="auto" w:fill="auto"/>
        <w:bidi w:val="0"/>
        <w:spacing w:before="0" w:after="16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六</w:t>
      </w:r>
      <w:bookmarkEnd w:id="42"/>
      <w:r>
        <w:rPr>
          <w:color w:val="000000"/>
          <w:spacing w:val="0"/>
          <w:w w:val="100"/>
          <w:position w:val="0"/>
          <w:sz w:val="24"/>
          <w:szCs w:val="24"/>
        </w:rPr>
        <w:t>、主要会计数据和财务指标</w:t>
      </w:r>
      <w:bookmarkEnd w:id="40"/>
      <w:bookmarkEnd w:id="41"/>
      <w:bookmarkEnd w:id="43"/>
    </w:p>
    <w:p>
      <w:pPr>
        <w:pStyle w:val="Style11"/>
        <w:keepNext w:val="0"/>
        <w:keepLines w:val="0"/>
        <w:widowControl w:val="0"/>
        <w:shd w:val="clear" w:color="auto" w:fill="auto"/>
        <w:bidi w:val="0"/>
        <w:spacing w:before="0" w:after="0" w:line="472" w:lineRule="exact"/>
        <w:ind w:left="0" w:right="0"/>
        <w:jc w:val="left"/>
      </w:pPr>
      <w:r>
        <w:rPr>
          <w:color w:val="000000"/>
          <w:spacing w:val="0"/>
          <w:w w:val="100"/>
          <w:position w:val="0"/>
        </w:rPr>
        <w:t>顺丰控股，原鼎泰新材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年发生重大资产重组事项。鼎泰新材以其截至评估基准日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日的全部资产及 负债（简称：置出资产）与泰森控股全体股东持有的截至评估基准日（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日）泰森控股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股权（简称：置 入资产）的等值部分进行置换，置入资产与置出资产的差额部分由鼎泰新材以发行股份的方式自泰森控股全体股东处购买。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日，重大资产重组相关方签署正式的资产交割确认函。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日，鼎泰新材召开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时股东大会顺利通过了《关于董事会换届选举及提名第四届董事会独立及非独立董事候选人的议案》，当日董事会换届改选。</w:t>
      </w:r>
    </w:p>
    <w:p>
      <w:pPr>
        <w:pStyle w:val="Style11"/>
        <w:keepNext w:val="0"/>
        <w:keepLines w:val="0"/>
        <w:widowControl w:val="0"/>
        <w:shd w:val="clear" w:color="auto" w:fill="auto"/>
        <w:bidi w:val="0"/>
        <w:spacing w:before="0" w:after="40" w:line="472" w:lineRule="exact"/>
        <w:ind w:left="0" w:right="0"/>
        <w:jc w:val="left"/>
      </w:pPr>
      <w:r>
        <w:rPr>
          <w:color w:val="000000"/>
          <w:spacing w:val="0"/>
          <w:w w:val="100"/>
          <w:position w:val="0"/>
        </w:rPr>
        <w:t xml:space="preserve">由于本次重大资产置换及发行股份购买资产的交易构成非业务类型的反向购买，应按照权益性交易的原则进行处理。因 </w:t>
      </w:r>
      <w:r>
        <w:rPr>
          <w:color w:val="000000"/>
          <w:spacing w:val="0"/>
          <w:w w:val="100"/>
          <w:position w:val="0"/>
        </w:rPr>
        <w:t>此法律上的子公司泰森控股成为会计上的购买方，参照反向收购原则编制：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年度的合并财务报表，有关可辨认资产、负 债以泰森控股在本次重组前的账面价值进行确认和计量；合并财务报表中的年初股本，反映本次重组过程中本公司前身鼎泰 新材发行股份购买泰森控股的金额；公司合并财务报表比较信息是泰森控股及其子公司的比较信息。详细见“第十一节财务 报告 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）财务报表的编制基础”。</w:t>
      </w:r>
    </w:p>
    <w:p>
      <w:pPr>
        <w:pStyle w:val="Style11"/>
        <w:keepNext w:val="0"/>
        <w:keepLines w:val="0"/>
        <w:widowControl w:val="0"/>
        <w:shd w:val="clear" w:color="auto" w:fill="auto"/>
        <w:bidi w:val="0"/>
        <w:spacing w:before="0" w:after="660" w:line="470" w:lineRule="exact"/>
        <w:ind w:left="0" w:right="0"/>
        <w:jc w:val="both"/>
      </w:pPr>
      <w:r>
        <w:rPr>
          <w:color w:val="000000"/>
          <w:spacing w:val="0"/>
          <w:w w:val="100"/>
          <w:position w:val="0"/>
        </w:rPr>
        <w:t>鉴于上述原因，本年报中填列的本年及上年同期财务报告数据，除特别说明的事项外，均为引用自第十一节财务报告， 即会计上的购买方泰森控股按反向收购编制基础编制的合并财务报表数据。同时，在“第三节公司业务概要”及“第四节经 营情况讨论与分析”是针对重组置入的泰森控股及其子公司的业务及经营情况进行介绍、讨论及分析。</w:t>
      </w:r>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57,482,698,073.15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48,101,154,759.50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38,911,141,418.02</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4,180,426,152.00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1,101,430,807.30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478,466,671.40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2,643,209,426.99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753,509,926.89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307,122,241.60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5,675,037,785.87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2,782,081,832.55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724,593,601.55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44,134,885,588.74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34,716,573,312.30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27,426,447,673.89</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20,511,767,666.96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13,695,736,209.49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14,437,076,775.25</w:t>
            </w:r>
          </w:p>
        </w:tc>
      </w:tr>
    </w:tbl>
    <w:p>
      <w:pPr>
        <w:widowControl w:val="0"/>
        <w:spacing w:after="659" w:line="1" w:lineRule="exact"/>
      </w:pPr>
    </w:p>
    <w:p>
      <w:pPr>
        <w:pStyle w:val="Style27"/>
        <w:keepNext/>
        <w:keepLines/>
        <w:widowControl w:val="0"/>
        <w:shd w:val="clear" w:color="auto" w:fill="auto"/>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七</w:t>
      </w:r>
      <w:bookmarkEnd w:id="46"/>
      <w:r>
        <w:rPr>
          <w:color w:val="000000"/>
          <w:spacing w:val="0"/>
          <w:w w:val="100"/>
          <w:position w:val="0"/>
          <w:sz w:val="24"/>
          <w:szCs w:val="24"/>
        </w:rPr>
        <w:t>、境内外会计准则下会计数据差异</w:t>
      </w:r>
      <w:bookmarkEnd w:id="44"/>
      <w:bookmarkEnd w:id="45"/>
      <w:bookmarkEnd w:id="47"/>
    </w:p>
    <w:p>
      <w:pPr>
        <w:pStyle w:val="Style33"/>
        <w:keepNext w:val="0"/>
        <w:keepLines w:val="0"/>
        <w:widowControl w:val="0"/>
        <w:shd w:val="clear" w:color="auto" w:fill="auto"/>
        <w:bidi w:val="0"/>
        <w:spacing w:before="0" w:after="360" w:line="240" w:lineRule="auto"/>
        <w:ind w:left="0" w:right="0" w:firstLine="0"/>
        <w:jc w:val="both"/>
      </w:pPr>
      <w:bookmarkStart w:id="48" w:name="bookmark48"/>
      <w:r>
        <w:rPr>
          <w:rFonts w:ascii="Times New Roman" w:eastAsia="Times New Roman" w:hAnsi="Times New Roman" w:cs="Times New Roman"/>
          <w:color w:val="000000"/>
          <w:spacing w:val="0"/>
          <w:w w:val="100"/>
          <w:position w:val="0"/>
        </w:rPr>
        <w:t>1</w:t>
      </w:r>
      <w:bookmarkEnd w:id="48"/>
      <w:r>
        <w:rPr>
          <w:color w:val="000000"/>
          <w:spacing w:val="0"/>
          <w:w w:val="100"/>
          <w:position w:val="0"/>
        </w:rPr>
        <w:t>、同时按照国际会计准则与按照中国会计准则披露的财务报告中净利润和净资产差异情况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49" w:name="bookmark49"/>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50" w:name="bookmark50"/>
      <w:r>
        <w:rPr>
          <w:rFonts w:ascii="Times New Roman" w:eastAsia="Times New Roman" w:hAnsi="Times New Roman" w:cs="Times New Roman"/>
          <w:color w:val="000000"/>
          <w:spacing w:val="0"/>
          <w:w w:val="100"/>
          <w:position w:val="0"/>
        </w:rPr>
        <w:t>3</w:t>
      </w:r>
      <w:bookmarkEnd w:id="50"/>
      <w:r>
        <w:rPr>
          <w:color w:val="000000"/>
          <w:spacing w:val="0"/>
          <w:w w:val="100"/>
          <w:position w:val="0"/>
        </w:rPr>
        <w:t>、</w:t>
        <w:tab/>
        <w:t>境内外会计准则下会计数据差异原因说明</w:t>
      </w:r>
    </w:p>
    <w:p>
      <w:pPr>
        <w:pStyle w:val="Style11"/>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、分季度主要财务指标</w:t>
      </w:r>
      <w:bookmarkEnd w:id="51"/>
      <w:bookmarkEnd w:id="52"/>
      <w:bookmarkEnd w:id="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12,322,313,859.35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13,764,746,136.25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14,362,251,743.92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17,033,386,333.63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680,135,909.10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1,072,489,909.46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1,537,466,553.52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890,333,779.92</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707,096,165.08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990,873,485.34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203,461,750.38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741,778,026.19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926,581,717.64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2,089,980,699.42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1,224,552,805.57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1,433,922,563.24</w:t>
            </w:r>
          </w:p>
        </w:tc>
      </w:tr>
    </w:tbl>
    <w:p>
      <w:pPr>
        <w:widowControl w:val="0"/>
        <w:spacing w:after="139" w:line="1" w:lineRule="exact"/>
      </w:pPr>
    </w:p>
    <w:p>
      <w:pPr>
        <w:pStyle w:val="Style11"/>
        <w:keepNext w:val="0"/>
        <w:keepLines w:val="0"/>
        <w:widowControl w:val="0"/>
        <w:shd w:val="clear" w:color="auto" w:fill="auto"/>
        <w:bidi w:val="0"/>
        <w:spacing w:before="0" w:after="820" w:line="466" w:lineRule="exact"/>
        <w:ind w:left="0" w:right="0" w:firstLine="0"/>
        <w:jc w:val="left"/>
      </w:pPr>
      <w:r>
        <w:rPr>
          <w:color w:val="000000"/>
          <w:spacing w:val="0"/>
          <w:w w:val="100"/>
          <w:position w:val="0"/>
        </w:rPr>
        <w:t>由于快递物流行业本身具有一定的季节性特征，加之公司策略性加大了部分网点、线路及新业务等的前置性资源投入，共同 导致了各季度间业绩数据有一定波动。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九</w:t>
      </w:r>
      <w:bookmarkEnd w:id="57"/>
      <w:r>
        <w:rPr>
          <w:color w:val="000000"/>
          <w:spacing w:val="0"/>
          <w:w w:val="100"/>
          <w:position w:val="0"/>
          <w:sz w:val="24"/>
          <w:szCs w:val="24"/>
        </w:rPr>
        <w:t>、非经常性损益项目及金额</w:t>
      </w:r>
      <w:bookmarkEnd w:id="55"/>
      <w:bookmarkEnd w:id="56"/>
      <w:bookmarkEnd w:id="58"/>
    </w:p>
    <w:p>
      <w:pPr>
        <w:pStyle w:val="Style11"/>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47,876,538.23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-12,619,915.69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1,356,500.52</w:t>
            </w:r>
          </w:p>
        </w:tc>
        <w:tc>
          <w:tcPr>
            <w:tcBorders>
              <w:top w:val="single" w:sz="4"/>
              <w:left w:val="single" w:sz="4"/>
              <w:right w:val="single" w:sz="4"/>
            </w:tcBorders>
            <w:shd w:val="clear" w:color="auto" w:fill="D4D4D4"/>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266,016,957.54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288,169,008.14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194,264,308.64</w:t>
            </w:r>
          </w:p>
        </w:tc>
        <w:tc>
          <w:tcPr>
            <w:tcBorders>
              <w:top w:val="single" w:sz="4"/>
              <w:left w:val="single" w:sz="4"/>
              <w:right w:val="single" w:sz="4"/>
            </w:tcBorders>
            <w:shd w:val="clear" w:color="auto" w:fill="D4D4D4"/>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1,232,938,035.11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详见第十一节财务 报告附注五（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65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-11,479,580.98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149,998,963.47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-3,643,935.26</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44,978,514.33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25,058,217.58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21,883,266.80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833,098.75</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5,184,650.70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12,545,019.80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35,861,675.11</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72,736,098.78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107,268,960.92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57,341,183.00</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620,508.72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4,786,501.19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-13,965.04</w:t>
            </w: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1,537,216,725.01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347,920,880.41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171,344,429.80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11"/>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11"/>
        <w:keepNext w:val="0"/>
        <w:keepLines w:val="0"/>
        <w:widowControl w:val="0"/>
        <w:shd w:val="clear" w:color="auto" w:fill="auto"/>
        <w:bidi w:val="0"/>
        <w:spacing w:before="0" w:after="0" w:line="4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470" w:lineRule="exact"/>
        <w:ind w:left="0" w:right="0" w:firstLine="0"/>
        <w:jc w:val="both"/>
        <w:sectPr>
          <w:footnotePr>
            <w:pos w:val="pageBottom"/>
            <w:numFmt w:val="decimal"/>
            <w:numRestart w:val="continuous"/>
          </w:footnotePr>
          <w:pgSz w:w="11900" w:h="16840"/>
          <w:pgMar w:top="1311" w:right="1022" w:bottom="1637" w:left="9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8"/>
        <w:keepNext/>
        <w:keepLines/>
        <w:widowControl w:val="0"/>
        <w:shd w:val="clear" w:color="auto" w:fill="auto"/>
        <w:bidi w:val="0"/>
        <w:spacing w:before="620" w:after="56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27"/>
        <w:keepNext/>
        <w:keepLines/>
        <w:widowControl w:val="0"/>
        <w:shd w:val="clear" w:color="auto" w:fill="auto"/>
        <w:bidi w:val="0"/>
        <w:spacing w:before="0" w:after="140" w:line="240" w:lineRule="auto"/>
        <w:ind w:left="0" w:right="0" w:firstLine="0"/>
        <w:jc w:val="left"/>
      </w:pPr>
      <w:bookmarkStart w:id="62" w:name="bookmark62"/>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、报告期内公司从事的主要业务</w:t>
      </w:r>
      <w:bookmarkEnd w:id="63"/>
      <w:bookmarkEnd w:id="64"/>
      <w:bookmarkEnd w:id="66"/>
      <w:bookmarkEnd w:id="62"/>
    </w:p>
    <w:p>
      <w:pPr>
        <w:pStyle w:val="Style11"/>
        <w:keepNext w:val="0"/>
        <w:keepLines w:val="0"/>
        <w:widowControl w:val="0"/>
        <w:numPr>
          <w:ilvl w:val="0"/>
          <w:numId w:val="1"/>
        </w:numPr>
        <w:shd w:val="clear" w:color="auto" w:fill="auto"/>
        <w:tabs>
          <w:tab w:pos="487" w:val="left"/>
        </w:tabs>
        <w:bidi w:val="0"/>
        <w:spacing w:before="0" w:line="470" w:lineRule="exact"/>
        <w:ind w:left="0" w:right="0" w:firstLine="0"/>
        <w:jc w:val="left"/>
      </w:pPr>
      <w:bookmarkStart w:id="67" w:name="bookmark67"/>
      <w:bookmarkEnd w:id="67"/>
      <w:r>
        <w:rPr>
          <w:b/>
          <w:bCs/>
          <w:color w:val="000000"/>
          <w:spacing w:val="0"/>
          <w:w w:val="100"/>
          <w:position w:val="0"/>
        </w:rPr>
        <w:t>报告期内公司从事的主要业务、产品及其用途，经营模式等</w:t>
      </w:r>
    </w:p>
    <w:p>
      <w:pPr>
        <w:pStyle w:val="Style11"/>
        <w:keepNext w:val="0"/>
        <w:keepLines w:val="0"/>
        <w:widowControl w:val="0"/>
        <w:shd w:val="clear" w:color="auto" w:fill="auto"/>
        <w:bidi w:val="0"/>
        <w:spacing w:before="0" w:line="468" w:lineRule="exact"/>
        <w:ind w:left="0" w:right="0"/>
        <w:jc w:val="both"/>
      </w:pPr>
      <w:r>
        <w:rPr>
          <w:b/>
          <w:bCs/>
          <w:color w:val="000000"/>
          <w:spacing w:val="0"/>
          <w:w w:val="100"/>
          <w:position w:val="0"/>
        </w:rPr>
        <w:t>顺丰控股系国内领先的快递物流综合服务提供商</w:t>
      </w:r>
      <w:r>
        <w:rPr>
          <w:color w:val="000000"/>
          <w:spacing w:val="0"/>
          <w:w w:val="100"/>
          <w:position w:val="0"/>
        </w:rPr>
        <w:t>。物流综合服务能力是行业未来的核心竞争力，服务体系越完整，整体 供应链的效率越高，可持续发展能力就越强。经过多年发展，顺丰控股已初步建立为客户提供一体化综合物流解决方案的能 力，不仅提供配送端的高质量物流服务，还延伸至价值链前端的产、供、销、配等环节，以客户需求出发，利用大数据分析 和云计算技术，为客户提供仓储管理、销售预测、大数据分析、结算管理等一体化的综合物流服务。其中：公司的物流产品 主要包含：商务快递、电商快递、仓储配送、国际快递等多种快递服务，物流普运、重货快运等重货运输服务，以及为食品 和医药领域的客户提供冷链运输服务。此外，顺丰控股还提供保价、代收货款等增值服务，以满足客户个性化需求。</w:t>
      </w:r>
    </w:p>
    <w:p>
      <w:pPr>
        <w:pStyle w:val="Style11"/>
        <w:keepNext w:val="0"/>
        <w:keepLines w:val="0"/>
        <w:widowControl w:val="0"/>
        <w:shd w:val="clear" w:color="auto" w:fill="auto"/>
        <w:bidi w:val="0"/>
        <w:spacing w:before="0" w:line="470" w:lineRule="exact"/>
        <w:ind w:left="0" w:right="0"/>
        <w:jc w:val="both"/>
      </w:pPr>
      <w:r>
        <w:rPr>
          <w:b/>
          <w:bCs/>
          <w:color w:val="000000"/>
          <w:spacing w:val="0"/>
          <w:w w:val="100"/>
          <w:position w:val="0"/>
        </w:rPr>
        <w:t>顺丰控股同时还是一家具有网络规模优势的智能物流运营商。</w:t>
      </w:r>
      <w:r>
        <w:rPr>
          <w:color w:val="000000"/>
          <w:spacing w:val="0"/>
          <w:w w:val="100"/>
          <w:position w:val="0"/>
        </w:rPr>
        <w:t>顺丰控股拥有通达国内外的庞大物流网络，包括航空网络、 分点部网络、地面运输网络、中转场网络、客服呼叫网络、产业园网络等等，拥有显著规模优势。同时，公司一贯重视</w:t>
      </w:r>
      <w:r>
        <w:rPr>
          <w:color w:val="000000"/>
          <w:spacing w:val="0"/>
          <w:w w:val="100"/>
          <w:position w:val="0"/>
          <w:sz w:val="18"/>
          <w:szCs w:val="18"/>
        </w:rPr>
        <w:t>IT</w:t>
      </w:r>
      <w:r>
        <w:rPr>
          <w:color w:val="000000"/>
          <w:spacing w:val="0"/>
          <w:w w:val="100"/>
          <w:position w:val="0"/>
        </w:rPr>
        <w:t>资 源投入，不断提升物流运营和内部管理的智能化水平，是一家具有“天网+地网+信息网”核心竞争力的智能物流公司。</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业务经营模式方面，顺丰控股采用直营的经营模式，由总部对各分支机构实施统一经营、统一管理，在开展业务的范围 内统一组织揽收投递网络和集散处理、运输网络，并根据业务发展的实际需求自主调配网络资源；同时，顺丰控股大量运用 信息技术保障全网执行统一规范，建立多个行业领先的业务信息系统，提升了网络整体运营质量。</w:t>
      </w:r>
    </w:p>
    <w:p>
      <w:pPr>
        <w:pStyle w:val="Style11"/>
        <w:keepNext w:val="0"/>
        <w:keepLines w:val="0"/>
        <w:widowControl w:val="0"/>
        <w:numPr>
          <w:ilvl w:val="0"/>
          <w:numId w:val="1"/>
        </w:numPr>
        <w:shd w:val="clear" w:color="auto" w:fill="auto"/>
        <w:tabs>
          <w:tab w:pos="487" w:val="left"/>
        </w:tabs>
        <w:bidi w:val="0"/>
        <w:spacing w:before="0" w:line="470" w:lineRule="exact"/>
        <w:ind w:left="0" w:right="0" w:firstLine="0"/>
        <w:jc w:val="left"/>
      </w:pPr>
      <w:bookmarkStart w:id="68" w:name="bookmark68"/>
      <w:bookmarkEnd w:id="68"/>
      <w:r>
        <w:rPr>
          <w:b/>
          <w:bCs/>
          <w:color w:val="000000"/>
          <w:spacing w:val="0"/>
          <w:w w:val="100"/>
          <w:position w:val="0"/>
        </w:rPr>
        <w:t>行业发展阶段、周期性特点以及公司所处行业地位</w:t>
      </w:r>
    </w:p>
    <w:p>
      <w:pPr>
        <w:pStyle w:val="Style11"/>
        <w:keepNext w:val="0"/>
        <w:keepLines w:val="0"/>
        <w:widowControl w:val="0"/>
        <w:shd w:val="clear" w:color="auto" w:fill="auto"/>
        <w:bidi w:val="0"/>
        <w:spacing w:before="0" w:line="470" w:lineRule="exact"/>
        <w:ind w:left="0" w:right="0"/>
        <w:jc w:val="both"/>
      </w:pPr>
      <w:r>
        <w:rPr>
          <w:b/>
          <w:bCs/>
          <w:color w:val="000000"/>
          <w:spacing w:val="0"/>
          <w:w w:val="100"/>
          <w:position w:val="0"/>
        </w:rPr>
        <w:t>物流行业政策红利密集出台：</w:t>
      </w:r>
    </w:p>
    <w:p>
      <w:pPr>
        <w:pStyle w:val="Style11"/>
        <w:keepNext w:val="0"/>
        <w:keepLines w:val="0"/>
        <w:widowControl w:val="0"/>
        <w:shd w:val="clear" w:color="auto" w:fill="auto"/>
        <w:bidi w:val="0"/>
        <w:spacing w:before="0" w:line="471"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4</w:t>
      </w:r>
      <w:r>
        <w:rPr>
          <w:color w:val="000000"/>
          <w:spacing w:val="0"/>
          <w:w w:val="100"/>
          <w:position w:val="0"/>
        </w:rPr>
        <w:t>日，国务院正式印发《物流业发展中长期规划</w:t>
      </w:r>
      <w:r>
        <w:rPr>
          <w:color w:val="000000"/>
          <w:spacing w:val="0"/>
          <w:w w:val="100"/>
          <w:position w:val="0"/>
          <w:sz w:val="18"/>
          <w:szCs w:val="18"/>
        </w:rPr>
        <w:t>(2014-2020)</w:t>
      </w:r>
      <w:r>
        <w:rPr>
          <w:color w:val="000000"/>
          <w:spacing w:val="0"/>
          <w:w w:val="100"/>
          <w:position w:val="0"/>
        </w:rPr>
        <w:t>年》，进一步明确了物流行业的发展方向。《物 流业发展中长期规划</w:t>
      </w:r>
      <w:r>
        <w:rPr>
          <w:color w:val="000000"/>
          <w:spacing w:val="0"/>
          <w:w w:val="100"/>
          <w:position w:val="0"/>
          <w:sz w:val="18"/>
          <w:szCs w:val="18"/>
        </w:rPr>
        <w:t>(</w:t>
      </w:r>
      <w:r>
        <w:rPr>
          <w:color w:val="000000"/>
          <w:spacing w:val="0"/>
          <w:w w:val="100"/>
          <w:position w:val="0"/>
          <w:sz w:val="18"/>
          <w:szCs w:val="18"/>
        </w:rPr>
        <w:t>2014-2020)</w:t>
      </w:r>
      <w:r>
        <w:rPr>
          <w:color w:val="000000"/>
          <w:spacing w:val="0"/>
          <w:w w:val="100"/>
          <w:position w:val="0"/>
        </w:rPr>
        <w:t>年》明确指出要基本建立布局合理、技术先进、便捷高效、绿色环保、安全有序的现代物 流服务体系，物流的社会化、专业化水平进一步提升，物流企业竞争力显著增强，物流基础设施及运作方式衔接更加顺畅， 物流整体运行效率显着提高，全社会物流总费用与国内生产总值的比率由</w:t>
      </w:r>
      <w:r>
        <w:rPr>
          <w:color w:val="000000"/>
          <w:spacing w:val="0"/>
          <w:w w:val="100"/>
          <w:position w:val="0"/>
          <w:sz w:val="18"/>
          <w:szCs w:val="18"/>
        </w:rPr>
        <w:t>2013</w:t>
      </w:r>
      <w:r>
        <w:rPr>
          <w:color w:val="000000"/>
          <w:spacing w:val="0"/>
          <w:w w:val="100"/>
          <w:position w:val="0"/>
        </w:rPr>
        <w:t>年的</w:t>
      </w:r>
      <w:r>
        <w:rPr>
          <w:color w:val="000000"/>
          <w:spacing w:val="0"/>
          <w:w w:val="100"/>
          <w:position w:val="0"/>
          <w:sz w:val="18"/>
          <w:szCs w:val="18"/>
        </w:rPr>
        <w:t>18%</w:t>
      </w:r>
      <w:r>
        <w:rPr>
          <w:color w:val="000000"/>
          <w:spacing w:val="0"/>
          <w:w w:val="100"/>
          <w:position w:val="0"/>
        </w:rPr>
        <w:t>下降到</w:t>
      </w:r>
      <w:r>
        <w:rPr>
          <w:color w:val="000000"/>
          <w:spacing w:val="0"/>
          <w:w w:val="100"/>
          <w:position w:val="0"/>
          <w:sz w:val="18"/>
          <w:szCs w:val="18"/>
        </w:rPr>
        <w:t>2016</w:t>
      </w:r>
      <w:r>
        <w:rPr>
          <w:color w:val="000000"/>
          <w:spacing w:val="0"/>
          <w:w w:val="100"/>
          <w:position w:val="0"/>
        </w:rPr>
        <w:t>年的</w:t>
      </w:r>
      <w:r>
        <w:rPr>
          <w:color w:val="000000"/>
          <w:spacing w:val="0"/>
          <w:w w:val="100"/>
          <w:position w:val="0"/>
          <w:sz w:val="18"/>
          <w:szCs w:val="18"/>
        </w:rPr>
        <w:t>15%</w:t>
      </w:r>
      <w:r>
        <w:rPr>
          <w:color w:val="000000"/>
          <w:spacing w:val="0"/>
          <w:w w:val="100"/>
          <w:position w:val="0"/>
        </w:rPr>
        <w:t>左右，物流业对 国民经济的支撑和保障能力进一步增强;物流业增加值年均增长</w:t>
      </w:r>
      <w:r>
        <w:rPr>
          <w:color w:val="000000"/>
          <w:spacing w:val="0"/>
          <w:w w:val="100"/>
          <w:position w:val="0"/>
          <w:sz w:val="18"/>
          <w:szCs w:val="18"/>
        </w:rPr>
        <w:t>8%</w:t>
      </w:r>
      <w:r>
        <w:rPr>
          <w:color w:val="000000"/>
          <w:spacing w:val="0"/>
          <w:w w:val="100"/>
          <w:position w:val="0"/>
        </w:rPr>
        <w:t>左右，物流业增加值占国内生产总值的比重达到</w:t>
      </w:r>
      <w:r>
        <w:rPr>
          <w:color w:val="000000"/>
          <w:spacing w:val="0"/>
          <w:w w:val="100"/>
          <w:position w:val="0"/>
          <w:sz w:val="18"/>
          <w:szCs w:val="18"/>
        </w:rPr>
        <w:t>7.5%</w:t>
      </w:r>
      <w:r>
        <w:rPr>
          <w:color w:val="000000"/>
          <w:spacing w:val="0"/>
          <w:w w:val="100"/>
          <w:position w:val="0"/>
        </w:rPr>
        <w:t>左右， 第三方物流比重明显提高。</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月，国务院印发《关于促进快递业发展的若干意见》，提出了促进快递业发展的总体要求、重点任务和政策措 施，这是国务院出台的第一部全面指导快递业发展的纲领性文件。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月，第十二届全国人民代表大会第四次会议开幕， </w:t>
      </w:r>
      <w:r>
        <w:rPr>
          <w:color w:val="000000"/>
          <w:spacing w:val="0"/>
          <w:w w:val="100"/>
          <w:position w:val="0"/>
        </w:rPr>
        <w:t>国务院总理李克强作政府工作报告时指出，要完善物流配送网络，促进快递业健康发展。快递业是现代服务业的重要组成部 分，是推动流通方式转型的现代化先导性产业。促进快递业发展，能进一步搞活流通、拉动内需，培育现代服务业新增长点， 更好发挥快递业对稳增长、促改革、调结构、惠民生的作用。与此同时，全国各省、市、自治区纷纷出台政策鼓励大力发展 快递业。</w:t>
      </w:r>
    </w:p>
    <w:p>
      <w:pPr>
        <w:pStyle w:val="Style11"/>
        <w:keepNext w:val="0"/>
        <w:keepLines w:val="0"/>
        <w:widowControl w:val="0"/>
        <w:shd w:val="clear" w:color="auto" w:fill="auto"/>
        <w:bidi w:val="0"/>
        <w:spacing w:before="0" w:after="0" w:line="479"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日，新华社受权播发《中华人民共和国国民经济和社会发展第十三个五年规划纲要》（以下简称“十三五规 划纲要”），十三五规划纲要提出要加强物流基础设施建设，大力发展第三方物流和绿色物流、冷链物流、城乡配送。</w:t>
      </w:r>
    </w:p>
    <w:p>
      <w:pPr>
        <w:pStyle w:val="Style11"/>
        <w:keepNext w:val="0"/>
        <w:keepLines w:val="0"/>
        <w:widowControl w:val="0"/>
        <w:shd w:val="clear" w:color="auto" w:fill="auto"/>
        <w:bidi w:val="0"/>
        <w:spacing w:before="0" w:after="0" w:line="479" w:lineRule="exact"/>
        <w:ind w:left="0" w:right="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日，国家邮政局发布了《快递业发展“十三五”规划》（以下简称《规划》）。《规划》明确了 “十三五”时 期我国快递业发展的总体目标：到</w:t>
      </w:r>
      <w:r>
        <w:rPr>
          <w:color w:val="000000"/>
          <w:spacing w:val="0"/>
          <w:w w:val="100"/>
          <w:position w:val="0"/>
          <w:sz w:val="18"/>
          <w:szCs w:val="18"/>
        </w:rPr>
        <w:t>2020</w:t>
      </w:r>
      <w:r>
        <w:rPr>
          <w:color w:val="000000"/>
          <w:spacing w:val="0"/>
          <w:w w:val="100"/>
          <w:position w:val="0"/>
        </w:rPr>
        <w:t>年，基本建成普惠城乡、技术先进、服务优质、安全高效、绿色节能的快递服务体系， 形成覆盖全国、联通国际的服务网络。同时《规划》布置了七项任务和九大工程。</w:t>
      </w:r>
      <w:r>
        <w:rPr>
          <w:b/>
          <w:bCs/>
          <w:color w:val="000000"/>
          <w:spacing w:val="0"/>
          <w:w w:val="100"/>
          <w:position w:val="0"/>
        </w:rPr>
        <w:t>七项任务中，首当其冲的就是：积极打造</w:t>
      </w:r>
    </w:p>
    <w:p>
      <w:pPr>
        <w:pStyle w:val="Style11"/>
        <w:keepNext w:val="0"/>
        <w:keepLines w:val="0"/>
        <w:widowControl w:val="0"/>
        <w:shd w:val="clear" w:color="auto" w:fill="auto"/>
        <w:bidi w:val="0"/>
        <w:spacing w:before="0" w:after="0" w:line="479" w:lineRule="exact"/>
        <w:ind w:left="0" w:right="0" w:firstLine="0"/>
        <w:jc w:val="both"/>
      </w:pPr>
      <w:r>
        <w:rPr>
          <w:b/>
          <w:bCs/>
          <w:color w:val="000000"/>
          <w:spacing w:val="0"/>
          <w:w w:val="100"/>
          <w:position w:val="0"/>
        </w:rPr>
        <w:t>“快递航母"，到2020年，形成</w:t>
      </w:r>
      <w:r>
        <w:rPr>
          <w:b/>
          <w:bCs/>
          <w:color w:val="000000"/>
          <w:spacing w:val="0"/>
          <w:w w:val="100"/>
          <w:position w:val="0"/>
        </w:rPr>
        <w:t>3-4</w:t>
      </w:r>
      <w:r>
        <w:rPr>
          <w:b/>
          <w:bCs/>
          <w:color w:val="000000"/>
          <w:spacing w:val="0"/>
          <w:w w:val="100"/>
          <w:position w:val="0"/>
        </w:rPr>
        <w:t>家年业务量超百亿件或年业务收入超千亿元的快递企业集团，培育2个以上具有国际竞争 力和良好商誉度的世界知名快递品牌</w:t>
      </w:r>
      <w:r>
        <w:rPr>
          <w:color w:val="000000"/>
          <w:spacing w:val="0"/>
          <w:w w:val="100"/>
          <w:position w:val="0"/>
        </w:rPr>
        <w:t>。</w:t>
      </w:r>
    </w:p>
    <w:p>
      <w:pPr>
        <w:pStyle w:val="Style11"/>
        <w:keepNext w:val="0"/>
        <w:keepLines w:val="0"/>
        <w:widowControl w:val="0"/>
        <w:shd w:val="clear" w:color="auto" w:fill="auto"/>
        <w:bidi w:val="0"/>
        <w:spacing w:before="0" w:line="470" w:lineRule="exact"/>
        <w:ind w:left="0" w:right="0"/>
        <w:jc w:val="both"/>
      </w:pPr>
      <w:r>
        <w:rPr>
          <w:b/>
          <w:bCs/>
          <w:color w:val="000000"/>
          <w:spacing w:val="0"/>
          <w:w w:val="100"/>
          <w:position w:val="0"/>
        </w:rPr>
        <w:t>快递行业持续高速增长：</w:t>
      </w:r>
    </w:p>
    <w:p>
      <w:pPr>
        <w:pStyle w:val="Style11"/>
        <w:keepNext w:val="0"/>
        <w:keepLines w:val="0"/>
        <w:widowControl w:val="0"/>
        <w:shd w:val="clear" w:color="auto" w:fill="auto"/>
        <w:bidi w:val="0"/>
        <w:spacing w:before="0" w:line="464" w:lineRule="exact"/>
        <w:ind w:left="0" w:right="0"/>
        <w:jc w:val="both"/>
      </w:pPr>
      <w:r>
        <w:rPr>
          <w:color w:val="000000"/>
          <w:spacing w:val="0"/>
          <w:w w:val="100"/>
          <w:position w:val="0"/>
        </w:rPr>
        <w:t>随着政策和制度红利的大规模释放，以及移动互联网的发展、城镇化的推进、基础交通设施的建设和消费升级共同推动 了快递行业的发展。国家邮政局数据显示，</w:t>
      </w:r>
      <w:r>
        <w:rPr>
          <w:color w:val="000000"/>
          <w:spacing w:val="0"/>
          <w:w w:val="100"/>
          <w:position w:val="0"/>
          <w:sz w:val="18"/>
          <w:szCs w:val="18"/>
        </w:rPr>
        <w:t>2016</w:t>
      </w:r>
      <w:r>
        <w:rPr>
          <w:color w:val="000000"/>
          <w:spacing w:val="0"/>
          <w:w w:val="100"/>
          <w:position w:val="0"/>
        </w:rPr>
        <w:t>年，中国快递业务量达到</w:t>
      </w:r>
      <w:r>
        <w:rPr>
          <w:color w:val="000000"/>
          <w:spacing w:val="0"/>
          <w:w w:val="100"/>
          <w:position w:val="0"/>
          <w:sz w:val="18"/>
          <w:szCs w:val="18"/>
        </w:rPr>
        <w:t>312.8</w:t>
      </w:r>
      <w:r>
        <w:rPr>
          <w:color w:val="000000"/>
          <w:spacing w:val="0"/>
          <w:w w:val="100"/>
          <w:position w:val="0"/>
        </w:rPr>
        <w:t>亿件，同比增长</w:t>
      </w:r>
      <w:r>
        <w:rPr>
          <w:color w:val="000000"/>
          <w:spacing w:val="0"/>
          <w:w w:val="100"/>
          <w:position w:val="0"/>
          <w:sz w:val="18"/>
          <w:szCs w:val="18"/>
        </w:rPr>
        <w:t>51.4%，</w:t>
      </w:r>
      <w:r>
        <w:rPr>
          <w:color w:val="000000"/>
          <w:spacing w:val="0"/>
          <w:w w:val="100"/>
          <w:position w:val="0"/>
          <w:sz w:val="18"/>
          <w:szCs w:val="18"/>
        </w:rPr>
        <w:t>2011-2016</w:t>
      </w:r>
      <w:r>
        <w:rPr>
          <w:color w:val="000000"/>
          <w:spacing w:val="0"/>
          <w:w w:val="100"/>
          <w:position w:val="0"/>
        </w:rPr>
        <w:t>年的复 合增速为</w:t>
      </w:r>
      <w:r>
        <w:rPr>
          <w:color w:val="000000"/>
          <w:spacing w:val="0"/>
          <w:w w:val="100"/>
          <w:position w:val="0"/>
          <w:sz w:val="18"/>
          <w:szCs w:val="18"/>
        </w:rPr>
        <w:t>53.5%；</w:t>
      </w:r>
      <w:r>
        <w:rPr>
          <w:color w:val="000000"/>
          <w:spacing w:val="0"/>
          <w:w w:val="100"/>
          <w:position w:val="0"/>
        </w:rPr>
        <w:t>收入规模达到</w:t>
      </w:r>
      <w:r>
        <w:rPr>
          <w:color w:val="000000"/>
          <w:spacing w:val="0"/>
          <w:w w:val="100"/>
          <w:position w:val="0"/>
          <w:sz w:val="18"/>
          <w:szCs w:val="18"/>
        </w:rPr>
        <w:t xml:space="preserve">3, </w:t>
      </w:r>
      <w:r>
        <w:rPr>
          <w:color w:val="000000"/>
          <w:spacing w:val="0"/>
          <w:w w:val="100"/>
          <w:position w:val="0"/>
          <w:sz w:val="18"/>
          <w:szCs w:val="18"/>
        </w:rPr>
        <w:t xml:space="preserve">974. </w:t>
      </w:r>
      <w:r>
        <w:rPr>
          <w:color w:val="000000"/>
          <w:spacing w:val="0"/>
          <w:w w:val="100"/>
          <w:position w:val="0"/>
          <w:sz w:val="18"/>
          <w:szCs w:val="18"/>
        </w:rPr>
        <w:t>4</w:t>
      </w:r>
      <w:r>
        <w:rPr>
          <w:color w:val="000000"/>
          <w:spacing w:val="0"/>
          <w:w w:val="100"/>
          <w:position w:val="0"/>
        </w:rPr>
        <w:t>亿元，同比增长</w:t>
      </w:r>
      <w:r>
        <w:rPr>
          <w:color w:val="000000"/>
          <w:spacing w:val="0"/>
          <w:w w:val="100"/>
          <w:position w:val="0"/>
          <w:sz w:val="18"/>
          <w:szCs w:val="18"/>
        </w:rPr>
        <w:t xml:space="preserve">43. </w:t>
      </w:r>
      <w:r>
        <w:rPr>
          <w:color w:val="000000"/>
          <w:spacing w:val="0"/>
          <w:w w:val="100"/>
          <w:position w:val="0"/>
          <w:sz w:val="18"/>
          <w:szCs w:val="18"/>
        </w:rPr>
        <w:t>5%，</w:t>
      </w:r>
      <w:r>
        <w:rPr>
          <w:color w:val="000000"/>
          <w:spacing w:val="0"/>
          <w:w w:val="100"/>
          <w:position w:val="0"/>
          <w:sz w:val="18"/>
          <w:szCs w:val="18"/>
        </w:rPr>
        <w:t>2011-2016</w:t>
      </w:r>
      <w:r>
        <w:rPr>
          <w:color w:val="000000"/>
          <w:spacing w:val="0"/>
          <w:w w:val="100"/>
          <w:position w:val="0"/>
        </w:rPr>
        <w:t>年的复合增速为</w:t>
      </w:r>
      <w:r>
        <w:rPr>
          <w:color w:val="000000"/>
          <w:spacing w:val="0"/>
          <w:w w:val="100"/>
          <w:position w:val="0"/>
          <w:sz w:val="18"/>
          <w:szCs w:val="18"/>
        </w:rPr>
        <w:t>39.3%</w:t>
      </w:r>
      <w:r>
        <w:rPr>
          <w:color w:val="000000"/>
          <w:spacing w:val="0"/>
          <w:w w:val="100"/>
          <w:position w:val="0"/>
        </w:rPr>
        <w:t>。快递行业持续展示出强 大的活力，可以预计：快递行业在十三五期间将继续保持</w:t>
      </w:r>
      <w:r>
        <w:rPr>
          <w:color w:val="000000"/>
          <w:spacing w:val="0"/>
          <w:w w:val="100"/>
          <w:position w:val="0"/>
          <w:sz w:val="18"/>
          <w:szCs w:val="18"/>
        </w:rPr>
        <w:t>30%</w:t>
      </w:r>
      <w:r>
        <w:rPr>
          <w:color w:val="000000"/>
          <w:spacing w:val="0"/>
          <w:w w:val="100"/>
          <w:position w:val="0"/>
        </w:rPr>
        <w:t>的收入增速规模。</w:t>
      </w:r>
    </w:p>
    <w:p>
      <w:pPr>
        <w:pStyle w:val="Style11"/>
        <w:keepNext w:val="0"/>
        <w:keepLines w:val="0"/>
        <w:widowControl w:val="0"/>
        <w:shd w:val="clear" w:color="auto" w:fill="auto"/>
        <w:bidi w:val="0"/>
        <w:spacing w:before="0" w:line="470" w:lineRule="exact"/>
        <w:ind w:left="0" w:right="0"/>
        <w:jc w:val="both"/>
      </w:pPr>
      <w:r>
        <w:rPr>
          <w:b/>
          <w:bCs/>
          <w:color w:val="000000"/>
          <w:spacing w:val="0"/>
          <w:w w:val="100"/>
          <w:position w:val="0"/>
        </w:rPr>
        <w:t>行业的区域性、季节性、资源分布等特征：</w:t>
      </w:r>
    </w:p>
    <w:p>
      <w:pPr>
        <w:pStyle w:val="Style11"/>
        <w:keepNext w:val="0"/>
        <w:keepLines w:val="0"/>
        <w:widowControl w:val="0"/>
        <w:shd w:val="clear" w:color="auto" w:fill="auto"/>
        <w:tabs>
          <w:tab w:pos="683" w:val="left"/>
        </w:tabs>
        <w:bidi w:val="0"/>
        <w:spacing w:before="0" w:line="470" w:lineRule="exact"/>
        <w:ind w:left="0" w:right="0"/>
        <w:jc w:val="both"/>
      </w:pPr>
      <w:bookmarkStart w:id="69" w:name="bookmark69"/>
      <w:r>
        <w:rPr>
          <w:color w:val="000000"/>
          <w:spacing w:val="0"/>
          <w:w w:val="100"/>
          <w:position w:val="0"/>
          <w:sz w:val="18"/>
          <w:szCs w:val="18"/>
        </w:rPr>
        <w:t>A</w:t>
      </w:r>
      <w:bookmarkEnd w:id="69"/>
      <w:r>
        <w:rPr>
          <w:color w:val="000000"/>
          <w:spacing w:val="0"/>
          <w:w w:val="100"/>
          <w:position w:val="0"/>
        </w:rPr>
        <w:t>、</w:t>
        <w:tab/>
      </w:r>
      <w:r>
        <w:rPr>
          <w:color w:val="000000"/>
          <w:spacing w:val="0"/>
          <w:w w:val="100"/>
          <w:position w:val="0"/>
        </w:rPr>
        <w:t>快递行业发展区域特征明显</w:t>
      </w:r>
    </w:p>
    <w:p>
      <w:pPr>
        <w:pStyle w:val="Style11"/>
        <w:keepNext w:val="0"/>
        <w:keepLines w:val="0"/>
        <w:widowControl w:val="0"/>
        <w:shd w:val="clear" w:color="auto" w:fill="auto"/>
        <w:bidi w:val="0"/>
        <w:spacing w:before="0" w:line="458" w:lineRule="exact"/>
        <w:ind w:left="0" w:right="0"/>
        <w:jc w:val="both"/>
      </w:pPr>
      <w:r>
        <w:rPr>
          <w:color w:val="000000"/>
          <w:spacing w:val="0"/>
          <w:w w:val="100"/>
          <w:position w:val="0"/>
        </w:rPr>
        <w:t>我国快递行业具有明显的区域性特征，由于经济发展水平的差距，快递业务主要集中于东部地区，中西部差距明显，中 西部地区仍存在较大的市场空间。根据国家邮政总局公布的统计数据，</w:t>
      </w:r>
      <w:r>
        <w:rPr>
          <w:color w:val="000000"/>
          <w:spacing w:val="0"/>
          <w:w w:val="100"/>
          <w:position w:val="0"/>
          <w:sz w:val="18"/>
          <w:szCs w:val="18"/>
        </w:rPr>
        <w:t>2016</w:t>
      </w:r>
      <w:r>
        <w:rPr>
          <w:color w:val="000000"/>
          <w:spacing w:val="0"/>
          <w:w w:val="100"/>
          <w:position w:val="0"/>
        </w:rPr>
        <w:t>年，我国东、中、西部地区快递业务收入的比重 分别为</w:t>
      </w:r>
      <w:r>
        <w:rPr>
          <w:color w:val="000000"/>
          <w:spacing w:val="0"/>
          <w:w w:val="100"/>
          <w:position w:val="0"/>
          <w:sz w:val="18"/>
          <w:szCs w:val="18"/>
        </w:rPr>
        <w:t>81.1%</w:t>
      </w:r>
      <w:r>
        <w:rPr>
          <w:color w:val="000000"/>
          <w:spacing w:val="0"/>
          <w:w w:val="100"/>
          <w:position w:val="0"/>
        </w:rPr>
        <w:t>、</w:t>
      </w:r>
      <w:r>
        <w:rPr>
          <w:color w:val="000000"/>
          <w:spacing w:val="0"/>
          <w:w w:val="100"/>
          <w:position w:val="0"/>
          <w:sz w:val="18"/>
          <w:szCs w:val="18"/>
        </w:rPr>
        <w:t xml:space="preserve">10. </w:t>
      </w:r>
      <w:r>
        <w:rPr>
          <w:color w:val="000000"/>
          <w:spacing w:val="0"/>
          <w:w w:val="100"/>
          <w:position w:val="0"/>
          <w:sz w:val="18"/>
          <w:szCs w:val="18"/>
        </w:rPr>
        <w:t>7%</w:t>
      </w:r>
      <w:r>
        <w:rPr>
          <w:color w:val="000000"/>
          <w:spacing w:val="0"/>
          <w:w w:val="100"/>
          <w:position w:val="0"/>
        </w:rPr>
        <w:t>和</w:t>
      </w:r>
      <w:r>
        <w:rPr>
          <w:color w:val="000000"/>
          <w:spacing w:val="0"/>
          <w:w w:val="100"/>
          <w:position w:val="0"/>
          <w:sz w:val="18"/>
          <w:szCs w:val="18"/>
        </w:rPr>
        <w:t xml:space="preserve">8. </w:t>
      </w:r>
      <w:r>
        <w:rPr>
          <w:color w:val="000000"/>
          <w:spacing w:val="0"/>
          <w:w w:val="100"/>
          <w:position w:val="0"/>
          <w:sz w:val="18"/>
          <w:szCs w:val="18"/>
        </w:rPr>
        <w:t>2%，</w:t>
      </w:r>
      <w:r>
        <w:rPr>
          <w:color w:val="000000"/>
          <w:spacing w:val="0"/>
          <w:w w:val="100"/>
          <w:position w:val="0"/>
        </w:rPr>
        <w:t>业务量比重分别为</w:t>
      </w:r>
      <w:r>
        <w:rPr>
          <w:color w:val="000000"/>
          <w:spacing w:val="0"/>
          <w:w w:val="100"/>
          <w:position w:val="0"/>
          <w:sz w:val="18"/>
          <w:szCs w:val="18"/>
        </w:rPr>
        <w:t>80.9%</w:t>
      </w:r>
      <w:r>
        <w:rPr>
          <w:color w:val="000000"/>
          <w:spacing w:val="0"/>
          <w:w w:val="100"/>
          <w:position w:val="0"/>
        </w:rPr>
        <w:t>、</w:t>
      </w:r>
      <w:r>
        <w:rPr>
          <w:color w:val="000000"/>
          <w:spacing w:val="0"/>
          <w:w w:val="100"/>
          <w:position w:val="0"/>
          <w:sz w:val="18"/>
          <w:szCs w:val="18"/>
        </w:rPr>
        <w:t xml:space="preserve">11. </w:t>
      </w:r>
      <w:r>
        <w:rPr>
          <w:color w:val="000000"/>
          <w:spacing w:val="0"/>
          <w:w w:val="100"/>
          <w:position w:val="0"/>
          <w:sz w:val="18"/>
          <w:szCs w:val="18"/>
        </w:rPr>
        <w:t>9%</w:t>
      </w:r>
      <w:r>
        <w:rPr>
          <w:color w:val="000000"/>
          <w:spacing w:val="0"/>
          <w:w w:val="100"/>
          <w:position w:val="0"/>
        </w:rPr>
        <w:t>和</w:t>
      </w:r>
      <w:r>
        <w:rPr>
          <w:color w:val="000000"/>
          <w:spacing w:val="0"/>
          <w:w w:val="100"/>
          <w:position w:val="0"/>
          <w:sz w:val="18"/>
          <w:szCs w:val="18"/>
        </w:rPr>
        <w:t>7.2%</w:t>
      </w:r>
      <w:r>
        <w:rPr>
          <w:color w:val="000000"/>
          <w:spacing w:val="0"/>
          <w:w w:val="100"/>
          <w:position w:val="0"/>
        </w:rPr>
        <w:t>。</w:t>
      </w:r>
    </w:p>
    <w:p>
      <w:pPr>
        <w:pStyle w:val="Style11"/>
        <w:keepNext w:val="0"/>
        <w:keepLines w:val="0"/>
        <w:widowControl w:val="0"/>
        <w:shd w:val="clear" w:color="auto" w:fill="auto"/>
        <w:tabs>
          <w:tab w:pos="683" w:val="left"/>
        </w:tabs>
        <w:bidi w:val="0"/>
        <w:spacing w:before="0" w:line="470" w:lineRule="exact"/>
        <w:ind w:left="0" w:right="0"/>
        <w:jc w:val="both"/>
      </w:pPr>
      <w:bookmarkStart w:id="70" w:name="bookmark70"/>
      <w:r>
        <w:rPr>
          <w:color w:val="000000"/>
          <w:spacing w:val="0"/>
          <w:w w:val="100"/>
          <w:position w:val="0"/>
          <w:sz w:val="18"/>
          <w:szCs w:val="18"/>
        </w:rPr>
        <w:t>B</w:t>
      </w:r>
      <w:bookmarkEnd w:id="70"/>
      <w:r>
        <w:rPr>
          <w:color w:val="000000"/>
          <w:spacing w:val="0"/>
          <w:w w:val="100"/>
          <w:position w:val="0"/>
        </w:rPr>
        <w:t>、</w:t>
        <w:tab/>
      </w:r>
      <w:r>
        <w:rPr>
          <w:color w:val="000000"/>
          <w:spacing w:val="0"/>
          <w:w w:val="100"/>
          <w:position w:val="0"/>
        </w:rPr>
        <w:t>快递行业具有较强的季节性</w:t>
      </w:r>
    </w:p>
    <w:p>
      <w:pPr>
        <w:pStyle w:val="Style11"/>
        <w:keepNext w:val="0"/>
        <w:keepLines w:val="0"/>
        <w:widowControl w:val="0"/>
        <w:shd w:val="clear" w:color="auto" w:fill="auto"/>
        <w:bidi w:val="0"/>
        <w:spacing w:before="0" w:line="463" w:lineRule="exact"/>
        <w:ind w:left="0" w:right="0"/>
        <w:jc w:val="both"/>
      </w:pPr>
      <w:r>
        <w:rPr>
          <w:color w:val="000000"/>
          <w:spacing w:val="0"/>
          <w:w w:val="100"/>
          <w:position w:val="0"/>
        </w:rPr>
        <w:t>快递行业的订单量呈现出很强的季节性特征，节日消费的季节性高峰以及每年第四季度社会贸易和运输业务高峰，形成 快递业务需求的旺季，对快递企业的峰值处理和投递能力提出了较高的要求。以</w:t>
      </w:r>
      <w:r>
        <w:rPr>
          <w:color w:val="000000"/>
          <w:spacing w:val="0"/>
          <w:w w:val="100"/>
          <w:position w:val="0"/>
          <w:sz w:val="18"/>
          <w:szCs w:val="18"/>
        </w:rPr>
        <w:t>2016</w:t>
      </w:r>
      <w:r>
        <w:rPr>
          <w:color w:val="000000"/>
          <w:spacing w:val="0"/>
          <w:w w:val="100"/>
          <w:position w:val="0"/>
        </w:rPr>
        <w:t>年为例，快递业务峰值</w:t>
      </w:r>
      <w:r>
        <w:rPr>
          <w:color w:val="000000"/>
          <w:spacing w:val="0"/>
          <w:w w:val="100"/>
          <w:position w:val="0"/>
          <w:sz w:val="18"/>
          <w:szCs w:val="18"/>
        </w:rPr>
        <w:t>11</w:t>
      </w:r>
      <w:r>
        <w:rPr>
          <w:color w:val="000000"/>
          <w:spacing w:val="0"/>
          <w:w w:val="100"/>
          <w:position w:val="0"/>
        </w:rPr>
        <w:t>月规模以上 企业快递业务收入为</w:t>
      </w:r>
      <w:r>
        <w:rPr>
          <w:color w:val="000000"/>
          <w:spacing w:val="0"/>
          <w:w w:val="100"/>
          <w:position w:val="0"/>
          <w:sz w:val="18"/>
          <w:szCs w:val="18"/>
        </w:rPr>
        <w:t>464.2</w:t>
      </w:r>
      <w:r>
        <w:rPr>
          <w:color w:val="000000"/>
          <w:spacing w:val="0"/>
          <w:w w:val="100"/>
          <w:position w:val="0"/>
        </w:rPr>
        <w:t>亿元，是同年</w:t>
      </w:r>
      <w:r>
        <w:rPr>
          <w:color w:val="000000"/>
          <w:spacing w:val="0"/>
          <w:w w:val="100"/>
          <w:position w:val="0"/>
          <w:sz w:val="18"/>
          <w:szCs w:val="18"/>
        </w:rPr>
        <w:t>2</w:t>
      </w:r>
      <w:r>
        <w:rPr>
          <w:color w:val="000000"/>
          <w:spacing w:val="0"/>
          <w:w w:val="100"/>
          <w:position w:val="0"/>
        </w:rPr>
        <w:t>月的</w:t>
      </w:r>
      <w:r>
        <w:rPr>
          <w:color w:val="000000"/>
          <w:spacing w:val="0"/>
          <w:w w:val="100"/>
          <w:position w:val="0"/>
          <w:sz w:val="18"/>
          <w:szCs w:val="18"/>
        </w:rPr>
        <w:t>2.75</w:t>
      </w:r>
      <w:r>
        <w:rPr>
          <w:color w:val="000000"/>
          <w:spacing w:val="0"/>
          <w:w w:val="100"/>
          <w:position w:val="0"/>
        </w:rPr>
        <w:t>倍，不同月份间收入差距较大，季节性波动特征明显。</w:t>
      </w:r>
    </w:p>
    <w:p>
      <w:pPr>
        <w:pStyle w:val="Style11"/>
        <w:keepNext w:val="0"/>
        <w:keepLines w:val="0"/>
        <w:widowControl w:val="0"/>
        <w:shd w:val="clear" w:color="auto" w:fill="auto"/>
        <w:tabs>
          <w:tab w:pos="683" w:val="left"/>
        </w:tabs>
        <w:bidi w:val="0"/>
        <w:spacing w:before="0" w:line="470" w:lineRule="exact"/>
        <w:ind w:left="0" w:right="0"/>
        <w:jc w:val="both"/>
      </w:pPr>
      <w:bookmarkStart w:id="71" w:name="bookmark71"/>
      <w:r>
        <w:rPr>
          <w:color w:val="000000"/>
          <w:spacing w:val="0"/>
          <w:w w:val="100"/>
          <w:position w:val="0"/>
          <w:sz w:val="18"/>
          <w:szCs w:val="18"/>
        </w:rPr>
        <w:t>C</w:t>
      </w:r>
      <w:bookmarkEnd w:id="71"/>
      <w:r>
        <w:rPr>
          <w:color w:val="000000"/>
          <w:spacing w:val="0"/>
          <w:w w:val="100"/>
          <w:position w:val="0"/>
        </w:rPr>
        <w:t>、</w:t>
        <w:tab/>
      </w:r>
      <w:r>
        <w:rPr>
          <w:color w:val="000000"/>
          <w:spacing w:val="0"/>
          <w:w w:val="100"/>
          <w:position w:val="0"/>
        </w:rPr>
        <w:t>快递行业是劳动力密集型行业</w:t>
      </w:r>
    </w:p>
    <w:p>
      <w:pPr>
        <w:pStyle w:val="Style11"/>
        <w:keepNext w:val="0"/>
        <w:keepLines w:val="0"/>
        <w:widowControl w:val="0"/>
        <w:shd w:val="clear" w:color="auto" w:fill="auto"/>
        <w:bidi w:val="0"/>
        <w:spacing w:before="0" w:line="466" w:lineRule="exact"/>
        <w:ind w:left="0" w:right="0" w:firstLine="360"/>
        <w:jc w:val="both"/>
      </w:pPr>
      <w:r>
        <w:rPr>
          <w:color w:val="000000"/>
          <w:spacing w:val="0"/>
          <w:w w:val="100"/>
          <w:position w:val="0"/>
        </w:rPr>
        <w:t>快递行业人力资源的需求量大。快递业务多个环节主要依赖人力完成，例如揽收、投递环节等，且人均处理能力有限， 从而导致每年随业务量增长需要新增大量劳动力。</w:t>
      </w:r>
    </w:p>
    <w:p>
      <w:pPr>
        <w:pStyle w:val="Style11"/>
        <w:keepNext w:val="0"/>
        <w:keepLines w:val="0"/>
        <w:widowControl w:val="0"/>
        <w:shd w:val="clear" w:color="auto" w:fill="auto"/>
        <w:bidi w:val="0"/>
        <w:spacing w:before="0" w:line="467" w:lineRule="exact"/>
        <w:ind w:left="0" w:right="0" w:firstLine="360"/>
        <w:jc w:val="both"/>
      </w:pPr>
      <w:bookmarkStart w:id="72" w:name="bookmark72"/>
      <w:r>
        <w:rPr>
          <w:color w:val="000000"/>
          <w:spacing w:val="0"/>
          <w:w w:val="100"/>
          <w:position w:val="0"/>
          <w:sz w:val="18"/>
          <w:szCs w:val="18"/>
        </w:rPr>
        <w:t>D</w:t>
      </w:r>
      <w:bookmarkEnd w:id="72"/>
      <w:r>
        <w:rPr>
          <w:color w:val="000000"/>
          <w:spacing w:val="0"/>
          <w:w w:val="100"/>
          <w:position w:val="0"/>
        </w:rPr>
        <w:t>、</w:t>
      </w:r>
      <w:r>
        <w:rPr>
          <w:color w:val="000000"/>
          <w:spacing w:val="0"/>
          <w:w w:val="100"/>
          <w:position w:val="0"/>
        </w:rPr>
        <w:t>网络是快递业务开展最重要的资源</w:t>
      </w:r>
    </w:p>
    <w:p>
      <w:pPr>
        <w:pStyle w:val="Style11"/>
        <w:keepNext w:val="0"/>
        <w:keepLines w:val="0"/>
        <w:widowControl w:val="0"/>
        <w:shd w:val="clear" w:color="auto" w:fill="auto"/>
        <w:bidi w:val="0"/>
        <w:spacing w:before="0" w:line="473" w:lineRule="exact"/>
        <w:ind w:left="0" w:right="0" w:firstLine="360"/>
        <w:jc w:val="both"/>
      </w:pPr>
      <w:r>
        <w:rPr>
          <w:color w:val="000000"/>
          <w:spacing w:val="0"/>
          <w:w w:val="100"/>
          <w:position w:val="0"/>
        </w:rPr>
        <w:t>快递业务网络的辐射广度和深度决定着快递的时效性，是影响行业内企业开展业务和拓展规模的决定性因素，对快递企 业的业务发展和扩张也起到至关重要的作用。覆盖范围广、运输线路和营业网点多的快递企业，所能提供的配送范围也越广， 高峰时期能承载的业务量也越大，能够对各行业及各区域的客户产生更大吸引力。</w:t>
      </w:r>
    </w:p>
    <w:p>
      <w:pPr>
        <w:pStyle w:val="Style11"/>
        <w:keepNext w:val="0"/>
        <w:keepLines w:val="0"/>
        <w:widowControl w:val="0"/>
        <w:shd w:val="clear" w:color="auto" w:fill="auto"/>
        <w:bidi w:val="0"/>
        <w:spacing w:before="0" w:line="467" w:lineRule="exact"/>
        <w:ind w:left="0" w:right="0" w:firstLine="360"/>
        <w:jc w:val="both"/>
      </w:pPr>
      <w:r>
        <w:rPr>
          <w:b/>
          <w:bCs/>
          <w:color w:val="000000"/>
          <w:spacing w:val="0"/>
          <w:w w:val="100"/>
          <w:position w:val="0"/>
        </w:rPr>
        <w:t>公司精准定位中高端市场，直营打造行业领先地位</w:t>
      </w:r>
    </w:p>
    <w:p>
      <w:pPr>
        <w:pStyle w:val="Style11"/>
        <w:keepNext w:val="0"/>
        <w:keepLines w:val="0"/>
        <w:widowControl w:val="0"/>
        <w:shd w:val="clear" w:color="auto" w:fill="auto"/>
        <w:bidi w:val="0"/>
        <w:spacing w:before="0" w:after="440" w:line="467" w:lineRule="exact"/>
        <w:ind w:left="0" w:right="0" w:firstLine="360"/>
        <w:jc w:val="both"/>
      </w:pPr>
      <w:r>
        <w:rPr>
          <w:color w:val="000000"/>
          <w:spacing w:val="0"/>
          <w:w w:val="100"/>
          <w:position w:val="0"/>
        </w:rPr>
        <w:t>作为国内快递行业的标杆企业，顺丰采用集中差别化战略定位中高端市场，优势明显。极具前瞻性的直营模式为公司赢 得了服务质量和市场号召力，连续多年蝉联多项快递服务质量、时效、客诉及满意度指标的排名第一，带来的良好口碑和品 牌溢价支撑了较高的业务单价。直营模式下自有的庞大网络、运力、</w:t>
      </w:r>
      <w:r>
        <w:rPr>
          <w:color w:val="000000"/>
          <w:spacing w:val="0"/>
          <w:w w:val="100"/>
          <w:position w:val="0"/>
          <w:sz w:val="18"/>
          <w:szCs w:val="18"/>
        </w:rPr>
        <w:t>IT</w:t>
      </w:r>
      <w:r>
        <w:rPr>
          <w:color w:val="000000"/>
          <w:spacing w:val="0"/>
          <w:w w:val="100"/>
          <w:position w:val="0"/>
        </w:rPr>
        <w:t>系统尤其是国内快递行业领先自有机队规模保证了速 递业务的时效和质量。公司上市后拟定向增发募集不超过</w:t>
      </w:r>
      <w:r>
        <w:rPr>
          <w:color w:val="000000"/>
          <w:spacing w:val="0"/>
          <w:w w:val="100"/>
          <w:position w:val="0"/>
          <w:sz w:val="18"/>
          <w:szCs w:val="18"/>
        </w:rPr>
        <w:t>80</w:t>
      </w:r>
      <w:r>
        <w:rPr>
          <w:color w:val="000000"/>
          <w:spacing w:val="0"/>
          <w:w w:val="100"/>
          <w:position w:val="0"/>
        </w:rPr>
        <w:t>亿元将继续专注于干线网络、航空机队、信息平台、冷链项目等 建设，深挖护城河扩大竞争优势，加快对标国际物流巨头步伐。</w:t>
      </w:r>
    </w:p>
    <w:p>
      <w:pPr>
        <w:pStyle w:val="Style27"/>
        <w:keepNext/>
        <w:keepLines/>
        <w:widowControl w:val="0"/>
        <w:shd w:val="clear" w:color="auto" w:fill="auto"/>
        <w:bidi w:val="0"/>
        <w:spacing w:before="0" w:after="36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、主要资产重大变化情况</w:t>
      </w:r>
      <w:bookmarkEnd w:id="73"/>
      <w:bookmarkEnd w:id="74"/>
      <w:bookmarkEnd w:id="76"/>
    </w:p>
    <w:p>
      <w:pPr>
        <w:pStyle w:val="Style33"/>
        <w:keepNext w:val="0"/>
        <w:keepLines w:val="0"/>
        <w:widowControl w:val="0"/>
        <w:shd w:val="clear" w:color="auto" w:fill="auto"/>
        <w:bidi w:val="0"/>
        <w:spacing w:before="0" w:after="320" w:line="240" w:lineRule="auto"/>
        <w:ind w:left="0" w:right="0" w:firstLine="0"/>
        <w:jc w:val="both"/>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主要是收回合营企业部分投资导致长期股权投资减少。</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主要是购买飞机、工程项目转固以及合并范围变更导致固定资产增加。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主要是购买土地以及合并范围变更导致无形资产增加。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主要是工程项目转固导致在建工程减少。</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主要是本年度泰森控股的股东增资以及经营活动现金流入导致银行存款增加。</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主要是合并范围变更导致投资性房屋建筑物及土地使用权增加。</w:t>
            </w:r>
          </w:p>
        </w:tc>
      </w:tr>
    </w:tbl>
    <w:p>
      <w:pPr>
        <w:widowControl w:val="0"/>
        <w:spacing w:after="679" w:line="1" w:lineRule="exact"/>
      </w:pPr>
    </w:p>
    <w:p>
      <w:pPr>
        <w:pStyle w:val="Style33"/>
        <w:keepNext w:val="0"/>
        <w:keepLines w:val="0"/>
        <w:widowControl w:val="0"/>
        <w:shd w:val="clear" w:color="auto" w:fill="auto"/>
        <w:bidi w:val="0"/>
        <w:spacing w:before="0" w:after="360" w:line="240" w:lineRule="auto"/>
        <w:ind w:left="0" w:right="0" w:firstLine="0"/>
        <w:jc w:val="both"/>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p>
    <w:p>
      <w:pPr>
        <w:pStyle w:val="Style1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资产的具体 内容</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保障资产安</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全性的控制</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措施</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bl>
    <w:p>
      <w:pPr>
        <w:widowControl w:val="0"/>
        <w:spacing w:line="1" w:lineRule="exact"/>
      </w:pPr>
    </w:p>
    <w:tbl>
      <w:tblPr>
        <w:tblOverlap w:val="never"/>
        <w:jc w:val="center"/>
        <w:tblLayout w:type="fixed"/>
      </w:tblPr>
      <w:tblGrid>
        <w:gridCol w:w="1070"/>
        <w:gridCol w:w="1066"/>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翠玉控股有 限公司及附 属公司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4,443,697,94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2.53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-4,084,954.91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widowControl w:val="0"/>
        <w:spacing w:after="619" w:line="1" w:lineRule="exact"/>
      </w:pPr>
    </w:p>
    <w:p>
      <w:pPr>
        <w:pStyle w:val="Style27"/>
        <w:keepNext/>
        <w:keepLines/>
        <w:widowControl w:val="0"/>
        <w:shd w:val="clear" w:color="auto" w:fill="auto"/>
        <w:bidi w:val="0"/>
        <w:spacing w:before="0" w:after="14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11"/>
        <w:keepNext w:val="0"/>
        <w:keepLines w:val="0"/>
        <w:widowControl w:val="0"/>
        <w:shd w:val="clear" w:color="auto" w:fill="auto"/>
        <w:bidi w:val="0"/>
        <w:spacing w:before="0" w:line="470" w:lineRule="exact"/>
        <w:ind w:left="0" w:right="0" w:firstLine="0"/>
        <w:jc w:val="both"/>
      </w:pPr>
      <w:bookmarkStart w:id="83" w:name="bookmark83"/>
      <w:r>
        <w:rPr>
          <w:b/>
          <w:bCs/>
          <w:color w:val="000000"/>
          <w:spacing w:val="0"/>
          <w:w w:val="100"/>
          <w:position w:val="0"/>
        </w:rPr>
        <w:t>（</w:t>
      </w:r>
      <w:bookmarkEnd w:id="83"/>
      <w:r>
        <w:rPr>
          <w:b/>
          <w:bCs/>
          <w:color w:val="000000"/>
          <w:spacing w:val="0"/>
          <w:w w:val="100"/>
          <w:position w:val="0"/>
        </w:rPr>
        <w:t>一）快递服务多项排名第一，已建立良好的市场口碑和品牌形象；</w:t>
      </w:r>
    </w:p>
    <w:p>
      <w:pPr>
        <w:pStyle w:val="Style11"/>
        <w:keepNext w:val="0"/>
        <w:keepLines w:val="0"/>
        <w:widowControl w:val="0"/>
        <w:shd w:val="clear" w:color="auto" w:fill="auto"/>
        <w:tabs>
          <w:tab w:pos="680" w:val="left"/>
        </w:tabs>
        <w:bidi w:val="0"/>
        <w:spacing w:before="0" w:after="0" w:line="470" w:lineRule="exact"/>
        <w:ind w:left="0" w:right="0"/>
        <w:jc w:val="both"/>
      </w:pPr>
      <w:bookmarkStart w:id="84" w:name="bookmark84"/>
      <w:r>
        <w:rPr>
          <w:b/>
          <w:bCs/>
          <w:color w:val="000000"/>
          <w:spacing w:val="0"/>
          <w:w w:val="100"/>
          <w:position w:val="0"/>
        </w:rPr>
        <w:t>1</w:t>
      </w:r>
      <w:bookmarkEnd w:id="84"/>
      <w:r>
        <w:rPr>
          <w:b/>
          <w:bCs/>
          <w:color w:val="000000"/>
          <w:spacing w:val="0"/>
          <w:w w:val="100"/>
          <w:position w:val="0"/>
        </w:rPr>
        <w:t>、</w:t>
        <w:tab/>
        <w:t>自国家邮政局2009年首次公开发布快递服务满意度排名以来，连续8年排名第一</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国家邮政局发布《</w:t>
      </w:r>
      <w:r>
        <w:rPr>
          <w:color w:val="000000"/>
          <w:spacing w:val="0"/>
          <w:w w:val="100"/>
          <w:position w:val="0"/>
          <w:sz w:val="18"/>
          <w:szCs w:val="18"/>
        </w:rPr>
        <w:t>2016</w:t>
      </w:r>
      <w:r>
        <w:rPr>
          <w:color w:val="000000"/>
          <w:spacing w:val="0"/>
          <w:w w:val="100"/>
          <w:position w:val="0"/>
        </w:rPr>
        <w:t>年快递服务满意度调查结果》，在“快递企业总体满意度和得分”榜上</w:t>
      </w:r>
      <w:r>
        <w:rPr>
          <w:color w:val="000000"/>
          <w:spacing w:val="0"/>
          <w:w w:val="100"/>
          <w:position w:val="0"/>
          <w:sz w:val="18"/>
          <w:szCs w:val="18"/>
        </w:rPr>
        <w:t>，</w:t>
      </w:r>
      <w:r>
        <w:rPr>
          <w:b/>
          <w:bCs/>
          <w:color w:val="000000"/>
          <w:spacing w:val="0"/>
          <w:w w:val="100"/>
          <w:position w:val="0"/>
        </w:rPr>
        <w:t>顺丰速运排名第一，得 分84.6</w:t>
      </w:r>
      <w:r>
        <w:rPr>
          <w:color w:val="000000"/>
          <w:spacing w:val="0"/>
          <w:w w:val="100"/>
          <w:position w:val="0"/>
        </w:rPr>
        <w:t>。</w:t>
      </w:r>
      <w:r>
        <w:rPr>
          <w:b/>
          <w:bCs/>
          <w:color w:val="000000"/>
          <w:spacing w:val="0"/>
          <w:w w:val="100"/>
          <w:position w:val="0"/>
        </w:rPr>
        <w:t>这已经是自国家邮政局2009年首次公布快递服务满意度排名以来，顺丰控股连续第8年蝉联第一，</w:t>
      </w:r>
      <w:r>
        <w:rPr>
          <w:color w:val="000000"/>
          <w:spacing w:val="0"/>
          <w:w w:val="100"/>
          <w:position w:val="0"/>
        </w:rPr>
        <w:t>且得分远超其 他国内竞争对手。</w:t>
      </w:r>
    </w:p>
    <w:p>
      <w:pPr>
        <w:pStyle w:val="Style11"/>
        <w:keepNext w:val="0"/>
        <w:keepLines w:val="0"/>
        <w:widowControl w:val="0"/>
        <w:shd w:val="clear" w:color="auto" w:fill="auto"/>
        <w:tabs>
          <w:tab w:pos="689" w:val="left"/>
        </w:tabs>
        <w:bidi w:val="0"/>
        <w:spacing w:before="0" w:line="470" w:lineRule="exact"/>
        <w:ind w:left="0" w:right="0"/>
        <w:jc w:val="both"/>
      </w:pPr>
      <w:bookmarkStart w:id="85" w:name="bookmark85"/>
      <w:r>
        <w:rPr>
          <w:b/>
          <w:bCs/>
          <w:color w:val="000000"/>
          <w:spacing w:val="0"/>
          <w:w w:val="100"/>
          <w:position w:val="0"/>
        </w:rPr>
        <w:t>2</w:t>
      </w:r>
      <w:bookmarkEnd w:id="85"/>
      <w:r>
        <w:rPr>
          <w:b/>
          <w:bCs/>
          <w:color w:val="000000"/>
          <w:spacing w:val="0"/>
          <w:w w:val="100"/>
          <w:position w:val="0"/>
        </w:rPr>
        <w:t>、</w:t>
        <w:tab/>
        <w:t>快递服务申诉率为国内同行最低</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根据国家邮政局《关于邮政业消费者申诉情况的通告》数据统计，</w:t>
      </w:r>
      <w:r>
        <w:rPr>
          <w:color w:val="000000"/>
          <w:spacing w:val="0"/>
          <w:w w:val="100"/>
          <w:position w:val="0"/>
          <w:sz w:val="18"/>
          <w:szCs w:val="18"/>
        </w:rPr>
        <w:t>2016</w:t>
      </w:r>
      <w:r>
        <w:rPr>
          <w:color w:val="000000"/>
          <w:spacing w:val="0"/>
          <w:w w:val="100"/>
          <w:position w:val="0"/>
        </w:rPr>
        <w:t>年度，顺丰控股月平均申诉率为</w:t>
      </w:r>
      <w:r>
        <w:rPr>
          <w:color w:val="000000"/>
          <w:spacing w:val="0"/>
          <w:w w:val="100"/>
          <w:position w:val="0"/>
          <w:sz w:val="18"/>
          <w:szCs w:val="18"/>
        </w:rPr>
        <w:t>3.42</w:t>
      </w:r>
      <w:r>
        <w:rPr>
          <w:color w:val="000000"/>
          <w:spacing w:val="0"/>
          <w:w w:val="100"/>
          <w:position w:val="0"/>
        </w:rPr>
        <w:t>件（每百 万件快递有效申诉数量</w:t>
      </w:r>
      <w:r>
        <w:rPr>
          <w:color w:val="000000"/>
          <w:spacing w:val="0"/>
          <w:w w:val="100"/>
          <w:position w:val="0"/>
          <w:sz w:val="18"/>
          <w:szCs w:val="18"/>
        </w:rPr>
        <w:t>），</w:t>
      </w:r>
      <w:r>
        <w:rPr>
          <w:color w:val="000000"/>
          <w:spacing w:val="0"/>
          <w:w w:val="100"/>
          <w:position w:val="0"/>
        </w:rPr>
        <w:t>远低于全国平均的</w:t>
      </w:r>
      <w:r>
        <w:rPr>
          <w:color w:val="000000"/>
          <w:spacing w:val="0"/>
          <w:w w:val="100"/>
          <w:position w:val="0"/>
          <w:sz w:val="18"/>
          <w:szCs w:val="18"/>
        </w:rPr>
        <w:t>9.32</w:t>
      </w:r>
      <w:r>
        <w:rPr>
          <w:color w:val="000000"/>
          <w:spacing w:val="0"/>
          <w:w w:val="100"/>
          <w:position w:val="0"/>
        </w:rPr>
        <w:t>件。顺丰控股近两年申诉率连续处于国内同行最低水平。</w:t>
      </w:r>
    </w:p>
    <w:p>
      <w:pPr>
        <w:pStyle w:val="Style11"/>
        <w:keepNext w:val="0"/>
        <w:keepLines w:val="0"/>
        <w:widowControl w:val="0"/>
        <w:shd w:val="clear" w:color="auto" w:fill="auto"/>
        <w:tabs>
          <w:tab w:pos="689" w:val="left"/>
        </w:tabs>
        <w:bidi w:val="0"/>
        <w:spacing w:before="0" w:line="470" w:lineRule="exact"/>
        <w:ind w:left="0" w:right="0"/>
        <w:jc w:val="both"/>
      </w:pPr>
      <w:bookmarkStart w:id="86" w:name="bookmark86"/>
      <w:r>
        <w:rPr>
          <w:b/>
          <w:bCs/>
          <w:color w:val="000000"/>
          <w:spacing w:val="0"/>
          <w:w w:val="100"/>
          <w:position w:val="0"/>
        </w:rPr>
        <w:t>3</w:t>
      </w:r>
      <w:bookmarkEnd w:id="86"/>
      <w:r>
        <w:rPr>
          <w:b/>
          <w:bCs/>
          <w:color w:val="000000"/>
          <w:spacing w:val="0"/>
          <w:w w:val="100"/>
          <w:position w:val="0"/>
        </w:rPr>
        <w:t>、</w:t>
        <w:tab/>
        <w:t>快递服务时效排名第一</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月，国家邮政局发布《</w:t>
      </w:r>
      <w:r>
        <w:rPr>
          <w:color w:val="000000"/>
          <w:spacing w:val="0"/>
          <w:w w:val="100"/>
          <w:position w:val="0"/>
          <w:sz w:val="18"/>
          <w:szCs w:val="18"/>
        </w:rPr>
        <w:t>2016</w:t>
      </w:r>
      <w:r>
        <w:rPr>
          <w:color w:val="000000"/>
          <w:spacing w:val="0"/>
          <w:w w:val="100"/>
          <w:position w:val="0"/>
        </w:rPr>
        <w:t>年快递服务时限准时率测试结果》，对比了行业中</w:t>
      </w:r>
      <w:r>
        <w:rPr>
          <w:color w:val="000000"/>
          <w:spacing w:val="0"/>
          <w:w w:val="100"/>
          <w:position w:val="0"/>
          <w:sz w:val="18"/>
          <w:szCs w:val="18"/>
        </w:rPr>
        <w:t>10</w:t>
      </w:r>
      <w:r>
        <w:rPr>
          <w:color w:val="000000"/>
          <w:spacing w:val="0"/>
          <w:w w:val="100"/>
          <w:position w:val="0"/>
        </w:rPr>
        <w:t>家快递公司全程时限、寄出地 处理时限、运输时限等</w:t>
      </w:r>
      <w:r>
        <w:rPr>
          <w:color w:val="000000"/>
          <w:spacing w:val="0"/>
          <w:w w:val="100"/>
          <w:position w:val="0"/>
          <w:sz w:val="18"/>
          <w:szCs w:val="18"/>
        </w:rPr>
        <w:t>6</w:t>
      </w:r>
      <w:r>
        <w:rPr>
          <w:color w:val="000000"/>
          <w:spacing w:val="0"/>
          <w:w w:val="100"/>
          <w:position w:val="0"/>
        </w:rPr>
        <w:t>个指标情况，顺丰控股在</w:t>
      </w:r>
      <w:r>
        <w:rPr>
          <w:color w:val="000000"/>
          <w:spacing w:val="0"/>
          <w:w w:val="100"/>
          <w:position w:val="0"/>
          <w:sz w:val="18"/>
          <w:szCs w:val="18"/>
        </w:rPr>
        <w:t>6</w:t>
      </w:r>
      <w:r>
        <w:rPr>
          <w:color w:val="000000"/>
          <w:spacing w:val="0"/>
          <w:w w:val="100"/>
          <w:position w:val="0"/>
        </w:rPr>
        <w:t>项指标排名中全部位列第一。这是自国家邮政局自</w:t>
      </w:r>
      <w:r>
        <w:rPr>
          <w:color w:val="000000"/>
          <w:spacing w:val="0"/>
          <w:w w:val="100"/>
          <w:position w:val="0"/>
          <w:sz w:val="18"/>
          <w:szCs w:val="18"/>
        </w:rPr>
        <w:t>2013</w:t>
      </w:r>
      <w:r>
        <w:rPr>
          <w:color w:val="000000"/>
          <w:spacing w:val="0"/>
          <w:w w:val="100"/>
          <w:position w:val="0"/>
        </w:rPr>
        <w:t>年首次公布快递 全程时效排名以来，顺丰控股连续第</w:t>
      </w:r>
      <w:r>
        <w:rPr>
          <w:color w:val="000000"/>
          <w:spacing w:val="0"/>
          <w:w w:val="100"/>
          <w:position w:val="0"/>
          <w:sz w:val="18"/>
          <w:szCs w:val="18"/>
        </w:rPr>
        <w:t>4</w:t>
      </w:r>
      <w:r>
        <w:rPr>
          <w:color w:val="000000"/>
          <w:spacing w:val="0"/>
          <w:w w:val="100"/>
          <w:position w:val="0"/>
        </w:rPr>
        <w:t>年蝉联第一。</w:t>
      </w:r>
    </w:p>
    <w:p>
      <w:pPr>
        <w:pStyle w:val="Style11"/>
        <w:keepNext w:val="0"/>
        <w:keepLines w:val="0"/>
        <w:widowControl w:val="0"/>
        <w:shd w:val="clear" w:color="auto" w:fill="auto"/>
        <w:bidi w:val="0"/>
        <w:spacing w:before="0" w:line="456" w:lineRule="exact"/>
        <w:ind w:left="0" w:right="0"/>
        <w:jc w:val="both"/>
      </w:pPr>
      <w:r>
        <w:rPr>
          <w:color w:val="000000"/>
          <w:spacing w:val="0"/>
          <w:w w:val="100"/>
          <w:position w:val="0"/>
        </w:rPr>
        <w:t>顺丰良好的市场口碑增强了客户粘度，进而带来收入持续稳定增长。顺丰一直以客户为中心、以满足客户实际需求为出 发点，实践</w:t>
      </w:r>
      <w:r>
        <w:rPr>
          <w:color w:val="000000"/>
          <w:spacing w:val="0"/>
          <w:w w:val="100"/>
          <w:position w:val="0"/>
          <w:sz w:val="18"/>
          <w:szCs w:val="18"/>
        </w:rPr>
        <w:t>“365</w:t>
      </w:r>
      <w:r>
        <w:rPr>
          <w:color w:val="000000"/>
          <w:spacing w:val="0"/>
          <w:w w:val="100"/>
          <w:position w:val="0"/>
        </w:rPr>
        <w:t>天、</w:t>
      </w:r>
      <w:r>
        <w:rPr>
          <w:color w:val="000000"/>
          <w:spacing w:val="0"/>
          <w:w w:val="100"/>
          <w:position w:val="0"/>
          <w:sz w:val="18"/>
          <w:szCs w:val="18"/>
        </w:rPr>
        <w:t>7X24</w:t>
      </w:r>
      <w:r>
        <w:rPr>
          <w:color w:val="000000"/>
          <w:spacing w:val="0"/>
          <w:w w:val="100"/>
          <w:position w:val="0"/>
        </w:rPr>
        <w:t>小时”的服务承诺，确保春节假期等各个假期为客户提供良好的服务。经过二十多年的经营，顺 丰品牌已经在快递行业内享有广泛的赞誉和知名度，“顺丰”在快递行业内已经成为“快”、“准时”、“安全”的代名词，是企 业客户和中高端个人客户的首选品牌。</w:t>
      </w:r>
    </w:p>
    <w:p>
      <w:pPr>
        <w:pStyle w:val="Style11"/>
        <w:keepNext w:val="0"/>
        <w:keepLines w:val="0"/>
        <w:widowControl w:val="0"/>
        <w:shd w:val="clear" w:color="auto" w:fill="auto"/>
        <w:bidi w:val="0"/>
        <w:spacing w:before="0" w:after="420" w:line="470" w:lineRule="exact"/>
        <w:ind w:left="0" w:right="0"/>
        <w:jc w:val="both"/>
      </w:pPr>
      <w:r>
        <w:rPr>
          <w:color w:val="000000"/>
          <w:spacing w:val="0"/>
          <w:w w:val="100"/>
          <w:position w:val="0"/>
        </w:rPr>
        <w:t>顺丰优异的品牌形象和良好的服务口碑为顺丰控股带来大量优质企业客户，在</w:t>
      </w:r>
      <w:r>
        <w:rPr>
          <w:color w:val="000000"/>
          <w:spacing w:val="0"/>
          <w:w w:val="100"/>
          <w:position w:val="0"/>
          <w:sz w:val="18"/>
          <w:szCs w:val="18"/>
        </w:rPr>
        <w:t>3C</w:t>
      </w:r>
      <w:r>
        <w:rPr>
          <w:color w:val="000000"/>
          <w:spacing w:val="0"/>
          <w:w w:val="100"/>
          <w:position w:val="0"/>
        </w:rPr>
        <w:t>、</w:t>
      </w:r>
      <w:r>
        <w:rPr>
          <w:color w:val="000000"/>
          <w:spacing w:val="0"/>
          <w:w w:val="100"/>
          <w:position w:val="0"/>
        </w:rPr>
        <w:t>服装、金融保险、汽配等行业赢得了 苹果、华为、小米、优衣库、^致、中国平安、戴姆勒等一大批国内外知名企业的长期合作。公司充分发挥自身“快、准、 安全”的产品优势及三流合一的综合能力优势，不仅为中高端客户提供高质量的物流服务，而且根据部分客户需求，提供包 括库存管理、协助销售预测、供应链对账结算等一体化综合解决方案，高峰期也能保障服务质量和时效，帮助客户提升收入 的同时，增强了客户粘度。</w:t>
      </w:r>
    </w:p>
    <w:p>
      <w:pPr>
        <w:pStyle w:val="Style11"/>
        <w:keepNext w:val="0"/>
        <w:keepLines w:val="0"/>
        <w:widowControl w:val="0"/>
        <w:shd w:val="clear" w:color="auto" w:fill="auto"/>
        <w:bidi w:val="0"/>
        <w:spacing w:before="0" w:line="240" w:lineRule="auto"/>
        <w:ind w:left="0" w:right="0" w:firstLine="0"/>
        <w:jc w:val="both"/>
      </w:pPr>
      <w:bookmarkStart w:id="87" w:name="bookmark87"/>
      <w:r>
        <w:rPr>
          <w:b/>
          <w:bCs/>
          <w:color w:val="000000"/>
          <w:spacing w:val="0"/>
          <w:w w:val="100"/>
          <w:position w:val="0"/>
        </w:rPr>
        <w:t>（</w:t>
      </w:r>
      <w:bookmarkEnd w:id="87"/>
      <w:r>
        <w:rPr>
          <w:b/>
          <w:bCs/>
          <w:color w:val="000000"/>
          <w:spacing w:val="0"/>
          <w:w w:val="100"/>
          <w:position w:val="0"/>
        </w:rPr>
        <w:t>二）在商务与中高端电商快递处于行业领先地位，注重收入质量，保持健康利润水平</w:t>
      </w:r>
    </w:p>
    <w:p>
      <w:pPr>
        <w:pStyle w:val="Style11"/>
        <w:keepNext w:val="0"/>
        <w:keepLines w:val="0"/>
        <w:widowControl w:val="0"/>
        <w:shd w:val="clear" w:color="auto" w:fill="auto"/>
        <w:bidi w:val="0"/>
        <w:spacing w:before="0" w:line="466" w:lineRule="exact"/>
        <w:ind w:left="0" w:right="0"/>
        <w:jc w:val="both"/>
      </w:pPr>
      <w:r>
        <w:rPr>
          <w:b/>
          <w:bCs/>
          <w:color w:val="000000"/>
          <w:spacing w:val="0"/>
          <w:w w:val="100"/>
          <w:position w:val="0"/>
        </w:rPr>
        <w:t>在传统商务快递方面，顺丰控股具有明显领先优势</w:t>
      </w:r>
      <w:r>
        <w:rPr>
          <w:color w:val="000000"/>
          <w:spacing w:val="0"/>
          <w:w w:val="100"/>
          <w:position w:val="0"/>
        </w:rPr>
        <w:t>。与竞争日趋激烈的中低端电子商务快递市场相比，商务快递市场主 要针对客户寄递高价值文件物品的需求，票均单价较高且客户对价格的敏感性较弱，但由于对快递件的时效、安全、服务等 各方面均具有较高的要求，目前参与竞争的企业数量有限。顺丰控股凭借多年的资源投入与直营网络优势，以及“快”、“准 时”、“安全”的市场口碑，目前已在国内商务快递市场处于领先地位，并借此建立起竞争门槛。</w:t>
      </w:r>
    </w:p>
    <w:p>
      <w:pPr>
        <w:pStyle w:val="Style11"/>
        <w:keepNext w:val="0"/>
        <w:keepLines w:val="0"/>
        <w:widowControl w:val="0"/>
        <w:shd w:val="clear" w:color="auto" w:fill="auto"/>
        <w:bidi w:val="0"/>
        <w:spacing w:before="0" w:line="468" w:lineRule="exact"/>
        <w:ind w:left="0" w:right="0"/>
        <w:jc w:val="both"/>
      </w:pPr>
      <w:r>
        <w:rPr>
          <w:b/>
          <w:bCs/>
          <w:color w:val="000000"/>
          <w:spacing w:val="0"/>
          <w:w w:val="100"/>
          <w:position w:val="0"/>
        </w:rPr>
        <w:t>在电商快递方面，顺丰控股坚持中高端电商快递市场定位，向目标客户提供高质量、全方位的综合物流服务，极致客户 体验，在中高端电商快递市场中占据领先地位</w:t>
      </w:r>
      <w:r>
        <w:rPr>
          <w:color w:val="000000"/>
          <w:spacing w:val="0"/>
          <w:w w:val="100"/>
          <w:position w:val="0"/>
        </w:rPr>
        <w:t>。近年来，电子商务市场保持高速增长，电商的快递发展直接带动快递业务量 的跨越式增长。特别是代表着中高端消费需求的电商</w:t>
      </w:r>
      <w:r>
        <w:rPr>
          <w:color w:val="000000"/>
          <w:spacing w:val="0"/>
          <w:w w:val="100"/>
          <w:position w:val="0"/>
          <w:sz w:val="18"/>
          <w:szCs w:val="18"/>
        </w:rPr>
        <w:t>B2C</w:t>
      </w:r>
      <w:r>
        <w:rPr>
          <w:color w:val="000000"/>
          <w:spacing w:val="0"/>
          <w:w w:val="100"/>
          <w:position w:val="0"/>
        </w:rPr>
        <w:t>模式逐渐成为主流，而</w:t>
      </w:r>
      <w:r>
        <w:rPr>
          <w:color w:val="000000"/>
          <w:spacing w:val="0"/>
          <w:w w:val="100"/>
          <w:position w:val="0"/>
          <w:sz w:val="18"/>
          <w:szCs w:val="18"/>
        </w:rPr>
        <w:t>C2C</w:t>
      </w:r>
      <w:r>
        <w:rPr>
          <w:color w:val="000000"/>
          <w:spacing w:val="0"/>
          <w:w w:val="100"/>
          <w:position w:val="0"/>
        </w:rPr>
        <w:t>模式的占比逐渐减少带动了电商快递市 场的的快速发展。艾瑞数据显示，</w:t>
      </w:r>
      <w:r>
        <w:rPr>
          <w:color w:val="000000"/>
          <w:spacing w:val="0"/>
          <w:w w:val="100"/>
          <w:position w:val="0"/>
          <w:sz w:val="18"/>
          <w:szCs w:val="18"/>
        </w:rPr>
        <w:t>B2C</w:t>
      </w:r>
      <w:r>
        <w:rPr>
          <w:color w:val="000000"/>
          <w:spacing w:val="0"/>
          <w:w w:val="100"/>
          <w:position w:val="0"/>
        </w:rPr>
        <w:t>模式在网络购物中的占比将由</w:t>
      </w:r>
      <w:r>
        <w:rPr>
          <w:color w:val="000000"/>
          <w:spacing w:val="0"/>
          <w:w w:val="100"/>
          <w:position w:val="0"/>
          <w:sz w:val="18"/>
          <w:szCs w:val="18"/>
        </w:rPr>
        <w:t>2015</w:t>
      </w:r>
      <w:r>
        <w:rPr>
          <w:color w:val="000000"/>
          <w:spacing w:val="0"/>
          <w:w w:val="100"/>
          <w:position w:val="0"/>
        </w:rPr>
        <w:t>年的</w:t>
      </w:r>
      <w:r>
        <w:rPr>
          <w:color w:val="000000"/>
          <w:spacing w:val="0"/>
          <w:w w:val="100"/>
          <w:position w:val="0"/>
          <w:sz w:val="18"/>
          <w:szCs w:val="18"/>
        </w:rPr>
        <w:t xml:space="preserve">51. </w:t>
      </w:r>
      <w:r>
        <w:rPr>
          <w:color w:val="000000"/>
          <w:spacing w:val="0"/>
          <w:w w:val="100"/>
          <w:position w:val="0"/>
          <w:sz w:val="18"/>
          <w:szCs w:val="18"/>
        </w:rPr>
        <w:t>9%</w:t>
      </w:r>
      <w:r>
        <w:rPr>
          <w:color w:val="000000"/>
          <w:spacing w:val="0"/>
          <w:w w:val="100"/>
          <w:position w:val="0"/>
        </w:rPr>
        <w:t>上升至</w:t>
      </w:r>
      <w:r>
        <w:rPr>
          <w:color w:val="000000"/>
          <w:spacing w:val="0"/>
          <w:w w:val="100"/>
          <w:position w:val="0"/>
          <w:sz w:val="18"/>
          <w:szCs w:val="18"/>
        </w:rPr>
        <w:t>2018</w:t>
      </w:r>
      <w:r>
        <w:rPr>
          <w:color w:val="000000"/>
          <w:spacing w:val="0"/>
          <w:w w:val="100"/>
          <w:position w:val="0"/>
        </w:rPr>
        <w:t>年的</w:t>
      </w:r>
      <w:r>
        <w:rPr>
          <w:color w:val="000000"/>
          <w:spacing w:val="0"/>
          <w:w w:val="100"/>
          <w:position w:val="0"/>
          <w:sz w:val="18"/>
          <w:szCs w:val="18"/>
        </w:rPr>
        <w:t xml:space="preserve">68. </w:t>
      </w:r>
      <w:r>
        <w:rPr>
          <w:color w:val="000000"/>
          <w:spacing w:val="0"/>
          <w:w w:val="100"/>
          <w:position w:val="0"/>
          <w:sz w:val="18"/>
          <w:szCs w:val="18"/>
        </w:rPr>
        <w:t>1%</w:t>
      </w:r>
      <w:r>
        <w:rPr>
          <w:color w:val="000000"/>
          <w:spacing w:val="0"/>
          <w:w w:val="100"/>
          <w:position w:val="0"/>
        </w:rPr>
        <w:t>。顺丰控股精准 定位中高端电商快递市场和中高端客户，采用差异化电商产品策略，以大型配送仓库为据点，通过大数据分析实现合理分仓 调配，压缩干线运输时间，从而在发货速度、配送频率和配送时效上能够超越其他第三方快递企业。同时，顺丰控股提供的 逆向物流与供应链结算服务可以更全面、专业地满足中高端电商品牌的退换货需求与短期财务需求。此外，基于部分电商客 户需求，我们还提供科学、专业的仓储管理增值服务，借助</w:t>
      </w:r>
      <w:r>
        <w:rPr>
          <w:color w:val="000000"/>
          <w:spacing w:val="0"/>
          <w:w w:val="100"/>
          <w:position w:val="0"/>
          <w:sz w:val="18"/>
          <w:szCs w:val="18"/>
        </w:rPr>
        <w:t>WMS</w:t>
      </w:r>
      <w:r>
        <w:rPr>
          <w:color w:val="000000"/>
          <w:spacing w:val="0"/>
          <w:w w:val="100"/>
          <w:position w:val="0"/>
        </w:rPr>
        <w:t>仓储系统、</w:t>
      </w:r>
      <w:r>
        <w:rPr>
          <w:color w:val="000000"/>
          <w:spacing w:val="0"/>
          <w:w w:val="100"/>
          <w:position w:val="0"/>
          <w:sz w:val="18"/>
          <w:szCs w:val="18"/>
        </w:rPr>
        <w:t>ABC</w:t>
      </w:r>
      <w:r>
        <w:rPr>
          <w:color w:val="000000"/>
          <w:spacing w:val="0"/>
          <w:w w:val="100"/>
          <w:position w:val="0"/>
        </w:rPr>
        <w:t>库存分类方法等科学手段，帮助客户优化库 存结构、提高周转率、减少资金占用，同时通过智能分拣降低管理成本等等。得益于此，顺丰控股在中高端电商快递市场牢 牢占据着领先地位，与苹果、华为、小米、中兴、优衣库、李宁等中高端客户保持着紧密的合作关系。随着消费升级和中高 端电商市场规模的扩大，顺丰控股将直接从中受益。</w:t>
      </w:r>
    </w:p>
    <w:p>
      <w:pPr>
        <w:pStyle w:val="Style11"/>
        <w:keepNext w:val="0"/>
        <w:keepLines w:val="0"/>
        <w:widowControl w:val="0"/>
        <w:shd w:val="clear" w:color="auto" w:fill="auto"/>
        <w:bidi w:val="0"/>
        <w:spacing w:before="0" w:after="40" w:line="463" w:lineRule="exact"/>
        <w:ind w:left="0" w:right="0" w:firstLine="460"/>
        <w:jc w:val="both"/>
      </w:pPr>
      <w:r>
        <w:rPr>
          <w:b/>
          <w:bCs/>
          <w:color w:val="000000"/>
          <w:spacing w:val="0"/>
          <w:w w:val="100"/>
          <w:position w:val="0"/>
        </w:rPr>
        <w:t>在传统商务快递及中高端电商快递市场的行业领先地位，助力公司获得较高的品牌溢价，在收入稳定增长的同时，保 持健康的利润水平。</w:t>
      </w:r>
      <w:r>
        <w:rPr>
          <w:color w:val="000000"/>
          <w:spacing w:val="0"/>
          <w:w w:val="100"/>
          <w:position w:val="0"/>
        </w:rPr>
        <w:t>顺丰控股一贯坚持中高端产品策略，十分注重客户服务体验，狠抓服务质量和时效，以客户满意为服务 宗旨，不断加大客户收派端及中转运输段的资源投入，以及持续提升科技化和智能化水平，优质的服务带来高于同行的品牌 溢价。以公司</w:t>
      </w:r>
      <w:r>
        <w:rPr>
          <w:color w:val="000000"/>
          <w:spacing w:val="0"/>
          <w:w w:val="100"/>
          <w:position w:val="0"/>
          <w:sz w:val="18"/>
          <w:szCs w:val="18"/>
        </w:rPr>
        <w:t>2014</w:t>
      </w:r>
      <w:r>
        <w:rPr>
          <w:color w:val="000000"/>
          <w:spacing w:val="0"/>
          <w:w w:val="100"/>
          <w:position w:val="0"/>
        </w:rPr>
        <w:t>年度、</w:t>
      </w:r>
      <w:r>
        <w:rPr>
          <w:color w:val="000000"/>
          <w:spacing w:val="0"/>
          <w:w w:val="100"/>
          <w:position w:val="0"/>
          <w:sz w:val="18"/>
          <w:szCs w:val="18"/>
        </w:rPr>
        <w:t>2015</w:t>
      </w:r>
      <w:r>
        <w:rPr>
          <w:color w:val="000000"/>
          <w:spacing w:val="0"/>
          <w:w w:val="100"/>
          <w:position w:val="0"/>
        </w:rPr>
        <w:t>年度和</w:t>
      </w:r>
      <w:r>
        <w:rPr>
          <w:color w:val="000000"/>
          <w:spacing w:val="0"/>
          <w:w w:val="100"/>
          <w:position w:val="0"/>
          <w:sz w:val="18"/>
          <w:szCs w:val="18"/>
        </w:rPr>
        <w:t>2016</w:t>
      </w:r>
      <w:r>
        <w:rPr>
          <w:color w:val="000000"/>
          <w:spacing w:val="0"/>
          <w:w w:val="100"/>
          <w:position w:val="0"/>
        </w:rPr>
        <w:t>年度近三年的票均收入看，顺丰控股快递业务票均收入分别为</w:t>
      </w:r>
      <w:r>
        <w:rPr>
          <w:color w:val="000000"/>
          <w:spacing w:val="0"/>
          <w:w w:val="100"/>
          <w:position w:val="0"/>
          <w:sz w:val="18"/>
          <w:szCs w:val="18"/>
        </w:rPr>
        <w:t>23.61</w:t>
      </w:r>
      <w:r>
        <w:rPr>
          <w:color w:val="000000"/>
          <w:spacing w:val="0"/>
          <w:w w:val="100"/>
          <w:position w:val="0"/>
        </w:rPr>
        <w:t>元、</w:t>
      </w:r>
      <w:r>
        <w:rPr>
          <w:color w:val="000000"/>
          <w:spacing w:val="0"/>
          <w:w w:val="100"/>
          <w:position w:val="0"/>
          <w:sz w:val="18"/>
          <w:szCs w:val="18"/>
        </w:rPr>
        <w:t xml:space="preserve">23.83 </w:t>
      </w:r>
      <w:r>
        <w:rPr>
          <w:color w:val="000000"/>
          <w:spacing w:val="0"/>
          <w:w w:val="100"/>
          <w:position w:val="0"/>
        </w:rPr>
        <w:t>元和</w:t>
      </w:r>
      <w:r>
        <w:rPr>
          <w:color w:val="000000"/>
          <w:spacing w:val="0"/>
          <w:w w:val="100"/>
          <w:position w:val="0"/>
          <w:sz w:val="18"/>
          <w:szCs w:val="18"/>
        </w:rPr>
        <w:t>22.15</w:t>
      </w:r>
      <w:r>
        <w:rPr>
          <w:color w:val="000000"/>
          <w:spacing w:val="0"/>
          <w:w w:val="100"/>
          <w:position w:val="0"/>
        </w:rPr>
        <w:t>元，远高于行业平均水平。高质量的票均收入，以及稳定的收入增长，共同保证了公司持续健康的利润水平。</w:t>
      </w:r>
    </w:p>
    <w:p>
      <w:pPr>
        <w:pStyle w:val="Style11"/>
        <w:keepNext w:val="0"/>
        <w:keepLines w:val="0"/>
        <w:widowControl w:val="0"/>
        <w:shd w:val="clear" w:color="auto" w:fill="auto"/>
        <w:bidi w:val="0"/>
        <w:spacing w:before="0" w:line="468" w:lineRule="exact"/>
        <w:ind w:left="0" w:right="0" w:firstLine="0"/>
        <w:jc w:val="both"/>
      </w:pPr>
      <w:bookmarkStart w:id="88" w:name="bookmark88"/>
      <w:r>
        <w:rPr>
          <w:b/>
          <w:bCs/>
          <w:color w:val="000000"/>
          <w:spacing w:val="0"/>
          <w:w w:val="100"/>
          <w:position w:val="0"/>
        </w:rPr>
        <w:t>（</w:t>
      </w:r>
      <w:bookmarkEnd w:id="88"/>
      <w:r>
        <w:rPr>
          <w:b/>
          <w:bCs/>
          <w:color w:val="000000"/>
          <w:spacing w:val="0"/>
          <w:w w:val="100"/>
          <w:position w:val="0"/>
        </w:rPr>
        <w:t>三）坚持直营模式，保证经营稳定性和可控性，确保服务质量和时效，增强客户粘性。</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rPr>
        <w:t>顺丰控股是采用直营模式的快递企业。顺丰控股总部控制了全部快递网络，包括干支线运输、中转场和配送网点，收派 件取得的收入、发生的成本，人员福利、购置设备支出等都纳入顺丰控股统一结算。相比于加盟经营模式，采用直营模式的 顺丰控股对各业务环节具有绝对控制力，有助于内部管理的规范化，可以有效保障服务质量和客户体验，与中高端的产品定 位相适应。</w:t>
      </w:r>
    </w:p>
    <w:p>
      <w:pPr>
        <w:pStyle w:val="Style11"/>
        <w:keepNext w:val="0"/>
        <w:keepLines w:val="0"/>
        <w:widowControl w:val="0"/>
        <w:shd w:val="clear" w:color="auto" w:fill="auto"/>
        <w:bidi w:val="0"/>
        <w:spacing w:before="0" w:after="0" w:line="470" w:lineRule="exact"/>
        <w:ind w:left="0" w:right="0"/>
        <w:jc w:val="both"/>
      </w:pPr>
      <w:r>
        <w:rPr>
          <w:color w:val="000000"/>
          <w:spacing w:val="0"/>
          <w:w w:val="100"/>
          <w:position w:val="0"/>
        </w:rPr>
        <w:t>相比加盟模式，顺丰控股采用直营模式有如下优点：</w:t>
      </w:r>
      <w:r>
        <w:rPr>
          <w:b/>
          <w:bCs/>
          <w:color w:val="000000"/>
          <w:spacing w:val="0"/>
          <w:w w:val="100"/>
          <w:position w:val="0"/>
        </w:rPr>
        <w:t>一是保证公司经营的稳定性和运营管理的可控性。</w:t>
      </w:r>
      <w:r>
        <w:rPr>
          <w:color w:val="000000"/>
          <w:spacing w:val="0"/>
          <w:w w:val="100"/>
          <w:position w:val="0"/>
        </w:rPr>
        <w:t xml:space="preserve">快递行业具有规 模性和网络化特征，规模往往涉及国内外数千个经营网点和数十万名服务人员，如何确保公司经营的稳定性和运营管理的可 控性是确保未来可持续性发展的重点。顺丰控股从收件、中转、运输、派件等各环节，从总部到区部到分部到网点，基本采 </w:t>
      </w:r>
      <w:r>
        <w:rPr>
          <w:color w:val="000000"/>
          <w:spacing w:val="0"/>
          <w:w w:val="100"/>
          <w:position w:val="0"/>
        </w:rPr>
        <w:t>用自营模式为主，辅以部分环节外包模式，不仅能保证公司经营的稳定性，还能确保在异常风险事件、运营时效、质量及成 本等方面的可控性，确保公司未来可持续、健康向前发展。二</w:t>
      </w:r>
      <w:r>
        <w:rPr>
          <w:b/>
          <w:bCs/>
          <w:color w:val="000000"/>
          <w:spacing w:val="0"/>
          <w:w w:val="100"/>
          <w:position w:val="0"/>
        </w:rPr>
        <w:t>是有助于运营管理的标准化，进而提升快递服务的质量和效率。</w:t>
      </w:r>
    </w:p>
    <w:p>
      <w:pPr>
        <w:pStyle w:val="Style11"/>
        <w:keepNext w:val="0"/>
        <w:keepLines w:val="0"/>
        <w:widowControl w:val="0"/>
        <w:shd w:val="clear" w:color="auto" w:fill="auto"/>
        <w:bidi w:val="0"/>
        <w:spacing w:before="0" w:line="468" w:lineRule="exact"/>
        <w:ind w:left="0" w:right="0" w:firstLine="0"/>
        <w:jc w:val="both"/>
      </w:pPr>
      <w:r>
        <w:rPr>
          <w:color w:val="000000"/>
          <w:spacing w:val="0"/>
          <w:w w:val="100"/>
          <w:position w:val="0"/>
        </w:rPr>
        <w:t>顺丰控股从总部到区部到分部到网点均实行流程标准化的管理，科学的管理模式更有助于提升服务质量和水平，提升客户全 过程服务体验，同时提高效率、降低成本。</w:t>
      </w:r>
      <w:r>
        <w:rPr>
          <w:b/>
          <w:bCs/>
          <w:color w:val="000000"/>
          <w:spacing w:val="0"/>
          <w:w w:val="100"/>
          <w:position w:val="0"/>
        </w:rPr>
        <w:t>三是增强了快递服务的时效性。</w:t>
      </w:r>
      <w:r>
        <w:rPr>
          <w:color w:val="000000"/>
          <w:spacing w:val="0"/>
          <w:w w:val="100"/>
          <w:position w:val="0"/>
        </w:rPr>
        <w:t>得益于直营模式在企业管理经营中统一化、标准 化的优点，以及企业内部更为有效的资源整合，顺丰控股在服务时效性方面获得了较强的竞争优势。</w:t>
      </w:r>
      <w:r>
        <w:rPr>
          <w:b/>
          <w:bCs/>
          <w:color w:val="000000"/>
          <w:spacing w:val="0"/>
          <w:w w:val="100"/>
          <w:position w:val="0"/>
        </w:rPr>
        <w:t>四是提高了客户忠诚度 和品牌美誉度。</w:t>
      </w:r>
      <w:r>
        <w:rPr>
          <w:color w:val="000000"/>
          <w:spacing w:val="0"/>
          <w:w w:val="100"/>
          <w:position w:val="0"/>
        </w:rPr>
        <w:t>顺丰控股纵深式的经营管理模式便于近距离贴近客户，第一时间、全面准确地了解客户的需求，听取客户的 声音。同时，也便于在面对问题时，第一时间跟进处理、回访，保证了服务质量和客户满意度，日积月累，成就了顺丰控股 连续</w:t>
      </w:r>
      <w:r>
        <w:rPr>
          <w:color w:val="000000"/>
          <w:spacing w:val="0"/>
          <w:w w:val="100"/>
          <w:position w:val="0"/>
          <w:sz w:val="18"/>
          <w:szCs w:val="18"/>
        </w:rPr>
        <w:t>8</w:t>
      </w:r>
      <w:r>
        <w:rPr>
          <w:color w:val="000000"/>
          <w:spacing w:val="0"/>
          <w:w w:val="100"/>
          <w:position w:val="0"/>
        </w:rPr>
        <w:t>年排名第一的客户满意度和品牌美誉度。</w:t>
      </w:r>
      <w:r>
        <w:rPr>
          <w:b/>
          <w:bCs/>
          <w:color w:val="000000"/>
          <w:spacing w:val="0"/>
          <w:w w:val="100"/>
          <w:position w:val="0"/>
        </w:rPr>
        <w:t>五是有助于顺丰控股文化的统一和建立。</w:t>
      </w:r>
      <w:r>
        <w:rPr>
          <w:color w:val="000000"/>
          <w:spacing w:val="0"/>
          <w:w w:val="100"/>
          <w:position w:val="0"/>
        </w:rPr>
        <w:t>良好的企业文化、统一的核心价值 观不仅能够使得顺丰控股内部在经营过程中形成一种健康、积极向上的氛围，还能够强化整体的凝聚力、向心力，使组织更 具人性化。</w:t>
      </w:r>
      <w:r>
        <w:rPr>
          <w:b/>
          <w:bCs/>
          <w:color w:val="000000"/>
          <w:spacing w:val="0"/>
          <w:w w:val="100"/>
          <w:position w:val="0"/>
        </w:rPr>
        <w:t>六是员工素质高、公司形象好。</w:t>
      </w:r>
      <w:r>
        <w:rPr>
          <w:color w:val="000000"/>
          <w:spacing w:val="0"/>
          <w:w w:val="100"/>
          <w:position w:val="0"/>
        </w:rPr>
        <w:t>直营模式下顺丰控股采用统一的人员招聘、管理规范，从而在人员品德、仪容仪 表、业务操作等方面能够形成一套完整的规范流程，进而在服务质量上也能够得到更为有效的保障。</w:t>
      </w:r>
    </w:p>
    <w:p>
      <w:pPr>
        <w:pStyle w:val="Style11"/>
        <w:keepNext w:val="0"/>
        <w:keepLines w:val="0"/>
        <w:widowControl w:val="0"/>
        <w:shd w:val="clear" w:color="auto" w:fill="auto"/>
        <w:bidi w:val="0"/>
        <w:spacing w:before="0" w:line="468" w:lineRule="exact"/>
        <w:ind w:left="0" w:right="0" w:firstLine="0"/>
        <w:jc w:val="both"/>
      </w:pPr>
      <w:bookmarkStart w:id="89" w:name="bookmark89"/>
      <w:r>
        <w:rPr>
          <w:b/>
          <w:bCs/>
          <w:color w:val="000000"/>
          <w:spacing w:val="0"/>
          <w:w w:val="100"/>
          <w:position w:val="0"/>
        </w:rPr>
        <w:t>（</w:t>
      </w:r>
      <w:bookmarkEnd w:id="89"/>
      <w:r>
        <w:rPr>
          <w:b/>
          <w:bCs/>
          <w:color w:val="000000"/>
          <w:spacing w:val="0"/>
          <w:w w:val="100"/>
          <w:position w:val="0"/>
        </w:rPr>
        <w:t>四）覆盖国内外的快递网络，天网+地网+信息网的组合优势明显</w:t>
      </w:r>
    </w:p>
    <w:p>
      <w:pPr>
        <w:pStyle w:val="Style11"/>
        <w:keepNext w:val="0"/>
        <w:keepLines w:val="0"/>
        <w:widowControl w:val="0"/>
        <w:shd w:val="clear" w:color="auto" w:fill="auto"/>
        <w:bidi w:val="0"/>
        <w:spacing w:before="0" w:line="461" w:lineRule="exact"/>
        <w:ind w:left="0" w:right="0"/>
        <w:jc w:val="both"/>
      </w:pPr>
      <w:r>
        <w:rPr>
          <w:color w:val="000000"/>
          <w:spacing w:val="0"/>
          <w:w w:val="100"/>
          <w:position w:val="0"/>
        </w:rPr>
        <w:t>顺丰控股已建成覆盖全国的快递网络，并向全球主要国家拓展。截至报告期末，顺丰控股业务覆盖全国</w:t>
      </w:r>
      <w:r>
        <w:rPr>
          <w:color w:val="000000"/>
          <w:spacing w:val="0"/>
          <w:w w:val="100"/>
          <w:position w:val="0"/>
          <w:sz w:val="18"/>
          <w:szCs w:val="18"/>
        </w:rPr>
        <w:t>331</w:t>
      </w:r>
      <w:r>
        <w:rPr>
          <w:color w:val="000000"/>
          <w:spacing w:val="0"/>
          <w:w w:val="100"/>
          <w:position w:val="0"/>
        </w:rPr>
        <w:t xml:space="preserve">个地级市、 </w:t>
      </w:r>
      <w:r>
        <w:rPr>
          <w:color w:val="000000"/>
          <w:spacing w:val="0"/>
          <w:w w:val="100"/>
          <w:position w:val="0"/>
          <w:sz w:val="18"/>
          <w:szCs w:val="18"/>
        </w:rPr>
        <w:t>2620</w:t>
      </w:r>
      <w:r>
        <w:rPr>
          <w:color w:val="000000"/>
          <w:spacing w:val="0"/>
          <w:w w:val="100"/>
          <w:position w:val="0"/>
        </w:rPr>
        <w:t>个县区级城市，近</w:t>
      </w:r>
      <w:r>
        <w:rPr>
          <w:color w:val="000000"/>
          <w:spacing w:val="0"/>
          <w:w w:val="100"/>
          <w:position w:val="0"/>
          <w:sz w:val="18"/>
          <w:szCs w:val="18"/>
        </w:rPr>
        <w:t>13000</w:t>
      </w:r>
      <w:r>
        <w:rPr>
          <w:color w:val="000000"/>
          <w:spacing w:val="0"/>
          <w:w w:val="100"/>
          <w:position w:val="0"/>
        </w:rPr>
        <w:t>个自营网点。国际业务方面，国际标快</w:t>
      </w:r>
      <w:r>
        <w:rPr>
          <w:color w:val="000000"/>
          <w:spacing w:val="0"/>
          <w:w w:val="100"/>
          <w:position w:val="0"/>
          <w:sz w:val="18"/>
          <w:szCs w:val="18"/>
        </w:rPr>
        <w:t>/</w:t>
      </w:r>
      <w:r>
        <w:rPr>
          <w:color w:val="000000"/>
          <w:spacing w:val="0"/>
          <w:w w:val="100"/>
          <w:position w:val="0"/>
        </w:rPr>
        <w:t>国际特惠业务涉及美国、欧盟、俄罗斯、加拿大、日 本、韩国、东盟、印度、巴西、墨西哥、巴西等</w:t>
      </w:r>
      <w:r>
        <w:rPr>
          <w:color w:val="000000"/>
          <w:spacing w:val="0"/>
          <w:w w:val="100"/>
          <w:position w:val="0"/>
          <w:sz w:val="18"/>
          <w:szCs w:val="18"/>
        </w:rPr>
        <w:t>51</w:t>
      </w:r>
      <w:r>
        <w:rPr>
          <w:color w:val="000000"/>
          <w:spacing w:val="0"/>
          <w:w w:val="100"/>
          <w:position w:val="0"/>
        </w:rPr>
        <w:t>个国家；国际小包业务覆盖全球</w:t>
      </w:r>
      <w:r>
        <w:rPr>
          <w:color w:val="000000"/>
          <w:spacing w:val="0"/>
          <w:w w:val="100"/>
          <w:position w:val="0"/>
          <w:sz w:val="18"/>
          <w:szCs w:val="18"/>
        </w:rPr>
        <w:t>200</w:t>
      </w:r>
      <w:r>
        <w:rPr>
          <w:color w:val="000000"/>
          <w:spacing w:val="0"/>
          <w:w w:val="100"/>
          <w:position w:val="0"/>
        </w:rPr>
        <w:t>个国家及地区。</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rPr>
        <w:t>航空运输方面，顺丰控股拥有完善的航空运输网络，截止报告期末，顺丰控股自营全货机</w:t>
      </w:r>
      <w:r>
        <w:rPr>
          <w:color w:val="000000"/>
          <w:spacing w:val="0"/>
          <w:w w:val="100"/>
          <w:position w:val="0"/>
          <w:sz w:val="18"/>
          <w:szCs w:val="18"/>
        </w:rPr>
        <w:t>36</w:t>
      </w:r>
      <w:r>
        <w:rPr>
          <w:color w:val="000000"/>
          <w:spacing w:val="0"/>
          <w:w w:val="100"/>
          <w:position w:val="0"/>
        </w:rPr>
        <w:t>架，外包全货机</w:t>
      </w:r>
      <w:r>
        <w:rPr>
          <w:color w:val="000000"/>
          <w:spacing w:val="0"/>
          <w:w w:val="100"/>
          <w:position w:val="0"/>
          <w:sz w:val="18"/>
          <w:szCs w:val="18"/>
        </w:rPr>
        <w:t>15</w:t>
      </w:r>
      <w:r>
        <w:rPr>
          <w:color w:val="000000"/>
          <w:spacing w:val="0"/>
          <w:w w:val="100"/>
          <w:position w:val="0"/>
        </w:rPr>
        <w:t>架；通 航城市覆盖含香港、台北在内的</w:t>
      </w:r>
      <w:r>
        <w:rPr>
          <w:color w:val="000000"/>
          <w:spacing w:val="0"/>
          <w:w w:val="100"/>
          <w:position w:val="0"/>
          <w:sz w:val="18"/>
          <w:szCs w:val="18"/>
        </w:rPr>
        <w:t>35</w:t>
      </w:r>
      <w:r>
        <w:rPr>
          <w:color w:val="000000"/>
          <w:spacing w:val="0"/>
          <w:w w:val="100"/>
          <w:position w:val="0"/>
        </w:rPr>
        <w:t>个一二级机场。除自有航空网络外，顺丰控股还构建了通达境内外的散航网络，考虑散航 运力，顺丰控股航空网络每日开航航班约</w:t>
      </w:r>
      <w:r>
        <w:rPr>
          <w:color w:val="000000"/>
          <w:spacing w:val="0"/>
          <w:w w:val="100"/>
          <w:position w:val="0"/>
          <w:sz w:val="18"/>
          <w:szCs w:val="18"/>
        </w:rPr>
        <w:t>3,000</w:t>
      </w:r>
      <w:r>
        <w:rPr>
          <w:color w:val="000000"/>
          <w:spacing w:val="0"/>
          <w:w w:val="100"/>
          <w:position w:val="0"/>
        </w:rPr>
        <w:t>架次，可覆盖中国大陆、香港、台湾以及海外等</w:t>
      </w:r>
      <w:r>
        <w:rPr>
          <w:color w:val="000000"/>
          <w:spacing w:val="0"/>
          <w:w w:val="100"/>
          <w:position w:val="0"/>
          <w:sz w:val="18"/>
          <w:szCs w:val="18"/>
        </w:rPr>
        <w:t>24</w:t>
      </w:r>
      <w:r>
        <w:rPr>
          <w:color w:val="000000"/>
          <w:spacing w:val="0"/>
          <w:w w:val="100"/>
          <w:position w:val="0"/>
        </w:rPr>
        <w:t>个国家和地区。</w:t>
      </w:r>
    </w:p>
    <w:p>
      <w:pPr>
        <w:pStyle w:val="Style11"/>
        <w:keepNext w:val="0"/>
        <w:keepLines w:val="0"/>
        <w:widowControl w:val="0"/>
        <w:shd w:val="clear" w:color="auto" w:fill="auto"/>
        <w:bidi w:val="0"/>
        <w:spacing w:before="0" w:line="485" w:lineRule="exact"/>
        <w:ind w:left="0" w:right="0"/>
        <w:jc w:val="both"/>
      </w:pPr>
      <w:r>
        <w:rPr>
          <w:color w:val="000000"/>
          <w:spacing w:val="0"/>
          <w:w w:val="100"/>
          <w:position w:val="0"/>
        </w:rPr>
        <w:t>公路运输方面，截至报告期末，顺丰控股运营中使用的自有车辆约</w:t>
      </w:r>
      <w:r>
        <w:rPr>
          <w:color w:val="000000"/>
          <w:spacing w:val="0"/>
          <w:w w:val="100"/>
          <w:position w:val="0"/>
          <w:sz w:val="18"/>
          <w:szCs w:val="18"/>
        </w:rPr>
        <w:t xml:space="preserve">1. </w:t>
      </w:r>
      <w:r>
        <w:rPr>
          <w:color w:val="000000"/>
          <w:spacing w:val="0"/>
          <w:w w:val="100"/>
          <w:position w:val="0"/>
          <w:sz w:val="18"/>
          <w:szCs w:val="18"/>
        </w:rPr>
        <w:t>5</w:t>
      </w:r>
      <w:r>
        <w:rPr>
          <w:color w:val="000000"/>
          <w:spacing w:val="0"/>
          <w:w w:val="100"/>
          <w:position w:val="0"/>
        </w:rPr>
        <w:t>万辆，开通</w:t>
      </w:r>
      <w:r>
        <w:rPr>
          <w:color w:val="000000"/>
          <w:spacing w:val="0"/>
          <w:w w:val="100"/>
          <w:position w:val="0"/>
          <w:sz w:val="18"/>
          <w:szCs w:val="18"/>
        </w:rPr>
        <w:t>9, 600</w:t>
      </w:r>
      <w:r>
        <w:rPr>
          <w:color w:val="000000"/>
          <w:spacing w:val="0"/>
          <w:w w:val="100"/>
          <w:position w:val="0"/>
        </w:rPr>
        <w:t>多条运输干线和</w:t>
      </w:r>
      <w:r>
        <w:rPr>
          <w:color w:val="000000"/>
          <w:spacing w:val="0"/>
          <w:w w:val="100"/>
          <w:position w:val="0"/>
          <w:sz w:val="18"/>
          <w:szCs w:val="18"/>
        </w:rPr>
        <w:t>68, 000</w:t>
      </w:r>
      <w:r>
        <w:rPr>
          <w:color w:val="000000"/>
          <w:spacing w:val="0"/>
          <w:w w:val="100"/>
          <w:position w:val="0"/>
        </w:rPr>
        <w:t>多条运 输支线，运输线路遍布全国。</w:t>
      </w:r>
    </w:p>
    <w:p>
      <w:pPr>
        <w:pStyle w:val="Style11"/>
        <w:keepNext w:val="0"/>
        <w:keepLines w:val="0"/>
        <w:widowControl w:val="0"/>
        <w:shd w:val="clear" w:color="auto" w:fill="auto"/>
        <w:bidi w:val="0"/>
        <w:spacing w:before="0" w:after="0" w:line="472" w:lineRule="exact"/>
        <w:ind w:left="0" w:right="0"/>
        <w:jc w:val="both"/>
      </w:pPr>
      <w:r>
        <w:rPr>
          <w:color w:val="000000"/>
          <w:spacing w:val="0"/>
          <w:w w:val="100"/>
          <w:position w:val="0"/>
        </w:rPr>
        <w:t>中转分拨方面，截至报告期末，顺丰控股拥有</w:t>
      </w:r>
      <w:r>
        <w:rPr>
          <w:color w:val="000000"/>
          <w:spacing w:val="0"/>
          <w:w w:val="100"/>
          <w:position w:val="0"/>
          <w:sz w:val="18"/>
          <w:szCs w:val="18"/>
        </w:rPr>
        <w:t>12</w:t>
      </w:r>
      <w:r>
        <w:rPr>
          <w:color w:val="000000"/>
          <w:spacing w:val="0"/>
          <w:w w:val="100"/>
          <w:position w:val="0"/>
        </w:rPr>
        <w:t>个枢纽级中转场，</w:t>
      </w:r>
      <w:r>
        <w:rPr>
          <w:color w:val="000000"/>
          <w:spacing w:val="0"/>
          <w:w w:val="100"/>
          <w:position w:val="0"/>
          <w:sz w:val="18"/>
          <w:szCs w:val="18"/>
        </w:rPr>
        <w:t>19</w:t>
      </w:r>
      <w:r>
        <w:rPr>
          <w:color w:val="000000"/>
          <w:spacing w:val="0"/>
          <w:w w:val="100"/>
          <w:position w:val="0"/>
        </w:rPr>
        <w:t>个航空、铁路站点，</w:t>
      </w:r>
      <w:r>
        <w:rPr>
          <w:color w:val="000000"/>
          <w:spacing w:val="0"/>
          <w:w w:val="100"/>
          <w:position w:val="0"/>
          <w:sz w:val="18"/>
          <w:szCs w:val="18"/>
        </w:rPr>
        <w:t>127</w:t>
      </w:r>
      <w:r>
        <w:rPr>
          <w:color w:val="000000"/>
          <w:spacing w:val="0"/>
          <w:w w:val="100"/>
          <w:position w:val="0"/>
        </w:rPr>
        <w:t>个综合中转场，</w:t>
      </w:r>
      <w:r>
        <w:rPr>
          <w:color w:val="000000"/>
          <w:spacing w:val="0"/>
          <w:w w:val="100"/>
          <w:position w:val="0"/>
          <w:sz w:val="18"/>
          <w:szCs w:val="18"/>
        </w:rPr>
        <w:t>133</w:t>
      </w:r>
      <w:r>
        <w:rPr>
          <w:color w:val="000000"/>
          <w:spacing w:val="0"/>
          <w:w w:val="100"/>
          <w:position w:val="0"/>
        </w:rPr>
        <w:t>个简 易中转场，其中部分已投入使用全自动高效分拣系统，确保快件准时、安全送达；</w:t>
      </w:r>
    </w:p>
    <w:p>
      <w:pPr>
        <w:pStyle w:val="Style11"/>
        <w:keepNext w:val="0"/>
        <w:keepLines w:val="0"/>
        <w:widowControl w:val="0"/>
        <w:shd w:val="clear" w:color="auto" w:fill="auto"/>
        <w:bidi w:val="0"/>
        <w:spacing w:before="0" w:line="472" w:lineRule="exact"/>
        <w:ind w:left="0" w:right="0"/>
        <w:jc w:val="both"/>
      </w:pPr>
      <w:r>
        <w:rPr>
          <w:color w:val="000000"/>
          <w:spacing w:val="0"/>
          <w:w w:val="100"/>
          <w:position w:val="0"/>
        </w:rPr>
        <w:t>终端客服网络方面，</w:t>
      </w:r>
      <w:r>
        <w:rPr>
          <w:color w:val="000000"/>
          <w:spacing w:val="0"/>
          <w:w w:val="100"/>
          <w:position w:val="0"/>
          <w:sz w:val="18"/>
          <w:szCs w:val="18"/>
        </w:rPr>
        <w:t>9</w:t>
      </w:r>
      <w:r>
        <w:rPr>
          <w:color w:val="000000"/>
          <w:spacing w:val="0"/>
          <w:w w:val="100"/>
          <w:position w:val="0"/>
        </w:rPr>
        <w:t>个独立呼叫中心，约</w:t>
      </w:r>
      <w:r>
        <w:rPr>
          <w:color w:val="000000"/>
          <w:spacing w:val="0"/>
          <w:w w:val="100"/>
          <w:position w:val="0"/>
          <w:sz w:val="18"/>
          <w:szCs w:val="18"/>
        </w:rPr>
        <w:t>7140</w:t>
      </w:r>
      <w:r>
        <w:rPr>
          <w:color w:val="000000"/>
          <w:spacing w:val="0"/>
          <w:w w:val="100"/>
          <w:position w:val="0"/>
        </w:rPr>
        <w:t>个坐席，每天提供</w:t>
      </w:r>
      <w:r>
        <w:rPr>
          <w:color w:val="000000"/>
          <w:spacing w:val="0"/>
          <w:w w:val="100"/>
          <w:position w:val="0"/>
          <w:sz w:val="18"/>
          <w:szCs w:val="18"/>
        </w:rPr>
        <w:t>115</w:t>
      </w:r>
      <w:r>
        <w:rPr>
          <w:color w:val="000000"/>
          <w:spacing w:val="0"/>
          <w:w w:val="100"/>
          <w:position w:val="0"/>
        </w:rPr>
        <w:t>万人次的话务服务，亲切可靠；</w:t>
      </w:r>
      <w:r>
        <w:rPr>
          <w:color w:val="000000"/>
          <w:spacing w:val="0"/>
          <w:w w:val="100"/>
          <w:position w:val="0"/>
          <w:sz w:val="18"/>
          <w:szCs w:val="18"/>
        </w:rPr>
        <w:t>95338</w:t>
      </w:r>
      <w:r>
        <w:rPr>
          <w:color w:val="000000"/>
          <w:spacing w:val="0"/>
          <w:w w:val="100"/>
          <w:position w:val="0"/>
        </w:rPr>
        <w:t>交互式语 音应答系统、顺丰官网、大客户发件系统、会员系统、</w:t>
      </w:r>
      <w:r>
        <w:rPr>
          <w:color w:val="000000"/>
          <w:spacing w:val="0"/>
          <w:w w:val="100"/>
          <w:position w:val="0"/>
          <w:sz w:val="18"/>
          <w:szCs w:val="18"/>
        </w:rPr>
        <w:t>APP</w:t>
      </w:r>
      <w:r>
        <w:rPr>
          <w:color w:val="000000"/>
          <w:spacing w:val="0"/>
          <w:w w:val="100"/>
          <w:position w:val="0"/>
        </w:rPr>
        <w:t>手机客户端、微信公众号、在线客服等多渠道提供</w:t>
      </w:r>
      <w:r>
        <w:rPr>
          <w:color w:val="000000"/>
          <w:spacing w:val="0"/>
          <w:w w:val="100"/>
          <w:position w:val="0"/>
          <w:sz w:val="18"/>
          <w:szCs w:val="18"/>
        </w:rPr>
        <w:t>7*24</w:t>
      </w:r>
      <w:r>
        <w:rPr>
          <w:color w:val="000000"/>
          <w:spacing w:val="0"/>
          <w:w w:val="100"/>
          <w:position w:val="0"/>
        </w:rPr>
        <w:t>的自助服 务；</w:t>
      </w:r>
    </w:p>
    <w:p>
      <w:pPr>
        <w:pStyle w:val="Style11"/>
        <w:keepNext w:val="0"/>
        <w:keepLines w:val="0"/>
        <w:widowControl w:val="0"/>
        <w:shd w:val="clear" w:color="auto" w:fill="auto"/>
        <w:bidi w:val="0"/>
        <w:spacing w:before="0" w:line="463" w:lineRule="exact"/>
        <w:ind w:left="0" w:right="0"/>
        <w:jc w:val="both"/>
      </w:pPr>
      <w:r>
        <w:rPr>
          <w:color w:val="000000"/>
          <w:spacing w:val="0"/>
          <w:w w:val="100"/>
          <w:position w:val="0"/>
        </w:rPr>
        <w:t>最后一公里方面，顺丰控股通过与顺丰商业网点、合作代理点、物业管理及智能快递柜的合作实现最后一公里的覆盖。 截至报告期末，顺丰控股与近</w:t>
      </w:r>
      <w:r>
        <w:rPr>
          <w:color w:val="000000"/>
          <w:spacing w:val="0"/>
          <w:w w:val="100"/>
          <w:position w:val="0"/>
          <w:sz w:val="18"/>
          <w:szCs w:val="18"/>
        </w:rPr>
        <w:t>3</w:t>
      </w:r>
      <w:r>
        <w:rPr>
          <w:color w:val="000000"/>
          <w:spacing w:val="0"/>
          <w:w w:val="100"/>
          <w:position w:val="0"/>
        </w:rPr>
        <w:t>万个合作代办点及</w:t>
      </w:r>
      <w:r>
        <w:rPr>
          <w:color w:val="000000"/>
          <w:spacing w:val="0"/>
          <w:w w:val="100"/>
          <w:position w:val="0"/>
          <w:sz w:val="18"/>
          <w:szCs w:val="18"/>
        </w:rPr>
        <w:t>552</w:t>
      </w:r>
      <w:r>
        <w:rPr>
          <w:color w:val="000000"/>
          <w:spacing w:val="0"/>
          <w:w w:val="100"/>
          <w:position w:val="0"/>
        </w:rPr>
        <w:t>个物业管理公司网点展开合作，顺丰控股参股的丰巢科技已在社区/ 写字楼安装运营的智能快递柜超过</w:t>
      </w:r>
      <w:r>
        <w:rPr>
          <w:color w:val="000000"/>
          <w:spacing w:val="0"/>
          <w:w w:val="100"/>
          <w:position w:val="0"/>
          <w:sz w:val="18"/>
          <w:szCs w:val="18"/>
        </w:rPr>
        <w:t>35150</w:t>
      </w:r>
      <w:r>
        <w:rPr>
          <w:color w:val="000000"/>
          <w:spacing w:val="0"/>
          <w:w w:val="100"/>
          <w:position w:val="0"/>
        </w:rPr>
        <w:t>个，覆盖国内深圳、广州、北京、上海、武汉等</w:t>
      </w:r>
      <w:r>
        <w:rPr>
          <w:color w:val="000000"/>
          <w:spacing w:val="0"/>
          <w:w w:val="100"/>
          <w:position w:val="0"/>
          <w:sz w:val="18"/>
          <w:szCs w:val="18"/>
        </w:rPr>
        <w:t>75</w:t>
      </w:r>
      <w:r>
        <w:rPr>
          <w:color w:val="000000"/>
          <w:spacing w:val="0"/>
          <w:w w:val="100"/>
          <w:position w:val="0"/>
        </w:rPr>
        <w:t>个城市。</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总之，顺丰控股覆盖国内外的的快递网络，加之公司在智能物流方面的一贯注重和持续投入，最终形成“天网+地网+信 息网”组合的智能物流核心竞争力，从而为更多的客户提供安全、可靠、稳定、高效的物流服务，进一步巩固和扩大行业领 先优势。</w:t>
      </w:r>
    </w:p>
    <w:p>
      <w:pPr>
        <w:pStyle w:val="Style11"/>
        <w:keepNext w:val="0"/>
        <w:keepLines w:val="0"/>
        <w:widowControl w:val="0"/>
        <w:shd w:val="clear" w:color="auto" w:fill="auto"/>
        <w:bidi w:val="0"/>
        <w:spacing w:before="0" w:after="40" w:line="470" w:lineRule="exact"/>
        <w:ind w:left="0" w:right="0" w:firstLine="0"/>
        <w:jc w:val="both"/>
      </w:pPr>
      <w:bookmarkStart w:id="90" w:name="bookmark90"/>
      <w:r>
        <w:rPr>
          <w:b/>
          <w:bCs/>
          <w:color w:val="000000"/>
          <w:spacing w:val="0"/>
          <w:w w:val="100"/>
          <w:position w:val="0"/>
        </w:rPr>
        <w:t>（</w:t>
      </w:r>
      <w:bookmarkEnd w:id="90"/>
      <w:r>
        <w:rPr>
          <w:b/>
          <w:bCs/>
          <w:color w:val="000000"/>
          <w:spacing w:val="0"/>
          <w:w w:val="100"/>
          <w:position w:val="0"/>
        </w:rPr>
        <w:t>五）较强的</w:t>
      </w:r>
      <w:r>
        <w:rPr>
          <w:b/>
          <w:bCs/>
          <w:color w:val="000000"/>
          <w:spacing w:val="0"/>
          <w:w w:val="100"/>
          <w:position w:val="0"/>
        </w:rPr>
        <w:t>IT</w:t>
      </w:r>
      <w:r>
        <w:rPr>
          <w:b/>
          <w:bCs/>
          <w:color w:val="000000"/>
          <w:spacing w:val="0"/>
          <w:w w:val="100"/>
          <w:position w:val="0"/>
        </w:rPr>
        <w:t>研发能力，智能物流及管理创新投入度高；</w:t>
      </w:r>
    </w:p>
    <w:p>
      <w:pPr>
        <w:pStyle w:val="Style11"/>
        <w:keepNext w:val="0"/>
        <w:keepLines w:val="0"/>
        <w:widowControl w:val="0"/>
        <w:shd w:val="clear" w:color="auto" w:fill="auto"/>
        <w:bidi w:val="0"/>
        <w:spacing w:before="0" w:after="40" w:line="470" w:lineRule="exact"/>
        <w:ind w:left="0" w:right="0"/>
        <w:jc w:val="both"/>
      </w:pPr>
      <w:r>
        <w:rPr>
          <w:color w:val="000000"/>
          <w:spacing w:val="0"/>
          <w:w w:val="100"/>
          <w:position w:val="0"/>
        </w:rPr>
        <w:t>顺丰控股一贯重视在信息化领域的投入，负责集团信息系统研发与运维的科技人员超过</w:t>
      </w:r>
      <w:r>
        <w:rPr>
          <w:color w:val="000000"/>
          <w:spacing w:val="0"/>
          <w:w w:val="100"/>
          <w:position w:val="0"/>
          <w:sz w:val="18"/>
          <w:szCs w:val="18"/>
        </w:rPr>
        <w:t>2,000</w:t>
      </w:r>
      <w:r>
        <w:rPr>
          <w:color w:val="000000"/>
          <w:spacing w:val="0"/>
          <w:w w:val="100"/>
          <w:position w:val="0"/>
        </w:rPr>
        <w:t>名。近三年，顺丰控股申 报和获得的专利</w:t>
      </w:r>
      <w:r>
        <w:rPr>
          <w:color w:val="000000"/>
          <w:spacing w:val="0"/>
          <w:w w:val="100"/>
          <w:position w:val="0"/>
          <w:sz w:val="18"/>
          <w:szCs w:val="18"/>
        </w:rPr>
        <w:t>523</w:t>
      </w:r>
      <w:r>
        <w:rPr>
          <w:color w:val="000000"/>
          <w:spacing w:val="0"/>
          <w:w w:val="100"/>
          <w:position w:val="0"/>
        </w:rPr>
        <w:t>项，软件著作权</w:t>
      </w:r>
      <w:r>
        <w:rPr>
          <w:color w:val="000000"/>
          <w:spacing w:val="0"/>
          <w:w w:val="100"/>
          <w:position w:val="0"/>
          <w:sz w:val="18"/>
          <w:szCs w:val="18"/>
        </w:rPr>
        <w:t>200</w:t>
      </w:r>
      <w:r>
        <w:rPr>
          <w:color w:val="000000"/>
          <w:spacing w:val="0"/>
          <w:w w:val="100"/>
          <w:position w:val="0"/>
        </w:rPr>
        <w:t>多项。未来，还将继续扩大在科技领域投入，不断提高各方面的科技与智能化水平， 持续保持公司在行业的领先优势。其中：</w:t>
      </w:r>
    </w:p>
    <w:p>
      <w:pPr>
        <w:pStyle w:val="Style11"/>
        <w:keepNext w:val="0"/>
        <w:keepLines w:val="0"/>
        <w:widowControl w:val="0"/>
        <w:shd w:val="clear" w:color="auto" w:fill="auto"/>
        <w:bidi w:val="0"/>
        <w:spacing w:before="0" w:after="40" w:line="470" w:lineRule="exact"/>
        <w:ind w:left="0" w:right="0"/>
        <w:jc w:val="both"/>
      </w:pPr>
      <w:bookmarkStart w:id="91" w:name="bookmark91"/>
      <w:r>
        <w:rPr>
          <w:b/>
          <w:bCs/>
          <w:color w:val="000000"/>
          <w:spacing w:val="0"/>
          <w:w w:val="100"/>
          <w:position w:val="0"/>
        </w:rPr>
        <w:t>1</w:t>
      </w:r>
      <w:bookmarkEnd w:id="91"/>
      <w:r>
        <w:rPr>
          <w:b/>
          <w:bCs/>
          <w:color w:val="000000"/>
          <w:spacing w:val="0"/>
          <w:w w:val="100"/>
          <w:position w:val="0"/>
        </w:rPr>
        <w:t>、智能物流方面：</w:t>
      </w:r>
    </w:p>
    <w:p>
      <w:pPr>
        <w:pStyle w:val="Style11"/>
        <w:keepNext w:val="0"/>
        <w:keepLines w:val="0"/>
        <w:widowControl w:val="0"/>
        <w:shd w:val="clear" w:color="auto" w:fill="auto"/>
        <w:bidi w:val="0"/>
        <w:spacing w:before="0" w:after="40" w:line="467" w:lineRule="exact"/>
        <w:ind w:left="0" w:right="0"/>
        <w:jc w:val="both"/>
      </w:pPr>
      <w:r>
        <w:rPr>
          <w:color w:val="000000"/>
          <w:spacing w:val="0"/>
          <w:w w:val="100"/>
          <w:position w:val="0"/>
        </w:rPr>
        <w:t>顺丰控股自主研发了一套完整的运营管理体系（订单管理系统、分拣支持系统、时效管理系统、指挥调度系统等），实现 订单全生命和可视化管理。顺丰控股自</w:t>
      </w:r>
      <w:r>
        <w:rPr>
          <w:color w:val="000000"/>
          <w:spacing w:val="0"/>
          <w:w w:val="100"/>
          <w:position w:val="0"/>
          <w:sz w:val="18"/>
          <w:szCs w:val="18"/>
        </w:rPr>
        <w:t>2016</w:t>
      </w:r>
      <w:r>
        <w:rPr>
          <w:color w:val="000000"/>
          <w:spacing w:val="0"/>
          <w:w w:val="100"/>
          <w:position w:val="0"/>
        </w:rPr>
        <w:t>年开始建立以大数据驱动的仓库选址、商家销量预测、库存分仓策略和智能调拨 方案。同时推出快递行业面向企业客户的首款大数据产品一一数据灯塔，融合顺丰海量数据和外部数据，运用大数据计算与 分析技术，做到实时统计、即时分析、专业模型、清晰呈现，聚焦智慧物流和智慧商业，为客户提供物流仓储、市场推广、 精准营销、产品运营等方面的决策支持，助力客户优化物流和拓展业务。</w:t>
      </w:r>
    </w:p>
    <w:p>
      <w:pPr>
        <w:pStyle w:val="Style11"/>
        <w:keepNext w:val="0"/>
        <w:keepLines w:val="0"/>
        <w:widowControl w:val="0"/>
        <w:shd w:val="clear" w:color="auto" w:fill="auto"/>
        <w:bidi w:val="0"/>
        <w:spacing w:before="0" w:line="456" w:lineRule="exact"/>
        <w:ind w:left="0" w:right="0"/>
        <w:jc w:val="both"/>
      </w:pPr>
      <w:r>
        <w:rPr>
          <w:color w:val="000000"/>
          <w:spacing w:val="0"/>
          <w:w w:val="100"/>
          <w:position w:val="0"/>
        </w:rPr>
        <w:t>顺丰控股是我国最早提出和布局物流领域无人机应用的公司，</w:t>
      </w:r>
      <w:r>
        <w:rPr>
          <w:color w:val="000000"/>
          <w:spacing w:val="0"/>
          <w:w w:val="100"/>
          <w:position w:val="0"/>
          <w:sz w:val="18"/>
          <w:szCs w:val="18"/>
        </w:rPr>
        <w:t>2013</w:t>
      </w:r>
      <w:r>
        <w:rPr>
          <w:color w:val="000000"/>
          <w:spacing w:val="0"/>
          <w:w w:val="100"/>
          <w:position w:val="0"/>
        </w:rPr>
        <w:t>年顺丰控股已开始测试无人机送递包裹。截止</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2</w:t>
      </w:r>
      <w:r>
        <w:rPr>
          <w:color w:val="000000"/>
          <w:spacing w:val="0"/>
          <w:w w:val="100"/>
          <w:position w:val="0"/>
        </w:rPr>
        <w:t>月，顺丰控股申报和获得在无人机领域专利数量达</w:t>
      </w:r>
      <w:r>
        <w:rPr>
          <w:color w:val="000000"/>
          <w:spacing w:val="0"/>
          <w:w w:val="100"/>
          <w:position w:val="0"/>
          <w:sz w:val="18"/>
          <w:szCs w:val="18"/>
        </w:rPr>
        <w:t>111</w:t>
      </w:r>
      <w:r>
        <w:rPr>
          <w:color w:val="000000"/>
          <w:spacing w:val="0"/>
          <w:w w:val="100"/>
          <w:position w:val="0"/>
        </w:rPr>
        <w:t>项，包括发明专利</w:t>
      </w:r>
      <w:r>
        <w:rPr>
          <w:color w:val="000000"/>
          <w:spacing w:val="0"/>
          <w:w w:val="100"/>
          <w:position w:val="0"/>
          <w:sz w:val="18"/>
          <w:szCs w:val="18"/>
        </w:rPr>
        <w:t>51</w:t>
      </w:r>
      <w:r>
        <w:rPr>
          <w:color w:val="000000"/>
          <w:spacing w:val="0"/>
          <w:w w:val="100"/>
          <w:position w:val="0"/>
        </w:rPr>
        <w:t>项，实用新型</w:t>
      </w:r>
      <w:r>
        <w:rPr>
          <w:color w:val="000000"/>
          <w:spacing w:val="0"/>
          <w:w w:val="100"/>
          <w:position w:val="0"/>
          <w:sz w:val="18"/>
          <w:szCs w:val="18"/>
        </w:rPr>
        <w:t>54</w:t>
      </w:r>
      <w:r>
        <w:rPr>
          <w:color w:val="000000"/>
          <w:spacing w:val="0"/>
          <w:w w:val="100"/>
          <w:position w:val="0"/>
        </w:rPr>
        <w:t>项以及外观专利</w:t>
      </w:r>
      <w:r>
        <w:rPr>
          <w:color w:val="000000"/>
          <w:spacing w:val="0"/>
          <w:w w:val="100"/>
          <w:position w:val="0"/>
          <w:sz w:val="18"/>
          <w:szCs w:val="18"/>
        </w:rPr>
        <w:t>6</w:t>
      </w:r>
      <w:r>
        <w:rPr>
          <w:color w:val="000000"/>
          <w:spacing w:val="0"/>
          <w:w w:val="100"/>
          <w:position w:val="0"/>
        </w:rPr>
        <w:t>项。</w:t>
      </w:r>
    </w:p>
    <w:p>
      <w:pPr>
        <w:pStyle w:val="Style11"/>
        <w:keepNext w:val="0"/>
        <w:keepLines w:val="0"/>
        <w:widowControl w:val="0"/>
        <w:shd w:val="clear" w:color="auto" w:fill="auto"/>
        <w:bidi w:val="0"/>
        <w:spacing w:before="0" w:line="469" w:lineRule="exact"/>
        <w:ind w:left="0" w:right="0"/>
        <w:jc w:val="both"/>
      </w:pPr>
      <w:r>
        <w:rPr>
          <w:color w:val="000000"/>
          <w:spacing w:val="0"/>
          <w:w w:val="100"/>
          <w:position w:val="0"/>
        </w:rPr>
        <w:t>顺丰控股持续在智能硬件设备上开发力度，如手持终端、自动分拣设备、智能分拣柜等硬件设备的投入使用，大大减少 手工操作，提升效率。其中，在自动化设备方面，顺丰控股是我国最早使用自动分拣设备的快递公司，自</w:t>
      </w:r>
      <w:r>
        <w:rPr>
          <w:color w:val="000000"/>
          <w:spacing w:val="0"/>
          <w:w w:val="100"/>
          <w:position w:val="0"/>
          <w:sz w:val="18"/>
          <w:szCs w:val="18"/>
        </w:rPr>
        <w:t>2011</w:t>
      </w:r>
      <w:r>
        <w:rPr>
          <w:color w:val="000000"/>
          <w:spacing w:val="0"/>
          <w:w w:val="100"/>
          <w:position w:val="0"/>
        </w:rPr>
        <w:t>年起逐步在各 主要中转场投入自动分拣设备，大大提升分拣效率，目前正结合人工智能、物联网等技术，积极探索和研发智能硬件，进一 步提升各环节的运作效率，降低运营成本。</w:t>
      </w:r>
    </w:p>
    <w:p>
      <w:pPr>
        <w:pStyle w:val="Style11"/>
        <w:keepNext w:val="0"/>
        <w:keepLines w:val="0"/>
        <w:widowControl w:val="0"/>
        <w:shd w:val="clear" w:color="auto" w:fill="auto"/>
        <w:bidi w:val="0"/>
        <w:spacing w:before="0" w:line="470" w:lineRule="exact"/>
        <w:ind w:left="0" w:right="0" w:firstLine="440"/>
        <w:jc w:val="both"/>
      </w:pPr>
      <w:bookmarkStart w:id="92" w:name="bookmark92"/>
      <w:r>
        <w:rPr>
          <w:b/>
          <w:bCs/>
          <w:color w:val="000000"/>
          <w:spacing w:val="0"/>
          <w:w w:val="100"/>
          <w:position w:val="0"/>
        </w:rPr>
        <w:t>2</w:t>
      </w:r>
      <w:bookmarkEnd w:id="92"/>
      <w:r>
        <w:rPr>
          <w:b/>
          <w:bCs/>
          <w:color w:val="000000"/>
          <w:spacing w:val="0"/>
          <w:w w:val="100"/>
          <w:position w:val="0"/>
        </w:rPr>
        <w:t>、内部管理方面</w:t>
      </w:r>
    </w:p>
    <w:p>
      <w:pPr>
        <w:pStyle w:val="Style11"/>
        <w:keepNext w:val="0"/>
        <w:keepLines w:val="0"/>
        <w:widowControl w:val="0"/>
        <w:shd w:val="clear" w:color="auto" w:fill="auto"/>
        <w:bidi w:val="0"/>
        <w:spacing w:before="0" w:line="470" w:lineRule="exact"/>
        <w:ind w:left="0" w:right="0"/>
        <w:jc w:val="both"/>
      </w:pPr>
      <w:r>
        <w:rPr>
          <w:b/>
          <w:bCs/>
          <w:color w:val="000000"/>
          <w:spacing w:val="0"/>
          <w:w w:val="100"/>
          <w:position w:val="0"/>
        </w:rPr>
        <w:t>2014年，顺丰控股全面启动</w:t>
      </w:r>
      <w:r>
        <w:rPr>
          <w:b/>
          <w:bCs/>
          <w:color w:val="000000"/>
          <w:spacing w:val="0"/>
          <w:w w:val="100"/>
          <w:position w:val="0"/>
        </w:rPr>
        <w:t>ERP</w:t>
      </w:r>
      <w:r>
        <w:rPr>
          <w:b/>
          <w:bCs/>
          <w:color w:val="000000"/>
          <w:spacing w:val="0"/>
          <w:w w:val="100"/>
          <w:position w:val="0"/>
        </w:rPr>
        <w:t>系统变革项目，并通过移动互联网技术大力推广移动办公门户，提高内部管理效率。</w:t>
      </w:r>
      <w:r>
        <w:rPr>
          <w:color w:val="000000"/>
          <w:spacing w:val="0"/>
          <w:w w:val="100"/>
          <w:position w:val="0"/>
        </w:rPr>
        <w:t>截 至报告期末，顺丰控股上市范围内合计</w:t>
      </w:r>
      <w:r>
        <w:rPr>
          <w:color w:val="000000"/>
          <w:spacing w:val="0"/>
          <w:w w:val="100"/>
          <w:position w:val="0"/>
          <w:sz w:val="18"/>
          <w:szCs w:val="18"/>
        </w:rPr>
        <w:t>311</w:t>
      </w:r>
      <w:r>
        <w:rPr>
          <w:color w:val="000000"/>
          <w:spacing w:val="0"/>
          <w:w w:val="100"/>
          <w:position w:val="0"/>
        </w:rPr>
        <w:t>家公司已全面上线</w:t>
      </w:r>
      <w:r>
        <w:rPr>
          <w:color w:val="000000"/>
          <w:spacing w:val="0"/>
          <w:w w:val="100"/>
          <w:position w:val="0"/>
          <w:sz w:val="18"/>
          <w:szCs w:val="18"/>
        </w:rPr>
        <w:t>SAP</w:t>
      </w:r>
      <w:r>
        <w:rPr>
          <w:color w:val="000000"/>
          <w:spacing w:val="0"/>
          <w:w w:val="100"/>
          <w:position w:val="0"/>
        </w:rPr>
        <w:t>系统，实现人（人力资源）、财（财务资源）、物（物资管 理）管理集成一体化。在横向上，打破过去人财物各模块相互独立的壁垒，转变为以“流程”为主导的全新管理模式，实现 前端业务到财务端到端流程的打通。在纵向上，实现总部到地区再到分点部全层级信息透明和实时共享，一方面为地区提供 更及时的经营数据支持和指导，同时便于总部及时掌握前线运营最新数据、快速响应和决策。全面启用</w:t>
      </w:r>
      <w:r>
        <w:rPr>
          <w:color w:val="000000"/>
          <w:spacing w:val="0"/>
          <w:w w:val="100"/>
          <w:position w:val="0"/>
          <w:sz w:val="18"/>
          <w:szCs w:val="18"/>
        </w:rPr>
        <w:t>SAP</w:t>
      </w:r>
      <w:r>
        <w:rPr>
          <w:color w:val="000000"/>
          <w:spacing w:val="0"/>
          <w:w w:val="100"/>
          <w:position w:val="0"/>
        </w:rPr>
        <w:t>后，大幅提升了 公司系统内部控制的有效性、数据的及时性和质量，同时，通过不断提升端到端流程自动化水平，以及大力推广丰声等移动 办公门户，充分利用员工碎片化时间，进一步提升内部管理效率，降低人工成本。</w:t>
      </w:r>
    </w:p>
    <w:p>
      <w:pPr>
        <w:pStyle w:val="Style11"/>
        <w:keepNext w:val="0"/>
        <w:keepLines w:val="0"/>
        <w:widowControl w:val="0"/>
        <w:shd w:val="clear" w:color="auto" w:fill="auto"/>
        <w:bidi w:val="0"/>
        <w:spacing w:before="0" w:after="0" w:line="470" w:lineRule="exact"/>
        <w:ind w:left="0" w:right="0"/>
        <w:jc w:val="both"/>
      </w:pPr>
      <w:r>
        <w:rPr>
          <w:b/>
          <w:bCs/>
          <w:color w:val="000000"/>
          <w:spacing w:val="0"/>
          <w:w w:val="100"/>
          <w:position w:val="0"/>
        </w:rPr>
        <w:t>借助公司全面上线</w:t>
      </w:r>
      <w:r>
        <w:rPr>
          <w:b/>
          <w:bCs/>
          <w:color w:val="000000"/>
          <w:spacing w:val="0"/>
          <w:w w:val="100"/>
          <w:position w:val="0"/>
        </w:rPr>
        <w:t>SAP</w:t>
      </w:r>
      <w:r>
        <w:rPr>
          <w:b/>
          <w:bCs/>
          <w:color w:val="000000"/>
          <w:spacing w:val="0"/>
          <w:w w:val="100"/>
          <w:position w:val="0"/>
        </w:rPr>
        <w:t>的良好契机，2014年开始，公司启动了财务、人资、综合共享服务中心筹建准备工作</w:t>
      </w:r>
      <w:r>
        <w:rPr>
          <w:color w:val="000000"/>
          <w:spacing w:val="0"/>
          <w:w w:val="100"/>
          <w:position w:val="0"/>
        </w:rPr>
        <w:t xml:space="preserve">。截至报告 </w:t>
      </w:r>
      <w:r>
        <w:rPr>
          <w:color w:val="000000"/>
          <w:spacing w:val="0"/>
          <w:w w:val="100"/>
          <w:position w:val="0"/>
          <w:shd w:val="clear" w:color="auto" w:fill="FFFFFF"/>
        </w:rPr>
        <w:t>期末，顺丰控股已实现财务、人资和综合三条线的基础工作全面集中共享，实现从地区分散管理模式到集中共享管理模式的 历史性转变，其中财务共享中心已集中至武汉共享，人资共享中心集中在华南和武汉，综合共享中心集中在部分核心城市。 共享后，给公司带来的好处主要包括：</w:t>
      </w:r>
      <w:r>
        <w:rPr>
          <w:color w:val="000000"/>
          <w:spacing w:val="0"/>
          <w:w w:val="100"/>
          <w:position w:val="0"/>
          <w:sz w:val="18"/>
          <w:szCs w:val="18"/>
          <w:shd w:val="clear" w:color="auto" w:fill="FFFFFF"/>
        </w:rPr>
        <w:t>1</w:t>
      </w:r>
      <w:r>
        <w:rPr>
          <w:color w:val="000000"/>
          <w:spacing w:val="0"/>
          <w:w w:val="100"/>
          <w:position w:val="0"/>
          <w:shd w:val="clear" w:color="auto" w:fill="FFFFFF"/>
        </w:rPr>
        <w:t>、将部分可以标准化、集中共享的日常操作性工作从地区原有工作中剥离出来，集中 共享至某一个或多个城市，一方面，可以减轻地区职能的工作量，让其更聚焦于业务经营；</w:t>
      </w:r>
      <w:r>
        <w:rPr>
          <w:color w:val="000000"/>
          <w:spacing w:val="0"/>
          <w:w w:val="100"/>
          <w:position w:val="0"/>
          <w:sz w:val="18"/>
          <w:szCs w:val="18"/>
          <w:shd w:val="clear" w:color="auto" w:fill="FFFFFF"/>
        </w:rPr>
        <w:t>2</w:t>
      </w:r>
      <w:r>
        <w:rPr>
          <w:color w:val="000000"/>
          <w:spacing w:val="0"/>
          <w:w w:val="100"/>
          <w:position w:val="0"/>
          <w:shd w:val="clear" w:color="auto" w:fill="FFFFFF"/>
        </w:rPr>
        <w:t>、将剥离出来的基础工作，交由 具有共享服务管理和相关专业经验的人员进行专业化管理，不仅有助于提高工作的标准化,还将提升流程的一致性和合规性， 降低合规性风险。</w:t>
      </w:r>
      <w:r>
        <w:rPr>
          <w:color w:val="000000"/>
          <w:spacing w:val="0"/>
          <w:w w:val="100"/>
          <w:position w:val="0"/>
          <w:sz w:val="18"/>
          <w:szCs w:val="18"/>
          <w:shd w:val="clear" w:color="auto" w:fill="FFFFFF"/>
        </w:rPr>
        <w:t>3</w:t>
      </w:r>
      <w:r>
        <w:rPr>
          <w:color w:val="000000"/>
          <w:spacing w:val="0"/>
          <w:w w:val="100"/>
          <w:position w:val="0"/>
          <w:shd w:val="clear" w:color="auto" w:fill="FFFFFF"/>
        </w:rPr>
        <w:t>、共享服务的不断标准化和精细化，有助于进一步提升公司数据质量，为经营决策提供高质量的数据支撑；</w:t>
      </w:r>
    </w:p>
    <w:p>
      <w:pPr>
        <w:pStyle w:val="Style11"/>
        <w:keepNext w:val="0"/>
        <w:keepLines w:val="0"/>
        <w:widowControl w:val="0"/>
        <w:shd w:val="clear" w:color="auto" w:fill="auto"/>
        <w:bidi w:val="0"/>
        <w:spacing w:before="0" w:line="468" w:lineRule="exact"/>
        <w:ind w:left="0" w:right="0" w:firstLine="0"/>
        <w:jc w:val="both"/>
      </w:pPr>
      <w:bookmarkStart w:id="93" w:name="bookmark93"/>
      <w:r>
        <w:rPr>
          <w:color w:val="000000"/>
          <w:spacing w:val="0"/>
          <w:w w:val="100"/>
          <w:position w:val="0"/>
          <w:sz w:val="18"/>
          <w:szCs w:val="18"/>
        </w:rPr>
        <w:t>4</w:t>
      </w:r>
      <w:bookmarkEnd w:id="93"/>
      <w:r>
        <w:rPr>
          <w:color w:val="000000"/>
          <w:spacing w:val="0"/>
          <w:w w:val="100"/>
          <w:position w:val="0"/>
        </w:rPr>
        <w:t>、共享后，各共享中心都陆续开展相应流程改造和系统工具自动化工作，按年度制定共享后的量化降本增效及人员优化考核 目标，并每月监督公布。数据显示，共享后的工作效能较共享前有明显提升。</w:t>
      </w:r>
    </w:p>
    <w:p>
      <w:pPr>
        <w:pStyle w:val="Style11"/>
        <w:keepNext w:val="0"/>
        <w:keepLines w:val="0"/>
        <w:widowControl w:val="0"/>
        <w:shd w:val="clear" w:color="auto" w:fill="auto"/>
        <w:bidi w:val="0"/>
        <w:spacing w:before="0" w:after="0" w:line="469" w:lineRule="exact"/>
        <w:ind w:left="0" w:right="0" w:firstLine="0"/>
        <w:jc w:val="both"/>
      </w:pPr>
      <w:bookmarkStart w:id="94" w:name="bookmark94"/>
      <w:r>
        <w:rPr>
          <w:b/>
          <w:bCs/>
          <w:color w:val="000000"/>
          <w:spacing w:val="0"/>
          <w:w w:val="100"/>
          <w:position w:val="0"/>
        </w:rPr>
        <w:t>（</w:t>
      </w:r>
      <w:bookmarkEnd w:id="94"/>
      <w:r>
        <w:rPr>
          <w:b/>
          <w:bCs/>
          <w:color w:val="000000"/>
          <w:spacing w:val="0"/>
          <w:w w:val="100"/>
          <w:position w:val="0"/>
        </w:rPr>
        <w:t>六）核心资源优势明显</w:t>
      </w:r>
    </w:p>
    <w:p>
      <w:pPr>
        <w:pStyle w:val="Style11"/>
        <w:keepNext w:val="0"/>
        <w:keepLines w:val="0"/>
        <w:widowControl w:val="0"/>
        <w:shd w:val="clear" w:color="auto" w:fill="auto"/>
        <w:bidi w:val="0"/>
        <w:spacing w:before="0" w:after="0" w:line="469" w:lineRule="exact"/>
        <w:ind w:left="0" w:right="0" w:firstLine="400"/>
        <w:jc w:val="left"/>
      </w:pPr>
      <w:bookmarkStart w:id="95" w:name="bookmark95"/>
      <w:r>
        <w:rPr>
          <w:b/>
          <w:bCs/>
          <w:color w:val="000000"/>
          <w:spacing w:val="0"/>
          <w:w w:val="100"/>
          <w:position w:val="0"/>
        </w:rPr>
        <w:t>1</w:t>
      </w:r>
      <w:bookmarkEnd w:id="95"/>
      <w:r>
        <w:rPr>
          <w:b/>
          <w:bCs/>
          <w:color w:val="000000"/>
          <w:spacing w:val="0"/>
          <w:w w:val="100"/>
          <w:position w:val="0"/>
        </w:rPr>
        <w:t>、航空资源和运营能力领先，有效保障快递安全、准时送达</w:t>
      </w:r>
    </w:p>
    <w:p>
      <w:pPr>
        <w:pStyle w:val="Style11"/>
        <w:keepNext w:val="0"/>
        <w:keepLines w:val="0"/>
        <w:widowControl w:val="0"/>
        <w:shd w:val="clear" w:color="auto" w:fill="auto"/>
        <w:bidi w:val="0"/>
        <w:spacing w:before="0" w:after="0" w:line="470" w:lineRule="exact"/>
        <w:ind w:left="0" w:right="0" w:firstLine="400"/>
        <w:jc w:val="left"/>
      </w:pPr>
      <w:r>
        <w:rPr>
          <w:color w:val="000000"/>
          <w:spacing w:val="0"/>
          <w:w w:val="100"/>
          <w:position w:val="0"/>
          <w:sz w:val="18"/>
          <w:szCs w:val="18"/>
        </w:rPr>
        <w:t>2003</w:t>
      </w:r>
      <w:r>
        <w:rPr>
          <w:color w:val="000000"/>
          <w:spacing w:val="0"/>
          <w:w w:val="100"/>
          <w:position w:val="0"/>
        </w:rPr>
        <w:t>年，顺丰控股与扬子江快运航空有限公司签订合同，成为国内第一家用飞机运送快件的民营快递公司。</w:t>
      </w:r>
      <w:r>
        <w:rPr>
          <w:color w:val="000000"/>
          <w:spacing w:val="0"/>
          <w:w w:val="100"/>
          <w:position w:val="0"/>
          <w:sz w:val="18"/>
          <w:szCs w:val="18"/>
        </w:rPr>
        <w:t>2005</w:t>
      </w:r>
      <w:r>
        <w:rPr>
          <w:color w:val="000000"/>
          <w:spacing w:val="0"/>
          <w:w w:val="100"/>
          <w:position w:val="0"/>
        </w:rPr>
        <w:t>年，顺 丰控股开始筹备货运航空公司一一顺丰航空有限公司（以下简称“顺丰航空</w:t>
      </w:r>
      <w:r>
        <w:rPr>
          <w:color w:val="000000"/>
          <w:spacing w:val="0"/>
          <w:w w:val="100"/>
          <w:position w:val="0"/>
          <w:sz w:val="18"/>
          <w:szCs w:val="18"/>
        </w:rPr>
        <w:t>”），</w:t>
      </w:r>
      <w:r>
        <w:rPr>
          <w:color w:val="000000"/>
          <w:spacing w:val="0"/>
          <w:w w:val="100"/>
          <w:position w:val="0"/>
        </w:rPr>
        <w:t>伴随着</w:t>
      </w:r>
      <w:r>
        <w:rPr>
          <w:color w:val="000000"/>
          <w:spacing w:val="0"/>
          <w:w w:val="100"/>
          <w:position w:val="0"/>
          <w:sz w:val="18"/>
          <w:szCs w:val="18"/>
        </w:rPr>
        <w:t>2009</w:t>
      </w:r>
      <w:r>
        <w:rPr>
          <w:color w:val="000000"/>
          <w:spacing w:val="0"/>
          <w:w w:val="100"/>
          <w:position w:val="0"/>
        </w:rPr>
        <w:t>年底的成功首航，顺丰航空成为 我国首家民营货运航空公司，现今已发展为国内全货机数量最多的货运航空公司。截至本报告期末，国内快递企业中，仅顺 丰控股、</w:t>
      </w:r>
      <w:r>
        <w:rPr>
          <w:color w:val="000000"/>
          <w:spacing w:val="0"/>
          <w:w w:val="100"/>
          <w:position w:val="0"/>
          <w:sz w:val="18"/>
          <w:szCs w:val="18"/>
        </w:rPr>
        <w:t>EMS</w:t>
      </w:r>
      <w:r>
        <w:rPr>
          <w:color w:val="000000"/>
          <w:spacing w:val="0"/>
          <w:w w:val="100"/>
          <w:position w:val="0"/>
        </w:rPr>
        <w:t>和圆通速递三家成立了物流航空公司，拥有独立航空运输能力。无论从全货机数量、航线数还是运力能力，顺 丰控股在国内行业中都是领先的。</w:t>
      </w:r>
    </w:p>
    <w:p>
      <w:pPr>
        <w:pStyle w:val="Style11"/>
        <w:keepNext w:val="0"/>
        <w:keepLines w:val="0"/>
        <w:widowControl w:val="0"/>
        <w:shd w:val="clear" w:color="auto" w:fill="auto"/>
        <w:bidi w:val="0"/>
        <w:spacing w:before="0" w:after="0" w:line="469" w:lineRule="exact"/>
        <w:ind w:left="0" w:right="0" w:firstLine="400"/>
        <w:jc w:val="left"/>
      </w:pPr>
      <w:r>
        <w:rPr>
          <w:b/>
          <w:bCs/>
          <w:color w:val="000000"/>
          <w:spacing w:val="0"/>
          <w:w w:val="100"/>
          <w:position w:val="0"/>
        </w:rPr>
        <w:t>在机队建设及空运能力方面</w:t>
      </w:r>
      <w:r>
        <w:rPr>
          <w:color w:val="000000"/>
          <w:spacing w:val="0"/>
          <w:w w:val="100"/>
          <w:position w:val="0"/>
          <w:sz w:val="18"/>
          <w:szCs w:val="18"/>
        </w:rPr>
        <w:t>，</w:t>
      </w:r>
      <w:r>
        <w:rPr>
          <w:color w:val="000000"/>
          <w:spacing w:val="0"/>
          <w:w w:val="100"/>
          <w:position w:val="0"/>
        </w:rPr>
        <w:t>截止本报告期末，顺丰控股共拥有</w:t>
      </w:r>
      <w:r>
        <w:rPr>
          <w:color w:val="000000"/>
          <w:spacing w:val="0"/>
          <w:w w:val="100"/>
          <w:position w:val="0"/>
          <w:sz w:val="18"/>
          <w:szCs w:val="18"/>
        </w:rPr>
        <w:t>36</w:t>
      </w:r>
      <w:r>
        <w:rPr>
          <w:color w:val="000000"/>
          <w:spacing w:val="0"/>
          <w:w w:val="100"/>
          <w:position w:val="0"/>
        </w:rPr>
        <w:t>架自有全货机（其中</w:t>
      </w:r>
      <w:r>
        <w:rPr>
          <w:color w:val="000000"/>
          <w:spacing w:val="0"/>
          <w:w w:val="100"/>
          <w:position w:val="0"/>
          <w:sz w:val="18"/>
          <w:szCs w:val="18"/>
        </w:rPr>
        <w:t>767:4</w:t>
      </w:r>
      <w:r>
        <w:rPr>
          <w:color w:val="000000"/>
          <w:spacing w:val="0"/>
          <w:w w:val="100"/>
          <w:position w:val="0"/>
        </w:rPr>
        <w:t>架、</w:t>
      </w:r>
      <w:r>
        <w:rPr>
          <w:color w:val="000000"/>
          <w:spacing w:val="0"/>
          <w:w w:val="100"/>
          <w:position w:val="0"/>
          <w:sz w:val="18"/>
          <w:szCs w:val="18"/>
        </w:rPr>
        <w:t>757:16</w:t>
      </w:r>
      <w:r>
        <w:rPr>
          <w:color w:val="000000"/>
          <w:spacing w:val="0"/>
          <w:w w:val="100"/>
          <w:position w:val="0"/>
        </w:rPr>
        <w:t>架、</w:t>
      </w:r>
      <w:r>
        <w:rPr>
          <w:color w:val="000000"/>
          <w:spacing w:val="0"/>
          <w:w w:val="100"/>
          <w:position w:val="0"/>
          <w:sz w:val="18"/>
          <w:szCs w:val="18"/>
        </w:rPr>
        <w:t xml:space="preserve">737:16 </w:t>
      </w:r>
      <w:r>
        <w:rPr>
          <w:color w:val="000000"/>
          <w:spacing w:val="0"/>
          <w:w w:val="100"/>
          <w:position w:val="0"/>
        </w:rPr>
        <w:t>架）、租赁</w:t>
      </w:r>
      <w:r>
        <w:rPr>
          <w:color w:val="000000"/>
          <w:spacing w:val="0"/>
          <w:w w:val="100"/>
          <w:position w:val="0"/>
          <w:sz w:val="18"/>
          <w:szCs w:val="18"/>
        </w:rPr>
        <w:t>15</w:t>
      </w:r>
      <w:r>
        <w:rPr>
          <w:color w:val="000000"/>
          <w:spacing w:val="0"/>
          <w:w w:val="100"/>
          <w:position w:val="0"/>
        </w:rPr>
        <w:t>架全货机，每晚运行</w:t>
      </w:r>
      <w:r>
        <w:rPr>
          <w:color w:val="000000"/>
          <w:spacing w:val="0"/>
          <w:w w:val="100"/>
          <w:position w:val="0"/>
          <w:sz w:val="18"/>
          <w:szCs w:val="18"/>
        </w:rPr>
        <w:t>140</w:t>
      </w:r>
      <w:r>
        <w:rPr>
          <w:color w:val="000000"/>
          <w:spacing w:val="0"/>
          <w:w w:val="100"/>
          <w:position w:val="0"/>
        </w:rPr>
        <w:t>班，运行站点覆盖</w:t>
      </w:r>
      <w:r>
        <w:rPr>
          <w:color w:val="000000"/>
          <w:spacing w:val="0"/>
          <w:w w:val="100"/>
          <w:position w:val="0"/>
          <w:sz w:val="18"/>
          <w:szCs w:val="18"/>
        </w:rPr>
        <w:t>37</w:t>
      </w:r>
      <w:r>
        <w:rPr>
          <w:color w:val="000000"/>
          <w:spacing w:val="0"/>
          <w:w w:val="100"/>
          <w:position w:val="0"/>
        </w:rPr>
        <w:t>个国内主要城市及香港、台北。</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月，伴随着第一架</w:t>
      </w:r>
      <w:r>
        <w:rPr>
          <w:color w:val="000000"/>
          <w:spacing w:val="0"/>
          <w:w w:val="100"/>
          <w:position w:val="0"/>
          <w:sz w:val="18"/>
          <w:szCs w:val="18"/>
        </w:rPr>
        <w:t xml:space="preserve">B767 </w:t>
      </w:r>
      <w:r>
        <w:rPr>
          <w:color w:val="000000"/>
          <w:spacing w:val="0"/>
          <w:w w:val="100"/>
          <w:position w:val="0"/>
        </w:rPr>
        <w:t>宽体全货机正式投入运行，顺丰控股成为国内第一家拥有</w:t>
      </w:r>
      <w:r>
        <w:rPr>
          <w:color w:val="000000"/>
          <w:spacing w:val="0"/>
          <w:w w:val="100"/>
          <w:position w:val="0"/>
          <w:sz w:val="18"/>
          <w:szCs w:val="18"/>
        </w:rPr>
        <w:t>B767</w:t>
      </w:r>
      <w:r>
        <w:rPr>
          <w:color w:val="000000"/>
          <w:spacing w:val="0"/>
          <w:w w:val="100"/>
          <w:position w:val="0"/>
        </w:rPr>
        <w:t>宽体全货机的快递公司。运载空间更大、燃油效率更高的</w:t>
      </w:r>
      <w:r>
        <w:rPr>
          <w:color w:val="000000"/>
          <w:spacing w:val="0"/>
          <w:w w:val="100"/>
          <w:position w:val="0"/>
          <w:sz w:val="18"/>
          <w:szCs w:val="18"/>
        </w:rPr>
        <w:t xml:space="preserve">B767 </w:t>
      </w:r>
      <w:r>
        <w:rPr>
          <w:color w:val="000000"/>
          <w:spacing w:val="0"/>
          <w:w w:val="100"/>
          <w:position w:val="0"/>
        </w:rPr>
        <w:t>在运力与运能上表现更为优越。新机型的投入，除了对现有机队机型进行补充优化之外，对于货量充足区域运力资源的合理 配置、关键航线利用率的提升以及节能减排，也有着重要的促进意义。未来三年内，顺丰控股自有机队规模预计达到</w:t>
      </w:r>
      <w:r>
        <w:rPr>
          <w:color w:val="000000"/>
          <w:spacing w:val="0"/>
          <w:w w:val="100"/>
          <w:position w:val="0"/>
          <w:sz w:val="18"/>
          <w:szCs w:val="18"/>
        </w:rPr>
        <w:t>50</w:t>
      </w:r>
      <w:r>
        <w:rPr>
          <w:color w:val="000000"/>
          <w:spacing w:val="0"/>
          <w:w w:val="100"/>
          <w:position w:val="0"/>
        </w:rPr>
        <w:t>架， 打造以</w:t>
      </w:r>
      <w:r>
        <w:rPr>
          <w:color w:val="000000"/>
          <w:spacing w:val="0"/>
          <w:w w:val="100"/>
          <w:position w:val="0"/>
          <w:sz w:val="18"/>
          <w:szCs w:val="18"/>
        </w:rPr>
        <w:t>767</w:t>
      </w:r>
      <w:r>
        <w:rPr>
          <w:color w:val="000000"/>
          <w:spacing w:val="0"/>
          <w:w w:val="100"/>
          <w:position w:val="0"/>
        </w:rPr>
        <w:t>、</w:t>
      </w:r>
      <w:r>
        <w:rPr>
          <w:color w:val="000000"/>
          <w:spacing w:val="0"/>
          <w:w w:val="100"/>
          <w:position w:val="0"/>
          <w:sz w:val="18"/>
          <w:szCs w:val="18"/>
        </w:rPr>
        <w:t>757</w:t>
      </w:r>
      <w:r>
        <w:rPr>
          <w:color w:val="000000"/>
          <w:spacing w:val="0"/>
          <w:w w:val="100"/>
          <w:position w:val="0"/>
        </w:rPr>
        <w:t>、</w:t>
      </w:r>
      <w:r>
        <w:rPr>
          <w:color w:val="000000"/>
          <w:spacing w:val="0"/>
          <w:w w:val="100"/>
          <w:position w:val="0"/>
          <w:sz w:val="18"/>
          <w:szCs w:val="18"/>
        </w:rPr>
        <w:t>737</w:t>
      </w:r>
      <w:r>
        <w:rPr>
          <w:color w:val="000000"/>
          <w:spacing w:val="0"/>
          <w:w w:val="100"/>
          <w:position w:val="0"/>
        </w:rPr>
        <w:t>三种全货机机队为主的空中运力。并通过不断强化地面基础设施、优化地面运行流程，以深圳、杭州 双枢纽运行，确保空地对接安全、高效、顺畅。以更优异的空中服务品质助力快件安全、快速地送达客户手中！</w:t>
      </w:r>
    </w:p>
    <w:p>
      <w:pPr>
        <w:pStyle w:val="Style11"/>
        <w:keepNext w:val="0"/>
        <w:keepLines w:val="0"/>
        <w:widowControl w:val="0"/>
        <w:shd w:val="clear" w:color="auto" w:fill="auto"/>
        <w:bidi w:val="0"/>
        <w:spacing w:before="0" w:after="0" w:line="480" w:lineRule="exact"/>
        <w:ind w:left="0" w:right="0" w:firstLine="400"/>
        <w:jc w:val="left"/>
      </w:pPr>
      <w:r>
        <w:rPr>
          <w:b/>
          <w:bCs/>
          <w:color w:val="000000"/>
          <w:spacing w:val="0"/>
          <w:w w:val="100"/>
          <w:position w:val="0"/>
        </w:rPr>
        <w:t>在地面自营能力方面</w:t>
      </w:r>
      <w:r>
        <w:rPr>
          <w:color w:val="000000"/>
          <w:spacing w:val="0"/>
          <w:w w:val="100"/>
          <w:position w:val="0"/>
          <w:sz w:val="18"/>
          <w:szCs w:val="18"/>
        </w:rPr>
        <w:t>，2015</w:t>
      </w:r>
      <w:r>
        <w:rPr>
          <w:color w:val="000000"/>
          <w:spacing w:val="0"/>
          <w:w w:val="100"/>
          <w:position w:val="0"/>
        </w:rPr>
        <w:t>年起，顺丰航空陆续实现深圳、杭州、北京三地地面保障业务的自营，通过压缩地面截载时 长、提高地面处理效率，给予快递集散货环节更多的处理时间，为实现快件安全、稳定的时效要求提供更多推力。</w:t>
      </w:r>
    </w:p>
    <w:p>
      <w:pPr>
        <w:pStyle w:val="Style11"/>
        <w:keepNext w:val="0"/>
        <w:keepLines w:val="0"/>
        <w:widowControl w:val="0"/>
        <w:shd w:val="clear" w:color="auto" w:fill="auto"/>
        <w:bidi w:val="0"/>
        <w:spacing w:before="0" w:after="0" w:line="466" w:lineRule="exact"/>
        <w:ind w:left="0" w:right="0" w:firstLine="400"/>
        <w:jc w:val="left"/>
      </w:pPr>
      <w:r>
        <w:rPr>
          <w:b/>
          <w:bCs/>
          <w:color w:val="000000"/>
          <w:spacing w:val="0"/>
          <w:w w:val="100"/>
          <w:position w:val="0"/>
        </w:rPr>
        <w:t>在航空安全保障方面</w:t>
      </w:r>
      <w:r>
        <w:rPr>
          <w:color w:val="000000"/>
          <w:spacing w:val="0"/>
          <w:w w:val="100"/>
          <w:position w:val="0"/>
        </w:rPr>
        <w:t xml:space="preserve">，自成立以来，顺丰航空始终将航空安全放在第一位，搭建了 </w:t>
      </w:r>
      <w:r>
        <w:rPr>
          <w:color w:val="000000"/>
          <w:spacing w:val="0"/>
          <w:w w:val="100"/>
          <w:position w:val="0"/>
          <w:sz w:val="18"/>
          <w:szCs w:val="18"/>
        </w:rPr>
        <w:t>SMS</w:t>
      </w:r>
      <w:r>
        <w:rPr>
          <w:color w:val="000000"/>
          <w:spacing w:val="0"/>
          <w:w w:val="100"/>
          <w:position w:val="0"/>
        </w:rPr>
        <w:t>管理体系，严格落实规章要求。 截止</w:t>
      </w:r>
      <w:r>
        <w:rPr>
          <w:color w:val="000000"/>
          <w:spacing w:val="0"/>
          <w:w w:val="100"/>
          <w:position w:val="0"/>
          <w:sz w:val="18"/>
          <w:szCs w:val="18"/>
        </w:rPr>
        <w:t>2016</w:t>
      </w:r>
      <w:r>
        <w:rPr>
          <w:color w:val="000000"/>
          <w:spacing w:val="0"/>
          <w:w w:val="100"/>
          <w:position w:val="0"/>
        </w:rPr>
        <w:t>年底，顺丰航空已安全运行</w:t>
      </w:r>
      <w:r>
        <w:rPr>
          <w:color w:val="000000"/>
          <w:spacing w:val="0"/>
          <w:w w:val="100"/>
          <w:position w:val="0"/>
          <w:sz w:val="18"/>
          <w:szCs w:val="18"/>
        </w:rPr>
        <w:t>15</w:t>
      </w:r>
      <w:r>
        <w:rPr>
          <w:color w:val="000000"/>
          <w:spacing w:val="0"/>
          <w:w w:val="100"/>
          <w:position w:val="0"/>
        </w:rPr>
        <w:t>万小时，自开航以来，连续</w:t>
      </w:r>
      <w:r>
        <w:rPr>
          <w:color w:val="000000"/>
          <w:spacing w:val="0"/>
          <w:w w:val="100"/>
          <w:position w:val="0"/>
          <w:sz w:val="18"/>
          <w:szCs w:val="18"/>
        </w:rPr>
        <w:t>7</w:t>
      </w:r>
      <w:r>
        <w:rPr>
          <w:color w:val="000000"/>
          <w:spacing w:val="0"/>
          <w:w w:val="100"/>
          <w:position w:val="0"/>
        </w:rPr>
        <w:t>年获得民航局等监管机构颁发的相关安全单位称号。 其中，</w:t>
      </w:r>
      <w:r>
        <w:rPr>
          <w:color w:val="000000"/>
          <w:spacing w:val="0"/>
          <w:w w:val="100"/>
          <w:position w:val="0"/>
          <w:sz w:val="18"/>
          <w:szCs w:val="18"/>
        </w:rPr>
        <w:t>2010</w:t>
      </w:r>
      <w:r>
        <w:rPr>
          <w:color w:val="000000"/>
          <w:spacing w:val="0"/>
          <w:w w:val="100"/>
          <w:position w:val="0"/>
        </w:rPr>
        <w:t>年，荣获民航中南局“</w:t>
      </w:r>
      <w:r>
        <w:rPr>
          <w:color w:val="000000"/>
          <w:spacing w:val="0"/>
          <w:w w:val="100"/>
          <w:position w:val="0"/>
          <w:sz w:val="18"/>
          <w:szCs w:val="18"/>
        </w:rPr>
        <w:t>2010</w:t>
      </w:r>
      <w:r>
        <w:rPr>
          <w:color w:val="000000"/>
          <w:spacing w:val="0"/>
          <w:w w:val="100"/>
          <w:position w:val="0"/>
        </w:rPr>
        <w:t>年度安全责任考核达标单位”称号；</w:t>
      </w:r>
      <w:r>
        <w:rPr>
          <w:color w:val="000000"/>
          <w:spacing w:val="0"/>
          <w:w w:val="100"/>
          <w:position w:val="0"/>
          <w:sz w:val="18"/>
          <w:szCs w:val="18"/>
        </w:rPr>
        <w:t>2011</w:t>
      </w:r>
      <w:r>
        <w:rPr>
          <w:color w:val="000000"/>
          <w:spacing w:val="0"/>
          <w:w w:val="100"/>
          <w:position w:val="0"/>
        </w:rPr>
        <w:t>年，荣获民航中南局“</w:t>
      </w:r>
      <w:r>
        <w:rPr>
          <w:color w:val="000000"/>
          <w:spacing w:val="0"/>
          <w:w w:val="100"/>
          <w:position w:val="0"/>
          <w:sz w:val="18"/>
          <w:szCs w:val="18"/>
        </w:rPr>
        <w:t>2011</w:t>
      </w:r>
      <w:r>
        <w:rPr>
          <w:color w:val="000000"/>
          <w:spacing w:val="0"/>
          <w:w w:val="100"/>
          <w:position w:val="0"/>
        </w:rPr>
        <w:t>年度安全责任 考核优胜单位”称号、</w:t>
      </w:r>
      <w:r>
        <w:rPr>
          <w:color w:val="000000"/>
          <w:spacing w:val="0"/>
          <w:w w:val="100"/>
          <w:position w:val="0"/>
          <w:sz w:val="18"/>
          <w:szCs w:val="18"/>
        </w:rPr>
        <w:t>“2011</w:t>
      </w:r>
      <w:r>
        <w:rPr>
          <w:color w:val="000000"/>
          <w:spacing w:val="0"/>
          <w:w w:val="100"/>
          <w:position w:val="0"/>
        </w:rPr>
        <w:t>年度深圳市交通运输安全生产先进单位”称号；</w:t>
      </w:r>
      <w:r>
        <w:rPr>
          <w:color w:val="000000"/>
          <w:spacing w:val="0"/>
          <w:w w:val="100"/>
          <w:position w:val="0"/>
          <w:sz w:val="18"/>
          <w:szCs w:val="18"/>
        </w:rPr>
        <w:t>2012-2013</w:t>
      </w:r>
      <w:r>
        <w:rPr>
          <w:color w:val="000000"/>
          <w:spacing w:val="0"/>
          <w:w w:val="100"/>
          <w:position w:val="0"/>
        </w:rPr>
        <w:t xml:space="preserve">年，连续两年荣获当年度民航中南地 </w:t>
      </w:r>
      <w:r>
        <w:rPr>
          <w:color w:val="000000"/>
          <w:spacing w:val="0"/>
          <w:w w:val="100"/>
          <w:position w:val="0"/>
        </w:rPr>
        <w:t>区“安全责任考核先进单位”；</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-2016</w:t>
      </w:r>
      <w:r>
        <w:rPr>
          <w:color w:val="000000"/>
          <w:spacing w:val="0"/>
          <w:w w:val="100"/>
          <w:position w:val="0"/>
        </w:rPr>
        <w:t>年，连续三年荣获民航中南地区“安全责任考核达标单位”。</w:t>
      </w:r>
    </w:p>
    <w:p>
      <w:pPr>
        <w:pStyle w:val="Style11"/>
        <w:keepNext w:val="0"/>
        <w:keepLines w:val="0"/>
        <w:widowControl w:val="0"/>
        <w:shd w:val="clear" w:color="auto" w:fill="auto"/>
        <w:bidi w:val="0"/>
        <w:spacing w:before="0" w:after="280" w:line="468" w:lineRule="exact"/>
        <w:ind w:left="0" w:right="0"/>
        <w:jc w:val="both"/>
      </w:pPr>
      <w:r>
        <w:rPr>
          <w:color w:val="000000"/>
          <w:spacing w:val="0"/>
          <w:w w:val="100"/>
          <w:position w:val="0"/>
        </w:rPr>
        <w:t>除全货机以外，顺丰还通过自营（与航空公司直接合作）、代理（货运代理）或三方合作（顺丰、航空公司、代理）等 合作模式，向国内</w:t>
      </w:r>
      <w:r>
        <w:rPr>
          <w:color w:val="000000"/>
          <w:spacing w:val="0"/>
          <w:w w:val="100"/>
          <w:position w:val="0"/>
          <w:sz w:val="18"/>
          <w:szCs w:val="18"/>
        </w:rPr>
        <w:t>30</w:t>
      </w:r>
      <w:r>
        <w:rPr>
          <w:color w:val="000000"/>
          <w:spacing w:val="0"/>
          <w:w w:val="100"/>
          <w:position w:val="0"/>
        </w:rPr>
        <w:t>余家航空公司获取稳定的客机腹舱资源。散航日均发货量</w:t>
      </w:r>
      <w:r>
        <w:rPr>
          <w:color w:val="000000"/>
          <w:spacing w:val="0"/>
          <w:w w:val="100"/>
          <w:position w:val="0"/>
          <w:sz w:val="18"/>
          <w:szCs w:val="18"/>
        </w:rPr>
        <w:t>1556</w:t>
      </w:r>
      <w:r>
        <w:rPr>
          <w:color w:val="000000"/>
          <w:spacing w:val="0"/>
          <w:w w:val="100"/>
          <w:position w:val="0"/>
        </w:rPr>
        <w:t>吨，日均涉及约</w:t>
      </w:r>
      <w:r>
        <w:rPr>
          <w:color w:val="000000"/>
          <w:spacing w:val="0"/>
          <w:w w:val="100"/>
          <w:position w:val="0"/>
          <w:sz w:val="18"/>
          <w:szCs w:val="18"/>
        </w:rPr>
        <w:t>1300</w:t>
      </w:r>
      <w:r>
        <w:rPr>
          <w:color w:val="000000"/>
          <w:spacing w:val="0"/>
          <w:w w:val="100"/>
          <w:position w:val="0"/>
        </w:rPr>
        <w:t>条航线、</w:t>
      </w:r>
      <w:r>
        <w:rPr>
          <w:color w:val="000000"/>
          <w:spacing w:val="0"/>
          <w:w w:val="100"/>
          <w:position w:val="0"/>
          <w:sz w:val="18"/>
          <w:szCs w:val="18"/>
        </w:rPr>
        <w:t>2800</w:t>
      </w:r>
      <w:r>
        <w:rPr>
          <w:color w:val="000000"/>
          <w:spacing w:val="0"/>
          <w:w w:val="100"/>
          <w:position w:val="0"/>
        </w:rPr>
        <w:t>余 个航班。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年顺丰控股通过航空运输快件近百万吨</w:t>
      </w:r>
      <w:r>
        <w:rPr>
          <w:color w:val="000000"/>
          <w:spacing w:val="0"/>
          <w:w w:val="100"/>
          <w:position w:val="0"/>
          <w:sz w:val="18"/>
          <w:szCs w:val="18"/>
        </w:rPr>
        <w:t>（</w:t>
      </w:r>
      <w:r>
        <w:rPr>
          <w:color w:val="000000"/>
          <w:spacing w:val="0"/>
          <w:w w:val="100"/>
          <w:position w:val="0"/>
          <w:sz w:val="18"/>
          <w:szCs w:val="18"/>
        </w:rPr>
        <w:t>99.6</w:t>
      </w:r>
      <w:r>
        <w:rPr>
          <w:color w:val="000000"/>
          <w:spacing w:val="0"/>
          <w:w w:val="100"/>
          <w:position w:val="0"/>
        </w:rPr>
        <w:t>万吨）。详见下表:</w:t>
      </w:r>
    </w:p>
    <w:tbl>
      <w:tblPr>
        <w:tblOverlap w:val="never"/>
        <w:jc w:val="left"/>
        <w:tblLayout w:type="fixed"/>
      </w:tblPr>
      <w:tblGrid>
        <w:gridCol w:w="706"/>
        <w:gridCol w:w="2102"/>
        <w:gridCol w:w="1958"/>
        <w:gridCol w:w="1699"/>
      </w:tblGrid>
      <w:tr>
        <w:trPr>
          <w:trHeight w:val="581"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资源项目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0" w:right="0" w:firstLine="0"/>
              <w:jc w:val="center"/>
            </w:pPr>
            <w:r>
              <w:rPr>
                <w:b/>
                <w:bCs/>
                <w:color w:val="000000"/>
                <w:spacing w:val="0"/>
                <w:w w:val="100"/>
                <w:position w:val="0"/>
              </w:rPr>
              <w:t>报告期末/报告期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报告期日均</w:t>
            </w:r>
          </w:p>
        </w:tc>
      </w:tr>
      <w:tr>
        <w:trPr>
          <w:trHeight w:val="5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自有飞机架数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36</w:t>
            </w:r>
            <w:r>
              <w:rPr>
                <w:color w:val="000000"/>
                <w:spacing w:val="0"/>
                <w:w w:val="100"/>
                <w:position w:val="0"/>
              </w:rPr>
              <w:t>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外部包机架数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w:t>
            </w:r>
            <w:r>
              <w:rPr>
                <w:color w:val="000000"/>
                <w:spacing w:val="0"/>
                <w:w w:val="100"/>
                <w:position w:val="0"/>
              </w:rPr>
              <w:t>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专机线路条数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51</w:t>
            </w:r>
            <w:r>
              <w:rPr>
                <w:color w:val="000000"/>
                <w:spacing w:val="0"/>
                <w:w w:val="100"/>
                <w:position w:val="0"/>
              </w:rPr>
              <w:t>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专机航班数量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w:t>
            </w:r>
            <w:r>
              <w:rPr>
                <w:color w:val="000000"/>
                <w:spacing w:val="0"/>
                <w:w w:val="100"/>
                <w:position w:val="0"/>
                <w:sz w:val="18"/>
                <w:szCs w:val="18"/>
              </w:rPr>
              <w:t>1</w:t>
            </w:r>
            <w:r>
              <w:rPr>
                <w:color w:val="000000"/>
                <w:spacing w:val="0"/>
                <w:w w:val="100"/>
                <w:position w:val="0"/>
              </w:rPr>
              <w:t>万次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86</w:t>
            </w:r>
            <w:r>
              <w:rPr>
                <w:color w:val="000000"/>
                <w:spacing w:val="0"/>
                <w:w w:val="100"/>
                <w:position w:val="0"/>
              </w:rPr>
              <w:t>次</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年发货量（吨）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42. </w:t>
            </w:r>
            <w:r>
              <w:rPr>
                <w:color w:val="000000"/>
                <w:spacing w:val="0"/>
                <w:w w:val="100"/>
                <w:position w:val="0"/>
                <w:sz w:val="18"/>
                <w:szCs w:val="18"/>
              </w:rPr>
              <w:t>8</w:t>
            </w:r>
            <w:r>
              <w:rPr>
                <w:color w:val="000000"/>
                <w:spacing w:val="0"/>
                <w:w w:val="100"/>
                <w:position w:val="0"/>
              </w:rPr>
              <w:t>万吨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1173 </w:t>
            </w:r>
            <w:r>
              <w:rPr>
                <w:color w:val="000000"/>
                <w:spacing w:val="0"/>
                <w:w w:val="100"/>
                <w:position w:val="0"/>
              </w:rPr>
              <w:t>吨</w:t>
            </w:r>
          </w:p>
        </w:tc>
      </w:tr>
      <w:tr>
        <w:trPr>
          <w:trHeight w:val="57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散航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散航线路条数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1300 </w:t>
            </w:r>
            <w:r>
              <w:rPr>
                <w:color w:val="000000"/>
                <w:spacing w:val="0"/>
                <w:w w:val="100"/>
                <w:position w:val="0"/>
              </w:rPr>
              <w:t>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散航航班数量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103</w:t>
            </w:r>
            <w:r>
              <w:rPr>
                <w:color w:val="000000"/>
                <w:spacing w:val="0"/>
                <w:w w:val="100"/>
                <w:position w:val="0"/>
              </w:rPr>
              <w:t>万次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2819 </w:t>
            </w:r>
            <w:r>
              <w:rPr>
                <w:color w:val="000000"/>
                <w:spacing w:val="0"/>
                <w:w w:val="100"/>
                <w:position w:val="0"/>
              </w:rPr>
              <w:t>次</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年发货量（吨）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56. </w:t>
            </w:r>
            <w:r>
              <w:rPr>
                <w:color w:val="000000"/>
                <w:spacing w:val="0"/>
                <w:w w:val="100"/>
                <w:position w:val="0"/>
                <w:sz w:val="18"/>
                <w:szCs w:val="18"/>
              </w:rPr>
              <w:t>81</w:t>
            </w:r>
            <w:r>
              <w:rPr>
                <w:color w:val="000000"/>
                <w:spacing w:val="0"/>
                <w:w w:val="100"/>
                <w:position w:val="0"/>
              </w:rPr>
              <w:t>万吨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1556 </w:t>
            </w:r>
            <w:r>
              <w:rPr>
                <w:color w:val="000000"/>
                <w:spacing w:val="0"/>
                <w:w w:val="100"/>
                <w:position w:val="0"/>
              </w:rPr>
              <w:t>吨</w:t>
            </w:r>
          </w:p>
        </w:tc>
      </w:tr>
    </w:tbl>
    <w:p>
      <w:pPr>
        <w:widowControl w:val="0"/>
        <w:spacing w:after="499" w:line="1" w:lineRule="exact"/>
      </w:pPr>
    </w:p>
    <w:p>
      <w:pPr>
        <w:pStyle w:val="Style11"/>
        <w:keepNext w:val="0"/>
        <w:keepLines w:val="0"/>
        <w:widowControl w:val="0"/>
        <w:shd w:val="clear" w:color="auto" w:fill="auto"/>
        <w:bidi w:val="0"/>
        <w:spacing w:before="0" w:after="40" w:line="350" w:lineRule="exact"/>
        <w:ind w:left="0" w:right="0"/>
        <w:jc w:val="both"/>
      </w:pPr>
      <w:bookmarkStart w:id="96" w:name="bookmark96"/>
      <w:r>
        <w:rPr>
          <w:b/>
          <w:bCs/>
          <w:color w:val="000000"/>
          <w:spacing w:val="0"/>
          <w:w w:val="100"/>
          <w:position w:val="0"/>
        </w:rPr>
        <w:t>2</w:t>
      </w:r>
      <w:bookmarkEnd w:id="96"/>
      <w:r>
        <w:rPr>
          <w:b/>
          <w:bCs/>
          <w:color w:val="000000"/>
          <w:spacing w:val="0"/>
          <w:w w:val="100"/>
          <w:position w:val="0"/>
        </w:rPr>
        <w:t>、物流场地资源储备量领先，具有战略意义且增值空间巨大</w:t>
      </w:r>
    </w:p>
    <w:p>
      <w:pPr>
        <w:pStyle w:val="Style11"/>
        <w:keepNext w:val="0"/>
        <w:keepLines w:val="0"/>
        <w:widowControl w:val="0"/>
        <w:shd w:val="clear" w:color="auto" w:fill="auto"/>
        <w:bidi w:val="0"/>
        <w:spacing w:before="0" w:after="0" w:line="350" w:lineRule="exact"/>
        <w:ind w:left="0" w:right="0"/>
        <w:jc w:val="both"/>
      </w:pPr>
      <w:r>
        <w:rPr>
          <w:color w:val="000000"/>
          <w:spacing w:val="0"/>
          <w:w w:val="100"/>
          <w:position w:val="0"/>
        </w:rPr>
        <w:t>顺应电子商务和快递行业高速增长的发展趋势，同时响应国家邮政局在快递业十三五规划中发布的要求加快快递专业类 物流园区建设的任务号召。顺丰控股提前布局，致力于打造“快递+”和“互联网+ ”双核驱动的产业园服务生态圈，不仅为 顺丰控股内部服务，而且为地方产业和外部客户提供全方位的仓储、物流、商流、信息流和资金流综合配套服务，是有效连 接政府、顺丰服务和客户需求的枢纽和沟通窗口。</w:t>
      </w:r>
    </w:p>
    <w:p>
      <w:pPr>
        <w:pStyle w:val="Style11"/>
        <w:keepNext w:val="0"/>
        <w:keepLines w:val="0"/>
        <w:widowControl w:val="0"/>
        <w:shd w:val="clear" w:color="auto" w:fill="auto"/>
        <w:tabs>
          <w:tab w:pos="834" w:val="left"/>
        </w:tabs>
        <w:bidi w:val="0"/>
        <w:spacing w:before="0" w:line="350" w:lineRule="exact"/>
        <w:ind w:left="0" w:right="0"/>
        <w:jc w:val="both"/>
      </w:pPr>
      <w:bookmarkStart w:id="97" w:name="bookmark97"/>
      <w:r>
        <w:rPr>
          <w:b/>
          <w:bCs/>
          <w:color w:val="000000"/>
          <w:spacing w:val="0"/>
          <w:w w:val="100"/>
          <w:position w:val="0"/>
        </w:rPr>
        <w:t>（</w:t>
      </w:r>
      <w:bookmarkEnd w:id="97"/>
      <w:r>
        <w:rPr>
          <w:b/>
          <w:bCs/>
          <w:color w:val="000000"/>
          <w:spacing w:val="0"/>
          <w:w w:val="100"/>
          <w:position w:val="0"/>
        </w:rPr>
        <w:t>1）</w:t>
        <w:tab/>
        <w:t>电子商务引爆快递行业高速发展，物流场地资源是快递行业长远发展的核心资源。</w:t>
      </w:r>
    </w:p>
    <w:p>
      <w:pPr>
        <w:pStyle w:val="Style11"/>
        <w:keepNext w:val="0"/>
        <w:keepLines w:val="0"/>
        <w:widowControl w:val="0"/>
        <w:numPr>
          <w:ilvl w:val="0"/>
          <w:numId w:val="3"/>
        </w:numPr>
        <w:shd w:val="clear" w:color="auto" w:fill="auto"/>
        <w:tabs>
          <w:tab w:pos="705" w:val="left"/>
        </w:tabs>
        <w:bidi w:val="0"/>
        <w:spacing w:before="0" w:line="350" w:lineRule="exact"/>
        <w:ind w:left="0" w:right="0"/>
        <w:jc w:val="both"/>
        <w:rPr>
          <w:sz w:val="18"/>
          <w:szCs w:val="18"/>
        </w:rPr>
      </w:pPr>
      <w:bookmarkStart w:id="98" w:name="bookmark98"/>
      <w:bookmarkEnd w:id="98"/>
      <w:r>
        <w:rPr>
          <w:color w:val="000000"/>
          <w:spacing w:val="0"/>
          <w:w w:val="100"/>
          <w:position w:val="0"/>
          <w:sz w:val="17"/>
          <w:szCs w:val="17"/>
        </w:rPr>
        <w:t>中国电商的迅猛发展已使其超越美国成为世界最大的市场。预计</w:t>
      </w:r>
      <w:r>
        <w:rPr>
          <w:color w:val="000000"/>
          <w:spacing w:val="0"/>
          <w:w w:val="100"/>
          <w:position w:val="0"/>
          <w:sz w:val="18"/>
          <w:szCs w:val="18"/>
        </w:rPr>
        <w:t>2018</w:t>
      </w:r>
      <w:r>
        <w:rPr>
          <w:color w:val="000000"/>
          <w:spacing w:val="0"/>
          <w:w w:val="100"/>
          <w:position w:val="0"/>
          <w:sz w:val="17"/>
          <w:szCs w:val="17"/>
        </w:rPr>
        <w:t>年底，中国电商销售额将占全球总量的</w:t>
      </w:r>
      <w:r>
        <w:rPr>
          <w:color w:val="000000"/>
          <w:spacing w:val="0"/>
          <w:w w:val="100"/>
          <w:position w:val="0"/>
          <w:sz w:val="18"/>
          <w:szCs w:val="18"/>
        </w:rPr>
        <w:t>50%；</w:t>
      </w:r>
    </w:p>
    <w:p>
      <w:pPr>
        <w:pStyle w:val="Style11"/>
        <w:keepNext w:val="0"/>
        <w:keepLines w:val="0"/>
        <w:widowControl w:val="0"/>
        <w:numPr>
          <w:ilvl w:val="0"/>
          <w:numId w:val="3"/>
        </w:numPr>
        <w:shd w:val="clear" w:color="auto" w:fill="auto"/>
        <w:tabs>
          <w:tab w:pos="705" w:val="left"/>
        </w:tabs>
        <w:bidi w:val="0"/>
        <w:spacing w:before="0" w:line="350" w:lineRule="exact"/>
        <w:ind w:left="0" w:right="0"/>
        <w:jc w:val="both"/>
      </w:pPr>
      <w:bookmarkStart w:id="99" w:name="bookmark99"/>
      <w:bookmarkEnd w:id="99"/>
      <w:r>
        <w:rPr>
          <w:color w:val="000000"/>
          <w:spacing w:val="0"/>
          <w:w w:val="100"/>
          <w:position w:val="0"/>
        </w:rPr>
        <w:t>零售业的扩张对物流配送中心及小型中转仓库的需求；</w:t>
      </w:r>
    </w:p>
    <w:p>
      <w:pPr>
        <w:pStyle w:val="Style11"/>
        <w:keepNext w:val="0"/>
        <w:keepLines w:val="0"/>
        <w:widowControl w:val="0"/>
        <w:numPr>
          <w:ilvl w:val="0"/>
          <w:numId w:val="3"/>
        </w:numPr>
        <w:shd w:val="clear" w:color="auto" w:fill="auto"/>
        <w:tabs>
          <w:tab w:pos="705" w:val="left"/>
        </w:tabs>
        <w:bidi w:val="0"/>
        <w:spacing w:before="0" w:line="350" w:lineRule="exact"/>
        <w:ind w:left="0" w:right="0"/>
        <w:jc w:val="both"/>
      </w:pPr>
      <w:bookmarkStart w:id="100" w:name="bookmark100"/>
      <w:bookmarkEnd w:id="100"/>
      <w:r>
        <w:rPr>
          <w:color w:val="000000"/>
          <w:spacing w:val="0"/>
          <w:w w:val="100"/>
          <w:position w:val="0"/>
        </w:rPr>
        <w:t>第三方物流的长足发展，加速对仓储面积的需求。</w:t>
      </w:r>
    </w:p>
    <w:p>
      <w:pPr>
        <w:pStyle w:val="Style11"/>
        <w:keepNext w:val="0"/>
        <w:keepLines w:val="0"/>
        <w:widowControl w:val="0"/>
        <w:shd w:val="clear" w:color="auto" w:fill="auto"/>
        <w:tabs>
          <w:tab w:pos="834" w:val="left"/>
        </w:tabs>
        <w:bidi w:val="0"/>
        <w:spacing w:before="0" w:line="350" w:lineRule="exact"/>
        <w:ind w:left="0" w:right="0"/>
        <w:jc w:val="both"/>
      </w:pPr>
      <w:bookmarkStart w:id="101" w:name="bookmark101"/>
      <w:r>
        <w:rPr>
          <w:b/>
          <w:bCs/>
          <w:color w:val="000000"/>
          <w:spacing w:val="0"/>
          <w:w w:val="100"/>
          <w:position w:val="0"/>
        </w:rPr>
        <w:t>（</w:t>
      </w:r>
      <w:bookmarkEnd w:id="101"/>
      <w:r>
        <w:rPr>
          <w:b/>
          <w:bCs/>
          <w:color w:val="000000"/>
          <w:spacing w:val="0"/>
          <w:w w:val="100"/>
          <w:position w:val="0"/>
        </w:rPr>
        <w:t>2）</w:t>
        <w:tab/>
        <w:t>截至报告期末，顺丰物流场地资源整体布局情况（不含办公楼）：</w:t>
      </w:r>
    </w:p>
    <w:p>
      <w:pPr>
        <w:pStyle w:val="Style11"/>
        <w:keepNext w:val="0"/>
        <w:keepLines w:val="0"/>
        <w:widowControl w:val="0"/>
        <w:shd w:val="clear" w:color="auto" w:fill="auto"/>
        <w:bidi w:val="0"/>
        <w:spacing w:before="0" w:line="350" w:lineRule="exact"/>
        <w:ind w:left="0" w:right="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日，顺丰控股已签约土地面积约</w:t>
      </w:r>
      <w:r>
        <w:rPr>
          <w:color w:val="000000"/>
          <w:spacing w:val="0"/>
          <w:w w:val="100"/>
          <w:position w:val="0"/>
          <w:sz w:val="18"/>
          <w:szCs w:val="18"/>
        </w:rPr>
        <w:t>2, 953</w:t>
      </w:r>
      <w:r>
        <w:rPr>
          <w:color w:val="000000"/>
          <w:spacing w:val="0"/>
          <w:w w:val="100"/>
          <w:position w:val="0"/>
        </w:rPr>
        <w:t>亩，总规划建筑面积约</w:t>
      </w:r>
      <w:r>
        <w:rPr>
          <w:color w:val="000000"/>
          <w:spacing w:val="0"/>
          <w:w w:val="100"/>
          <w:position w:val="0"/>
          <w:sz w:val="18"/>
          <w:szCs w:val="18"/>
        </w:rPr>
        <w:t xml:space="preserve">212. </w:t>
      </w:r>
      <w:r>
        <w:rPr>
          <w:color w:val="000000"/>
          <w:spacing w:val="0"/>
          <w:w w:val="100"/>
          <w:position w:val="0"/>
          <w:sz w:val="18"/>
          <w:szCs w:val="18"/>
        </w:rPr>
        <w:t>7</w:t>
      </w:r>
      <w:r>
        <w:rPr>
          <w:color w:val="000000"/>
          <w:spacing w:val="0"/>
          <w:w w:val="100"/>
          <w:position w:val="0"/>
        </w:rPr>
        <w:t>万平米，已建成建筑面积约</w:t>
      </w:r>
    </w:p>
    <w:p>
      <w:pPr>
        <w:pStyle w:val="Style11"/>
        <w:keepNext w:val="0"/>
        <w:keepLines w:val="0"/>
        <w:widowControl w:val="0"/>
        <w:shd w:val="clear" w:color="auto" w:fill="auto"/>
        <w:bidi w:val="0"/>
        <w:spacing w:before="0" w:line="350" w:lineRule="exact"/>
        <w:ind w:left="0" w:right="0" w:firstLine="0"/>
        <w:jc w:val="left"/>
      </w:pPr>
      <w:r>
        <w:rPr>
          <w:color w:val="000000"/>
          <w:spacing w:val="0"/>
          <w:w w:val="100"/>
          <w:position w:val="0"/>
          <w:sz w:val="18"/>
          <w:szCs w:val="18"/>
        </w:rPr>
        <w:t>76.4</w:t>
      </w:r>
      <w:r>
        <w:rPr>
          <w:color w:val="000000"/>
          <w:spacing w:val="0"/>
          <w:w w:val="100"/>
          <w:position w:val="0"/>
        </w:rPr>
        <w:t>万平米，物流场地资源账面净值合计约人民币</w:t>
      </w:r>
      <w:r>
        <w:rPr>
          <w:color w:val="000000"/>
          <w:spacing w:val="0"/>
          <w:w w:val="100"/>
          <w:position w:val="0"/>
          <w:sz w:val="18"/>
          <w:szCs w:val="18"/>
        </w:rPr>
        <w:t xml:space="preserve">61. </w:t>
      </w:r>
      <w:r>
        <w:rPr>
          <w:color w:val="000000"/>
          <w:spacing w:val="0"/>
          <w:w w:val="100"/>
          <w:position w:val="0"/>
          <w:sz w:val="18"/>
          <w:szCs w:val="18"/>
        </w:rPr>
        <w:t>7</w:t>
      </w:r>
      <w:r>
        <w:rPr>
          <w:color w:val="000000"/>
          <w:spacing w:val="0"/>
          <w:w w:val="100"/>
          <w:position w:val="0"/>
        </w:rPr>
        <w:t>亿元。</w:t>
      </w:r>
      <w:r>
        <w:br w:type="page"/>
      </w:r>
    </w:p>
    <w:tbl>
      <w:tblPr>
        <w:tblOverlap w:val="never"/>
        <w:jc w:val="left"/>
        <w:tblLayout w:type="fixed"/>
      </w:tblPr>
      <w:tblGrid>
        <w:gridCol w:w="850"/>
        <w:gridCol w:w="1358"/>
        <w:gridCol w:w="1363"/>
        <w:gridCol w:w="1123"/>
        <w:gridCol w:w="2611"/>
      </w:tblGrid>
      <w:tr>
        <w:trPr>
          <w:trHeight w:val="806" w:hRule="exact"/>
        </w:trPr>
        <w:tc>
          <w:tcPr>
            <w:tcBorders>
              <w:top w:val="single" w:sz="4"/>
              <w:left w:val="single" w:sz="4"/>
            </w:tcBorders>
            <w:shd w:val="clear" w:color="auto" w:fill="FCE9DA"/>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b/>
                <w:bCs/>
                <w:color w:val="000000"/>
                <w:spacing w:val="0"/>
                <w:w w:val="100"/>
                <w:position w:val="0"/>
                <w:sz w:val="16"/>
                <w:szCs w:val="16"/>
              </w:rPr>
              <w:t>区域</w:t>
            </w:r>
          </w:p>
        </w:tc>
        <w:tc>
          <w:tcPr>
            <w:tcBorders>
              <w:top w:val="single" w:sz="4"/>
              <w:left w:val="single" w:sz="4"/>
            </w:tcBorders>
            <w:shd w:val="clear" w:color="auto" w:fill="FCE9DA"/>
            <w:vAlign w:val="center"/>
          </w:tcPr>
          <w:p>
            <w:pPr>
              <w:pStyle w:val="Style23"/>
              <w:keepNext w:val="0"/>
              <w:keepLines w:val="0"/>
              <w:widowControl w:val="0"/>
              <w:shd w:val="clear" w:color="auto" w:fill="auto"/>
              <w:bidi w:val="0"/>
              <w:spacing w:before="0" w:after="100" w:line="240" w:lineRule="auto"/>
              <w:ind w:left="0" w:right="0" w:firstLine="160"/>
              <w:jc w:val="left"/>
              <w:rPr>
                <w:sz w:val="16"/>
                <w:szCs w:val="16"/>
              </w:rPr>
            </w:pPr>
            <w:r>
              <w:rPr>
                <w:rFonts w:ascii="SimHei" w:eastAsia="SimHei" w:hAnsi="SimHei" w:cs="SimHei"/>
                <w:b/>
                <w:bCs/>
                <w:color w:val="000000"/>
                <w:spacing w:val="0"/>
                <w:w w:val="100"/>
                <w:position w:val="0"/>
                <w:sz w:val="16"/>
                <w:szCs w:val="16"/>
              </w:rPr>
              <w:t>已签约土地面积</w:t>
            </w:r>
          </w:p>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Hei" w:eastAsia="SimHei" w:hAnsi="SimHei" w:cs="SimHei"/>
                <w:b/>
                <w:bCs/>
                <w:color w:val="000000"/>
                <w:spacing w:val="0"/>
                <w:w w:val="100"/>
                <w:position w:val="0"/>
                <w:sz w:val="16"/>
                <w:szCs w:val="16"/>
              </w:rPr>
              <w:t>（亩）</w:t>
            </w:r>
          </w:p>
        </w:tc>
        <w:tc>
          <w:tcPr>
            <w:tcBorders>
              <w:top w:val="single" w:sz="4"/>
              <w:left w:val="single" w:sz="4"/>
            </w:tcBorders>
            <w:shd w:val="clear" w:color="auto" w:fill="FCE9DA"/>
            <w:vAlign w:val="center"/>
          </w:tcPr>
          <w:p>
            <w:pPr>
              <w:pStyle w:val="Style23"/>
              <w:keepNext w:val="0"/>
              <w:keepLines w:val="0"/>
              <w:widowControl w:val="0"/>
              <w:shd w:val="clear" w:color="auto" w:fill="auto"/>
              <w:bidi w:val="0"/>
              <w:spacing w:before="0" w:after="40" w:line="240" w:lineRule="auto"/>
              <w:ind w:left="0" w:right="0" w:firstLine="160"/>
              <w:jc w:val="left"/>
              <w:rPr>
                <w:sz w:val="16"/>
                <w:szCs w:val="16"/>
              </w:rPr>
            </w:pPr>
            <w:r>
              <w:rPr>
                <w:rFonts w:ascii="SimHei" w:eastAsia="SimHei" w:hAnsi="SimHei" w:cs="SimHei"/>
                <w:b/>
                <w:bCs/>
                <w:color w:val="000000"/>
                <w:spacing w:val="0"/>
                <w:w w:val="100"/>
                <w:position w:val="0"/>
                <w:sz w:val="16"/>
                <w:szCs w:val="16"/>
              </w:rPr>
              <w:t>总规划建筑面积</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（m2）</w:t>
            </w:r>
          </w:p>
        </w:tc>
        <w:tc>
          <w:tcPr>
            <w:tcBorders>
              <w:top w:val="single" w:sz="4"/>
              <w:left w:val="single" w:sz="4"/>
            </w:tcBorders>
            <w:shd w:val="clear" w:color="auto" w:fill="FCE9DA"/>
            <w:vAlign w:val="center"/>
          </w:tcPr>
          <w:p>
            <w:pPr>
              <w:pStyle w:val="Style23"/>
              <w:keepNext w:val="0"/>
              <w:keepLines w:val="0"/>
              <w:widowControl w:val="0"/>
              <w:shd w:val="clear" w:color="auto" w:fill="auto"/>
              <w:bidi w:val="0"/>
              <w:spacing w:before="0" w:after="80" w:line="240" w:lineRule="auto"/>
              <w:ind w:left="0" w:right="0" w:firstLine="0"/>
              <w:jc w:val="right"/>
              <w:rPr>
                <w:sz w:val="16"/>
                <w:szCs w:val="16"/>
              </w:rPr>
            </w:pPr>
            <w:r>
              <w:rPr>
                <w:rFonts w:ascii="SimHei" w:eastAsia="SimHei" w:hAnsi="SimHei" w:cs="SimHei"/>
                <w:b/>
                <w:bCs/>
                <w:color w:val="000000"/>
                <w:spacing w:val="0"/>
                <w:w w:val="100"/>
                <w:position w:val="0"/>
                <w:sz w:val="16"/>
                <w:szCs w:val="16"/>
              </w:rPr>
              <w:t>已建成建筑面</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b/>
                <w:bCs/>
                <w:color w:val="000000"/>
                <w:spacing w:val="0"/>
                <w:w w:val="100"/>
                <w:position w:val="0"/>
                <w:sz w:val="16"/>
                <w:szCs w:val="16"/>
              </w:rPr>
              <w:t>积</w:t>
            </w:r>
            <w:r>
              <w:rPr>
                <w:b/>
                <w:bCs/>
                <w:color w:val="000000"/>
                <w:spacing w:val="0"/>
                <w:w w:val="100"/>
                <w:position w:val="0"/>
                <w:sz w:val="18"/>
                <w:szCs w:val="18"/>
              </w:rPr>
              <w:t>（m2）</w:t>
            </w:r>
          </w:p>
        </w:tc>
        <w:tc>
          <w:tcPr>
            <w:tcBorders>
              <w:top w:val="single" w:sz="4"/>
              <w:left w:val="single" w:sz="4"/>
              <w:right w:val="single" w:sz="4"/>
            </w:tcBorders>
            <w:shd w:val="clear" w:color="auto" w:fill="FCE9DA"/>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Hei" w:eastAsia="SimHei" w:hAnsi="SimHei" w:cs="SimHei"/>
                <w:b/>
                <w:bCs/>
                <w:color w:val="000000"/>
                <w:spacing w:val="0"/>
                <w:w w:val="100"/>
                <w:position w:val="0"/>
                <w:sz w:val="16"/>
                <w:szCs w:val="16"/>
              </w:rPr>
              <w:t>截止</w:t>
            </w:r>
            <w:r>
              <w:rPr>
                <w:b/>
                <w:bCs/>
                <w:color w:val="000000"/>
                <w:spacing w:val="0"/>
                <w:w w:val="100"/>
                <w:position w:val="0"/>
                <w:sz w:val="18"/>
                <w:szCs w:val="18"/>
              </w:rPr>
              <w:t>2016</w:t>
            </w:r>
            <w:r>
              <w:rPr>
                <w:rFonts w:ascii="SimHei" w:eastAsia="SimHei" w:hAnsi="SimHei" w:cs="SimHei"/>
                <w:b/>
                <w:bCs/>
                <w:color w:val="000000"/>
                <w:spacing w:val="0"/>
                <w:w w:val="100"/>
                <w:position w:val="0"/>
                <w:sz w:val="16"/>
                <w:szCs w:val="16"/>
              </w:rPr>
              <w:t>年</w:t>
            </w:r>
            <w:r>
              <w:rPr>
                <w:b/>
                <w:bCs/>
                <w:color w:val="000000"/>
                <w:spacing w:val="0"/>
                <w:w w:val="100"/>
                <w:position w:val="0"/>
                <w:sz w:val="18"/>
                <w:szCs w:val="18"/>
              </w:rPr>
              <w:t>12</w:t>
            </w:r>
            <w:r>
              <w:rPr>
                <w:rFonts w:ascii="SimHei" w:eastAsia="SimHei" w:hAnsi="SimHei" w:cs="SimHei"/>
                <w:b/>
                <w:bCs/>
                <w:color w:val="000000"/>
                <w:spacing w:val="0"/>
                <w:w w:val="100"/>
                <w:position w:val="0"/>
                <w:sz w:val="16"/>
                <w:szCs w:val="16"/>
              </w:rPr>
              <w:t>月</w:t>
            </w:r>
            <w:r>
              <w:rPr>
                <w:b/>
                <w:bCs/>
                <w:color w:val="000000"/>
                <w:spacing w:val="0"/>
                <w:w w:val="100"/>
                <w:position w:val="0"/>
                <w:sz w:val="18"/>
                <w:szCs w:val="18"/>
              </w:rPr>
              <w:t>31</w:t>
            </w:r>
            <w:r>
              <w:rPr>
                <w:rFonts w:ascii="SimHei" w:eastAsia="SimHei" w:hAnsi="SimHei" w:cs="SimHei"/>
                <w:b/>
                <w:bCs/>
                <w:color w:val="000000"/>
                <w:spacing w:val="0"/>
                <w:w w:val="100"/>
                <w:position w:val="0"/>
                <w:sz w:val="16"/>
                <w:szCs w:val="16"/>
              </w:rPr>
              <w:t>日账面净值合计 （人民币万元）</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Cambria" w:eastAsia="Cambria" w:hAnsi="Cambria" w:cs="Cambria"/>
                <w:color w:val="000000"/>
                <w:spacing w:val="0"/>
                <w:w w:val="100"/>
                <w:position w:val="0"/>
                <w:sz w:val="16"/>
                <w:szCs w:val="16"/>
              </w:rPr>
              <w:t>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624,652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437,702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221,388</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Cambria" w:eastAsia="Cambria" w:hAnsi="Cambria" w:cs="Cambria"/>
                <w:color w:val="000000"/>
                <w:spacing w:val="0"/>
                <w:w w:val="100"/>
                <w:position w:val="0"/>
                <w:sz w:val="16"/>
                <w:szCs w:val="16"/>
              </w:rPr>
              <w:t>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441,316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7,392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20,068</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中南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6"/>
                <w:szCs w:val="16"/>
              </w:rPr>
            </w:pPr>
            <w:r>
              <w:rPr>
                <w:rFonts w:ascii="Cambria" w:eastAsia="Cambria" w:hAnsi="Cambria" w:cs="Cambria"/>
                <w:color w:val="000000"/>
                <w:spacing w:val="0"/>
                <w:w w:val="100"/>
                <w:position w:val="0"/>
                <w:sz w:val="16"/>
                <w:szCs w:val="16"/>
              </w:rPr>
              <w:t>1,078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821,116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78,285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55,123</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color w:val="000000"/>
                <w:spacing w:val="0"/>
                <w:w w:val="100"/>
                <w:position w:val="0"/>
                <w:sz w:val="16"/>
                <w:szCs w:val="16"/>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Cambria" w:eastAsia="Cambria" w:hAnsi="Cambria" w:cs="Cambria"/>
                <w:color w:val="000000"/>
                <w:spacing w:val="0"/>
                <w:w w:val="100"/>
                <w:position w:val="0"/>
                <w:sz w:val="16"/>
                <w:szCs w:val="16"/>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6"/>
                <w:szCs w:val="16"/>
              </w:rPr>
            </w:pPr>
            <w:r>
              <w:rPr>
                <w:rFonts w:ascii="Cambria" w:eastAsia="Cambria" w:hAnsi="Cambria" w:cs="Cambria"/>
                <w:color w:val="000000"/>
                <w:spacing w:val="0"/>
                <w:w w:val="100"/>
                <w:position w:val="0"/>
                <w:sz w:val="16"/>
                <w:szCs w:val="16"/>
              </w:rPr>
              <w:t>240,422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240,422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6"/>
                <w:szCs w:val="16"/>
              </w:rPr>
            </w:pPr>
            <w:r>
              <w:rPr>
                <w:rFonts w:ascii="Cambria" w:eastAsia="Cambria" w:hAnsi="Cambria" w:cs="Cambria"/>
                <w:color w:val="000000"/>
                <w:spacing w:val="0"/>
                <w:w w:val="100"/>
                <w:position w:val="0"/>
                <w:sz w:val="16"/>
                <w:szCs w:val="16"/>
              </w:rPr>
              <w:t>320,318</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Hei" w:eastAsia="SimHei" w:hAnsi="SimHei" w:cs="SimHei"/>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2,953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2,127,507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763,801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b/>
                <w:bCs/>
                <w:color w:val="000000"/>
                <w:spacing w:val="0"/>
                <w:w w:val="100"/>
                <w:position w:val="0"/>
                <w:sz w:val="18"/>
                <w:szCs w:val="18"/>
              </w:rPr>
              <w:t>616,897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注：上表数据未经审计。</w:t>
      </w:r>
    </w:p>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480"/>
        <w:jc w:val="left"/>
      </w:pPr>
      <w:bookmarkStart w:id="102" w:name="bookmark102"/>
      <w:r>
        <w:rPr>
          <w:b/>
          <w:bCs/>
          <w:color w:val="000000"/>
          <w:spacing w:val="0"/>
          <w:w w:val="100"/>
          <w:position w:val="0"/>
        </w:rPr>
        <w:t>（</w:t>
      </w:r>
      <w:bookmarkEnd w:id="102"/>
      <w:r>
        <w:rPr>
          <w:b/>
          <w:bCs/>
          <w:color w:val="000000"/>
          <w:spacing w:val="0"/>
          <w:w w:val="100"/>
          <w:position w:val="0"/>
        </w:rPr>
        <w:t>3）未来布局规划:</w:t>
      </w:r>
    </w:p>
    <w:p>
      <w:pPr>
        <w:widowControl w:val="0"/>
        <w:spacing w:line="1" w:lineRule="exact"/>
      </w:pPr>
      <w:r>
        <w:drawing>
          <wp:anchor distT="76200" distB="3175" distL="0" distR="0" simplePos="0" relativeHeight="125829378" behindDoc="0" locked="0" layoutInCell="1" allowOverlap="1">
            <wp:simplePos x="0" y="0"/>
            <wp:positionH relativeFrom="page">
              <wp:posOffset>1369060</wp:posOffset>
            </wp:positionH>
            <wp:positionV relativeFrom="paragraph">
              <wp:posOffset>76200</wp:posOffset>
            </wp:positionV>
            <wp:extent cx="4517390" cy="277368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4517390" cy="2773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1390650</wp:posOffset>
                </wp:positionH>
                <wp:positionV relativeFrom="paragraph">
                  <wp:posOffset>2438400</wp:posOffset>
                </wp:positionV>
                <wp:extent cx="664210" cy="155575"/>
                <wp:wrapNone/>
                <wp:docPr id="23" name="Shape 23"/>
                <a:graphic xmlns:a="http://schemas.openxmlformats.org/drawingml/2006/main">
                  <a:graphicData uri="http://schemas.microsoft.com/office/word/2010/wordprocessingShape">
                    <wps:wsp>
                      <wps:cNvSpPr txBox="1"/>
                      <wps:spPr>
                        <a:xfrm>
                          <a:ext cx="664210" cy="15557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E50D3A"/>
                                <w:spacing w:val="0"/>
                                <w:w w:val="100"/>
                                <w:position w:val="0"/>
                              </w:rPr>
                              <w:t xml:space="preserve">□ </w:t>
                            </w:r>
                            <w:r>
                              <w:rPr>
                                <w:spacing w:val="0"/>
                                <w:w w:val="100"/>
                                <w:position w:val="0"/>
                              </w:rPr>
                              <w:t>已布局</w:t>
                            </w:r>
                          </w:p>
                        </w:txbxContent>
                      </wps:txbx>
                      <wps:bodyPr lIns="0" tIns="0" rIns="0" bIns="0">
                        <a:noAutoFit/>
                      </wps:bodyPr>
                    </wps:wsp>
                  </a:graphicData>
                </a:graphic>
              </wp:anchor>
            </w:drawing>
          </mc:Choice>
          <mc:Fallback>
            <w:pict>
              <v:shape id="_x0000_s1049" type="#_x0000_t202" style="position:absolute;margin-left:109.5pt;margin-top:192.pt;width:52.300000000000004pt;height:12.25pt;z-index:25165772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E50D3A"/>
                          <w:spacing w:val="0"/>
                          <w:w w:val="100"/>
                          <w:position w:val="0"/>
                        </w:rPr>
                        <w:t xml:space="preserve">□ </w:t>
                      </w:r>
                      <w:r>
                        <w:rPr>
                          <w:spacing w:val="0"/>
                          <w:w w:val="100"/>
                          <w:position w:val="0"/>
                        </w:rPr>
                        <w:t>已布局</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1405890</wp:posOffset>
                </wp:positionH>
                <wp:positionV relativeFrom="paragraph">
                  <wp:posOffset>2651760</wp:posOffset>
                </wp:positionV>
                <wp:extent cx="786130" cy="201295"/>
                <wp:wrapNone/>
                <wp:docPr id="25" name="Shape 25"/>
                <a:graphic xmlns:a="http://schemas.openxmlformats.org/drawingml/2006/main">
                  <a:graphicData uri="http://schemas.microsoft.com/office/word/2010/wordprocessingShape">
                    <wps:wsp>
                      <wps:cNvSpPr txBox="1"/>
                      <wps:spPr>
                        <a:xfrm>
                          <a:ext cx="786130" cy="201295"/>
                        </a:xfrm>
                        <a:prstGeom prst="rect"/>
                        <a:noFill/>
                      </wps:spPr>
                      <wps:txbx>
                        <w:txbxContent>
                          <w:p>
                            <w:pPr>
                              <w:pStyle w:val="Style37"/>
                              <w:keepNext w:val="0"/>
                              <w:keepLines w:val="0"/>
                              <w:widowControl w:val="0"/>
                              <w:shd w:val="clear" w:color="auto" w:fill="auto"/>
                              <w:tabs>
                                <w:tab w:pos="432" w:val="left"/>
                              </w:tabs>
                              <w:bidi w:val="0"/>
                              <w:spacing w:before="0" w:after="0" w:line="240" w:lineRule="auto"/>
                              <w:ind w:left="0" w:right="0" w:firstLine="0"/>
                              <w:jc w:val="left"/>
                            </w:pPr>
                            <w:r>
                              <w:rPr>
                                <w:rFonts w:ascii="Arial" w:eastAsia="Arial" w:hAnsi="Arial" w:cs="Arial"/>
                                <w:b w:val="0"/>
                                <w:bCs w:val="0"/>
                                <w:i/>
                                <w:iCs/>
                                <w:color w:val="000000"/>
                                <w:spacing w:val="0"/>
                                <w:w w:val="100"/>
                                <w:position w:val="0"/>
                                <w:sz w:val="26"/>
                                <w:szCs w:val="26"/>
                              </w:rPr>
                              <w:t>B</w:t>
                            </w:r>
                            <w:r>
                              <w:rPr>
                                <w:color w:val="000000"/>
                                <w:spacing w:val="0"/>
                                <w:w w:val="100"/>
                                <w:position w:val="0"/>
                              </w:rPr>
                              <w:tab/>
                            </w:r>
                            <w:r>
                              <w:rPr>
                                <w:spacing w:val="0"/>
                                <w:w w:val="100"/>
                                <w:position w:val="0"/>
                              </w:rPr>
                              <w:t>计划获取</w:t>
                            </w:r>
                          </w:p>
                        </w:txbxContent>
                      </wps:txbx>
                      <wps:bodyPr lIns="0" tIns="0" rIns="0" bIns="0">
                        <a:noAutoFit/>
                      </wps:bodyPr>
                    </wps:wsp>
                  </a:graphicData>
                </a:graphic>
              </wp:anchor>
            </w:drawing>
          </mc:Choice>
          <mc:Fallback>
            <w:pict>
              <v:shape id="_x0000_s1051" type="#_x0000_t202" style="position:absolute;margin-left:110.7pt;margin-top:208.80000000000001pt;width:61.899999999999999pt;height:15.85pt;z-index:251657731;mso-wrap-distance-left:0;mso-wrap-distance-right:0;mso-position-horizontal-relative:page" filled="f" stroked="f">
                <v:textbox inset="0,0,0,0">
                  <w:txbxContent>
                    <w:p>
                      <w:pPr>
                        <w:pStyle w:val="Style37"/>
                        <w:keepNext w:val="0"/>
                        <w:keepLines w:val="0"/>
                        <w:widowControl w:val="0"/>
                        <w:shd w:val="clear" w:color="auto" w:fill="auto"/>
                        <w:tabs>
                          <w:tab w:pos="432" w:val="left"/>
                        </w:tabs>
                        <w:bidi w:val="0"/>
                        <w:spacing w:before="0" w:after="0" w:line="240" w:lineRule="auto"/>
                        <w:ind w:left="0" w:right="0" w:firstLine="0"/>
                        <w:jc w:val="left"/>
                      </w:pPr>
                      <w:r>
                        <w:rPr>
                          <w:rFonts w:ascii="Arial" w:eastAsia="Arial" w:hAnsi="Arial" w:cs="Arial"/>
                          <w:b w:val="0"/>
                          <w:bCs w:val="0"/>
                          <w:i/>
                          <w:iCs/>
                          <w:color w:val="000000"/>
                          <w:spacing w:val="0"/>
                          <w:w w:val="100"/>
                          <w:position w:val="0"/>
                          <w:sz w:val="26"/>
                          <w:szCs w:val="26"/>
                        </w:rPr>
                        <w:t>B</w:t>
                      </w:r>
                      <w:r>
                        <w:rPr>
                          <w:color w:val="000000"/>
                          <w:spacing w:val="0"/>
                          <w:w w:val="100"/>
                          <w:position w:val="0"/>
                        </w:rPr>
                        <w:tab/>
                      </w:r>
                      <w:r>
                        <w:rPr>
                          <w:spacing w:val="0"/>
                          <w:w w:val="100"/>
                          <w:position w:val="0"/>
                        </w:rPr>
                        <w:t>计划获取</w:t>
                      </w:r>
                    </w:p>
                  </w:txbxContent>
                </v:textbox>
                <w10:wrap anchorx="page"/>
              </v:shape>
            </w:pict>
          </mc:Fallback>
        </mc:AlternateContent>
      </w:r>
    </w:p>
    <w:p>
      <w:pPr>
        <w:widowControl w:val="0"/>
        <w:spacing w:line="1" w:lineRule="exact"/>
      </w:pPr>
      <w:r>
        <mc:AlternateContent>
          <mc:Choice Requires="wps">
            <w:drawing>
              <wp:anchor distT="241300" distB="5715" distL="0" distR="0" simplePos="0" relativeHeight="125829379" behindDoc="0" locked="0" layoutInCell="1" allowOverlap="1">
                <wp:simplePos x="0" y="0"/>
                <wp:positionH relativeFrom="page">
                  <wp:posOffset>899795</wp:posOffset>
                </wp:positionH>
                <wp:positionV relativeFrom="paragraph">
                  <wp:posOffset>241300</wp:posOffset>
                </wp:positionV>
                <wp:extent cx="2990215" cy="143510"/>
                <wp:wrapTopAndBottom/>
                <wp:docPr id="27" name="Shape 27"/>
                <a:graphic xmlns:a="http://schemas.openxmlformats.org/drawingml/2006/main">
                  <a:graphicData uri="http://schemas.microsoft.com/office/word/2010/wordprocessingShape">
                    <wps:wsp>
                      <wps:cNvSpPr txBox="1"/>
                      <wps:spPr>
                        <a:xfrm>
                          <a:ext cx="2990215" cy="1435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截至报告期末，顺丰控股已成功布局</w:t>
                            </w:r>
                            <w:r>
                              <w:rPr>
                                <w:color w:val="000000"/>
                                <w:spacing w:val="0"/>
                                <w:w w:val="100"/>
                                <w:position w:val="0"/>
                                <w:sz w:val="18"/>
                                <w:szCs w:val="18"/>
                              </w:rPr>
                              <w:t>25</w:t>
                            </w:r>
                            <w:r>
                              <w:rPr>
                                <w:color w:val="000000"/>
                                <w:spacing w:val="0"/>
                                <w:w w:val="100"/>
                                <w:position w:val="0"/>
                              </w:rPr>
                              <w:t>个城市的产业园项目</w:t>
                            </w:r>
                          </w:p>
                        </w:txbxContent>
                      </wps:txbx>
                      <wps:bodyPr wrap="none" lIns="0" tIns="0" rIns="0" bIns="0">
                        <a:noAutoFit/>
                      </wps:bodyPr>
                    </wps:wsp>
                  </a:graphicData>
                </a:graphic>
              </wp:anchor>
            </w:drawing>
          </mc:Choice>
          <mc:Fallback>
            <w:pict>
              <v:shape id="_x0000_s1053" type="#_x0000_t202" style="position:absolute;margin-left:70.850000000000009pt;margin-top:19.pt;width:235.45000000000002pt;height:11.300000000000001pt;z-index:-125829374;mso-wrap-distance-left:0;mso-wrap-distance-top:19.pt;mso-wrap-distance-right:0;mso-wrap-distance-bottom:0.45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截至报告期末，顺丰控股已成功布局</w:t>
                      </w:r>
                      <w:r>
                        <w:rPr>
                          <w:color w:val="000000"/>
                          <w:spacing w:val="0"/>
                          <w:w w:val="100"/>
                          <w:position w:val="0"/>
                          <w:sz w:val="18"/>
                          <w:szCs w:val="18"/>
                        </w:rPr>
                        <w:t>25</w:t>
                      </w:r>
                      <w:r>
                        <w:rPr>
                          <w:color w:val="000000"/>
                          <w:spacing w:val="0"/>
                          <w:w w:val="100"/>
                          <w:position w:val="0"/>
                        </w:rPr>
                        <w:t>个城市的产业园项目</w:t>
                      </w:r>
                    </w:p>
                  </w:txbxContent>
                </v:textbox>
                <w10:wrap type="topAndBottom" anchorx="page"/>
              </v:shape>
            </w:pict>
          </mc:Fallback>
        </mc:AlternateContent>
      </w:r>
      <w:r>
        <mc:AlternateContent>
          <mc:Choice Requires="wps">
            <w:drawing>
              <wp:anchor distT="241300" distB="0" distL="0" distR="0" simplePos="0" relativeHeight="125829381" behindDoc="0" locked="0" layoutInCell="1" allowOverlap="1">
                <wp:simplePos x="0" y="0"/>
                <wp:positionH relativeFrom="page">
                  <wp:posOffset>3947795</wp:posOffset>
                </wp:positionH>
                <wp:positionV relativeFrom="paragraph">
                  <wp:posOffset>241300</wp:posOffset>
                </wp:positionV>
                <wp:extent cx="2941320" cy="149225"/>
                <wp:wrapTopAndBottom/>
                <wp:docPr id="29" name="Shape 29"/>
                <a:graphic xmlns:a="http://schemas.openxmlformats.org/drawingml/2006/main">
                  <a:graphicData uri="http://schemas.microsoft.com/office/word/2010/wordprocessingShape">
                    <wps:wsp>
                      <wps:cNvSpPr txBox="1"/>
                      <wps:spPr>
                        <a:xfrm>
                          <a:ext cx="2941320"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未来顺丰控股将利用集团现有资源，满足内部需求的同时,</w:t>
                            </w:r>
                          </w:p>
                        </w:txbxContent>
                      </wps:txbx>
                      <wps:bodyPr wrap="none" lIns="0" tIns="0" rIns="0" bIns="0">
                        <a:noAutoFit/>
                      </wps:bodyPr>
                    </wps:wsp>
                  </a:graphicData>
                </a:graphic>
              </wp:anchor>
            </w:drawing>
          </mc:Choice>
          <mc:Fallback>
            <w:pict>
              <v:shape id="_x0000_s1055" type="#_x0000_t202" style="position:absolute;margin-left:310.85000000000002pt;margin-top:19.pt;width:231.59999999999999pt;height:11.75pt;z-index:-125829372;mso-wrap-distance-left:0;mso-wrap-distance-top:19.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未来顺丰控股将利用集团现有资源，满足内部需求的同时,</w:t>
                      </w:r>
                    </w:p>
                  </w:txbxContent>
                </v:textbox>
                <w10:wrap type="topAndBottom" anchorx="page"/>
              </v:shape>
            </w:pict>
          </mc:Fallback>
        </mc:AlternateConten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充分考虑产业化因素，进一步加大核心战略资源布局，增强企业长足发展的核心竞争力。</w:t>
      </w:r>
    </w:p>
    <w:p>
      <w:pPr>
        <w:pStyle w:val="Style11"/>
        <w:keepNext w:val="0"/>
        <w:keepLines w:val="0"/>
        <w:widowControl w:val="0"/>
        <w:shd w:val="clear" w:color="auto" w:fill="auto"/>
        <w:bidi w:val="0"/>
        <w:spacing w:before="0" w:after="420" w:line="240" w:lineRule="auto"/>
        <w:ind w:left="0" w:right="0" w:firstLine="200"/>
        <w:jc w:val="left"/>
      </w:pPr>
      <w:bookmarkStart w:id="103" w:name="bookmark103"/>
      <w:r>
        <w:rPr>
          <w:b/>
          <w:bCs/>
          <w:color w:val="000000"/>
          <w:spacing w:val="0"/>
          <w:w w:val="100"/>
          <w:position w:val="0"/>
        </w:rPr>
        <w:t>（</w:t>
      </w:r>
      <w:bookmarkEnd w:id="103"/>
      <w:r>
        <w:rPr>
          <w:b/>
          <w:bCs/>
          <w:color w:val="000000"/>
          <w:spacing w:val="0"/>
          <w:w w:val="100"/>
          <w:position w:val="0"/>
        </w:rPr>
        <w:t>七）具备为客户提供一体化综合物流解决方案的综合能力</w:t>
      </w:r>
    </w:p>
    <w:p>
      <w:pPr>
        <w:pStyle w:val="Style11"/>
        <w:keepNext w:val="0"/>
        <w:keepLines w:val="0"/>
        <w:widowControl w:val="0"/>
        <w:shd w:val="clear" w:color="auto" w:fill="auto"/>
        <w:bidi w:val="0"/>
        <w:spacing w:before="0" w:after="420" w:line="240" w:lineRule="auto"/>
        <w:ind w:left="0" w:right="0" w:firstLine="360"/>
        <w:jc w:val="both"/>
      </w:pPr>
      <w:r>
        <w:rPr>
          <w:color w:val="000000"/>
          <w:spacing w:val="0"/>
          <w:w w:val="100"/>
          <w:position w:val="0"/>
        </w:rPr>
        <w:t>顺丰控股不仅仅定位于为客户提供快递服务，而是立志于为客户提供一体化的综合物流解决方案。</w:t>
      </w:r>
    </w:p>
    <w:p>
      <w:pPr>
        <w:pStyle w:val="Style11"/>
        <w:keepNext w:val="0"/>
        <w:keepLines w:val="0"/>
        <w:widowControl w:val="0"/>
        <w:shd w:val="clear" w:color="auto" w:fill="auto"/>
        <w:bidi w:val="0"/>
        <w:spacing w:before="0" w:after="420" w:line="240" w:lineRule="auto"/>
        <w:ind w:left="0" w:right="0" w:firstLine="360"/>
        <w:jc w:val="both"/>
      </w:pPr>
      <w:r>
        <w:rPr>
          <w:color w:val="000000"/>
          <w:spacing w:val="0"/>
          <w:w w:val="100"/>
          <w:position w:val="0"/>
        </w:rPr>
        <w:t xml:space="preserve">物流综合服务能力是行业未来的核心竞争力，服务体系越完整，整体供应链的效率越高，盈利能力就越强。经过多年发 </w:t>
      </w:r>
      <w:r>
        <w:rPr>
          <w:color w:val="000000"/>
          <w:spacing w:val="0"/>
          <w:w w:val="100"/>
          <w:position w:val="0"/>
        </w:rPr>
        <w:t xml:space="preserve">展，顺丰控股已具备一定的为客户提供一体化综合物流解决方案的能力，不仅提供配送端的高质量物流服务，还延伸至价值 </w:t>
      </w:r>
      <w:r>
        <w:rPr>
          <w:color w:val="000000"/>
          <w:spacing w:val="0"/>
          <w:w w:val="100"/>
          <w:position w:val="0"/>
        </w:rPr>
        <w:t xml:space="preserve">链前端的产、供、销、配等环节，以客户需求出发，为客户提供仓储管理、销售预测、大数据分析、结算管理等一体化的综 </w:t>
      </w:r>
      <w:r>
        <w:rPr>
          <w:color w:val="000000"/>
          <w:spacing w:val="0"/>
          <w:w w:val="100"/>
          <w:position w:val="0"/>
        </w:rPr>
        <w:t>合物流服务。截至报告期末，顺丰控股已提供综合性行业解决方案的行业包括不限于:</w:t>
      </w:r>
    </w:p>
    <w:p>
      <w:pPr>
        <w:pStyle w:val="Style11"/>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服装行业：</w:t>
      </w:r>
      <w:r>
        <w:rPr>
          <w:color w:val="000000"/>
          <w:spacing w:val="0"/>
          <w:w w:val="100"/>
          <w:position w:val="0"/>
        </w:rPr>
        <w:t xml:space="preserve">服装企业的物流中心大多只零散分布在大城市，双十一订单高峰期间，很难消化激增的仓储量;在向全国各地 </w:t>
      </w:r>
      <w:r>
        <w:rPr>
          <w:color w:val="000000"/>
          <w:spacing w:val="0"/>
          <w:w w:val="100"/>
          <w:position w:val="0"/>
        </w:rPr>
        <w:t xml:space="preserve">派送时，也很难做到库存灵活周转，导致订单无法快速送达。另外，服装行业对数据的分析能力有限，无法合理量化库存和 </w:t>
      </w:r>
      <w:r>
        <w:rPr>
          <w:color w:val="000000"/>
          <w:spacing w:val="0"/>
          <w:w w:val="100"/>
          <w:position w:val="0"/>
        </w:rPr>
        <w:t xml:space="preserve">生产，容易造成库存挤压或无法正常供应商品。因此各大服装品牌在双十一都选择了物流外包。作为物流行业领军者，顺丰 </w:t>
      </w:r>
      <w:r>
        <w:rPr>
          <w:color w:val="000000"/>
          <w:spacing w:val="0"/>
          <w:w w:val="100"/>
          <w:position w:val="0"/>
        </w:rPr>
        <w:t>针对服装物流行业</w:t>
      </w:r>
      <w:r>
        <w:rPr>
          <w:color w:val="000000"/>
          <w:spacing w:val="0"/>
          <w:w w:val="100"/>
          <w:position w:val="0"/>
          <w:sz w:val="18"/>
          <w:szCs w:val="18"/>
        </w:rPr>
        <w:t>SKU</w:t>
      </w:r>
      <w:r>
        <w:rPr>
          <w:color w:val="000000"/>
          <w:spacing w:val="0"/>
          <w:w w:val="100"/>
          <w:position w:val="0"/>
        </w:rPr>
        <w:t>多、库存周转不灵活、数据分析支持力弱等痛点，在密布全国的网络和丰富的运力资源基础上，首度 推出服装行业解决方案，通过一体化综合物流服务，助力中高端服装行业品牌商家高效完成了双十一的快件配送。</w:t>
      </w:r>
    </w:p>
    <w:p>
      <w:pPr>
        <w:pStyle w:val="Style11"/>
        <w:keepNext w:val="0"/>
        <w:keepLines w:val="0"/>
        <w:widowControl w:val="0"/>
        <w:shd w:val="clear" w:color="auto" w:fill="auto"/>
        <w:bidi w:val="0"/>
        <w:spacing w:before="0" w:after="0" w:line="468" w:lineRule="exact"/>
        <w:ind w:left="0" w:right="0"/>
        <w:jc w:val="both"/>
      </w:pPr>
      <w:r>
        <w:rPr>
          <w:color w:val="000000"/>
          <w:spacing w:val="0"/>
          <w:w w:val="100"/>
          <w:position w:val="0"/>
        </w:rPr>
        <w:t>顺丰服装行业解决方案聚焦目标客户画像，以大数据分析驱动分仓，从服装专业单仓和智慧云仓切入，同时结合服装行 业全渠道零售，实行线上线下库存共享、</w:t>
      </w:r>
      <w:r>
        <w:rPr>
          <w:color w:val="000000"/>
          <w:spacing w:val="0"/>
          <w:w w:val="100"/>
          <w:position w:val="0"/>
          <w:sz w:val="18"/>
          <w:szCs w:val="18"/>
        </w:rPr>
        <w:t>O2O</w:t>
      </w:r>
      <w:r>
        <w:rPr>
          <w:color w:val="000000"/>
          <w:spacing w:val="0"/>
          <w:w w:val="100"/>
          <w:position w:val="0"/>
        </w:rPr>
        <w:t>同城急配等服务。具体包括仓网服务、配送服务、数据服务，以及高峰保障五 大方面。</w:t>
      </w:r>
      <w:r>
        <w:rPr>
          <w:color w:val="000000"/>
          <w:spacing w:val="0"/>
          <w:w w:val="100"/>
          <w:position w:val="0"/>
          <w:sz w:val="18"/>
          <w:szCs w:val="18"/>
        </w:rPr>
        <w:t>2016</w:t>
      </w:r>
      <w:r>
        <w:rPr>
          <w:color w:val="000000"/>
          <w:spacing w:val="0"/>
          <w:w w:val="100"/>
          <w:position w:val="0"/>
        </w:rPr>
        <w:t>双</w:t>
      </w:r>
      <w:r>
        <w:rPr>
          <w:color w:val="000000"/>
          <w:spacing w:val="0"/>
          <w:w w:val="100"/>
          <w:position w:val="0"/>
          <w:sz w:val="18"/>
          <w:szCs w:val="18"/>
        </w:rPr>
        <w:t xml:space="preserve">11TOP </w:t>
      </w:r>
      <w:r>
        <w:rPr>
          <w:color w:val="000000"/>
          <w:spacing w:val="0"/>
          <w:w w:val="100"/>
          <w:position w:val="0"/>
          <w:sz w:val="18"/>
          <w:szCs w:val="18"/>
        </w:rPr>
        <w:t>10</w:t>
      </w:r>
      <w:r>
        <w:rPr>
          <w:color w:val="000000"/>
          <w:spacing w:val="0"/>
          <w:w w:val="100"/>
          <w:position w:val="0"/>
        </w:rPr>
        <w:t>女装、男装品牌店铺中</w:t>
      </w:r>
      <w:r>
        <w:rPr>
          <w:color w:val="000000"/>
          <w:spacing w:val="0"/>
          <w:w w:val="100"/>
          <w:position w:val="0"/>
          <w:sz w:val="18"/>
          <w:szCs w:val="18"/>
        </w:rPr>
        <w:t>，80%</w:t>
      </w:r>
      <w:r>
        <w:rPr>
          <w:color w:val="000000"/>
          <w:spacing w:val="0"/>
          <w:w w:val="100"/>
          <w:position w:val="0"/>
        </w:rPr>
        <w:t xml:space="preserve">以上都选择了顺丰仓网服务及高效配送服务，如女装品牌店铺优衣库、 </w:t>
      </w:r>
      <w:r>
        <w:rPr>
          <w:color w:val="000000"/>
          <w:spacing w:val="0"/>
          <w:w w:val="100"/>
          <w:position w:val="0"/>
          <w:sz w:val="18"/>
          <w:szCs w:val="18"/>
        </w:rPr>
        <w:t>ONLY</w:t>
      </w:r>
      <w:r>
        <w:rPr>
          <w:color w:val="000000"/>
          <w:spacing w:val="0"/>
          <w:w w:val="100"/>
          <w:position w:val="0"/>
        </w:rPr>
        <w:t>、</w:t>
      </w:r>
      <w:r>
        <w:rPr>
          <w:color w:val="000000"/>
          <w:spacing w:val="0"/>
          <w:w w:val="100"/>
          <w:position w:val="0"/>
        </w:rPr>
        <w:t>韩都衣舍、乐町等，男装品牌店铺</w:t>
      </w:r>
      <w:r>
        <w:rPr>
          <w:color w:val="000000"/>
          <w:spacing w:val="0"/>
          <w:w w:val="100"/>
          <w:position w:val="0"/>
          <w:sz w:val="18"/>
          <w:szCs w:val="18"/>
        </w:rPr>
        <w:t>GXG</w:t>
      </w:r>
      <w:r>
        <w:rPr>
          <w:color w:val="000000"/>
          <w:spacing w:val="0"/>
          <w:w w:val="100"/>
          <w:position w:val="0"/>
        </w:rPr>
        <w:t>、</w:t>
      </w:r>
      <w:r>
        <w:rPr>
          <w:color w:val="000000"/>
          <w:spacing w:val="0"/>
          <w:w w:val="100"/>
          <w:position w:val="0"/>
        </w:rPr>
        <w:t>森马、太平鸟等。</w:t>
      </w:r>
      <w:r>
        <w:rPr>
          <w:color w:val="000000"/>
          <w:spacing w:val="0"/>
          <w:w w:val="100"/>
          <w:position w:val="0"/>
          <w:sz w:val="18"/>
          <w:szCs w:val="18"/>
        </w:rPr>
        <w:t>2017</w:t>
      </w:r>
      <w:r>
        <w:rPr>
          <w:color w:val="000000"/>
          <w:spacing w:val="0"/>
          <w:w w:val="100"/>
          <w:position w:val="0"/>
        </w:rPr>
        <w:t>年，顺丰将顺应服装行业</w:t>
      </w:r>
      <w:r>
        <w:rPr>
          <w:color w:val="000000"/>
          <w:spacing w:val="0"/>
          <w:w w:val="100"/>
          <w:position w:val="0"/>
          <w:sz w:val="18"/>
          <w:szCs w:val="18"/>
        </w:rPr>
        <w:t>020</w:t>
      </w:r>
      <w:r>
        <w:rPr>
          <w:color w:val="000000"/>
          <w:spacing w:val="0"/>
          <w:w w:val="100"/>
          <w:position w:val="0"/>
        </w:rPr>
        <w:t>、</w:t>
      </w:r>
      <w:r>
        <w:rPr>
          <w:color w:val="000000"/>
          <w:spacing w:val="0"/>
          <w:w w:val="100"/>
          <w:position w:val="0"/>
          <w:sz w:val="18"/>
          <w:szCs w:val="18"/>
        </w:rPr>
        <w:t>JIT</w:t>
      </w:r>
      <w:r>
        <w:rPr>
          <w:color w:val="000000"/>
          <w:spacing w:val="0"/>
          <w:w w:val="100"/>
          <w:position w:val="0"/>
        </w:rPr>
        <w:t>等新模式的趋势变 化，从客户需求和市场满足度分析，创新优化解决方案，引领服装智慧物流升级。</w:t>
      </w:r>
    </w:p>
    <w:p>
      <w:pPr>
        <w:pStyle w:val="Style11"/>
        <w:keepNext w:val="0"/>
        <w:keepLines w:val="0"/>
        <w:widowControl w:val="0"/>
        <w:shd w:val="clear" w:color="auto" w:fill="auto"/>
        <w:bidi w:val="0"/>
        <w:spacing w:before="0" w:after="0" w:line="469" w:lineRule="exact"/>
        <w:ind w:left="0" w:right="0"/>
        <w:jc w:val="both"/>
      </w:pPr>
      <w:r>
        <w:rPr>
          <w:b/>
          <w:bCs/>
          <w:color w:val="000000"/>
          <w:spacing w:val="0"/>
          <w:w w:val="100"/>
          <w:position w:val="0"/>
        </w:rPr>
        <w:t>保险行业：</w:t>
      </w:r>
      <w:r>
        <w:rPr>
          <w:color w:val="000000"/>
          <w:spacing w:val="0"/>
          <w:w w:val="100"/>
          <w:position w:val="0"/>
        </w:rPr>
        <w:t>保险行业物流规模逐年上升。保险总部集中在五大城市（北京、上海、深圳、重庆、天津，小计</w:t>
      </w:r>
      <w:r>
        <w:rPr>
          <w:color w:val="000000"/>
          <w:spacing w:val="0"/>
          <w:w w:val="100"/>
          <w:position w:val="0"/>
          <w:sz w:val="18"/>
          <w:szCs w:val="18"/>
        </w:rPr>
        <w:t>129</w:t>
      </w:r>
      <w:r>
        <w:rPr>
          <w:color w:val="000000"/>
          <w:spacing w:val="0"/>
          <w:w w:val="100"/>
          <w:position w:val="0"/>
        </w:rPr>
        <w:t>家），是 总对总销售必争城市，其中广东和江苏为保费收入规模最大的省份。保险业以小件为主，对服务品质和时效要求高，物流费 用敏感度相对低，与顺丰的定位匹配度高。相较竞争对手，顺丰服务范围广，产品和服务更具优势。顺丰以保单配送、礼品 配送为行业切入点；致力于打造新保单系列产品，以标准化、专业化服务切中客户针对签单准确率的核心需求，并在深耕客 户过程中根据客户需求，提供非标准化服务延伸，增加客户粘性。目前，顺丰已开发中国人寿、中国人保等大型保险公司， 就“金钥匙”业务、“营销推广”服务、“修养车平台”服务等创新模式与客户制定合作计划。同时，顺丰引入同城配业务形 态，不断优化物流配送模式，为保险业客户提供优质服务。</w:t>
      </w:r>
    </w:p>
    <w:p>
      <w:pPr>
        <w:pStyle w:val="Style11"/>
        <w:keepNext w:val="0"/>
        <w:keepLines w:val="0"/>
        <w:widowControl w:val="0"/>
        <w:shd w:val="clear" w:color="auto" w:fill="auto"/>
        <w:bidi w:val="0"/>
        <w:spacing w:before="0" w:after="0" w:line="473" w:lineRule="exact"/>
        <w:ind w:left="0" w:right="0"/>
        <w:jc w:val="both"/>
      </w:pPr>
      <w:r>
        <w:rPr>
          <w:b/>
          <w:bCs/>
          <w:color w:val="000000"/>
          <w:spacing w:val="0"/>
          <w:w w:val="100"/>
          <w:position w:val="0"/>
        </w:rPr>
        <w:t>白酒行业：</w:t>
      </w:r>
      <w:r>
        <w:rPr>
          <w:color w:val="000000"/>
          <w:spacing w:val="0"/>
          <w:w w:val="100"/>
          <w:position w:val="0"/>
        </w:rPr>
        <w:t>白酒占中国酒类市场近</w:t>
      </w:r>
      <w:r>
        <w:rPr>
          <w:color w:val="000000"/>
          <w:spacing w:val="0"/>
          <w:w w:val="100"/>
          <w:position w:val="0"/>
          <w:sz w:val="18"/>
          <w:szCs w:val="18"/>
        </w:rPr>
        <w:t>60%</w:t>
      </w:r>
      <w:r>
        <w:rPr>
          <w:color w:val="000000"/>
          <w:spacing w:val="0"/>
          <w:w w:val="100"/>
          <w:position w:val="0"/>
        </w:rPr>
        <w:t>，销售规模逐年上升，电商渠道呈现高增速发展态势。中国高端白酒的集中地为 川黔两省，市占率超</w:t>
      </w:r>
      <w:r>
        <w:rPr>
          <w:color w:val="000000"/>
          <w:spacing w:val="0"/>
          <w:w w:val="100"/>
          <w:position w:val="0"/>
          <w:sz w:val="18"/>
          <w:szCs w:val="18"/>
        </w:rPr>
        <w:t>30%，</w:t>
      </w:r>
      <w:r>
        <w:rPr>
          <w:color w:val="000000"/>
          <w:spacing w:val="0"/>
          <w:w w:val="100"/>
          <w:position w:val="0"/>
        </w:rPr>
        <w:t>销往全国；苏皖板块中端酒为主，销售区域内为主、区域外为辅；华北板块低端酒为主，销售区 域内外均等。</w:t>
      </w:r>
    </w:p>
    <w:p>
      <w:pPr>
        <w:pStyle w:val="Style11"/>
        <w:keepNext w:val="0"/>
        <w:keepLines w:val="0"/>
        <w:widowControl w:val="0"/>
        <w:shd w:val="clear" w:color="auto" w:fill="auto"/>
        <w:bidi w:val="0"/>
        <w:spacing w:before="0" w:after="0" w:line="480" w:lineRule="exact"/>
        <w:ind w:left="0" w:right="0" w:firstLine="0"/>
        <w:jc w:val="both"/>
      </w:pPr>
      <w:r>
        <w:rPr>
          <w:color w:val="000000"/>
          <w:spacing w:val="0"/>
          <w:w w:val="100"/>
          <w:position w:val="0"/>
        </w:rPr>
        <w:t>顺丰近年来为茅台等客户提供优质仓储及配送服务。</w:t>
      </w:r>
      <w:r>
        <w:rPr>
          <w:color w:val="000000"/>
          <w:spacing w:val="0"/>
          <w:w w:val="100"/>
          <w:position w:val="0"/>
          <w:sz w:val="18"/>
          <w:szCs w:val="18"/>
        </w:rPr>
        <w:t>2017</w:t>
      </w:r>
      <w:r>
        <w:rPr>
          <w:color w:val="000000"/>
          <w:spacing w:val="0"/>
          <w:w w:val="100"/>
          <w:position w:val="0"/>
        </w:rPr>
        <w:t>年顺丰将主攻中高端白酒厂及一级代理，锁定新机会点如</w:t>
      </w:r>
      <w:r>
        <w:rPr>
          <w:color w:val="000000"/>
          <w:spacing w:val="0"/>
          <w:w w:val="100"/>
          <w:position w:val="0"/>
          <w:sz w:val="18"/>
          <w:szCs w:val="18"/>
        </w:rPr>
        <w:t>O2O</w:t>
      </w:r>
      <w:r>
        <w:rPr>
          <w:color w:val="000000"/>
          <w:spacing w:val="0"/>
          <w:w w:val="100"/>
          <w:position w:val="0"/>
        </w:rPr>
        <w:t>、</w:t>
      </w:r>
      <w:r>
        <w:rPr>
          <w:color w:val="000000"/>
          <w:spacing w:val="0"/>
          <w:w w:val="100"/>
          <w:position w:val="0"/>
        </w:rPr>
        <w:t>经 销商串点配送等，同时关注垂直电商的配送市场。</w:t>
      </w:r>
    </w:p>
    <w:p>
      <w:pPr>
        <w:pStyle w:val="Style11"/>
        <w:keepNext w:val="0"/>
        <w:keepLines w:val="0"/>
        <w:widowControl w:val="0"/>
        <w:shd w:val="clear" w:color="auto" w:fill="auto"/>
        <w:bidi w:val="0"/>
        <w:spacing w:before="0" w:after="0" w:line="473" w:lineRule="exact"/>
        <w:ind w:left="0" w:right="0" w:firstLine="460"/>
        <w:jc w:val="both"/>
        <w:sectPr>
          <w:footnotePr>
            <w:pos w:val="pageBottom"/>
            <w:numFmt w:val="decimal"/>
            <w:numRestart w:val="continuous"/>
          </w:footnotePr>
          <w:pgSz w:w="11900" w:h="16840"/>
          <w:pgMar w:top="1292" w:right="1001" w:bottom="1474" w:left="1016" w:header="0" w:footer="3" w:gutter="0"/>
          <w:cols w:space="720"/>
          <w:noEndnote/>
          <w:rtlGutter w:val="0"/>
          <w:docGrid w:linePitch="360"/>
        </w:sectPr>
      </w:pPr>
      <w:r>
        <w:rPr>
          <w:b/>
          <w:bCs/>
          <w:color w:val="000000"/>
          <w:spacing w:val="0"/>
          <w:w w:val="100"/>
          <w:position w:val="0"/>
        </w:rPr>
        <w:t>2016年公司完成重组上市后，2017年计划配套募集不超过80亿元资金，扣除发行费用后，拟用于航材购置及飞行支 持项目、冷运车辆与温控设备采购项目、信息服务平台建设及下一代物流信息化技术研发项目、中转场建设项目，可以预见， 上市资本将助力公司进一步扩大上述竞争优势，保持甚至扩大公司行业龙头领先地位。</w:t>
      </w:r>
    </w:p>
    <w:p>
      <w:pPr>
        <w:pStyle w:val="Style8"/>
        <w:keepNext/>
        <w:keepLines/>
        <w:widowControl w:val="0"/>
        <w:shd w:val="clear" w:color="auto" w:fill="auto"/>
        <w:bidi w:val="0"/>
        <w:spacing w:before="680" w:line="240" w:lineRule="auto"/>
        <w:ind w:left="0" w:right="0" w:firstLine="0"/>
        <w:jc w:val="center"/>
      </w:pPr>
      <w:bookmarkStart w:id="104" w:name="bookmark104"/>
      <w:bookmarkStart w:id="105" w:name="bookmark105"/>
      <w:bookmarkStart w:id="106" w:name="bookmark106"/>
      <w:r>
        <w:rPr>
          <w:color w:val="000000"/>
          <w:spacing w:val="0"/>
          <w:w w:val="100"/>
          <w:position w:val="0"/>
        </w:rPr>
        <w:t>第四节经营情况讨论与分析</w:t>
      </w:r>
      <w:bookmarkEnd w:id="104"/>
      <w:bookmarkEnd w:id="105"/>
      <w:bookmarkEnd w:id="106"/>
    </w:p>
    <w:p>
      <w:pPr>
        <w:pStyle w:val="Style27"/>
        <w:keepNext/>
        <w:keepLines/>
        <w:widowControl w:val="0"/>
        <w:shd w:val="clear" w:color="auto" w:fill="auto"/>
        <w:bidi w:val="0"/>
        <w:spacing w:before="0" w:after="160" w:line="240" w:lineRule="auto"/>
        <w:ind w:left="0" w:right="0" w:firstLine="0"/>
        <w:jc w:val="both"/>
      </w:pPr>
      <w:bookmarkStart w:id="107" w:name="bookmark107"/>
      <w:bookmarkStart w:id="108" w:name="bookmark108"/>
      <w:bookmarkStart w:id="109" w:name="bookmark109"/>
      <w:bookmarkStart w:id="110" w:name="bookmark110"/>
      <w:bookmarkStart w:id="111" w:name="bookmark111"/>
      <w:r>
        <w:rPr>
          <w:color w:val="000000"/>
          <w:spacing w:val="0"/>
          <w:w w:val="100"/>
          <w:position w:val="0"/>
          <w:sz w:val="24"/>
          <w:szCs w:val="24"/>
        </w:rPr>
        <w:t>一</w:t>
      </w:r>
      <w:bookmarkEnd w:id="110"/>
      <w:r>
        <w:rPr>
          <w:color w:val="000000"/>
          <w:spacing w:val="0"/>
          <w:w w:val="100"/>
          <w:position w:val="0"/>
          <w:sz w:val="24"/>
          <w:szCs w:val="24"/>
        </w:rPr>
        <w:t>、概述</w:t>
      </w:r>
      <w:bookmarkEnd w:id="108"/>
      <w:bookmarkEnd w:id="109"/>
      <w:bookmarkEnd w:id="111"/>
      <w:bookmarkEnd w:id="107"/>
    </w:p>
    <w:p>
      <w:pPr>
        <w:pStyle w:val="Style11"/>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2016年经营情况整体概述</w:t>
      </w:r>
    </w:p>
    <w:p>
      <w:pPr>
        <w:pStyle w:val="Style11"/>
        <w:keepNext w:val="0"/>
        <w:keepLines w:val="0"/>
        <w:widowControl w:val="0"/>
        <w:shd w:val="clear" w:color="auto" w:fill="auto"/>
        <w:bidi w:val="0"/>
        <w:spacing w:before="0" w:after="0" w:line="475" w:lineRule="exact"/>
        <w:ind w:left="0" w:right="0" w:firstLine="0"/>
        <w:jc w:val="both"/>
      </w:pPr>
      <w:bookmarkStart w:id="112" w:name="bookmark112"/>
      <w:r>
        <w:rPr>
          <w:b/>
          <w:bCs/>
          <w:color w:val="000000"/>
          <w:spacing w:val="0"/>
          <w:w w:val="100"/>
          <w:position w:val="0"/>
        </w:rPr>
        <w:t>（</w:t>
      </w:r>
      <w:bookmarkEnd w:id="112"/>
      <w:r>
        <w:rPr>
          <w:b/>
          <w:bCs/>
          <w:color w:val="000000"/>
          <w:spacing w:val="0"/>
          <w:w w:val="100"/>
          <w:position w:val="0"/>
        </w:rPr>
        <w:t>一）完成重组上市，成功登陆国内资本市场</w:t>
      </w:r>
    </w:p>
    <w:p>
      <w:pPr>
        <w:pStyle w:val="Style11"/>
        <w:keepNext w:val="0"/>
        <w:keepLines w:val="0"/>
        <w:widowControl w:val="0"/>
        <w:shd w:val="clear" w:color="auto" w:fill="auto"/>
        <w:bidi w:val="0"/>
        <w:spacing w:before="0" w:after="0" w:line="475"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年，公司成功登陆了国内资本市场，对公司未来发展具有里程碑意义。</w:t>
      </w:r>
    </w:p>
    <w:p>
      <w:pPr>
        <w:pStyle w:val="Style11"/>
        <w:keepNext w:val="0"/>
        <w:keepLines w:val="0"/>
        <w:widowControl w:val="0"/>
        <w:shd w:val="clear" w:color="auto" w:fill="auto"/>
        <w:bidi w:val="0"/>
        <w:spacing w:before="0" w:after="0" w:line="475"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日，经中国证券监督管理委员会上市公司并购重组审核委员会召开的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次并购重组委工作 会议，公司重大资产重组事项获得有条件通过。</w:t>
      </w:r>
    </w:p>
    <w:p>
      <w:pPr>
        <w:pStyle w:val="Style11"/>
        <w:keepNext w:val="0"/>
        <w:keepLines w:val="0"/>
        <w:widowControl w:val="0"/>
        <w:shd w:val="clear" w:color="auto" w:fill="auto"/>
        <w:bidi w:val="0"/>
        <w:spacing w:before="0" w:after="0" w:line="480"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日，公司正式取得中国证券监督管理委员会证监许可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rPr>
        <w:t>号文《关于核准马鞍山鼎泰稀土新 材料股份有限公司重大资产重组及向深圳明德控股发展有限公司等发行股份购买资产并募集配套资金的批复》。</w:t>
      </w:r>
    </w:p>
    <w:p>
      <w:pPr>
        <w:pStyle w:val="Style11"/>
        <w:keepNext w:val="0"/>
        <w:keepLines w:val="0"/>
        <w:widowControl w:val="0"/>
        <w:shd w:val="clear" w:color="auto" w:fill="auto"/>
        <w:bidi w:val="0"/>
        <w:spacing w:before="0" w:after="0" w:line="480"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月，本次重组的当事各方完成了相关股权工商变更手续，取得了工商部门出具的相关核准文件，同月，当事 各方签署了正式的资产交割确认函。至此，意味着公司报告期内顺利完成了本次重大资产重组。</w:t>
      </w:r>
    </w:p>
    <w:p>
      <w:pPr>
        <w:pStyle w:val="Style11"/>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日，公司完成发行股份购买资产的资产认购部分的新股发行手续，发布《重大资产置换及发行股份购买 资产并募集配套资金暨关联交易之实施情况暨新增股份上市公告书》公告；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日，以上新股正式上市。</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经深圳证券交易所核准，公司证券简称自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日起进行变更，公司证券简称由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鼎泰新材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顺丰控股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1"/>
        <w:keepNext w:val="0"/>
        <w:keepLines w:val="0"/>
        <w:widowControl w:val="0"/>
        <w:shd w:val="clear" w:color="auto" w:fill="auto"/>
        <w:bidi w:val="0"/>
        <w:spacing w:before="0" w:after="0" w:line="475" w:lineRule="exact"/>
        <w:ind w:left="0" w:right="0" w:firstLine="0"/>
        <w:jc w:val="both"/>
      </w:pPr>
      <w:bookmarkStart w:id="113" w:name="bookmark113"/>
      <w:r>
        <w:rPr>
          <w:b/>
          <w:bCs/>
          <w:color w:val="000000"/>
          <w:spacing w:val="0"/>
          <w:w w:val="100"/>
          <w:position w:val="0"/>
        </w:rPr>
        <w:t>（</w:t>
      </w:r>
      <w:bookmarkEnd w:id="113"/>
      <w:r>
        <w:rPr>
          <w:b/>
          <w:bCs/>
          <w:color w:val="000000"/>
          <w:spacing w:val="0"/>
          <w:w w:val="100"/>
          <w:position w:val="0"/>
        </w:rPr>
        <w:t>二）公司业务经营情况：</w:t>
      </w:r>
    </w:p>
    <w:p>
      <w:pPr>
        <w:pStyle w:val="Style11"/>
        <w:keepNext w:val="0"/>
        <w:keepLines w:val="0"/>
        <w:widowControl w:val="0"/>
        <w:shd w:val="clear" w:color="auto" w:fill="auto"/>
        <w:bidi w:val="0"/>
        <w:spacing w:before="0" w:after="0" w:line="47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年，是顺丰控股“布局未来，重组上市”的元年，也是公司“拥抱变革、聚焦经营”的一年。这一年里，公司不仅 成功登陆了国内资本市场，这对于公司未来发展具有里程碑意义。而且在经营方面，无论是整体业绩达成、新市场拓展还是 客户满意度方面，都有比较不错的表现，具体情况如下：</w:t>
      </w:r>
    </w:p>
    <w:p>
      <w:pPr>
        <w:pStyle w:val="Style11"/>
        <w:keepNext w:val="0"/>
        <w:keepLines w:val="0"/>
        <w:widowControl w:val="0"/>
        <w:shd w:val="clear" w:color="auto" w:fill="auto"/>
        <w:bidi w:val="0"/>
        <w:spacing w:before="0" w:after="0" w:line="475" w:lineRule="exact"/>
        <w:ind w:left="0" w:right="0"/>
        <w:jc w:val="both"/>
      </w:pPr>
      <w:bookmarkStart w:id="114" w:name="bookmark114"/>
      <w:r>
        <w:rPr>
          <w:b/>
          <w:bCs/>
          <w:color w:val="000000"/>
          <w:spacing w:val="0"/>
          <w:w w:val="100"/>
          <w:position w:val="0"/>
        </w:rPr>
        <w:t>1</w:t>
      </w:r>
      <w:bookmarkEnd w:id="114"/>
      <w:r>
        <w:rPr>
          <w:b/>
          <w:bCs/>
          <w:color w:val="000000"/>
          <w:spacing w:val="0"/>
          <w:w w:val="100"/>
          <w:position w:val="0"/>
        </w:rPr>
        <w:t>、聚焦物流经营、业绩大幅增长</w:t>
      </w:r>
    </w:p>
    <w:p>
      <w:pPr>
        <w:pStyle w:val="Style11"/>
        <w:keepNext w:val="0"/>
        <w:keepLines w:val="0"/>
        <w:widowControl w:val="0"/>
        <w:shd w:val="clear" w:color="auto" w:fill="auto"/>
        <w:bidi w:val="0"/>
        <w:spacing w:before="0" w:after="0" w:line="468" w:lineRule="exact"/>
        <w:ind w:left="0" w:right="0"/>
        <w:jc w:val="both"/>
      </w:pPr>
      <w:r>
        <w:rPr>
          <w:b/>
          <w:bCs/>
          <w:color w:val="000000"/>
          <w:spacing w:val="0"/>
          <w:w w:val="100"/>
          <w:position w:val="0"/>
        </w:rPr>
        <w:t>收入方面：</w:t>
      </w:r>
      <w:r>
        <w:rPr>
          <w:color w:val="000000"/>
          <w:spacing w:val="0"/>
          <w:w w:val="100"/>
          <w:position w:val="0"/>
        </w:rPr>
        <w:t>公司坚持“中高端”产品定位，十分注重客户服务体验，进一步优化产品体系，狠抓产品服务质量和时效， 以客户满意为服务宗旨，积极向重点客户提供综合物流解决方案，提高客户粘性和满意度。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年度实现快件业务量</w:t>
      </w:r>
      <w:r>
        <w:rPr>
          <w:rFonts w:ascii="Times New Roman" w:eastAsia="Times New Roman" w:hAnsi="Times New Roman" w:cs="Times New Roman"/>
          <w:color w:val="000000"/>
          <w:spacing w:val="0"/>
          <w:w w:val="100"/>
          <w:position w:val="0"/>
          <w:sz w:val="18"/>
          <w:szCs w:val="18"/>
        </w:rPr>
        <w:t xml:space="preserve">25.80 </w:t>
      </w:r>
      <w:r>
        <w:rPr>
          <w:color w:val="000000"/>
          <w:spacing w:val="0"/>
          <w:w w:val="100"/>
          <w:position w:val="0"/>
        </w:rPr>
        <w:t>亿票，同比增长</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；实现不含税营业收入</w:t>
      </w:r>
      <w:r>
        <w:rPr>
          <w:rFonts w:ascii="Times New Roman" w:eastAsia="Times New Roman" w:hAnsi="Times New Roman" w:cs="Times New Roman"/>
          <w:color w:val="000000"/>
          <w:spacing w:val="0"/>
          <w:w w:val="100"/>
          <w:position w:val="0"/>
          <w:sz w:val="18"/>
          <w:szCs w:val="18"/>
        </w:rPr>
        <w:t>574.83</w:t>
      </w:r>
      <w:r>
        <w:rPr>
          <w:color w:val="000000"/>
          <w:spacing w:val="0"/>
          <w:w w:val="100"/>
          <w:position w:val="0"/>
        </w:rPr>
        <w:t>亿元，持续经营业务营业收入同比增长</w:t>
      </w:r>
      <w:r>
        <w:rPr>
          <w:rFonts w:ascii="Times New Roman" w:eastAsia="Times New Roman" w:hAnsi="Times New Roman" w:cs="Times New Roman"/>
          <w:color w:val="000000"/>
          <w:spacing w:val="0"/>
          <w:w w:val="100"/>
          <w:position w:val="0"/>
          <w:sz w:val="18"/>
          <w:szCs w:val="18"/>
        </w:rPr>
        <w:t>21.51%</w:t>
      </w:r>
      <w:r>
        <w:rPr>
          <w:color w:val="000000"/>
          <w:spacing w:val="0"/>
          <w:w w:val="100"/>
          <w:position w:val="0"/>
        </w:rPr>
        <w:t>，其中速运物流不含税 营业收入</w:t>
      </w:r>
      <w:r>
        <w:rPr>
          <w:rFonts w:ascii="Times New Roman" w:eastAsia="Times New Roman" w:hAnsi="Times New Roman" w:cs="Times New Roman"/>
          <w:color w:val="000000"/>
          <w:spacing w:val="0"/>
          <w:w w:val="100"/>
          <w:position w:val="0"/>
          <w:sz w:val="18"/>
          <w:szCs w:val="18"/>
        </w:rPr>
        <w:t>571.41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21.75%</w:t>
      </w:r>
      <w:r>
        <w:rPr>
          <w:color w:val="000000"/>
          <w:spacing w:val="0"/>
          <w:w w:val="100"/>
          <w:position w:val="0"/>
        </w:rPr>
        <w:t>；另外，优质的服务也带来了高于同行的品牌溢价，以公司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年度近三年的票均收入看，顺丰控股快递业务票均收入分别为</w:t>
      </w:r>
      <w:r>
        <w:rPr>
          <w:rFonts w:ascii="Times New Roman" w:eastAsia="Times New Roman" w:hAnsi="Times New Roman" w:cs="Times New Roman"/>
          <w:color w:val="000000"/>
          <w:spacing w:val="0"/>
          <w:w w:val="100"/>
          <w:position w:val="0"/>
          <w:sz w:val="18"/>
          <w:szCs w:val="18"/>
        </w:rPr>
        <w:t>23.61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23.83</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22.15</w:t>
      </w:r>
      <w:r>
        <w:rPr>
          <w:color w:val="000000"/>
          <w:spacing w:val="0"/>
          <w:w w:val="100"/>
          <w:position w:val="0"/>
        </w:rPr>
        <w:t>元，远高于行业平均水平。稳 定的收入增长、以及高质量的票均收入，共同保证了公司持续健康的利润水平。</w:t>
      </w:r>
    </w:p>
    <w:p>
      <w:pPr>
        <w:pStyle w:val="Style11"/>
        <w:keepNext w:val="0"/>
        <w:keepLines w:val="0"/>
        <w:widowControl w:val="0"/>
        <w:shd w:val="clear" w:color="auto" w:fill="auto"/>
        <w:bidi w:val="0"/>
        <w:spacing w:before="0" w:after="0" w:line="475" w:lineRule="exact"/>
        <w:ind w:left="0" w:right="0"/>
        <w:jc w:val="both"/>
      </w:pPr>
      <w:r>
        <w:rPr>
          <w:b/>
          <w:bCs/>
          <w:color w:val="000000"/>
          <w:spacing w:val="0"/>
          <w:w w:val="100"/>
          <w:position w:val="0"/>
        </w:rPr>
        <w:t>成本费用管控方面</w:t>
      </w:r>
      <w:r>
        <w:rPr>
          <w:color w:val="000000"/>
          <w:spacing w:val="0"/>
          <w:w w:val="100"/>
          <w:position w:val="0"/>
        </w:rPr>
        <w:t xml:space="preserve">：在营运成本端，公司采用各种手段，不断提升营运资源使用效率，包括不限于：不断优化线路规划、 </w:t>
      </w:r>
      <w:r>
        <w:rPr>
          <w:color w:val="000000"/>
          <w:spacing w:val="0"/>
          <w:w w:val="100"/>
          <w:position w:val="0"/>
        </w:rPr>
        <w:t>网点设置，提升营运底盘工具的科学化和智能化水平，以及以及不断优化人工、运力、车辆、物料等资源投入模型，积极管 控营运资源投入效率等等。此外，在管理成本方面，公司通过优化内部组织架构，大力推广移动办公自动化管理工具，持续 提高三线管理效率，降低管理成本。</w:t>
      </w:r>
    </w:p>
    <w:p>
      <w:pPr>
        <w:pStyle w:val="Style11"/>
        <w:keepNext w:val="0"/>
        <w:keepLines w:val="0"/>
        <w:widowControl w:val="0"/>
        <w:shd w:val="clear" w:color="auto" w:fill="auto"/>
        <w:bidi w:val="0"/>
        <w:spacing w:before="0" w:after="180" w:line="470" w:lineRule="exact"/>
        <w:ind w:left="0" w:right="0"/>
        <w:jc w:val="both"/>
      </w:pPr>
      <w:r>
        <w:rPr>
          <w:b/>
          <w:bCs/>
          <w:color w:val="000000"/>
          <w:spacing w:val="0"/>
          <w:w w:val="100"/>
          <w:position w:val="0"/>
        </w:rPr>
        <w:t>利润方面：</w:t>
      </w:r>
      <w:r>
        <w:rPr>
          <w:color w:val="000000"/>
          <w:spacing w:val="0"/>
          <w:w w:val="100"/>
          <w:position w:val="0"/>
        </w:rPr>
        <w:t>报告期内，公司利润大幅增长。公司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18"/>
          <w:szCs w:val="18"/>
        </w:rPr>
        <w:t>41.8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亿，相较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年持续经营 业务部分归属上市公司股东净利润的</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亿，同比增长</w:t>
      </w:r>
      <w:r>
        <w:rPr>
          <w:rFonts w:ascii="Times New Roman" w:eastAsia="Times New Roman" w:hAnsi="Times New Roman" w:cs="Times New Roman"/>
          <w:color w:val="000000"/>
          <w:spacing w:val="0"/>
          <w:w w:val="100"/>
          <w:position w:val="0"/>
          <w:sz w:val="18"/>
          <w:szCs w:val="18"/>
        </w:rPr>
        <w:t>112.51%</w:t>
      </w:r>
      <w:r>
        <w:rPr>
          <w:color w:val="000000"/>
          <w:spacing w:val="0"/>
          <w:w w:val="100"/>
          <w:position w:val="0"/>
        </w:rPr>
        <w:t>。扣除非经常性损益后归属于上市公司股东的净利润为</w:t>
      </w:r>
      <w:r>
        <w:rPr>
          <w:rFonts w:ascii="Times New Roman" w:eastAsia="Times New Roman" w:hAnsi="Times New Roman" w:cs="Times New Roman"/>
          <w:color w:val="000000"/>
          <w:spacing w:val="0"/>
          <w:w w:val="100"/>
          <w:position w:val="0"/>
          <w:sz w:val="18"/>
          <w:szCs w:val="18"/>
        </w:rPr>
        <w:t xml:space="preserve">26.43 </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年度持续经营业务扣除非经常性损益后归属于上市公司的净利润</w:t>
      </w:r>
      <w:r>
        <w:rPr>
          <w:rFonts w:ascii="Times New Roman" w:eastAsia="Times New Roman" w:hAnsi="Times New Roman" w:cs="Times New Roman"/>
          <w:color w:val="000000"/>
          <w:spacing w:val="0"/>
          <w:w w:val="100"/>
          <w:position w:val="0"/>
          <w:sz w:val="18"/>
          <w:szCs w:val="18"/>
        </w:rPr>
        <w:t>16.23</w:t>
      </w:r>
      <w:r>
        <w:rPr>
          <w:color w:val="000000"/>
          <w:spacing w:val="0"/>
          <w:w w:val="100"/>
          <w:position w:val="0"/>
        </w:rPr>
        <w:t>亿，同比增长</w:t>
      </w:r>
      <w:r>
        <w:rPr>
          <w:rFonts w:ascii="Times New Roman" w:eastAsia="Times New Roman" w:hAnsi="Times New Roman" w:cs="Times New Roman"/>
          <w:color w:val="000000"/>
          <w:spacing w:val="0"/>
          <w:w w:val="100"/>
          <w:position w:val="0"/>
          <w:sz w:val="18"/>
          <w:szCs w:val="18"/>
        </w:rPr>
        <w:t>62.85%</w:t>
      </w:r>
      <w:r>
        <w:rPr>
          <w:color w:val="000000"/>
          <w:spacing w:val="0"/>
          <w:w w:val="100"/>
          <w:position w:val="0"/>
        </w:rPr>
        <w:t xml:space="preserve">。公司不仅圆满达成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年承诺利润（</w:t>
      </w:r>
      <w:r>
        <w:rPr>
          <w:rFonts w:ascii="Times New Roman" w:eastAsia="Times New Roman" w:hAnsi="Times New Roman" w:cs="Times New Roman"/>
          <w:color w:val="000000"/>
          <w:spacing w:val="0"/>
          <w:w w:val="100"/>
          <w:position w:val="0"/>
          <w:sz w:val="18"/>
          <w:szCs w:val="18"/>
        </w:rPr>
        <w:t>21.85</w:t>
      </w:r>
      <w:r>
        <w:rPr>
          <w:color w:val="000000"/>
          <w:spacing w:val="0"/>
          <w:w w:val="100"/>
          <w:position w:val="0"/>
        </w:rPr>
        <w:t>亿元），而且超额</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亿元，为今后顺利实现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年度承诺利润奠定了良好基础。其中，主要财 务指标数据如下表。更详尽的财务数据分析，请参见公司年度报告的经营情况讨论与分析相关章节。</w:t>
      </w:r>
    </w:p>
    <w:p>
      <w:pPr>
        <w:pStyle w:val="Style11"/>
        <w:keepNext w:val="0"/>
        <w:keepLines w:val="0"/>
        <w:widowControl w:val="0"/>
        <w:shd w:val="clear" w:color="auto" w:fill="auto"/>
        <w:bidi w:val="0"/>
        <w:spacing w:before="0" w:after="240" w:line="240" w:lineRule="auto"/>
        <w:ind w:left="0" w:right="940" w:firstLine="0"/>
        <w:jc w:val="right"/>
      </w:pPr>
      <w:r>
        <w:rPr>
          <w:color w:val="000000"/>
          <w:spacing w:val="0"/>
          <w:w w:val="100"/>
          <w:position w:val="0"/>
        </w:rPr>
        <w:t>单位：亿元</w:t>
      </w:r>
    </w:p>
    <w:tbl>
      <w:tblPr>
        <w:tblOverlap w:val="never"/>
        <w:jc w:val="center"/>
        <w:tblLayout w:type="fixed"/>
      </w:tblPr>
      <w:tblGrid>
        <w:gridCol w:w="2981"/>
        <w:gridCol w:w="1133"/>
        <w:gridCol w:w="1843"/>
        <w:gridCol w:w="2275"/>
      </w:tblGrid>
      <w:tr>
        <w:trPr>
          <w:trHeight w:val="686"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40" w:after="0" w:line="240" w:lineRule="auto"/>
              <w:ind w:left="0" w:right="0" w:firstLine="200"/>
              <w:jc w:val="left"/>
            </w:pPr>
            <w:r>
              <w:rPr>
                <w:color w:val="000000"/>
                <w:spacing w:val="0"/>
                <w:w w:val="100"/>
                <w:position w:val="0"/>
              </w:rPr>
              <w:t>本报告期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上年同期：持续经营</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业务（不含商业）</w:t>
            </w:r>
          </w:p>
        </w:tc>
        <w:tc>
          <w:tcPr>
            <w:tcBorders>
              <w:top w:val="single" w:sz="4"/>
              <w:left w:val="single" w:sz="4"/>
              <w:right w:val="single" w:sz="4"/>
            </w:tcBorders>
            <w:shd w:val="clear" w:color="auto" w:fill="D4D4D4"/>
            <w:vAlign w:val="top"/>
          </w:tcPr>
          <w:p>
            <w:pPr>
              <w:pStyle w:val="Style23"/>
              <w:keepNext w:val="0"/>
              <w:keepLines w:val="0"/>
              <w:widowControl w:val="0"/>
              <w:shd w:val="clear" w:color="auto" w:fill="auto"/>
              <w:bidi w:val="0"/>
              <w:spacing w:before="140" w:after="0" w:line="240" w:lineRule="auto"/>
              <w:ind w:left="0" w:right="0" w:firstLine="360"/>
              <w:jc w:val="left"/>
            </w:pPr>
            <w:r>
              <w:rPr>
                <w:color w:val="000000"/>
                <w:spacing w:val="0"/>
                <w:w w:val="100"/>
                <w:position w:val="0"/>
              </w:rPr>
              <w:t>增减变动幅度（%）</w:t>
            </w:r>
          </w:p>
        </w:tc>
      </w:tr>
      <w:tr>
        <w:trPr>
          <w:trHeight w:val="60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营业总收入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80"/>
              <w:jc w:val="left"/>
              <w:rPr>
                <w:sz w:val="18"/>
                <w:szCs w:val="18"/>
              </w:rPr>
            </w:pPr>
            <w:r>
              <w:rPr>
                <w:color w:val="000000"/>
                <w:spacing w:val="0"/>
                <w:w w:val="100"/>
                <w:position w:val="0"/>
                <w:sz w:val="18"/>
                <w:szCs w:val="18"/>
              </w:rPr>
              <w:t xml:space="preserve">574. </w:t>
            </w:r>
            <w:r>
              <w:rPr>
                <w:color w:val="000000"/>
                <w:spacing w:val="0"/>
                <w:w w:val="100"/>
                <w:position w:val="0"/>
                <w:sz w:val="18"/>
                <w:szCs w:val="18"/>
              </w:rPr>
              <w:t>83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473.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both"/>
              <w:rPr>
                <w:sz w:val="18"/>
                <w:szCs w:val="18"/>
              </w:rPr>
            </w:pPr>
            <w:r>
              <w:rPr>
                <w:color w:val="000000"/>
                <w:spacing w:val="0"/>
                <w:w w:val="100"/>
                <w:position w:val="0"/>
                <w:sz w:val="18"/>
                <w:szCs w:val="18"/>
              </w:rPr>
              <w:t>21.51%</w:t>
            </w:r>
          </w:p>
        </w:tc>
      </w:tr>
      <w:tr>
        <w:trPr>
          <w:trHeight w:val="61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rPr>
                <w:sz w:val="18"/>
                <w:szCs w:val="18"/>
              </w:rPr>
            </w:pPr>
            <w:r>
              <w:rPr>
                <w:color w:val="000000"/>
                <w:spacing w:val="0"/>
                <w:w w:val="100"/>
                <w:position w:val="0"/>
                <w:sz w:val="18"/>
                <w:szCs w:val="18"/>
              </w:rPr>
              <w:t>36.93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61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both"/>
              <w:rPr>
                <w:sz w:val="18"/>
                <w:szCs w:val="18"/>
              </w:rPr>
            </w:pPr>
            <w:r>
              <w:rPr>
                <w:color w:val="000000"/>
                <w:spacing w:val="0"/>
                <w:w w:val="100"/>
                <w:position w:val="0"/>
                <w:sz w:val="18"/>
                <w:szCs w:val="18"/>
              </w:rPr>
              <w:t xml:space="preserve">44. </w:t>
            </w:r>
            <w:r>
              <w:rPr>
                <w:color w:val="000000"/>
                <w:spacing w:val="0"/>
                <w:w w:val="100"/>
                <w:position w:val="0"/>
                <w:sz w:val="18"/>
                <w:szCs w:val="18"/>
              </w:rPr>
              <w:t>20%</w:t>
            </w:r>
          </w:p>
        </w:tc>
      </w:tr>
      <w:tr>
        <w:trPr>
          <w:trHeight w:val="595"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82.46%</w:t>
            </w:r>
          </w:p>
        </w:tc>
      </w:tr>
      <w:tr>
        <w:trPr>
          <w:trHeight w:val="61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归属于上市公司净利润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rPr>
                <w:sz w:val="18"/>
                <w:szCs w:val="18"/>
              </w:rPr>
            </w:pPr>
            <w:r>
              <w:rPr>
                <w:color w:val="000000"/>
                <w:spacing w:val="0"/>
                <w:w w:val="100"/>
                <w:position w:val="0"/>
                <w:sz w:val="18"/>
                <w:szCs w:val="18"/>
              </w:rPr>
              <w:t>41.80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19.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520" w:right="0" w:firstLine="0"/>
              <w:jc w:val="left"/>
              <w:rPr>
                <w:sz w:val="18"/>
                <w:szCs w:val="18"/>
              </w:rPr>
            </w:pPr>
            <w:r>
              <w:rPr>
                <w:color w:val="000000"/>
                <w:spacing w:val="0"/>
                <w:w w:val="100"/>
                <w:position w:val="0"/>
                <w:sz w:val="18"/>
                <w:szCs w:val="18"/>
              </w:rPr>
              <w:t xml:space="preserve">112. </w:t>
            </w:r>
            <w:r>
              <w:rPr>
                <w:color w:val="000000"/>
                <w:spacing w:val="0"/>
                <w:w w:val="100"/>
                <w:position w:val="0"/>
                <w:sz w:val="18"/>
                <w:szCs w:val="18"/>
              </w:rPr>
              <w:t>51%</w:t>
            </w:r>
          </w:p>
        </w:tc>
      </w:tr>
      <w:tr>
        <w:trPr>
          <w:trHeight w:val="61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归属于上市公司扣非后净利润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rPr>
                <w:sz w:val="18"/>
                <w:szCs w:val="18"/>
              </w:rPr>
            </w:pPr>
            <w:r>
              <w:rPr>
                <w:color w:val="000000"/>
                <w:spacing w:val="0"/>
                <w:w w:val="100"/>
                <w:position w:val="0"/>
                <w:sz w:val="18"/>
                <w:szCs w:val="18"/>
              </w:rPr>
              <w:t>26.43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both"/>
              <w:rPr>
                <w:sz w:val="18"/>
                <w:szCs w:val="18"/>
              </w:rPr>
            </w:pPr>
            <w:r>
              <w:rPr>
                <w:color w:val="000000"/>
                <w:spacing w:val="0"/>
                <w:w w:val="100"/>
                <w:position w:val="0"/>
                <w:sz w:val="18"/>
                <w:szCs w:val="18"/>
              </w:rPr>
              <w:t>62.</w:t>
            </w:r>
            <w:r>
              <w:rPr>
                <w:color w:val="000000"/>
                <w:spacing w:val="0"/>
                <w:w w:val="100"/>
                <w:position w:val="0"/>
                <w:sz w:val="18"/>
                <w:szCs w:val="18"/>
              </w:rPr>
              <w:t>85%</w:t>
            </w:r>
          </w:p>
        </w:tc>
      </w:tr>
      <w:tr>
        <w:trPr>
          <w:trHeight w:val="59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基本每股收益（元）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112. </w:t>
            </w:r>
            <w:r>
              <w:rPr>
                <w:color w:val="000000"/>
                <w:spacing w:val="0"/>
                <w:w w:val="100"/>
                <w:position w:val="0"/>
                <w:sz w:val="18"/>
                <w:szCs w:val="18"/>
              </w:rPr>
              <w:t>00%</w:t>
            </w:r>
          </w:p>
        </w:tc>
      </w:tr>
      <w:tr>
        <w:trPr>
          <w:trHeight w:val="59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color w:val="000000"/>
                <w:spacing w:val="0"/>
                <w:w w:val="100"/>
                <w:position w:val="0"/>
                <w:sz w:val="18"/>
                <w:szCs w:val="18"/>
              </w:rPr>
              <w:t>9.25</w:t>
            </w:r>
            <w:r>
              <w:rPr>
                <w:color w:val="000000"/>
                <w:spacing w:val="0"/>
                <w:w w:val="100"/>
                <w:position w:val="0"/>
              </w:rPr>
              <w:t>个百分点</w:t>
            </w:r>
          </w:p>
        </w:tc>
      </w:tr>
      <w:tr>
        <w:trPr>
          <w:trHeight w:val="710"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60" w:after="0" w:line="240" w:lineRule="auto"/>
              <w:ind w:left="0" w:right="0" w:firstLine="0"/>
              <w:jc w:val="left"/>
            </w:pPr>
            <w:r>
              <w:rPr>
                <w:color w:val="000000"/>
                <w:spacing w:val="0"/>
                <w:w w:val="100"/>
                <w:position w:val="0"/>
              </w:rPr>
              <w:t>本报告期末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本报告期初：持续经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营业务（不含商业）</w:t>
            </w:r>
          </w:p>
        </w:tc>
        <w:tc>
          <w:tcPr>
            <w:tcBorders>
              <w:top w:val="single" w:sz="4"/>
              <w:left w:val="single" w:sz="4"/>
              <w:right w:val="single" w:sz="4"/>
            </w:tcBorders>
            <w:shd w:val="clear" w:color="auto" w:fill="D4D4D4"/>
            <w:vAlign w:val="top"/>
          </w:tcPr>
          <w:p>
            <w:pPr>
              <w:pStyle w:val="Style23"/>
              <w:keepNext w:val="0"/>
              <w:keepLines w:val="0"/>
              <w:widowControl w:val="0"/>
              <w:shd w:val="clear" w:color="auto" w:fill="auto"/>
              <w:bidi w:val="0"/>
              <w:spacing w:before="160" w:after="0" w:line="240" w:lineRule="auto"/>
              <w:ind w:left="0" w:right="0" w:firstLine="360"/>
              <w:jc w:val="left"/>
            </w:pPr>
            <w:r>
              <w:rPr>
                <w:color w:val="000000"/>
                <w:spacing w:val="0"/>
                <w:w w:val="100"/>
                <w:position w:val="0"/>
              </w:rPr>
              <w:t>增减变动幅度（%）</w:t>
            </w:r>
          </w:p>
        </w:tc>
      </w:tr>
      <w:tr>
        <w:trPr>
          <w:trHeight w:val="619"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80"/>
              <w:jc w:val="left"/>
              <w:rPr>
                <w:sz w:val="18"/>
                <w:szCs w:val="18"/>
              </w:rPr>
            </w:pPr>
            <w:r>
              <w:rPr>
                <w:color w:val="000000"/>
                <w:spacing w:val="0"/>
                <w:w w:val="100"/>
                <w:position w:val="0"/>
                <w:sz w:val="18"/>
                <w:szCs w:val="18"/>
              </w:rPr>
              <w:t xml:space="preserve">441. </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347.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both"/>
              <w:rPr>
                <w:sz w:val="18"/>
                <w:szCs w:val="18"/>
              </w:rPr>
            </w:pPr>
            <w:r>
              <w:rPr>
                <w:color w:val="000000"/>
                <w:spacing w:val="0"/>
                <w:w w:val="100"/>
                <w:position w:val="0"/>
                <w:sz w:val="18"/>
                <w:szCs w:val="18"/>
              </w:rPr>
              <w:t>27.</w:t>
            </w:r>
            <w:r>
              <w:rPr>
                <w:color w:val="000000"/>
                <w:spacing w:val="0"/>
                <w:w w:val="100"/>
                <w:position w:val="0"/>
                <w:sz w:val="18"/>
                <w:szCs w:val="18"/>
              </w:rPr>
              <w:t>13%</w:t>
            </w:r>
          </w:p>
        </w:tc>
      </w:tr>
      <w:tr>
        <w:trPr>
          <w:trHeight w:val="706"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归属上市公司净资产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480"/>
              <w:jc w:val="left"/>
              <w:rPr>
                <w:sz w:val="18"/>
                <w:szCs w:val="18"/>
              </w:rPr>
            </w:pPr>
            <w:r>
              <w:rPr>
                <w:color w:val="000000"/>
                <w:spacing w:val="0"/>
                <w:w w:val="100"/>
                <w:position w:val="0"/>
                <w:sz w:val="18"/>
                <w:szCs w:val="18"/>
              </w:rPr>
              <w:t>205.12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136.96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1620" w:right="0" w:firstLine="0"/>
              <w:jc w:val="both"/>
              <w:rPr>
                <w:sz w:val="18"/>
                <w:szCs w:val="18"/>
              </w:rPr>
            </w:pPr>
            <w:r>
              <w:rPr>
                <w:color w:val="000000"/>
                <w:spacing w:val="0"/>
                <w:w w:val="100"/>
                <w:position w:val="0"/>
                <w:sz w:val="18"/>
                <w:szCs w:val="18"/>
              </w:rPr>
              <w:t>49.77%</w:t>
            </w:r>
          </w:p>
        </w:tc>
      </w:tr>
      <w:tr>
        <w:trPr>
          <w:trHeight w:val="566"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92%</w:t>
            </w:r>
          </w:p>
        </w:tc>
      </w:tr>
      <w:tr>
        <w:trPr>
          <w:trHeight w:val="566" w:hRule="exact"/>
        </w:trPr>
        <w:tc>
          <w:tcPr>
            <w:tcBorders>
              <w:top w:val="single" w:sz="4"/>
              <w:left w:val="single" w:sz="4"/>
              <w:bottom w:val="single" w:sz="4"/>
            </w:tcBorders>
            <w:shd w:val="clear" w:color="auto" w:fill="D4D4D4"/>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归属上市公司每股净资产（元）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41.21%</w:t>
            </w:r>
          </w:p>
        </w:tc>
      </w:tr>
    </w:tbl>
    <w:p>
      <w:pPr>
        <w:widowControl w:val="0"/>
        <w:spacing w:after="679" w:line="1" w:lineRule="exact"/>
      </w:pPr>
    </w:p>
    <w:p>
      <w:pPr>
        <w:pStyle w:val="Style11"/>
        <w:keepNext w:val="0"/>
        <w:keepLines w:val="0"/>
        <w:widowControl w:val="0"/>
        <w:shd w:val="clear" w:color="auto" w:fill="auto"/>
        <w:bidi w:val="0"/>
        <w:spacing w:before="0" w:after="300" w:line="240" w:lineRule="auto"/>
        <w:ind w:left="0" w:right="0" w:firstLine="300"/>
        <w:jc w:val="both"/>
      </w:pPr>
      <w:bookmarkStart w:id="115" w:name="bookmark115"/>
      <w:r>
        <w:rPr>
          <w:b/>
          <w:bCs/>
          <w:color w:val="000000"/>
          <w:spacing w:val="0"/>
          <w:w w:val="100"/>
          <w:position w:val="0"/>
        </w:rPr>
        <w:t>2</w:t>
      </w:r>
      <w:bookmarkEnd w:id="115"/>
      <w:r>
        <w:rPr>
          <w:b/>
          <w:bCs/>
          <w:color w:val="000000"/>
          <w:spacing w:val="0"/>
          <w:w w:val="100"/>
          <w:position w:val="0"/>
        </w:rPr>
        <w:t>、积极布局新市场、新业务，展现良好市场前景</w:t>
      </w:r>
    </w:p>
    <w:p>
      <w:pPr>
        <w:pStyle w:val="Style11"/>
        <w:keepNext w:val="0"/>
        <w:keepLines w:val="0"/>
        <w:widowControl w:val="0"/>
        <w:shd w:val="clear" w:color="auto" w:fill="auto"/>
        <w:bidi w:val="0"/>
        <w:spacing w:before="0" w:after="0" w:line="240" w:lineRule="auto"/>
        <w:ind w:left="0" w:right="0"/>
        <w:jc w:val="both"/>
      </w:pPr>
      <w:bookmarkStart w:id="116" w:name="bookmark116"/>
      <w:r>
        <w:rPr>
          <w:b/>
          <w:bCs/>
          <w:color w:val="000000"/>
          <w:spacing w:val="0"/>
          <w:w w:val="100"/>
          <w:position w:val="0"/>
        </w:rPr>
        <w:t>（</w:t>
      </w:r>
      <w:bookmarkEnd w:id="116"/>
      <w:r>
        <w:rPr>
          <w:b/>
          <w:bCs/>
          <w:color w:val="000000"/>
          <w:spacing w:val="0"/>
          <w:w w:val="100"/>
          <w:position w:val="0"/>
        </w:rPr>
        <w:t>1）国际业务方面：</w:t>
      </w:r>
      <w:r>
        <w:rPr>
          <w:color w:val="000000"/>
          <w:spacing w:val="0"/>
          <w:w w:val="100"/>
          <w:position w:val="0"/>
        </w:rPr>
        <w:t xml:space="preserve">顺丰控股致力于为国内外制造企业、贸易企业、跨境电商以及消费者提供便捷可靠的国际快递与物 </w:t>
      </w:r>
      <w:r>
        <w:rPr>
          <w:color w:val="000000"/>
          <w:spacing w:val="0"/>
          <w:w w:val="100"/>
          <w:position w:val="0"/>
        </w:rPr>
        <w:t>流解决方案。帮助中国优秀企业“走出去”，亦将海外优质商品“引进来”。目前，国际快递服务覆盖如美国、欧盟、日本、 韩国、东盟、巴西、墨西哥等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个国家，国际小包服务网络已覆盖全球</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多个国家及地区。顺丰国际提供包括国际标快、 国际特惠、国际小包、保税仓储、海外仓储、转运等不同类型及时效标准的进出口服务，并可根据客户需求量身定制包括市 场准入、运输、清关、派送在内的一体化的进出口解决方案，与知名品牌如苹果、安踏等均有合作。国际业务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年度的件 量、收入等经营数据详见营业收入相关章节。</w:t>
      </w:r>
    </w:p>
    <w:p>
      <w:pPr>
        <w:pStyle w:val="Style11"/>
        <w:keepNext w:val="0"/>
        <w:keepLines w:val="0"/>
        <w:widowControl w:val="0"/>
        <w:shd w:val="clear" w:color="auto" w:fill="auto"/>
        <w:bidi w:val="0"/>
        <w:spacing w:before="0" w:after="0" w:line="468" w:lineRule="exact"/>
        <w:ind w:left="0" w:right="0"/>
        <w:jc w:val="both"/>
      </w:pPr>
      <w:bookmarkStart w:id="117" w:name="bookmark117"/>
      <w:r>
        <w:rPr>
          <w:b/>
          <w:bCs/>
          <w:color w:val="000000"/>
          <w:spacing w:val="0"/>
          <w:w w:val="100"/>
          <w:position w:val="0"/>
        </w:rPr>
        <w:t>（</w:t>
      </w:r>
      <w:bookmarkEnd w:id="117"/>
      <w:r>
        <w:rPr>
          <w:b/>
          <w:bCs/>
          <w:color w:val="000000"/>
          <w:spacing w:val="0"/>
          <w:w w:val="100"/>
          <w:position w:val="0"/>
        </w:rPr>
        <w:t>2）同城配业务方面</w:t>
      </w:r>
      <w:r>
        <w:rPr>
          <w:color w:val="000000"/>
          <w:spacing w:val="0"/>
          <w:w w:val="100"/>
          <w:position w:val="0"/>
        </w:rPr>
        <w:t>：同城配业务核心是构建基于互联网调度的高效运营能力，即信息前置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任务调度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资源管理的全 套系统与模式。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月顺丰控股面向目标用户推出了第一款互联网物流配送体系，包括订单管理、任务管理、骑士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 </w:t>
      </w:r>
      <w:r>
        <w:rPr>
          <w:color w:val="000000"/>
          <w:spacing w:val="0"/>
          <w:w w:val="100"/>
          <w:position w:val="0"/>
        </w:rPr>
        <w:t>结算管理等实现系统全流程管理，同时针对中高端餐饮、商超细分市场进行重点设计、研发了定制化产品功能。通过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个月 努力打开目标市场并与行业最具影响力的主流品牌合作，如肯德基、麦当劳、汉堡王、德克士、百度、天虹、华润万家、家 乐福等，同城配收入增长迅速。同时自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月起，快速组建专职配送团队，截至报告期末，全国已组建完成近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人 的专职配送团队，以优质的形象和服务迅速取得客户认可，初步奠定了顺丰在</w:t>
      </w:r>
      <w:r>
        <w:rPr>
          <w:rFonts w:ascii="Times New Roman" w:eastAsia="Times New Roman" w:hAnsi="Times New Roman" w:cs="Times New Roman"/>
          <w:color w:val="000000"/>
          <w:spacing w:val="0"/>
          <w:w w:val="100"/>
          <w:position w:val="0"/>
          <w:sz w:val="18"/>
          <w:szCs w:val="18"/>
        </w:rPr>
        <w:t>LSS</w:t>
      </w:r>
      <w:r>
        <w:rPr>
          <w:color w:val="000000"/>
          <w:spacing w:val="0"/>
          <w:w w:val="100"/>
          <w:position w:val="0"/>
        </w:rPr>
        <w:t>行业的服务口碑和品牌形象。</w:t>
      </w:r>
    </w:p>
    <w:p>
      <w:pPr>
        <w:pStyle w:val="Style11"/>
        <w:keepNext w:val="0"/>
        <w:keepLines w:val="0"/>
        <w:widowControl w:val="0"/>
        <w:shd w:val="clear" w:color="auto" w:fill="auto"/>
        <w:bidi w:val="0"/>
        <w:spacing w:before="0" w:after="0" w:line="467" w:lineRule="exact"/>
        <w:ind w:left="0" w:right="0" w:firstLine="300"/>
        <w:jc w:val="both"/>
      </w:pPr>
      <w:bookmarkStart w:id="118" w:name="bookmark118"/>
      <w:r>
        <w:rPr>
          <w:b/>
          <w:bCs/>
          <w:color w:val="000000"/>
          <w:spacing w:val="0"/>
          <w:w w:val="100"/>
          <w:position w:val="0"/>
        </w:rPr>
        <w:t>（</w:t>
      </w:r>
      <w:bookmarkEnd w:id="118"/>
      <w:r>
        <w:rPr>
          <w:b/>
          <w:bCs/>
          <w:color w:val="000000"/>
          <w:spacing w:val="0"/>
          <w:w w:val="100"/>
          <w:position w:val="0"/>
        </w:rPr>
        <w:t>3）冷运业务方面</w:t>
      </w:r>
      <w:r>
        <w:rPr>
          <w:color w:val="000000"/>
          <w:spacing w:val="0"/>
          <w:w w:val="100"/>
          <w:position w:val="0"/>
        </w:rPr>
        <w:t>：报告期末，顺丰控股冷运网络覆盖</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城市及周边区域，其中有</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座食品冷库、</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 xml:space="preserve">条食品运输干线，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座医药冷库、</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条医药干线，贯通东北、华北、华东、华南、华中核心城市。食品冷库运营面积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万平米，医药冷库及中 转场运营面积</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万平米，冷藏车</w:t>
      </w:r>
      <w:r>
        <w:rPr>
          <w:rFonts w:ascii="Times New Roman" w:eastAsia="Times New Roman" w:hAnsi="Times New Roman" w:cs="Times New Roman"/>
          <w:color w:val="000000"/>
          <w:spacing w:val="0"/>
          <w:w w:val="100"/>
          <w:position w:val="0"/>
          <w:sz w:val="18"/>
          <w:szCs w:val="18"/>
        </w:rPr>
        <w:t>497</w:t>
      </w:r>
      <w:r>
        <w:rPr>
          <w:color w:val="000000"/>
          <w:spacing w:val="0"/>
          <w:w w:val="100"/>
          <w:position w:val="0"/>
        </w:rPr>
        <w:t>台，其中经过</w:t>
      </w:r>
      <w:r>
        <w:rPr>
          <w:rFonts w:ascii="Times New Roman" w:eastAsia="Times New Roman" w:hAnsi="Times New Roman" w:cs="Times New Roman"/>
          <w:color w:val="000000"/>
          <w:spacing w:val="0"/>
          <w:w w:val="100"/>
          <w:position w:val="0"/>
          <w:sz w:val="18"/>
          <w:szCs w:val="18"/>
        </w:rPr>
        <w:t>GSP</w:t>
      </w:r>
      <w:r>
        <w:rPr>
          <w:color w:val="000000"/>
          <w:spacing w:val="0"/>
          <w:w w:val="100"/>
          <w:position w:val="0"/>
        </w:rPr>
        <w:t>认证车辆</w:t>
      </w:r>
      <w:r>
        <w:rPr>
          <w:rFonts w:ascii="Times New Roman" w:eastAsia="Times New Roman" w:hAnsi="Times New Roman" w:cs="Times New Roman"/>
          <w:color w:val="000000"/>
          <w:spacing w:val="0"/>
          <w:w w:val="100"/>
          <w:position w:val="0"/>
          <w:sz w:val="18"/>
          <w:szCs w:val="18"/>
        </w:rPr>
        <w:t>227</w:t>
      </w:r>
      <w:r>
        <w:rPr>
          <w:color w:val="000000"/>
          <w:spacing w:val="0"/>
          <w:w w:val="100"/>
          <w:position w:val="0"/>
        </w:rPr>
        <w:t>台。目前服务的业务覆盖食品、医药行业生产、电商、 经销、零售等多个领域，食品生鲜行业客户主要有：双汇、安井、百果园、大娘水饺等，医药行业客户主要有：哈药、赛诺 菲、迈瑞等。冷运业务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年度的件量和营业收入等经营数据参见营业收入相关章节。</w:t>
      </w:r>
    </w:p>
    <w:p>
      <w:pPr>
        <w:pStyle w:val="Style11"/>
        <w:keepNext w:val="0"/>
        <w:keepLines w:val="0"/>
        <w:widowControl w:val="0"/>
        <w:shd w:val="clear" w:color="auto" w:fill="auto"/>
        <w:bidi w:val="0"/>
        <w:spacing w:before="0" w:after="0" w:line="472" w:lineRule="exact"/>
        <w:ind w:left="0" w:right="0"/>
        <w:jc w:val="both"/>
      </w:pPr>
      <w:bookmarkStart w:id="119" w:name="bookmark119"/>
      <w:r>
        <w:rPr>
          <w:b/>
          <w:bCs/>
          <w:color w:val="000000"/>
          <w:spacing w:val="0"/>
          <w:w w:val="100"/>
          <w:position w:val="0"/>
        </w:rPr>
        <w:t>（</w:t>
      </w:r>
      <w:bookmarkEnd w:id="119"/>
      <w:r>
        <w:rPr>
          <w:b/>
          <w:bCs/>
          <w:color w:val="000000"/>
          <w:spacing w:val="0"/>
          <w:w w:val="100"/>
          <w:position w:val="0"/>
        </w:rPr>
        <w:t>4）重货业务方面：</w:t>
      </w:r>
      <w:r>
        <w:rPr>
          <w:color w:val="000000"/>
          <w:spacing w:val="0"/>
          <w:w w:val="100"/>
          <w:position w:val="0"/>
        </w:rPr>
        <w:t>为满足客户寄递大件物品或重货的业务需求，公司自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年起正式推出重货运输产品，主要客户 是服装、电子、五金、家具、仪器、汽配等轻工行业的产品制造商、品牌分销商，目前合作的大客户主要有戴姆勒、华帝、 尼欧、启迈斯等。作为公司在快递物流业务的重要组成部分，重货运输产品有助于公司为客户提供多样化、客制化的重货运 输服务，同时也有助于公司充分利用闲余运力资源，降低整体运营成本。根据时效性不同，重货运输产品主要包含了物流普 运和重货快运两个产品。报告期内重货业务的经营数据详见营业收入相关章节。</w:t>
      </w:r>
    </w:p>
    <w:p>
      <w:pPr>
        <w:pStyle w:val="Style11"/>
        <w:keepNext w:val="0"/>
        <w:keepLines w:val="0"/>
        <w:widowControl w:val="0"/>
        <w:shd w:val="clear" w:color="auto" w:fill="auto"/>
        <w:bidi w:val="0"/>
        <w:spacing w:before="0" w:after="0" w:line="470" w:lineRule="exact"/>
        <w:ind w:left="0" w:right="0" w:firstLine="480"/>
        <w:jc w:val="both"/>
      </w:pPr>
      <w:r>
        <w:rPr>
          <w:b/>
          <w:bCs/>
          <w:color w:val="000000"/>
          <w:spacing w:val="0"/>
          <w:w w:val="100"/>
          <w:position w:val="0"/>
        </w:rPr>
        <w:t>陆运重货一物流普运：</w:t>
      </w:r>
      <w:r>
        <w:rPr>
          <w:color w:val="000000"/>
          <w:spacing w:val="0"/>
          <w:w w:val="100"/>
          <w:position w:val="0"/>
        </w:rPr>
        <w:t>“物流普运”结合市场、客户需求，致力服务客户对发运一批同一目的地的物流产品，它通过定 时定点集散中转的模式保证稳定的时效，同时可为客户提供送货上楼、货物保管、代收货款、保价等多项增值服务。</w:t>
      </w:r>
    </w:p>
    <w:p>
      <w:pPr>
        <w:pStyle w:val="Style11"/>
        <w:keepNext w:val="0"/>
        <w:keepLines w:val="0"/>
        <w:widowControl w:val="0"/>
        <w:shd w:val="clear" w:color="auto" w:fill="auto"/>
        <w:bidi w:val="0"/>
        <w:spacing w:before="0" w:after="0" w:line="470" w:lineRule="exact"/>
        <w:ind w:left="0" w:right="0" w:firstLine="480"/>
        <w:jc w:val="both"/>
      </w:pPr>
      <w:r>
        <w:rPr>
          <w:b/>
          <w:bCs/>
          <w:color w:val="000000"/>
          <w:spacing w:val="0"/>
          <w:w w:val="100"/>
          <w:position w:val="0"/>
        </w:rPr>
        <w:t>航空重货-重货快运：</w:t>
      </w:r>
      <w:r>
        <w:rPr>
          <w:color w:val="000000"/>
          <w:spacing w:val="0"/>
          <w:w w:val="100"/>
          <w:position w:val="0"/>
        </w:rPr>
        <w:t>“重货快运”是针对时效性、安全性要求较高的中高端重货市场，依托于航空资源于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年推出 的非标类重货快递新产品，通过直发机场及机场直送客户来确保</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小时内送达目的地，同时可搭载加急服务、保价、 代收货款、签单返还等多项增值服务。</w:t>
      </w:r>
      <w:r>
        <w:br w:type="page"/>
      </w:r>
    </w:p>
    <w:p>
      <w:pPr>
        <w:pStyle w:val="Style27"/>
        <w:keepNext/>
        <w:keepLines/>
        <w:widowControl w:val="0"/>
        <w:shd w:val="clear" w:color="auto" w:fill="auto"/>
        <w:bidi w:val="0"/>
        <w:spacing w:before="0" w:after="38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sz w:val="24"/>
          <w:szCs w:val="24"/>
        </w:rPr>
        <w:t>二</w:t>
      </w:r>
      <w:bookmarkEnd w:id="122"/>
      <w:r>
        <w:rPr>
          <w:color w:val="000000"/>
          <w:spacing w:val="0"/>
          <w:w w:val="100"/>
          <w:position w:val="0"/>
          <w:sz w:val="24"/>
          <w:szCs w:val="24"/>
        </w:rPr>
        <w:t>、主营业务分析</w:t>
      </w:r>
      <w:bookmarkEnd w:id="120"/>
      <w:bookmarkEnd w:id="121"/>
      <w:bookmarkEnd w:id="123"/>
    </w:p>
    <w:p>
      <w:pPr>
        <w:pStyle w:val="Style33"/>
        <w:keepNext w:val="0"/>
        <w:keepLines w:val="0"/>
        <w:widowControl w:val="0"/>
        <w:shd w:val="clear" w:color="auto" w:fill="auto"/>
        <w:tabs>
          <w:tab w:pos="368" w:val="left"/>
        </w:tabs>
        <w:bidi w:val="0"/>
        <w:spacing w:before="0" w:after="380" w:line="240" w:lineRule="auto"/>
        <w:ind w:left="0" w:right="0" w:firstLine="0"/>
        <w:jc w:val="both"/>
      </w:pPr>
      <w:bookmarkStart w:id="124" w:name="bookmark124"/>
      <w:r>
        <w:rPr>
          <w:rFonts w:ascii="Times New Roman" w:eastAsia="Times New Roman" w:hAnsi="Times New Roman" w:cs="Times New Roman"/>
          <w:color w:val="000000"/>
          <w:spacing w:val="0"/>
          <w:w w:val="100"/>
          <w:position w:val="0"/>
        </w:rPr>
        <w:t>1</w:t>
      </w:r>
      <w:bookmarkEnd w:id="124"/>
      <w:r>
        <w:rPr>
          <w:color w:val="000000"/>
          <w:spacing w:val="0"/>
          <w:w w:val="100"/>
          <w:position w:val="0"/>
        </w:rPr>
        <w:t>、</w:t>
        <w:tab/>
        <w:t>概述</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是否与经营情况讨论与分析中的概述披露相同</w:t>
      </w:r>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tabs>
          <w:tab w:pos="378" w:val="left"/>
        </w:tabs>
        <w:bidi w:val="0"/>
        <w:spacing w:before="0" w:after="380" w:line="240" w:lineRule="auto"/>
        <w:ind w:left="0" w:right="0" w:firstLine="0"/>
        <w:jc w:val="both"/>
      </w:pPr>
      <w:bookmarkStart w:id="125" w:name="bookmark125"/>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收入与成本</w:t>
      </w:r>
    </w:p>
    <w:p>
      <w:pPr>
        <w:pStyle w:val="Style33"/>
        <w:keepNext w:val="0"/>
        <w:keepLines w:val="0"/>
        <w:widowControl w:val="0"/>
        <w:shd w:val="clear" w:color="auto" w:fill="auto"/>
        <w:bidi w:val="0"/>
        <w:spacing w:before="0" w:after="380" w:line="240" w:lineRule="auto"/>
        <w:ind w:left="0" w:right="0" w:firstLine="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22"/>
        <w:gridCol w:w="1565"/>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57,482,698,073.15</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48,101,154,759.50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403"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57,141,419,990.30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46,934,771,544.48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20,428,031.34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963,242,325.02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320,850,051.51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203,140,890.00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r>
      <w:tr>
        <w:trPr>
          <w:trHeight w:val="403"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国内时效产品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46,035,140,620.86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39,764,033,982.83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仓储配送业务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4,061,114,421.38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3,233,075,677.45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重货运输业务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2,343,718,588.26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1,194,378,613.33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2,245,731,440.46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1,772,179,844.47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国际快递业务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1,100,626,322.75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269,102,166.81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冷运业务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1,355,088,596.59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702,001,259.59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20,428,031.34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963,242,325.02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320,850,051.51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203,140,890.00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r>
      <w:tr>
        <w:trPr>
          <w:trHeight w:val="403"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17,291,583,889.22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14,039,328,909.96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14,531,429,202.45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12,435,841,934.98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12,172,329,211.86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9,714,773,708.00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7,416,638,677.10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6,077,769,563.30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4,128,056,568.80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3,323,898,587.01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港澳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1,227,309,418.32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1,027,149,704.34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374,073,022.55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316,009,136.89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341,278,082.85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1,166,383,215.02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w:t>
            </w:r>
          </w:p>
        </w:tc>
      </w:tr>
    </w:tbl>
    <w:p>
      <w:pPr>
        <w:pStyle w:val="Style11"/>
        <w:keepNext w:val="0"/>
        <w:keepLines w:val="0"/>
        <w:widowControl w:val="0"/>
        <w:shd w:val="clear" w:color="auto" w:fill="auto"/>
        <w:bidi w:val="0"/>
        <w:spacing w:before="0" w:after="40" w:line="468" w:lineRule="exact"/>
        <w:ind w:left="0" w:right="0" w:firstLine="0"/>
        <w:jc w:val="left"/>
      </w:pPr>
      <w:r>
        <w:rPr>
          <w:color w:val="000000"/>
          <w:spacing w:val="0"/>
          <w:w w:val="100"/>
          <w:position w:val="0"/>
        </w:rPr>
        <w:t>注：</w:t>
      </w:r>
    </w:p>
    <w:p>
      <w:pPr>
        <w:pStyle w:val="Style11"/>
        <w:keepNext w:val="0"/>
        <w:keepLines w:val="0"/>
        <w:widowControl w:val="0"/>
        <w:shd w:val="clear" w:color="auto" w:fill="auto"/>
        <w:tabs>
          <w:tab w:pos="340" w:val="left"/>
        </w:tabs>
        <w:bidi w:val="0"/>
        <w:spacing w:before="0" w:after="40" w:line="468" w:lineRule="exact"/>
        <w:ind w:left="0" w:right="0" w:firstLine="0"/>
        <w:jc w:val="left"/>
      </w:pPr>
      <w:bookmarkStart w:id="127" w:name="bookmark127"/>
      <w:r>
        <w:rPr>
          <w:color w:val="000000"/>
          <w:spacing w:val="0"/>
          <w:w w:val="100"/>
          <w:position w:val="0"/>
          <w:sz w:val="18"/>
          <w:szCs w:val="18"/>
        </w:rPr>
        <w:t>1</w:t>
      </w:r>
      <w:bookmarkEnd w:id="127"/>
      <w:r>
        <w:rPr>
          <w:color w:val="000000"/>
          <w:spacing w:val="0"/>
          <w:w w:val="100"/>
          <w:position w:val="0"/>
        </w:rPr>
        <w:t>、</w:t>
        <w:tab/>
        <w:t>上方区分产品收入数据未经审计。</w:t>
      </w:r>
    </w:p>
    <w:p>
      <w:pPr>
        <w:pStyle w:val="Style11"/>
        <w:keepNext w:val="0"/>
        <w:keepLines w:val="0"/>
        <w:widowControl w:val="0"/>
        <w:shd w:val="clear" w:color="auto" w:fill="auto"/>
        <w:tabs>
          <w:tab w:pos="344" w:val="left"/>
        </w:tabs>
        <w:bidi w:val="0"/>
        <w:spacing w:before="0" w:after="460" w:line="468" w:lineRule="exact"/>
        <w:ind w:left="0" w:right="0" w:firstLine="0"/>
        <w:jc w:val="both"/>
      </w:pPr>
      <w:bookmarkStart w:id="128" w:name="bookmark128"/>
      <w:r>
        <w:rPr>
          <w:color w:val="000000"/>
          <w:spacing w:val="0"/>
          <w:w w:val="100"/>
          <w:position w:val="0"/>
          <w:sz w:val="18"/>
          <w:szCs w:val="18"/>
        </w:rPr>
        <w:t>2</w:t>
      </w:r>
      <w:bookmarkEnd w:id="128"/>
      <w:r>
        <w:rPr>
          <w:color w:val="000000"/>
          <w:spacing w:val="0"/>
          <w:w w:val="100"/>
          <w:position w:val="0"/>
        </w:rPr>
        <w:t>、</w:t>
        <w:tab/>
      </w:r>
      <w:r>
        <w:rPr>
          <w:color w:val="000000"/>
          <w:spacing w:val="0"/>
          <w:w w:val="100"/>
          <w:position w:val="0"/>
          <w:sz w:val="18"/>
          <w:szCs w:val="18"/>
        </w:rPr>
        <w:t>2015</w:t>
      </w:r>
      <w:r>
        <w:rPr>
          <w:color w:val="000000"/>
          <w:spacing w:val="0"/>
          <w:w w:val="100"/>
          <w:position w:val="0"/>
        </w:rPr>
        <w:t>年度及</w:t>
      </w:r>
      <w:r>
        <w:rPr>
          <w:color w:val="000000"/>
          <w:spacing w:val="0"/>
          <w:w w:val="100"/>
          <w:position w:val="0"/>
          <w:sz w:val="18"/>
          <w:szCs w:val="18"/>
        </w:rPr>
        <w:t>2016</w:t>
      </w:r>
      <w:r>
        <w:rPr>
          <w:color w:val="000000"/>
          <w:spacing w:val="0"/>
          <w:w w:val="100"/>
          <w:position w:val="0"/>
        </w:rPr>
        <w:t>年度均存在原本统一使用“顺丰标快”产品代码，在公司产品体系逐步丰富和细分的过程中，逐步转化 为使用国际快递及电商快递相关产品代码，导致上表中的国内时效、仓配业务、国际快递三部分</w:t>
      </w:r>
      <w:r>
        <w:rPr>
          <w:color w:val="000000"/>
          <w:spacing w:val="0"/>
          <w:w w:val="100"/>
          <w:position w:val="0"/>
          <w:sz w:val="18"/>
          <w:szCs w:val="18"/>
        </w:rPr>
        <w:t>2016</w:t>
      </w:r>
      <w:r>
        <w:rPr>
          <w:color w:val="000000"/>
          <w:spacing w:val="0"/>
          <w:w w:val="100"/>
          <w:position w:val="0"/>
        </w:rPr>
        <w:t>年与</w:t>
      </w:r>
      <w:r>
        <w:rPr>
          <w:color w:val="000000"/>
          <w:spacing w:val="0"/>
          <w:w w:val="100"/>
          <w:position w:val="0"/>
          <w:sz w:val="18"/>
          <w:szCs w:val="18"/>
        </w:rPr>
        <w:t>2015</w:t>
      </w:r>
      <w:r>
        <w:rPr>
          <w:color w:val="000000"/>
          <w:spacing w:val="0"/>
          <w:w w:val="100"/>
          <w:position w:val="0"/>
        </w:rPr>
        <w:t>年数据不完 全可比。</w:t>
      </w:r>
    </w:p>
    <w:p>
      <w:pPr>
        <w:pStyle w:val="Style33"/>
        <w:keepNext w:val="0"/>
        <w:keepLines w:val="0"/>
        <w:widowControl w:val="0"/>
        <w:numPr>
          <w:ilvl w:val="0"/>
          <w:numId w:val="5"/>
        </w:numPr>
        <w:shd w:val="clear" w:color="auto" w:fill="auto"/>
        <w:bidi w:val="0"/>
        <w:spacing w:before="0" w:after="380" w:line="240" w:lineRule="auto"/>
        <w:ind w:left="0" w:right="0" w:firstLine="0"/>
        <w:jc w:val="both"/>
      </w:pPr>
      <w:bookmarkStart w:id="129" w:name="bookmark129"/>
      <w:bookmarkEnd w:id="12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widowControl w:val="0"/>
        <w:jc w:val="center"/>
        <w:rPr>
          <w:sz w:val="2"/>
          <w:szCs w:val="2"/>
        </w:rPr>
      </w:pPr>
      <w:r>
        <w:drawing>
          <wp:inline>
            <wp:extent cx="6193790" cy="196278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stretch/>
                  </pic:blipFill>
                  <pic:spPr>
                    <a:xfrm>
                      <a:ext cx="6193790" cy="1962785"/>
                    </a:xfrm>
                    <a:prstGeom prst="rect"/>
                  </pic:spPr>
                </pic:pic>
              </a:graphicData>
            </a:graphic>
          </wp:inline>
        </w:drawing>
      </w:r>
    </w:p>
    <w:p>
      <w:pPr>
        <w:widowControl w:val="0"/>
        <w:spacing w:after="279" w:line="1" w:lineRule="exact"/>
      </w:pPr>
    </w:p>
    <w:p>
      <w:pPr>
        <w:pStyle w:val="Style11"/>
        <w:keepNext w:val="0"/>
        <w:keepLines w:val="0"/>
        <w:widowControl w:val="0"/>
        <w:shd w:val="clear" w:color="auto" w:fill="auto"/>
        <w:bidi w:val="0"/>
        <w:spacing w:before="0" w:after="700" w:line="240" w:lineRule="auto"/>
        <w:ind w:left="0" w:right="0" w:firstLine="0"/>
        <w:jc w:val="both"/>
      </w:pPr>
      <w:r>
        <w:rPr>
          <w:color w:val="000000"/>
          <w:spacing w:val="0"/>
          <w:w w:val="100"/>
          <w:position w:val="0"/>
        </w:rPr>
        <w:t>特征，存在多流向、多客户、各资源项在各环节中高度交叉共享的特点，因此，无法公允准确地提供区分产品的成本。</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numPr>
          <w:ilvl w:val="0"/>
          <w:numId w:val="5"/>
        </w:numPr>
        <w:shd w:val="clear" w:color="auto" w:fill="auto"/>
        <w:tabs>
          <w:tab w:pos="493" w:val="left"/>
        </w:tabs>
        <w:bidi w:val="0"/>
        <w:spacing w:before="0" w:after="380" w:line="240" w:lineRule="auto"/>
        <w:ind w:left="0" w:right="0" w:firstLine="0"/>
        <w:jc w:val="both"/>
      </w:pPr>
      <w:bookmarkStart w:id="130" w:name="bookmark130"/>
      <w:bookmarkEnd w:id="130"/>
      <w:r>
        <w:rPr>
          <w:color w:val="000000"/>
          <w:spacing w:val="0"/>
          <w:w w:val="100"/>
          <w:position w:val="0"/>
        </w:rPr>
        <w:t>公司实物销售收入是否大于劳务收入</w:t>
      </w:r>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numPr>
          <w:ilvl w:val="0"/>
          <w:numId w:val="5"/>
        </w:numPr>
        <w:shd w:val="clear" w:color="auto" w:fill="auto"/>
        <w:tabs>
          <w:tab w:pos="493" w:val="left"/>
        </w:tabs>
        <w:bidi w:val="0"/>
        <w:spacing w:before="0" w:after="380" w:line="240" w:lineRule="auto"/>
        <w:ind w:left="0" w:right="0" w:firstLine="0"/>
        <w:jc w:val="both"/>
      </w:pPr>
      <w:bookmarkStart w:id="131" w:name="bookmark131"/>
      <w:bookmarkEnd w:id="131"/>
      <w:r>
        <w:rPr>
          <w:color w:val="000000"/>
          <w:spacing w:val="0"/>
          <w:w w:val="100"/>
          <w:position w:val="0"/>
        </w:rPr>
        <w:t>公司已签订的重大销售合同截至本报告期的履行情况</w:t>
      </w:r>
    </w:p>
    <w:p>
      <w:pPr>
        <w:pStyle w:val="Style1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val="0"/>
        <w:keepLines w:val="0"/>
        <w:widowControl w:val="0"/>
        <w:numPr>
          <w:ilvl w:val="0"/>
          <w:numId w:val="5"/>
        </w:numPr>
        <w:shd w:val="clear" w:color="auto" w:fill="auto"/>
        <w:bidi w:val="0"/>
        <w:spacing w:before="0" w:after="400" w:line="240" w:lineRule="auto"/>
        <w:ind w:left="0" w:right="0" w:firstLine="0"/>
        <w:jc w:val="left"/>
      </w:pPr>
      <w:bookmarkStart w:id="132" w:name="bookmark132"/>
      <w:bookmarkEnd w:id="132"/>
      <w:r>
        <w:rPr>
          <w:color w:val="000000"/>
          <w:spacing w:val="0"/>
          <w:w w:val="100"/>
          <w:position w:val="0"/>
        </w:rPr>
        <w:t>营业成本构成</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378"/>
        <w:gridCol w:w="1368"/>
        <w:gridCol w:w="1517"/>
        <w:gridCol w:w="1416"/>
        <w:gridCol w:w="1416"/>
        <w:gridCol w:w="1421"/>
        <w:gridCol w:w="107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速运物流</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45,967,777,657.08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37,584,303,027.98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r>
      <w:tr>
        <w:trPr>
          <w:trHeight w:val="403" w:hRule="exact"/>
        </w:trPr>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商业销售</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18,653,266.88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864,517,236.68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r>
      <w:tr>
        <w:trPr>
          <w:trHeight w:val="413" w:hRule="exact"/>
        </w:trPr>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178,735,717.53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137,083,570.13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r>
    </w:tbl>
    <w:p>
      <w:pPr>
        <w:widowControl w:val="0"/>
        <w:spacing w:after="43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11"/>
        <w:keepNext w:val="0"/>
        <w:keepLines w:val="0"/>
        <w:widowControl w:val="0"/>
        <w:shd w:val="clear" w:color="auto" w:fill="auto"/>
        <w:bidi w:val="0"/>
        <w:spacing w:before="0" w:after="560" w:line="473"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月，泰森控股以股权转让的方式将主要从事商品销售及代理业务的商业板块相关资产和业务剥离，剥离后泰森控股持 续的主要经营业务为速运物流综合服务业务。由于</w:t>
      </w:r>
      <w:r>
        <w:rPr>
          <w:color w:val="000000"/>
          <w:spacing w:val="0"/>
          <w:w w:val="100"/>
          <w:position w:val="0"/>
          <w:sz w:val="18"/>
          <w:szCs w:val="18"/>
        </w:rPr>
        <w:t>2015</w:t>
      </w:r>
      <w:r>
        <w:rPr>
          <w:color w:val="000000"/>
          <w:spacing w:val="0"/>
          <w:w w:val="100"/>
          <w:position w:val="0"/>
        </w:rPr>
        <w:t>年的营业成本中包含了商业板块，为了体现营业成本的同口径和可比 性，公司以持续经营业务同口径进行如下比较分析：</w:t>
      </w:r>
    </w:p>
    <w:p>
      <w:pPr>
        <w:pStyle w:val="Style29"/>
        <w:keepNext w:val="0"/>
        <w:keepLines w:val="0"/>
        <w:widowControl w:val="0"/>
        <w:shd w:val="clear" w:color="auto" w:fill="auto"/>
        <w:bidi w:val="0"/>
        <w:spacing w:before="0" w:after="0" w:line="240" w:lineRule="auto"/>
        <w:ind w:left="8890" w:right="0" w:firstLine="0"/>
        <w:jc w:val="left"/>
      </w:pPr>
      <w:r>
        <w:rPr>
          <w:color w:val="000000"/>
          <w:spacing w:val="0"/>
          <w:w w:val="100"/>
          <w:position w:val="0"/>
        </w:rPr>
        <w:t>单位：元</w:t>
      </w:r>
    </w:p>
    <w:tbl>
      <w:tblPr>
        <w:tblOverlap w:val="never"/>
        <w:jc w:val="center"/>
        <w:tblLayout w:type="fixed"/>
      </w:tblPr>
      <w:tblGrid>
        <w:gridCol w:w="2846"/>
        <w:gridCol w:w="1560"/>
        <w:gridCol w:w="1416"/>
        <w:gridCol w:w="1560"/>
        <w:gridCol w:w="1411"/>
        <w:gridCol w:w="1152"/>
      </w:tblGrid>
      <w:tr>
        <w:trPr>
          <w:trHeight w:val="427" w:hRule="exact"/>
        </w:trPr>
        <w:tc>
          <w:tcPr>
            <w:vMerge w:val="restart"/>
            <w:tcBorders>
              <w:top w:val="single" w:sz="4"/>
              <w:left w:val="single" w:sz="4"/>
            </w:tcBorders>
            <w:shd w:val="clear" w:color="auto" w:fill="D4D4D4"/>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年持续经营业务</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年持续经营业务</w:t>
            </w:r>
          </w:p>
        </w:tc>
        <w:tc>
          <w:tcPr>
            <w:vMerge w:val="restart"/>
            <w:tcBorders>
              <w:top w:val="single" w:sz="4"/>
              <w:left w:val="single" w:sz="4"/>
              <w:right w:val="single" w:sz="4"/>
            </w:tcBorders>
            <w:shd w:val="clear" w:color="auto" w:fill="D4D4D4"/>
            <w:vAlign w:val="top"/>
          </w:tcPr>
          <w:p>
            <w:pPr>
              <w:pStyle w:val="Style23"/>
              <w:keepNext w:val="0"/>
              <w:keepLines w:val="0"/>
              <w:widowControl w:val="0"/>
              <w:shd w:val="clear" w:color="auto" w:fill="auto"/>
              <w:bidi w:val="0"/>
              <w:spacing w:before="120" w:after="0" w:line="240" w:lineRule="auto"/>
              <w:ind w:left="0" w:right="220" w:firstLine="0"/>
              <w:jc w:val="right"/>
            </w:pPr>
            <w:r>
              <w:rPr>
                <w:color w:val="000000"/>
                <w:spacing w:val="0"/>
                <w:w w:val="100"/>
                <w:position w:val="0"/>
              </w:rPr>
              <w:t>同比增减</w:t>
            </w:r>
          </w:p>
        </w:tc>
      </w:tr>
      <w:tr>
        <w:trPr>
          <w:trHeight w:val="427"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9,443,126,387.30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15,178,198,891.98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20,856,636,663.42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8,112,145,642.32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157.10%</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7,396,927,389.10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7,247,334,575.39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2,729,587,284.91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2,415,104,547.01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物资及材料费用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2,267,609,304.81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1,972,796,541.06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2,123,036,235.07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1,831,255,929.80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18,653,266.88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25,394,435.23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261,381,509.37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184,779,011.20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376,247,224.00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312,558,349.86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理赔成本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461,681,261.14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227,464,174.51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35,909,343.03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24,197,116.86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7,026,915.00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187,343,857.46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117,751,435.83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46,165,166,641.49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37,648,980,651.05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1"/>
        <w:keepNext w:val="0"/>
        <w:keepLines w:val="0"/>
        <w:widowControl w:val="0"/>
        <w:shd w:val="clear" w:color="auto" w:fill="auto"/>
        <w:bidi w:val="0"/>
        <w:spacing w:before="0" w:after="980" w:line="240" w:lineRule="auto"/>
        <w:ind w:left="0" w:right="0" w:firstLine="0"/>
        <w:jc w:val="left"/>
      </w:pPr>
      <w:r>
        <w:rPr>
          <w:color w:val="000000"/>
          <w:spacing w:val="0"/>
          <w:w w:val="100"/>
          <w:position w:val="0"/>
        </w:rPr>
        <w:t>本公司营业成本主要包括职工薪酬、外包成本和运输成本等。</w:t>
      </w:r>
      <w:r>
        <w:rPr>
          <w:color w:val="000000"/>
          <w:spacing w:val="0"/>
          <w:w w:val="100"/>
          <w:position w:val="0"/>
          <w:sz w:val="18"/>
          <w:szCs w:val="18"/>
        </w:rPr>
        <w:t>2016</w:t>
      </w:r>
      <w:r>
        <w:rPr>
          <w:color w:val="000000"/>
          <w:spacing w:val="0"/>
          <w:w w:val="100"/>
          <w:position w:val="0"/>
        </w:rPr>
        <w:t xml:space="preserve">年本公司业务模式发生变化，部分业务环节采取了外包方 </w:t>
      </w:r>
      <w:r>
        <w:rPr>
          <w:color w:val="000000"/>
          <w:spacing w:val="0"/>
          <w:w w:val="100"/>
          <w:position w:val="0"/>
        </w:rPr>
        <w:t>式，综合</w:t>
      </w:r>
      <w:r>
        <w:rPr>
          <w:color w:val="000000"/>
          <w:spacing w:val="0"/>
          <w:w w:val="100"/>
          <w:position w:val="0"/>
          <w:sz w:val="18"/>
          <w:szCs w:val="18"/>
        </w:rPr>
        <w:t>2016</w:t>
      </w:r>
      <w:r>
        <w:rPr>
          <w:color w:val="000000"/>
          <w:spacing w:val="0"/>
          <w:w w:val="100"/>
          <w:position w:val="0"/>
        </w:rPr>
        <w:t>年职工薪酬、外包成本和运输成本，比</w:t>
      </w:r>
      <w:r>
        <w:rPr>
          <w:color w:val="000000"/>
          <w:spacing w:val="0"/>
          <w:w w:val="100"/>
          <w:position w:val="0"/>
          <w:sz w:val="18"/>
          <w:szCs w:val="18"/>
        </w:rPr>
        <w:t>2015</w:t>
      </w:r>
      <w:r>
        <w:rPr>
          <w:color w:val="000000"/>
          <w:spacing w:val="0"/>
          <w:w w:val="100"/>
          <w:position w:val="0"/>
        </w:rPr>
        <w:t>年持续经营业务总体增加约</w:t>
      </w:r>
      <w:r>
        <w:rPr>
          <w:color w:val="000000"/>
          <w:spacing w:val="0"/>
          <w:w w:val="100"/>
          <w:position w:val="0"/>
          <w:sz w:val="18"/>
          <w:szCs w:val="18"/>
        </w:rPr>
        <w:t>23.44% （2016</w:t>
      </w:r>
      <w:r>
        <w:rPr>
          <w:color w:val="000000"/>
          <w:spacing w:val="0"/>
          <w:w w:val="100"/>
          <w:position w:val="0"/>
        </w:rPr>
        <w:t>年：</w:t>
      </w:r>
      <w:r>
        <w:rPr>
          <w:color w:val="000000"/>
          <w:spacing w:val="0"/>
          <w:w w:val="100"/>
          <w:position w:val="0"/>
          <w:sz w:val="18"/>
          <w:szCs w:val="18"/>
        </w:rPr>
        <w:t xml:space="preserve">376. </w:t>
      </w:r>
      <w:r>
        <w:rPr>
          <w:color w:val="000000"/>
          <w:spacing w:val="0"/>
          <w:w w:val="100"/>
          <w:position w:val="0"/>
          <w:sz w:val="18"/>
          <w:szCs w:val="18"/>
        </w:rPr>
        <w:t>97</w:t>
      </w:r>
      <w:r>
        <w:rPr>
          <w:color w:val="000000"/>
          <w:spacing w:val="0"/>
          <w:w w:val="100"/>
          <w:position w:val="0"/>
        </w:rPr>
        <w:t>亿元</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305.38</w:t>
      </w:r>
      <w:r>
        <w:rPr>
          <w:color w:val="000000"/>
          <w:spacing w:val="0"/>
          <w:w w:val="100"/>
          <w:position w:val="0"/>
        </w:rPr>
        <w:t>亿元），与速运综合物流服务业务量及营业收入同比增量基本一致。</w:t>
      </w:r>
    </w:p>
    <w:p>
      <w:pPr>
        <w:pStyle w:val="Style33"/>
        <w:keepNext w:val="0"/>
        <w:keepLines w:val="0"/>
        <w:widowControl w:val="0"/>
        <w:shd w:val="clear" w:color="auto" w:fill="auto"/>
        <w:tabs>
          <w:tab w:pos="493" w:val="left"/>
        </w:tabs>
        <w:bidi w:val="0"/>
        <w:spacing w:before="0" w:after="380" w:line="240" w:lineRule="auto"/>
        <w:ind w:left="0" w:right="0" w:firstLine="0"/>
        <w:jc w:val="both"/>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val="0"/>
        <w:keepLines w:val="0"/>
        <w:widowControl w:val="0"/>
        <w:shd w:val="clear" w:color="auto" w:fill="auto"/>
        <w:tabs>
          <w:tab w:pos="345" w:val="left"/>
        </w:tabs>
        <w:bidi w:val="0"/>
        <w:spacing w:before="0" w:after="0" w:line="470" w:lineRule="exact"/>
        <w:ind w:left="0" w:right="0" w:firstLine="0"/>
        <w:jc w:val="both"/>
      </w:pPr>
      <w:bookmarkStart w:id="134" w:name="bookmark134"/>
      <w:r>
        <w:rPr>
          <w:color w:val="000000"/>
          <w:spacing w:val="0"/>
          <w:w w:val="100"/>
          <w:position w:val="0"/>
          <w:sz w:val="18"/>
          <w:szCs w:val="18"/>
        </w:rPr>
        <w:t>1</w:t>
      </w:r>
      <w:bookmarkEnd w:id="134"/>
      <w:r>
        <w:rPr>
          <w:color w:val="000000"/>
          <w:spacing w:val="0"/>
          <w:w w:val="100"/>
          <w:position w:val="0"/>
        </w:rPr>
        <w:t>、</w:t>
        <w:tab/>
        <w:t>本公司前身鼎泰新材</w:t>
      </w:r>
      <w:r>
        <w:rPr>
          <w:color w:val="000000"/>
          <w:spacing w:val="0"/>
          <w:w w:val="100"/>
          <w:position w:val="0"/>
          <w:sz w:val="18"/>
          <w:szCs w:val="18"/>
        </w:rPr>
        <w:t>2016</w:t>
      </w:r>
      <w:r>
        <w:rPr>
          <w:color w:val="000000"/>
          <w:spacing w:val="0"/>
          <w:w w:val="100"/>
          <w:position w:val="0"/>
        </w:rPr>
        <w:t>年以全部资产及负债与重组交易对手方持有的泰森控股</w:t>
      </w:r>
      <w:r>
        <w:rPr>
          <w:color w:val="000000"/>
          <w:spacing w:val="0"/>
          <w:w w:val="100"/>
          <w:position w:val="0"/>
          <w:sz w:val="18"/>
          <w:szCs w:val="18"/>
        </w:rPr>
        <w:t>100%</w:t>
      </w:r>
      <w:r>
        <w:rPr>
          <w:color w:val="000000"/>
          <w:spacing w:val="0"/>
          <w:w w:val="100"/>
          <w:position w:val="0"/>
        </w:rPr>
        <w:t xml:space="preserve">股权等值部分进行资产置换，差额部 分由鼎泰新材发行股份向泰森控股全体股东处购买，构成反向购买交易。合并完成后，重组交易对手方期末合计持有本公司 </w:t>
      </w:r>
      <w:r>
        <w:rPr>
          <w:color w:val="000000"/>
          <w:spacing w:val="0"/>
          <w:w w:val="100"/>
          <w:position w:val="0"/>
          <w:sz w:val="18"/>
          <w:szCs w:val="18"/>
        </w:rPr>
        <w:t xml:space="preserve">94. </w:t>
      </w:r>
      <w:r>
        <w:rPr>
          <w:color w:val="000000"/>
          <w:spacing w:val="0"/>
          <w:w w:val="100"/>
          <w:position w:val="0"/>
          <w:sz w:val="18"/>
          <w:szCs w:val="18"/>
        </w:rPr>
        <w:t>42%</w:t>
      </w:r>
      <w:r>
        <w:rPr>
          <w:color w:val="000000"/>
          <w:spacing w:val="0"/>
          <w:w w:val="100"/>
          <w:position w:val="0"/>
        </w:rPr>
        <w:t>的股权，根据《企业会计准则一一企业合并》的相关规定，本次企业合并在会计上应认定为反向购买。详见第十一节财 务报告五、合并范围的变更。</w:t>
      </w:r>
    </w:p>
    <w:p>
      <w:pPr>
        <w:pStyle w:val="Style11"/>
        <w:keepNext w:val="0"/>
        <w:keepLines w:val="0"/>
        <w:widowControl w:val="0"/>
        <w:shd w:val="clear" w:color="auto" w:fill="auto"/>
        <w:tabs>
          <w:tab w:pos="345" w:val="left"/>
        </w:tabs>
        <w:bidi w:val="0"/>
        <w:spacing w:before="0" w:after="780" w:line="470" w:lineRule="exact"/>
        <w:ind w:left="0" w:right="0" w:firstLine="0"/>
        <w:jc w:val="both"/>
      </w:pPr>
      <w:bookmarkStart w:id="135" w:name="bookmark135"/>
      <w:r>
        <w:rPr>
          <w:color w:val="000000"/>
          <w:spacing w:val="0"/>
          <w:w w:val="100"/>
          <w:position w:val="0"/>
          <w:sz w:val="18"/>
          <w:szCs w:val="18"/>
        </w:rPr>
        <w:t>2</w:t>
      </w:r>
      <w:bookmarkEnd w:id="135"/>
      <w:r>
        <w:rPr>
          <w:color w:val="000000"/>
          <w:spacing w:val="0"/>
          <w:w w:val="100"/>
          <w:position w:val="0"/>
        </w:rPr>
        <w:t>、</w:t>
        <w:tab/>
        <w:t>公司</w:t>
      </w:r>
      <w:r>
        <w:rPr>
          <w:color w:val="000000"/>
          <w:spacing w:val="0"/>
          <w:w w:val="100"/>
          <w:position w:val="0"/>
          <w:sz w:val="18"/>
          <w:szCs w:val="18"/>
        </w:rPr>
        <w:t>2016</w:t>
      </w:r>
      <w:r>
        <w:rPr>
          <w:color w:val="000000"/>
          <w:spacing w:val="0"/>
          <w:w w:val="100"/>
          <w:position w:val="0"/>
        </w:rPr>
        <w:t>年新设合并范围内子公司详见第十一节财务报告五、合并范围的变更。</w:t>
      </w:r>
    </w:p>
    <w:p>
      <w:pPr>
        <w:pStyle w:val="Style33"/>
        <w:keepNext w:val="0"/>
        <w:keepLines w:val="0"/>
        <w:widowControl w:val="0"/>
        <w:shd w:val="clear" w:color="auto" w:fill="auto"/>
        <w:tabs>
          <w:tab w:pos="493" w:val="left"/>
        </w:tabs>
        <w:bidi w:val="0"/>
        <w:spacing w:before="0" w:after="140" w:line="240" w:lineRule="auto"/>
        <w:ind w:left="0" w:right="0" w:firstLine="0"/>
        <w:jc w:val="both"/>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p>
    <w:p>
      <w:pPr>
        <w:pStyle w:val="Style11"/>
        <w:keepNext w:val="0"/>
        <w:keepLines w:val="0"/>
        <w:widowControl w:val="0"/>
        <w:shd w:val="clear" w:color="auto" w:fill="auto"/>
        <w:bidi w:val="0"/>
        <w:spacing w:before="0" w:after="38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493" w:val="left"/>
        </w:tabs>
        <w:bidi w:val="0"/>
        <w:spacing w:before="0" w:after="140" w:line="240" w:lineRule="auto"/>
        <w:ind w:left="0" w:right="0" w:firstLine="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p>
    <w:p>
      <w:pPr>
        <w:pStyle w:val="Style11"/>
        <w:keepNext w:val="0"/>
        <w:keepLines w:val="0"/>
        <w:widowControl w:val="0"/>
        <w:shd w:val="clear" w:color="auto" w:fill="auto"/>
        <w:bidi w:val="0"/>
        <w:spacing w:before="0" w:after="80" w:line="470"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1,143,533,867.61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369,109,672.50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216,572,298.69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192,452,594.58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191,085,277.05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174,314,024.79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1,143,533,867.61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2,640,649,591.56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674,510,029.17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607,898,137.93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494,709,638.29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479,260,433.79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384,271,352.38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2,640,649,591.56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bookmarkStart w:id="138" w:name="bookmark138"/>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21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1,150,596,698.85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1,954,003,476.23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月，泰森控股以股权转让的 方式将主要从事商品销售及代理业 务的商业板块相关资产和业务剥离， 剥离后泰森控股持续的主要经营业 务为速运物流综合服务业务。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度持续经营业务的销售费用为</w:t>
            </w:r>
            <w:r>
              <w:rPr>
                <w:rFonts w:ascii="Times New Roman" w:eastAsia="Times New Roman" w:hAnsi="Times New Roman" w:cs="Times New Roman"/>
                <w:color w:val="000000"/>
                <w:spacing w:val="0"/>
                <w:w w:val="100"/>
                <w:position w:val="0"/>
                <w:sz w:val="18"/>
                <w:szCs w:val="18"/>
              </w:rPr>
              <w:t xml:space="preserve">11.97 </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年持续经营业 务可比口径的销售费用下降</w:t>
            </w:r>
            <w:r>
              <w:rPr>
                <w:rFonts w:ascii="Times New Roman" w:eastAsia="Times New Roman" w:hAnsi="Times New Roman" w:cs="Times New Roman"/>
                <w:color w:val="000000"/>
                <w:spacing w:val="0"/>
                <w:w w:val="100"/>
                <w:position w:val="0"/>
                <w:sz w:val="18"/>
                <w:szCs w:val="18"/>
              </w:rPr>
              <w:t>3.84%</w:t>
            </w:r>
            <w:r>
              <w:rPr>
                <w:color w:val="000000"/>
                <w:spacing w:val="0"/>
                <w:w w:val="100"/>
                <w:position w:val="0"/>
              </w:rPr>
              <w:t>， 占持续经营业务可比口径的收入比 下降</w:t>
            </w: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w:t>
            </w:r>
          </w:p>
        </w:tc>
      </w:tr>
      <w:tr>
        <w:trPr>
          <w:trHeight w:val="196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6,079,455,133.67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5,822,190,502.80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同上商业板块剥离原因，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年度持 续经营业务的管理费用为</w:t>
            </w:r>
            <w:r>
              <w:rPr>
                <w:rFonts w:ascii="Times New Roman" w:eastAsia="Times New Roman" w:hAnsi="Times New Roman" w:cs="Times New Roman"/>
                <w:color w:val="000000"/>
                <w:spacing w:val="0"/>
                <w:w w:val="100"/>
                <w:position w:val="0"/>
                <w:sz w:val="18"/>
                <w:szCs w:val="18"/>
              </w:rPr>
              <w:t>55.80</w:t>
            </w:r>
            <w:r>
              <w:rPr>
                <w:color w:val="000000"/>
                <w:spacing w:val="0"/>
                <w:w w:val="100"/>
                <w:position w:val="0"/>
              </w:rPr>
              <w:t>亿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年持续经营业务 可比口径的管理费用上升</w:t>
            </w:r>
            <w:r>
              <w:rPr>
                <w:rFonts w:ascii="Times New Roman" w:eastAsia="Times New Roman" w:hAnsi="Times New Roman" w:cs="Times New Roman"/>
                <w:color w:val="000000"/>
                <w:spacing w:val="0"/>
                <w:w w:val="100"/>
                <w:position w:val="0"/>
                <w:sz w:val="18"/>
                <w:szCs w:val="18"/>
              </w:rPr>
              <w:t>8.94%</w:t>
            </w:r>
            <w:r>
              <w:rPr>
                <w:color w:val="000000"/>
                <w:spacing w:val="0"/>
                <w:w w:val="100"/>
                <w:position w:val="0"/>
              </w:rPr>
              <w:t xml:space="preserve">，占 持续经营业务可比口径的收入比下 降 </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417,428,212.60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397,235,198.53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val="0"/>
        <w:keepLines w:val="0"/>
        <w:widowControl w:val="0"/>
        <w:shd w:val="clear" w:color="auto" w:fill="auto"/>
        <w:bidi w:val="0"/>
        <w:spacing w:before="0" w:after="360" w:line="240" w:lineRule="auto"/>
        <w:ind w:left="0" w:right="0" w:firstLine="0"/>
        <w:jc w:val="both"/>
      </w:pPr>
      <w:bookmarkStart w:id="139" w:name="bookmark139"/>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p>
    <w:p>
      <w:pPr>
        <w:pStyle w:val="Style1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580" w:line="468" w:lineRule="exact"/>
        <w:ind w:left="0" w:right="0"/>
        <w:jc w:val="both"/>
      </w:pPr>
      <w:r>
        <w:rPr>
          <w:color w:val="000000"/>
          <w:spacing w:val="0"/>
          <w:w w:val="100"/>
          <w:position w:val="0"/>
        </w:rPr>
        <w:t>公司一贯重视对信息系统投入和建设，不断致力于信息系统的优化，持续加强信息系统基础架构建设，积极研发和引进 具有高科技含量的信息技术与系统。报告期内公司研发投入</w:t>
      </w:r>
      <w:r>
        <w:rPr>
          <w:color w:val="000000"/>
          <w:spacing w:val="0"/>
          <w:w w:val="100"/>
          <w:position w:val="0"/>
          <w:sz w:val="18"/>
          <w:szCs w:val="18"/>
        </w:rPr>
        <w:t>5.6</w:t>
      </w:r>
      <w:r>
        <w:rPr>
          <w:color w:val="000000"/>
          <w:spacing w:val="0"/>
          <w:w w:val="100"/>
          <w:position w:val="0"/>
        </w:rPr>
        <w:t>亿，主要开发项目为各类营运管理系统、</w:t>
      </w:r>
      <w:r>
        <w:rPr>
          <w:color w:val="000000"/>
          <w:spacing w:val="0"/>
          <w:w w:val="100"/>
          <w:position w:val="0"/>
          <w:sz w:val="18"/>
          <w:szCs w:val="18"/>
        </w:rPr>
        <w:t>SAP</w:t>
      </w:r>
      <w:r>
        <w:rPr>
          <w:color w:val="000000"/>
          <w:spacing w:val="0"/>
          <w:w w:val="100"/>
          <w:position w:val="0"/>
        </w:rPr>
        <w:t>财务系统、及 决策支持系统，旨在通过打造简洁高效的业务流程，提升业务时效、资源效能，降低公司运营成本，提升集中管控能力；打 通人、财、物的一体化管理，提升集中管控能力；建立统一的、多方位的、基于大数据分析的的决策支持平台，为企业战略 决策提供高质量的数据挖掘和支撑能力。</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290,676,227.37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232,816,499.11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bl>
    <w:p>
      <w:pPr>
        <w:widowControl w:val="0"/>
        <w:spacing w:after="299" w:line="1" w:lineRule="exact"/>
      </w:pPr>
    </w:p>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bookmarkStart w:id="140" w:name="bookmark140"/>
      <w:r>
        <w:rPr>
          <w:rFonts w:ascii="Times New Roman" w:eastAsia="Times New Roman" w:hAnsi="Times New Roman" w:cs="Times New Roman"/>
          <w:color w:val="000000"/>
          <w:spacing w:val="0"/>
          <w:w w:val="100"/>
          <w:position w:val="0"/>
        </w:rPr>
        <w:t>5</w:t>
      </w:r>
      <w:bookmarkEnd w:id="140"/>
      <w:r>
        <w:rPr>
          <w:color w:val="000000"/>
          <w:spacing w:val="0"/>
          <w:w w:val="100"/>
          <w:position w:val="0"/>
        </w:rPr>
        <w:t>、现金流</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101,950,522,728.03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86,640,016,215.43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96,275,484,942.16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83,857,934,382.88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5,675,037,785.87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2,782,081,832.55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94,878,136,526.24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93,895,361,380.07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98,592,868,746.70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99,148,731,742.51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-3,714,732,220.46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-5,253,370,362.44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12,755,496,509.63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10,562,542,548.60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11,852,214,567.31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7,004,786,887.14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903,281,942.32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3,557,755,661.46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2,924,974,563.61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1,092,925,686.62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w:t>
            </w:r>
          </w:p>
        </w:tc>
      </w:tr>
    </w:tbl>
    <w:p>
      <w:pPr>
        <w:widowControl w:val="0"/>
        <w:spacing w:after="7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1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tabs>
          <w:tab w:pos="344" w:val="left"/>
        </w:tabs>
        <w:bidi w:val="0"/>
        <w:spacing w:before="0" w:after="0" w:line="467" w:lineRule="exact"/>
        <w:ind w:left="0" w:right="0" w:firstLine="0"/>
        <w:jc w:val="left"/>
      </w:pPr>
      <w:bookmarkStart w:id="141" w:name="bookmark141"/>
      <w:r>
        <w:rPr>
          <w:color w:val="000000"/>
          <w:spacing w:val="0"/>
          <w:w w:val="100"/>
          <w:position w:val="0"/>
          <w:sz w:val="18"/>
          <w:szCs w:val="18"/>
        </w:rPr>
        <w:t>1</w:t>
      </w:r>
      <w:bookmarkEnd w:id="141"/>
      <w:r>
        <w:rPr>
          <w:color w:val="000000"/>
          <w:spacing w:val="0"/>
          <w:w w:val="100"/>
          <w:position w:val="0"/>
        </w:rPr>
        <w:t>、</w:t>
        <w:tab/>
        <w:t>经营活动产生的现金流量净额较上年同期增加</w:t>
      </w:r>
      <w:r>
        <w:rPr>
          <w:color w:val="000000"/>
          <w:spacing w:val="0"/>
          <w:w w:val="100"/>
          <w:position w:val="0"/>
          <w:sz w:val="18"/>
          <w:szCs w:val="18"/>
        </w:rPr>
        <w:t>28.93</w:t>
      </w:r>
      <w:r>
        <w:rPr>
          <w:color w:val="000000"/>
          <w:spacing w:val="0"/>
          <w:w w:val="100"/>
          <w:position w:val="0"/>
        </w:rPr>
        <w:t>亿元，增长比例为</w:t>
      </w:r>
      <w:r>
        <w:rPr>
          <w:color w:val="000000"/>
          <w:spacing w:val="0"/>
          <w:w w:val="100"/>
          <w:position w:val="0"/>
          <w:sz w:val="18"/>
          <w:szCs w:val="18"/>
        </w:rPr>
        <w:t>103.99%,</w:t>
      </w:r>
      <w:r>
        <w:rPr>
          <w:color w:val="000000"/>
          <w:spacing w:val="0"/>
          <w:w w:val="100"/>
          <w:position w:val="0"/>
        </w:rPr>
        <w:t>主要系公司营业收入增长，经营活动现金 流量良好。销售商品提供劳务收到的现金较上年增加</w:t>
      </w:r>
      <w:r>
        <w:rPr>
          <w:color w:val="000000"/>
          <w:spacing w:val="0"/>
          <w:w w:val="100"/>
          <w:position w:val="0"/>
          <w:sz w:val="18"/>
          <w:szCs w:val="18"/>
        </w:rPr>
        <w:t>116.66</w:t>
      </w:r>
      <w:r>
        <w:rPr>
          <w:color w:val="000000"/>
          <w:spacing w:val="0"/>
          <w:w w:val="100"/>
          <w:position w:val="0"/>
        </w:rPr>
        <w:t>亿元，增长比例</w:t>
      </w:r>
      <w:r>
        <w:rPr>
          <w:color w:val="000000"/>
          <w:spacing w:val="0"/>
          <w:w w:val="100"/>
          <w:position w:val="0"/>
          <w:sz w:val="18"/>
          <w:szCs w:val="18"/>
        </w:rPr>
        <w:t xml:space="preserve">24. </w:t>
      </w:r>
      <w:r>
        <w:rPr>
          <w:color w:val="000000"/>
          <w:spacing w:val="0"/>
          <w:w w:val="100"/>
          <w:position w:val="0"/>
          <w:sz w:val="18"/>
          <w:szCs w:val="18"/>
        </w:rPr>
        <w:t>05%；</w:t>
      </w:r>
      <w:r>
        <w:rPr>
          <w:color w:val="000000"/>
          <w:spacing w:val="0"/>
          <w:w w:val="100"/>
          <w:position w:val="0"/>
        </w:rPr>
        <w:t>而购买商品、接受劳务支付的现金及支 付给职工以及为职工支付的现金合计较上年增加</w:t>
      </w:r>
      <w:r>
        <w:rPr>
          <w:color w:val="000000"/>
          <w:spacing w:val="0"/>
          <w:w w:val="100"/>
          <w:position w:val="0"/>
          <w:sz w:val="18"/>
          <w:szCs w:val="18"/>
        </w:rPr>
        <w:t xml:space="preserve">70. </w:t>
      </w:r>
      <w:r>
        <w:rPr>
          <w:color w:val="000000"/>
          <w:spacing w:val="0"/>
          <w:w w:val="100"/>
          <w:position w:val="0"/>
          <w:sz w:val="18"/>
          <w:szCs w:val="18"/>
        </w:rPr>
        <w:t>51</w:t>
      </w:r>
      <w:r>
        <w:rPr>
          <w:color w:val="000000"/>
          <w:spacing w:val="0"/>
          <w:w w:val="100"/>
          <w:position w:val="0"/>
        </w:rPr>
        <w:t>亿元，增长比例为</w:t>
      </w:r>
      <w:r>
        <w:rPr>
          <w:color w:val="000000"/>
          <w:spacing w:val="0"/>
          <w:w w:val="100"/>
          <w:position w:val="0"/>
          <w:sz w:val="18"/>
          <w:szCs w:val="18"/>
        </w:rPr>
        <w:t xml:space="preserve">17. </w:t>
      </w:r>
      <w:r>
        <w:rPr>
          <w:color w:val="000000"/>
          <w:spacing w:val="0"/>
          <w:w w:val="100"/>
          <w:position w:val="0"/>
          <w:sz w:val="18"/>
          <w:szCs w:val="18"/>
        </w:rPr>
        <w:t>97%，</w:t>
      </w:r>
      <w:r>
        <w:rPr>
          <w:color w:val="000000"/>
          <w:spacing w:val="0"/>
          <w:w w:val="100"/>
          <w:position w:val="0"/>
        </w:rPr>
        <w:t>导致经营活动现金流量净额流入增加。</w:t>
      </w:r>
    </w:p>
    <w:p>
      <w:pPr>
        <w:pStyle w:val="Style11"/>
        <w:keepNext w:val="0"/>
        <w:keepLines w:val="0"/>
        <w:widowControl w:val="0"/>
        <w:shd w:val="clear" w:color="auto" w:fill="auto"/>
        <w:tabs>
          <w:tab w:pos="344" w:val="left"/>
        </w:tabs>
        <w:bidi w:val="0"/>
        <w:spacing w:before="0" w:after="0" w:line="467" w:lineRule="exact"/>
        <w:ind w:left="0" w:right="0" w:firstLine="0"/>
        <w:jc w:val="left"/>
      </w:pPr>
      <w:bookmarkStart w:id="142" w:name="bookmark142"/>
      <w:r>
        <w:rPr>
          <w:color w:val="000000"/>
          <w:spacing w:val="0"/>
          <w:w w:val="100"/>
          <w:position w:val="0"/>
          <w:sz w:val="18"/>
          <w:szCs w:val="18"/>
        </w:rPr>
        <w:t>2</w:t>
      </w:r>
      <w:bookmarkEnd w:id="142"/>
      <w:r>
        <w:rPr>
          <w:color w:val="000000"/>
          <w:spacing w:val="0"/>
          <w:w w:val="100"/>
          <w:position w:val="0"/>
        </w:rPr>
        <w:t>、</w:t>
        <w:tab/>
        <w:t>投资活动产生的现金流量净额较上年同期下降比例为</w:t>
      </w:r>
      <w:r>
        <w:rPr>
          <w:color w:val="000000"/>
          <w:spacing w:val="0"/>
          <w:w w:val="100"/>
          <w:position w:val="0"/>
          <w:sz w:val="18"/>
          <w:szCs w:val="18"/>
        </w:rPr>
        <w:t xml:space="preserve">29. </w:t>
      </w:r>
      <w:r>
        <w:rPr>
          <w:color w:val="000000"/>
          <w:spacing w:val="0"/>
          <w:w w:val="100"/>
          <w:position w:val="0"/>
          <w:sz w:val="18"/>
          <w:szCs w:val="18"/>
        </w:rPr>
        <w:t>29%</w:t>
      </w:r>
      <w:r>
        <w:rPr>
          <w:color w:val="000000"/>
          <w:spacing w:val="0"/>
          <w:w w:val="100"/>
          <w:position w:val="0"/>
        </w:rPr>
        <w:t>，主要系公司本期购建资产支出较上年下降所致。</w:t>
      </w:r>
    </w:p>
    <w:p>
      <w:pPr>
        <w:pStyle w:val="Style11"/>
        <w:keepNext w:val="0"/>
        <w:keepLines w:val="0"/>
        <w:widowControl w:val="0"/>
        <w:shd w:val="clear" w:color="auto" w:fill="auto"/>
        <w:tabs>
          <w:tab w:pos="344" w:val="left"/>
        </w:tabs>
        <w:bidi w:val="0"/>
        <w:spacing w:before="0" w:after="0" w:line="467" w:lineRule="exact"/>
        <w:ind w:left="0" w:right="0" w:firstLine="0"/>
        <w:jc w:val="left"/>
      </w:pPr>
      <w:bookmarkStart w:id="143" w:name="bookmark143"/>
      <w:r>
        <w:rPr>
          <w:color w:val="000000"/>
          <w:spacing w:val="0"/>
          <w:w w:val="100"/>
          <w:position w:val="0"/>
          <w:sz w:val="18"/>
          <w:szCs w:val="18"/>
        </w:rPr>
        <w:t>3</w:t>
      </w:r>
      <w:bookmarkEnd w:id="143"/>
      <w:r>
        <w:rPr>
          <w:color w:val="000000"/>
          <w:spacing w:val="0"/>
          <w:w w:val="100"/>
          <w:position w:val="0"/>
        </w:rPr>
        <w:t>、</w:t>
        <w:tab/>
        <w:t>筹资活动产生的现金流量净额较上年同期下降比例为</w:t>
      </w:r>
      <w:r>
        <w:rPr>
          <w:color w:val="000000"/>
          <w:spacing w:val="0"/>
          <w:w w:val="100"/>
          <w:position w:val="0"/>
          <w:sz w:val="18"/>
          <w:szCs w:val="18"/>
        </w:rPr>
        <w:t xml:space="preserve">74. </w:t>
      </w:r>
      <w:r>
        <w:rPr>
          <w:color w:val="000000"/>
          <w:spacing w:val="0"/>
          <w:w w:val="100"/>
          <w:position w:val="0"/>
          <w:sz w:val="18"/>
          <w:szCs w:val="18"/>
        </w:rPr>
        <w:t>61%，</w:t>
      </w:r>
      <w:r>
        <w:rPr>
          <w:color w:val="000000"/>
          <w:spacing w:val="0"/>
          <w:w w:val="100"/>
          <w:position w:val="0"/>
        </w:rPr>
        <w:t>主要系公司本期因增资现金流入</w:t>
      </w:r>
      <w:r>
        <w:rPr>
          <w:color w:val="000000"/>
          <w:spacing w:val="0"/>
          <w:w w:val="100"/>
          <w:position w:val="0"/>
          <w:sz w:val="18"/>
          <w:szCs w:val="18"/>
        </w:rPr>
        <w:t>39.22</w:t>
      </w:r>
      <w:r>
        <w:rPr>
          <w:color w:val="000000"/>
          <w:spacing w:val="0"/>
          <w:w w:val="100"/>
          <w:position w:val="0"/>
        </w:rPr>
        <w:t>亿元与借款筹资净额 较上年大幅减少</w:t>
      </w:r>
      <w:r>
        <w:rPr>
          <w:color w:val="000000"/>
          <w:spacing w:val="0"/>
          <w:w w:val="100"/>
          <w:position w:val="0"/>
          <w:sz w:val="18"/>
          <w:szCs w:val="18"/>
        </w:rPr>
        <w:t>64.57</w:t>
      </w:r>
      <w:r>
        <w:rPr>
          <w:color w:val="000000"/>
          <w:spacing w:val="0"/>
          <w:w w:val="100"/>
          <w:position w:val="0"/>
        </w:rPr>
        <w:t>亿元综合影响所致。</w:t>
      </w:r>
    </w:p>
    <w:p>
      <w:pPr>
        <w:pStyle w:val="Style11"/>
        <w:keepNext w:val="0"/>
        <w:keepLines w:val="0"/>
        <w:widowControl w:val="0"/>
        <w:shd w:val="clear" w:color="auto" w:fill="auto"/>
        <w:tabs>
          <w:tab w:pos="349" w:val="left"/>
        </w:tabs>
        <w:bidi w:val="0"/>
        <w:spacing w:before="0" w:after="240" w:line="467" w:lineRule="exact"/>
        <w:ind w:left="0" w:right="0" w:firstLine="0"/>
        <w:jc w:val="left"/>
      </w:pPr>
      <w:bookmarkStart w:id="144" w:name="bookmark144"/>
      <w:r>
        <w:rPr>
          <w:color w:val="000000"/>
          <w:spacing w:val="0"/>
          <w:w w:val="100"/>
          <w:position w:val="0"/>
          <w:sz w:val="18"/>
          <w:szCs w:val="18"/>
        </w:rPr>
        <w:t>4</w:t>
      </w:r>
      <w:bookmarkEnd w:id="144"/>
      <w:r>
        <w:rPr>
          <w:color w:val="000000"/>
          <w:spacing w:val="0"/>
          <w:w w:val="100"/>
          <w:position w:val="0"/>
        </w:rPr>
        <w:t>、</w:t>
        <w:tab/>
        <w:t>现金及现金等价物净增加额中包括汇率变动对现金及现金等价物的影响，具体如下：</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汇率变动对现金及现金等价 物的影响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61,387,055.88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6,458,555.05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850.48%</w:t>
            </w:r>
          </w:p>
        </w:tc>
      </w:tr>
    </w:tbl>
    <w:p>
      <w:pPr>
        <w:widowControl w:val="0"/>
        <w:spacing w:after="419" w:line="1" w:lineRule="exact"/>
      </w:pPr>
    </w:p>
    <w:p>
      <w:pPr>
        <w:pStyle w:val="Style1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三</w:t>
      </w:r>
      <w:bookmarkEnd w:id="147"/>
      <w:r>
        <w:rPr>
          <w:color w:val="000000"/>
          <w:spacing w:val="0"/>
          <w:w w:val="100"/>
          <w:position w:val="0"/>
          <w:sz w:val="24"/>
          <w:szCs w:val="24"/>
        </w:rPr>
        <w:t>、非主营业务分析</w:t>
      </w:r>
      <w:bookmarkEnd w:id="145"/>
      <w:bookmarkEnd w:id="146"/>
      <w:bookmarkEnd w:id="148"/>
    </w:p>
    <w:p>
      <w:pPr>
        <w:pStyle w:val="Style1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258,114,563.37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主要包括理财产品收益</w:t>
            </w:r>
            <w:r>
              <w:rPr>
                <w:rFonts w:ascii="Times New Roman" w:eastAsia="Times New Roman" w:hAnsi="Times New Roman" w:cs="Times New Roman"/>
                <w:color w:val="000000"/>
                <w:spacing w:val="0"/>
                <w:w w:val="100"/>
                <w:position w:val="0"/>
                <w:sz w:val="18"/>
                <w:szCs w:val="18"/>
              </w:rPr>
              <w:t>2.77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亿元及其他投资损益</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亿</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理财产品收益具有可持续 性；其他投资收益不具有可 持续性。</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-13,005,602.05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主要是交易性金融资产、负 债的公允价值变动。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19,172,492.00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主要是应收账款、其他应收 款坏账损失。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16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1,579,698,135.15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主要为本年度发生的一项非 同一控制下的企业合并产生 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81,654,299.47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主要是固定资产的处置损失 以及赔偿支出。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四</w:t>
      </w:r>
      <w:bookmarkEnd w:id="151"/>
      <w:r>
        <w:rPr>
          <w:color w:val="000000"/>
          <w:spacing w:val="0"/>
          <w:w w:val="100"/>
          <w:position w:val="0"/>
          <w:sz w:val="24"/>
          <w:szCs w:val="24"/>
        </w:rPr>
        <w:t>、资产及负债状况分析</w:t>
      </w:r>
      <w:bookmarkEnd w:id="149"/>
      <w:bookmarkEnd w:id="150"/>
      <w:bookmarkEnd w:id="152"/>
    </w:p>
    <w:p>
      <w:pPr>
        <w:pStyle w:val="Style33"/>
        <w:keepNext w:val="0"/>
        <w:keepLines w:val="0"/>
        <w:widowControl w:val="0"/>
        <w:shd w:val="clear" w:color="auto" w:fill="auto"/>
        <w:bidi w:val="0"/>
        <w:spacing w:before="0" w:after="340" w:line="240" w:lineRule="auto"/>
        <w:ind w:left="0" w:right="0" w:firstLine="0"/>
        <w:jc w:val="left"/>
      </w:pPr>
      <w:bookmarkStart w:id="153" w:name="bookmark153"/>
      <w:r>
        <w:rPr>
          <w:rFonts w:ascii="Times New Roman" w:eastAsia="Times New Roman" w:hAnsi="Times New Roman" w:cs="Times New Roman"/>
          <w:color w:val="000000"/>
          <w:spacing w:val="0"/>
          <w:w w:val="100"/>
          <w:position w:val="0"/>
        </w:rPr>
        <w:t>1</w:t>
      </w:r>
      <w:bookmarkEnd w:id="153"/>
      <w:r>
        <w:rPr>
          <w:color w:val="000000"/>
          <w:spacing w:val="0"/>
          <w:w w:val="100"/>
          <w:position w:val="0"/>
        </w:rPr>
        <w:t>、资产构成重大变动情况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763"/>
        <w:gridCol w:w="1507"/>
        <w:gridCol w:w="749"/>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 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6,915,508,971.95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3,620,373,346.93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详见第四节经营情况讨论与分析 二、主营业务分析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4,559,911,486.72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3,992,559,043.49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月当期收入较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月当期收入增加</w:t>
            </w:r>
            <w:r>
              <w:rPr>
                <w:rFonts w:ascii="Times New Roman" w:eastAsia="Times New Roman" w:hAnsi="Times New Roman" w:cs="Times New Roman"/>
                <w:color w:val="000000"/>
                <w:spacing w:val="0"/>
                <w:w w:val="100"/>
                <w:position w:val="0"/>
                <w:sz w:val="18"/>
                <w:szCs w:val="18"/>
              </w:rPr>
              <w:t>11.49</w:t>
            </w:r>
            <w:r>
              <w:rPr>
                <w:color w:val="000000"/>
                <w:spacing w:val="0"/>
                <w:w w:val="100"/>
                <w:position w:val="0"/>
              </w:rPr>
              <w:t>亿元，导 致应收账款同步增加。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396,013,674.76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256,097,919.05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2,148,095,293.10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150,517,735.96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主要是合并范围变更，通过收购子公 司带来投资性建筑物及投资性土地 使用权分别增加</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亿元和</w:t>
            </w:r>
            <w:r>
              <w:rPr>
                <w:rFonts w:ascii="Times New Roman" w:eastAsia="Times New Roman" w:hAnsi="Times New Roman" w:cs="Times New Roman"/>
                <w:color w:val="000000"/>
                <w:spacing w:val="0"/>
                <w:w w:val="100"/>
                <w:position w:val="0"/>
                <w:sz w:val="18"/>
                <w:szCs w:val="18"/>
              </w:rPr>
              <w:t>10.87</w:t>
            </w:r>
            <w:r>
              <w:rPr>
                <w:color w:val="000000"/>
                <w:spacing w:val="0"/>
                <w:w w:val="100"/>
                <w:position w:val="0"/>
              </w:rPr>
              <w:t xml:space="preserve">亿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769,698,763.51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1,481,672,391.47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主要是收回合营企业部分投资所致。</w:t>
            </w:r>
          </w:p>
        </w:tc>
      </w:tr>
      <w:tr>
        <w:trPr>
          <w:trHeight w:val="239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11,678,342,577.66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7,826,299,063.17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主要是：</w:t>
            </w:r>
          </w:p>
          <w:p>
            <w:pPr>
              <w:pStyle w:val="Style23"/>
              <w:keepNext w:val="0"/>
              <w:keepLines w:val="0"/>
              <w:widowControl w:val="0"/>
              <w:shd w:val="clear" w:color="auto" w:fill="auto"/>
              <w:tabs>
                <w:tab w:pos="259"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本期购建飞机和运力设备；</w:t>
            </w:r>
          </w:p>
          <w:p>
            <w:pPr>
              <w:pStyle w:val="Style23"/>
              <w:keepNext w:val="0"/>
              <w:keepLines w:val="0"/>
              <w:widowControl w:val="0"/>
              <w:shd w:val="clear" w:color="auto" w:fill="auto"/>
              <w:tabs>
                <w:tab w:pos="254" w:val="left"/>
              </w:tabs>
              <w:bidi w:val="0"/>
              <w:spacing w:before="0" w:after="40" w:line="30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物流场地及设备竣工转固（上海 青浦华新项目和义乌产业园建筑工 程等工程项目）；</w:t>
            </w:r>
          </w:p>
          <w:p>
            <w:pPr>
              <w:pStyle w:val="Style23"/>
              <w:keepNext w:val="0"/>
              <w:keepLines w:val="0"/>
              <w:widowControl w:val="0"/>
              <w:shd w:val="clear" w:color="auto" w:fill="auto"/>
              <w:tabs>
                <w:tab w:pos="274" w:val="left"/>
              </w:tabs>
              <w:bidi w:val="0"/>
              <w:spacing w:before="0" w:after="4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公司收购带来固定资产、场地等 增加。</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844,498,050.62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1,638,588,258.84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主要是物流场地及设备等工程项目 转固导致在建工程减少。</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5,466,278,976.31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6,585,339,112.59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本公司借款包含短期借款、长期借 款、一年内到期的长期借款，与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年相比该等借款总量及结构均未发 生重大变化。</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4,761,013,384.37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4,027,363,368.47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spacing w:lineRule="exact" w:line="1"/>
        <w:rPr>
          <w:sz w:val="2"/>
          <w:szCs w:val="2"/>
        </w:rPr>
      </w:pPr>
      <w:r>
        <w:br w:type="page"/>
      </w:r>
    </w:p>
    <w:tbl>
      <w:tblPr>
        <w:tblOverlap w:val="never"/>
        <w:jc w:val="center"/>
        <w:tblLayout w:type="fixed"/>
      </w:tblPr>
      <w:tblGrid>
        <w:gridCol w:w="1378"/>
        <w:gridCol w:w="1464"/>
        <w:gridCol w:w="763"/>
        <w:gridCol w:w="1507"/>
        <w:gridCol w:w="749"/>
        <w:gridCol w:w="797"/>
        <w:gridCol w:w="292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1,316,242,561.22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672,948,311.13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6,820,810,214.74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7,289,661,587.29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4,476,298,732.57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2,286,626,063.96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主要是系公司通过收购子公司及直 接购买方式增加土地使用权约</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亿。</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5,259,177,206.37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3,095,473,088.69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主要是采购量增长以及业务外包导 致应付账款增加。</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2,138,659,367.34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2,655,787,901.43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主要是业务外包导致公司自有职工 薪酬减少。</w:t>
            </w:r>
          </w:p>
        </w:tc>
      </w:tr>
    </w:tbl>
    <w:p>
      <w:pPr>
        <w:widowControl w:val="0"/>
        <w:spacing w:after="319" w:line="1" w:lineRule="exact"/>
      </w:pPr>
    </w:p>
    <w:p>
      <w:pPr>
        <w:pStyle w:val="Style33"/>
        <w:keepNext w:val="0"/>
        <w:keepLines w:val="0"/>
        <w:widowControl w:val="0"/>
        <w:shd w:val="clear" w:color="auto" w:fill="auto"/>
        <w:bidi w:val="0"/>
        <w:spacing w:before="0" w:after="360" w:line="240" w:lineRule="auto"/>
        <w:ind w:left="0" w:right="0" w:firstLine="0"/>
        <w:jc w:val="left"/>
      </w:pPr>
      <w:bookmarkStart w:id="154" w:name="bookmark154"/>
      <w:r>
        <w:rPr>
          <w:rFonts w:ascii="Times New Roman" w:eastAsia="Times New Roman" w:hAnsi="Times New Roman" w:cs="Times New Roman"/>
          <w:color w:val="000000"/>
          <w:spacing w:val="0"/>
          <w:w w:val="100"/>
          <w:position w:val="0"/>
        </w:rPr>
        <w:t>2</w:t>
      </w:r>
      <w:bookmarkEnd w:id="154"/>
      <w:r>
        <w:rPr>
          <w:color w:val="000000"/>
          <w:spacing w:val="0"/>
          <w:w w:val="100"/>
          <w:position w:val="0"/>
        </w:rPr>
        <w:t>、以公允价值计量的资产和负债</w:t>
      </w:r>
    </w:p>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1210"/>
        <w:gridCol w:w="1214"/>
        <w:gridCol w:w="1214"/>
        <w:gridCol w:w="672"/>
        <w:gridCol w:w="1416"/>
        <w:gridCol w:w="1277"/>
        <w:gridCol w:w="1358"/>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196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361,183,852.20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-5,544,585.86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589,878,325.19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913,346,022.03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32,171,569.50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7,982,570.97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-6,350,723.43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4,978,906.25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1,631,847.54</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190,487,125.87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19,266,016.23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442,361,579.34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652,114,721.44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559,653,549.04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-11,895,309.29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19,266,016.23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1,037,218,810.78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918,324,928.28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685,918,138.48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559,653,549.04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-11,895,309.29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19,266,016.23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1,037,218,810.78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918,324,928.28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685,918,138.48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98,865.95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1,110,292.76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1,209,158.71</w:t>
            </w:r>
          </w:p>
        </w:tc>
      </w:tr>
    </w:tbl>
    <w:p>
      <w:pPr>
        <w:widowControl w:val="0"/>
        <w:spacing w:after="119" w:line="1" w:lineRule="exact"/>
      </w:pP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val="0"/>
        <w:keepLines w:val="0"/>
        <w:widowControl w:val="0"/>
        <w:shd w:val="clear" w:color="auto" w:fill="auto"/>
        <w:bidi w:val="0"/>
        <w:spacing w:before="0" w:after="360" w:line="240" w:lineRule="auto"/>
        <w:ind w:left="0" w:right="0" w:firstLine="0"/>
        <w:jc w:val="left"/>
      </w:pPr>
      <w:bookmarkStart w:id="155" w:name="bookmark155"/>
      <w:r>
        <w:rPr>
          <w:rFonts w:ascii="Times New Roman" w:eastAsia="Times New Roman" w:hAnsi="Times New Roman" w:cs="Times New Roman"/>
          <w:color w:val="000000"/>
          <w:spacing w:val="0"/>
          <w:w w:val="100"/>
          <w:position w:val="0"/>
        </w:rPr>
        <w:t>3</w:t>
      </w:r>
      <w:bookmarkEnd w:id="155"/>
      <w:r>
        <w:rPr>
          <w:color w:val="000000"/>
          <w:spacing w:val="0"/>
          <w:w w:val="100"/>
          <w:position w:val="0"/>
        </w:rPr>
        <w:t>、截至报告期末的资产权利受限情况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截止报告期末，公司资产权利受限的资产主要是用于长期银行借款的抵押，具体情况如下:</w:t>
      </w:r>
    </w:p>
    <w:tbl>
      <w:tblPr>
        <w:tblOverlap w:val="never"/>
        <w:jc w:val="center"/>
        <w:tblLayout w:type="fixed"/>
      </w:tblPr>
      <w:tblGrid>
        <w:gridCol w:w="1608"/>
        <w:gridCol w:w="2318"/>
        <w:gridCol w:w="5597"/>
      </w:tblGrid>
      <w:tr>
        <w:trPr>
          <w:trHeight w:val="37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9"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长期借款质押金</w:t>
            </w:r>
          </w:p>
        </w:tc>
      </w:tr>
    </w:tbl>
    <w:tbl>
      <w:tblPr>
        <w:tblOverlap w:val="never"/>
        <w:jc w:val="center"/>
        <w:tblLayout w:type="fixed"/>
      </w:tblPr>
      <w:tblGrid>
        <w:gridCol w:w="1608"/>
        <w:gridCol w:w="2318"/>
        <w:gridCol w:w="5597"/>
      </w:tblGrid>
      <w:tr>
        <w:trPr>
          <w:trHeight w:val="370"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289,709,164.63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顺丰恒通支付有限公司对外部客户备付金</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223,011,006.14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存放中央银行法定准备金</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994,432,762.37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2,764,047,333.17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1,841,545,768.52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3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27,368,839.18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6,173,127,874.01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7"/>
        <w:keepNext/>
        <w:keepLines/>
        <w:widowControl w:val="0"/>
        <w:shd w:val="clear" w:color="auto" w:fill="auto"/>
        <w:bidi w:val="0"/>
        <w:spacing w:before="0" w:after="36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五</w:t>
      </w:r>
      <w:bookmarkEnd w:id="158"/>
      <w:r>
        <w:rPr>
          <w:color w:val="000000"/>
          <w:spacing w:val="0"/>
          <w:w w:val="100"/>
          <w:position w:val="0"/>
          <w:sz w:val="24"/>
          <w:szCs w:val="24"/>
        </w:rPr>
        <w:t>、投资状况分析</w:t>
      </w:r>
      <w:bookmarkEnd w:id="156"/>
      <w:bookmarkEnd w:id="157"/>
      <w:bookmarkEnd w:id="159"/>
    </w:p>
    <w:p>
      <w:pPr>
        <w:pStyle w:val="Style33"/>
        <w:keepNext w:val="0"/>
        <w:keepLines w:val="0"/>
        <w:widowControl w:val="0"/>
        <w:shd w:val="clear" w:color="auto" w:fill="auto"/>
        <w:bidi w:val="0"/>
        <w:spacing w:before="0" w:after="360" w:line="240" w:lineRule="auto"/>
        <w:ind w:left="0" w:right="0" w:firstLine="0"/>
        <w:jc w:val="left"/>
      </w:pPr>
      <w:bookmarkStart w:id="160" w:name="bookmark160"/>
      <w:r>
        <w:rPr>
          <w:rFonts w:ascii="Times New Roman" w:eastAsia="Times New Roman" w:hAnsi="Times New Roman" w:cs="Times New Roman"/>
          <w:color w:val="000000"/>
          <w:spacing w:val="0"/>
          <w:w w:val="100"/>
          <w:position w:val="0"/>
        </w:rPr>
        <w:t>1</w:t>
      </w:r>
      <w:bookmarkEnd w:id="160"/>
      <w:r>
        <w:rPr>
          <w:color w:val="000000"/>
          <w:spacing w:val="0"/>
          <w:w w:val="100"/>
          <w:position w:val="0"/>
        </w:rPr>
        <w:t>、总体情况</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6,705,868,746.70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7,465,290,900.04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bl>
    <w:p>
      <w:pPr>
        <w:widowControl w:val="0"/>
        <w:spacing w:after="359" w:line="1" w:lineRule="exact"/>
      </w:pPr>
    </w:p>
    <w:p>
      <w:pPr>
        <w:pStyle w:val="Style11"/>
        <w:keepNext w:val="0"/>
        <w:keepLines w:val="0"/>
        <w:widowControl w:val="0"/>
        <w:shd w:val="clear" w:color="auto" w:fill="auto"/>
        <w:bidi w:val="0"/>
        <w:spacing w:before="0" w:after="0" w:line="322" w:lineRule="exact"/>
        <w:ind w:left="0" w:right="0"/>
        <w:jc w:val="left"/>
      </w:pPr>
      <w:r>
        <w:rPr>
          <w:color w:val="000000"/>
          <w:spacing w:val="0"/>
          <w:w w:val="100"/>
          <w:position w:val="0"/>
        </w:rPr>
        <w:t>公司报告期内投资额为</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亿元，为了保持数据可比性，上表中的填列的上年同期投资额，为重组置入的泰森控股及其子 公司上年同期投资额。</w:t>
      </w:r>
    </w:p>
    <w:p>
      <w:pPr>
        <w:pStyle w:val="Style11"/>
        <w:keepNext w:val="0"/>
        <w:keepLines w:val="0"/>
        <w:widowControl w:val="0"/>
        <w:shd w:val="clear" w:color="auto" w:fill="auto"/>
        <w:bidi w:val="0"/>
        <w:spacing w:before="0" w:after="740" w:line="322" w:lineRule="exact"/>
        <w:ind w:left="0" w:right="0"/>
        <w:jc w:val="left"/>
      </w:pPr>
      <w:r>
        <w:rPr>
          <w:color w:val="000000"/>
          <w:spacing w:val="0"/>
          <w:w w:val="100"/>
          <w:position w:val="0"/>
        </w:rPr>
        <w:t>报告期内投资额较上年同期下降</w:t>
      </w:r>
      <w:r>
        <w:rPr>
          <w:color w:val="000000"/>
          <w:spacing w:val="0"/>
          <w:w w:val="100"/>
          <w:position w:val="0"/>
          <w:sz w:val="18"/>
          <w:szCs w:val="18"/>
        </w:rPr>
        <w:t xml:space="preserve">10. </w:t>
      </w:r>
      <w:r>
        <w:rPr>
          <w:color w:val="000000"/>
          <w:spacing w:val="0"/>
          <w:w w:val="100"/>
          <w:position w:val="0"/>
          <w:sz w:val="18"/>
          <w:szCs w:val="18"/>
        </w:rPr>
        <w:t>17%</w:t>
      </w:r>
      <w:r>
        <w:rPr>
          <w:color w:val="000000"/>
          <w:spacing w:val="0"/>
          <w:w w:val="100"/>
          <w:position w:val="0"/>
        </w:rPr>
        <w:t>，主要是购建固定资产和其他长期资产较上年下降所致。</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161" w:name="bookmark161"/>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报告期内获取的重大的股权投资情况</w:t>
      </w:r>
    </w:p>
    <w:p>
      <w:pPr>
        <w:pStyle w:val="Style11"/>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162" w:name="bookmark162"/>
      <w:r>
        <w:rPr>
          <w:rFonts w:ascii="Times New Roman" w:eastAsia="Times New Roman" w:hAnsi="Times New Roman" w:cs="Times New Roman"/>
          <w:color w:val="000000"/>
          <w:spacing w:val="0"/>
          <w:w w:val="100"/>
          <w:position w:val="0"/>
        </w:rPr>
        <w:t>3</w:t>
      </w:r>
      <w:bookmarkEnd w:id="162"/>
      <w:r>
        <w:rPr>
          <w:color w:val="000000"/>
          <w:spacing w:val="0"/>
          <w:w w:val="100"/>
          <w:position w:val="0"/>
        </w:rPr>
        <w:t>、</w:t>
        <w:tab/>
        <w:t>报告期内正在进行的重大的非股权投资情况</w:t>
      </w:r>
    </w:p>
    <w:p>
      <w:pPr>
        <w:pStyle w:val="Style11"/>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163" w:name="bookmark163"/>
      <w:r>
        <w:rPr>
          <w:rFonts w:ascii="Times New Roman" w:eastAsia="Times New Roman" w:hAnsi="Times New Roman" w:cs="Times New Roman"/>
          <w:color w:val="000000"/>
          <w:spacing w:val="0"/>
          <w:w w:val="100"/>
          <w:position w:val="0"/>
        </w:rPr>
        <w:t>4</w:t>
      </w:r>
      <w:bookmarkEnd w:id="163"/>
      <w:r>
        <w:rPr>
          <w:color w:val="000000"/>
          <w:spacing w:val="0"/>
          <w:w w:val="100"/>
          <w:position w:val="0"/>
        </w:rPr>
        <w:t>、</w:t>
        <w:tab/>
        <w:t>以公允价值计量的金融资产</w:t>
      </w:r>
    </w:p>
    <w:p>
      <w:pPr>
        <w:pStyle w:val="Style1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7"/>
        <w:gridCol w:w="1272"/>
        <w:gridCol w:w="1277"/>
        <w:gridCol w:w="1133"/>
        <w:gridCol w:w="1421"/>
        <w:gridCol w:w="1272"/>
        <w:gridCol w:w="1138"/>
        <w:gridCol w:w="1272"/>
        <w:gridCol w:w="437"/>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累计投资收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 来源</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675,559,390.73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-5,544,585.86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19,266,016.23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1,032,239,904.53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743,131,361.45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684,286,290.94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 资金</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170,214,660.58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278,609.83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r>
    </w:tbl>
    <w:p>
      <w:pPr>
        <w:spacing w:lineRule="exact" w:line="1"/>
        <w:rPr>
          <w:sz w:val="2"/>
          <w:szCs w:val="2"/>
        </w:rPr>
      </w:pPr>
      <w:r>
        <w:br w:type="page"/>
      </w:r>
    </w:p>
    <w:tbl>
      <w:tblPr>
        <w:tblOverlap w:val="never"/>
        <w:jc w:val="center"/>
        <w:tblLayout w:type="fixed"/>
      </w:tblPr>
      <w:tblGrid>
        <w:gridCol w:w="437"/>
        <w:gridCol w:w="1272"/>
        <w:gridCol w:w="1277"/>
        <w:gridCol w:w="1133"/>
        <w:gridCol w:w="1421"/>
        <w:gridCol w:w="1272"/>
        <w:gridCol w:w="1138"/>
        <w:gridCol w:w="1272"/>
        <w:gridCol w:w="43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-6,350,723.43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1,464,989.81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1,631,847.54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675,559,390.73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-11,895,309.29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19,266,016.23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1,037,218,810.78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918,324,928.28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1,782,769.00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685,918,138.48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33"/>
        <w:keepNext w:val="0"/>
        <w:keepLines w:val="0"/>
        <w:widowControl w:val="0"/>
        <w:shd w:val="clear" w:color="auto" w:fill="auto"/>
        <w:bidi w:val="0"/>
        <w:spacing w:before="0" w:after="360" w:line="240" w:lineRule="auto"/>
        <w:ind w:left="0" w:right="0" w:firstLine="0"/>
        <w:jc w:val="left"/>
      </w:pPr>
      <w:bookmarkStart w:id="164" w:name="bookmark164"/>
      <w:r>
        <w:rPr>
          <w:rFonts w:ascii="Times New Roman" w:eastAsia="Times New Roman" w:hAnsi="Times New Roman" w:cs="Times New Roman"/>
          <w:color w:val="000000"/>
          <w:spacing w:val="0"/>
          <w:w w:val="100"/>
          <w:position w:val="0"/>
        </w:rPr>
        <w:t>5</w:t>
      </w:r>
      <w:bookmarkEnd w:id="164"/>
      <w:r>
        <w:rPr>
          <w:color w:val="000000"/>
          <w:spacing w:val="0"/>
          <w:w w:val="100"/>
          <w:position w:val="0"/>
        </w:rPr>
        <w:t>、募集资金使用情况</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六</w:t>
      </w:r>
      <w:bookmarkEnd w:id="167"/>
      <w:r>
        <w:rPr>
          <w:color w:val="000000"/>
          <w:spacing w:val="0"/>
          <w:w w:val="100"/>
          <w:position w:val="0"/>
          <w:sz w:val="24"/>
          <w:szCs w:val="24"/>
        </w:rPr>
        <w:t>、重大资产和股权出售</w:t>
      </w:r>
      <w:bookmarkEnd w:id="165"/>
      <w:bookmarkEnd w:id="166"/>
      <w:bookmarkEnd w:id="168"/>
    </w:p>
    <w:p>
      <w:pPr>
        <w:pStyle w:val="Style33"/>
        <w:keepNext w:val="0"/>
        <w:keepLines w:val="0"/>
        <w:widowControl w:val="0"/>
        <w:shd w:val="clear" w:color="auto" w:fill="auto"/>
        <w:bidi w:val="0"/>
        <w:spacing w:before="0" w:after="360" w:line="240" w:lineRule="auto"/>
        <w:ind w:left="0" w:right="0" w:firstLine="0"/>
        <w:jc w:val="left"/>
      </w:pPr>
      <w:bookmarkStart w:id="169" w:name="bookmark169"/>
      <w:r>
        <w:rPr>
          <w:rFonts w:ascii="Times New Roman" w:eastAsia="Times New Roman" w:hAnsi="Times New Roman" w:cs="Times New Roman"/>
          <w:color w:val="000000"/>
          <w:spacing w:val="0"/>
          <w:w w:val="100"/>
          <w:position w:val="0"/>
        </w:rPr>
        <w:t>1</w:t>
      </w:r>
      <w:bookmarkEnd w:id="169"/>
      <w:r>
        <w:rPr>
          <w:color w:val="000000"/>
          <w:spacing w:val="0"/>
          <w:w w:val="100"/>
          <w:position w:val="0"/>
        </w:rPr>
        <w:t>、出售重大资产情况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710"/>
        <w:gridCol w:w="566"/>
        <w:gridCol w:w="566"/>
        <w:gridCol w:w="571"/>
        <w:gridCol w:w="706"/>
        <w:gridCol w:w="710"/>
        <w:gridCol w:w="566"/>
        <w:gridCol w:w="427"/>
        <w:gridCol w:w="706"/>
        <w:gridCol w:w="427"/>
        <w:gridCol w:w="566"/>
        <w:gridCol w:w="566"/>
        <w:gridCol w:w="710"/>
        <w:gridCol w:w="1003"/>
      </w:tblGrid>
      <w:tr>
        <w:trPr>
          <w:trHeight w:val="508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交易对 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交易 价格</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 初起 至出 售日 该资 产为 上市 公司 贡献 的净 利润</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出售对 公司的 影响（注</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资产 出售 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与交易 对方的 关联关 系（适用 关联交 易情形）</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 及的 资产 产权 是否 已全 部过 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所涉 及的 债权 债务 是否 已全 部转 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 按计 划如 期实 施，如</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未按 计划 实施，</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应当 说明 原因 及公 司已 采取 的措 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22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left"/>
            </w:pPr>
            <w:r>
              <w:rPr>
                <w:color w:val="000000"/>
                <w:spacing w:val="0"/>
                <w:w w:val="100"/>
                <w:position w:val="0"/>
              </w:rPr>
              <w:t>明德控 股、顺达 丰润、嘉 强顺风、 招广投 资、元禾 顺风、古 玉秋创、 顺信丰 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马鞍山 鼎泰新 材料股 份有限 公司实 施重大 资产重 组前拥 有的全 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 司披露 索引的 内容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 基础 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明德控 股为公 司的潜 在控股 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 xml:space="preserve">（草案），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tc>
      </w:tr>
    </w:tbl>
    <w:p>
      <w:pPr>
        <w:spacing w:lineRule="exact" w:line="1"/>
        <w:rPr>
          <w:sz w:val="2"/>
          <w:szCs w:val="2"/>
        </w:rPr>
      </w:pPr>
      <w:r>
        <w:br w:type="page"/>
      </w:r>
    </w:p>
    <w:tbl>
      <w:tblPr>
        <w:tblOverlap w:val="never"/>
        <w:jc w:val="center"/>
        <w:tblLayout w:type="fixed"/>
      </w:tblPr>
      <w:tblGrid>
        <w:gridCol w:w="715"/>
        <w:gridCol w:w="710"/>
        <w:gridCol w:w="566"/>
        <w:gridCol w:w="566"/>
        <w:gridCol w:w="571"/>
        <w:gridCol w:w="706"/>
        <w:gridCol w:w="710"/>
        <w:gridCol w:w="566"/>
        <w:gridCol w:w="427"/>
        <w:gridCol w:w="706"/>
        <w:gridCol w:w="427"/>
        <w:gridCol w:w="566"/>
        <w:gridCol w:w="566"/>
        <w:gridCol w:w="710"/>
        <w:gridCol w:w="10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3"/>
        <w:keepNext w:val="0"/>
        <w:keepLines w:val="0"/>
        <w:widowControl w:val="0"/>
        <w:shd w:val="clear" w:color="auto" w:fill="auto"/>
        <w:bidi w:val="0"/>
        <w:spacing w:before="0" w:after="360" w:line="240" w:lineRule="auto"/>
        <w:ind w:left="0" w:right="0" w:firstLine="0"/>
        <w:jc w:val="left"/>
      </w:pPr>
      <w:bookmarkStart w:id="170" w:name="bookmark170"/>
      <w:r>
        <w:rPr>
          <w:rFonts w:ascii="Times New Roman" w:eastAsia="Times New Roman" w:hAnsi="Times New Roman" w:cs="Times New Roman"/>
          <w:color w:val="000000"/>
          <w:spacing w:val="0"/>
          <w:w w:val="100"/>
          <w:position w:val="0"/>
        </w:rPr>
        <w:t>2</w:t>
      </w:r>
      <w:bookmarkEnd w:id="170"/>
      <w:r>
        <w:rPr>
          <w:color w:val="000000"/>
          <w:spacing w:val="0"/>
          <w:w w:val="100"/>
          <w:position w:val="0"/>
        </w:rPr>
        <w:t>、出售重大股权情况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499"/>
        <w:gridCol w:w="571"/>
        <w:gridCol w:w="706"/>
        <w:gridCol w:w="710"/>
        <w:gridCol w:w="566"/>
        <w:gridCol w:w="427"/>
        <w:gridCol w:w="706"/>
        <w:gridCol w:w="427"/>
        <w:gridCol w:w="566"/>
        <w:gridCol w:w="566"/>
        <w:gridCol w:w="1714"/>
      </w:tblGrid>
      <w:tr>
        <w:trPr>
          <w:trHeight w:val="508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 价格</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 初起 至出 售日 该股 权为 上市 公司 贡献 的净 利润</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股权 出售 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w:t>
            </w:r>
          </w:p>
          <w:p>
            <w:pPr>
              <w:pStyle w:val="Style23"/>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是否 已全 部过 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 按计 划如 期实 施，如</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未按 计划 实施，</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应当 说明 原因 及公 司已 采取 的措 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明德控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合丰小 额贷款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参考 评估 价值， 协议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公司的 控股股 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重大资产置换及发行 股份购买资产并募集 配套资金暨关联交易 报告书（草案）（修订 稿），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明德控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乐丰保</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理 </w:t>
            </w:r>
            <w:r>
              <w:rPr>
                <w:rFonts w:ascii="Times New Roman" w:eastAsia="Times New Roman" w:hAnsi="Times New Roman" w:cs="Times New Roman"/>
                <w:color w:val="000000"/>
                <w:spacing w:val="0"/>
                <w:w w:val="100"/>
                <w:position w:val="0"/>
                <w:sz w:val="18"/>
                <w:szCs w:val="18"/>
              </w:rPr>
              <w:t>100%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 评估 价值， 协议 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 控股股 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重大资产置换及发行 股份购买资产并募集 配套资金暨关联交易 报告书（草案）（修订 稿），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置业企 业有限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顺诚融 资租赁 及其子 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 评估 价值， 协议 定价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 制人控 制的法 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重大资产置换及发行 股份购买资产并募集 配套资金暨关联交易 报告书（草案）（修订 稿），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七</w:t>
      </w:r>
      <w:bookmarkEnd w:id="173"/>
      <w:r>
        <w:rPr>
          <w:color w:val="000000"/>
          <w:spacing w:val="0"/>
          <w:w w:val="100"/>
          <w:position w:val="0"/>
          <w:sz w:val="24"/>
          <w:szCs w:val="24"/>
        </w:rPr>
        <w:t>、主要控股参股公司分析</w:t>
      </w:r>
      <w:bookmarkEnd w:id="171"/>
      <w:bookmarkEnd w:id="172"/>
      <w:bookmarkEnd w:id="174"/>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tbl>
      <w:tblPr>
        <w:tblOverlap w:val="never"/>
        <w:jc w:val="center"/>
        <w:tblLayout w:type="fixed"/>
      </w:tblPr>
      <w:tblGrid>
        <w:gridCol w:w="1061"/>
        <w:gridCol w:w="792"/>
        <w:gridCol w:w="1133"/>
        <w:gridCol w:w="850"/>
        <w:gridCol w:w="1277"/>
        <w:gridCol w:w="1133"/>
        <w:gridCol w:w="1133"/>
        <w:gridCol w:w="1152"/>
        <w:gridCol w:w="1128"/>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营业收入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顺丰速运有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国际货运代 理、国内及国 际快递服务 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15,000 </w:t>
            </w:r>
            <w:r>
              <w:rPr>
                <w:color w:val="000000"/>
                <w:spacing w:val="0"/>
                <w:w w:val="100"/>
                <w:position w:val="0"/>
              </w:rPr>
              <w:t>万</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12,708,320,473.29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4,016,036,783.93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8,563,294,427.25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2,951,137,492.88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2,735,650,863.92</w:t>
            </w:r>
          </w:p>
        </w:tc>
      </w:tr>
    </w:tbl>
    <w:p>
      <w:pPr>
        <w:widowControl w:val="0"/>
        <w:spacing w:after="43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315"/>
        <w:gridCol w:w="1944"/>
        <w:gridCol w:w="3278"/>
      </w:tblGrid>
      <w:tr>
        <w:trPr>
          <w:trHeight w:val="6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对整体生产经营和业绩的影响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顺丰医药供应链南京有限公司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SF Express (Europe) Co.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西安市丰泰电商产业园管理有限公司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娘便智能檀有限公司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深圳市顺丰航空产业地产管理有限公司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深圳市顺丰创兴投资有限公司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上海丰预泰实业有限公司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长沙捷泰电商产业园管理有限公司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苏州市丰泰跨境电商产业园服务有限公司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杭州捷泰物业管理有限公司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贵州丰泰电商产业园管理有限公司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北京华宝陆通汽车投资有限公司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对公司经营和税前利润产生正面影响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深圳市丰泰工程项目管理有限公司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成都市丰泰企业管理有限公司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顺丰控股集团财务有限公司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深圳市顺丰丰觅科技有限公司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翠玉控股有限公司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对公司经营和税前利润产生正面影响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固特畿展有限公司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对公司经营和税前利润产生正面影响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深圳市顺丰同城信息技术有限公司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深圳丰速科技有限公司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顺丰医药供应链（黑龙江）有限公司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深圳市悟空丰运科技有限公司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深圳市博通拓贸易有限公司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博通贸易有限公司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bl>
    <w:tbl>
      <w:tblPr>
        <w:tblOverlap w:val="never"/>
        <w:jc w:val="center"/>
        <w:tblLayout w:type="fixed"/>
      </w:tblPr>
      <w:tblGrid>
        <w:gridCol w:w="4315"/>
        <w:gridCol w:w="1944"/>
        <w:gridCol w:w="3278"/>
      </w:tblGrid>
      <w:tr>
        <w:trPr>
          <w:trHeight w:val="35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天拓置桨有限公司</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顺丰达供应链管理有限公司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 F. Holding Co.</w:t>
            </w:r>
            <w:r>
              <w:rPr>
                <w:color w:val="000000"/>
                <w:spacing w:val="0"/>
                <w:w w:val="100"/>
                <w:position w:val="0"/>
                <w:sz w:val="18"/>
                <w:szCs w:val="18"/>
              </w:rPr>
              <w:t xml:space="preserve">, </w:t>
            </w:r>
            <w:r>
              <w:rPr>
                <w:color w:val="000000"/>
                <w:spacing w:val="0"/>
                <w:w w:val="100"/>
                <w:position w:val="0"/>
                <w:sz w:val="18"/>
                <w:szCs w:val="18"/>
              </w:rPr>
              <w:t>Ltd. (Thailand)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 F. Express Co. , Ltd. (Thailand)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 F. Express (Australia) 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HD (Cayman) Fund L. 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合丰小额贷款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乐丰保理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顺诚前海一号融资租赁（深圳）有限公司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顺诚前海二号融资租赁（深圳）有限公司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顺诚前海三号融资租赁（深圳）有限公司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顺诚前海四号融资租赁（深圳）有限公司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顺诚前海五号融资租赁（深圳）有限公司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顺诚一号（天津）融资租赁有限公司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顺诚二号（天津）融资租赁有限公司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顺诚三号（天津）融资租赁有限公司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顺诚四号（天津）融资租赁有限公司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顺诚五号（天津）融资租赁有限公司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顺恒融资租赁（天津）有限公司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bl>
    <w:p>
      <w:pPr>
        <w:widowControl w:val="0"/>
        <w:spacing w:after="43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1"/>
        <w:keepNext w:val="0"/>
        <w:keepLines w:val="0"/>
        <w:widowControl w:val="0"/>
        <w:shd w:val="clear" w:color="auto" w:fill="auto"/>
        <w:bidi w:val="0"/>
        <w:spacing w:before="0" w:after="440" w:line="473" w:lineRule="exact"/>
        <w:ind w:left="0" w:right="0" w:firstLine="0"/>
        <w:jc w:val="left"/>
      </w:pPr>
      <w:r>
        <w:rPr>
          <w:color w:val="000000"/>
          <w:spacing w:val="0"/>
          <w:w w:val="100"/>
          <w:position w:val="0"/>
        </w:rPr>
        <w:t>公司全资子公司顺丰速运有限公司</w:t>
      </w:r>
      <w:r>
        <w:rPr>
          <w:color w:val="000000"/>
          <w:spacing w:val="0"/>
          <w:w w:val="100"/>
          <w:position w:val="0"/>
          <w:sz w:val="18"/>
          <w:szCs w:val="18"/>
        </w:rPr>
        <w:t>2016</w:t>
      </w:r>
      <w:r>
        <w:rPr>
          <w:color w:val="000000"/>
          <w:spacing w:val="0"/>
          <w:w w:val="100"/>
          <w:position w:val="0"/>
        </w:rPr>
        <w:t>年实现收入</w:t>
      </w:r>
      <w:r>
        <w:rPr>
          <w:color w:val="000000"/>
          <w:spacing w:val="0"/>
          <w:w w:val="100"/>
          <w:position w:val="0"/>
          <w:sz w:val="18"/>
          <w:szCs w:val="18"/>
        </w:rPr>
        <w:t xml:space="preserve">8, 563, 294, </w:t>
      </w:r>
      <w:r>
        <w:rPr>
          <w:color w:val="000000"/>
          <w:spacing w:val="0"/>
          <w:w w:val="100"/>
          <w:position w:val="0"/>
          <w:sz w:val="18"/>
          <w:szCs w:val="18"/>
        </w:rPr>
        <w:t xml:space="preserve">427. </w:t>
      </w:r>
      <w:r>
        <w:rPr>
          <w:color w:val="000000"/>
          <w:spacing w:val="0"/>
          <w:w w:val="100"/>
          <w:position w:val="0"/>
          <w:sz w:val="18"/>
          <w:szCs w:val="18"/>
        </w:rPr>
        <w:t>25</w:t>
      </w:r>
      <w:r>
        <w:rPr>
          <w:color w:val="000000"/>
          <w:spacing w:val="0"/>
          <w:w w:val="100"/>
          <w:position w:val="0"/>
        </w:rPr>
        <w:t>元，较上年增长</w:t>
      </w:r>
      <w:r>
        <w:rPr>
          <w:color w:val="000000"/>
          <w:spacing w:val="0"/>
          <w:w w:val="100"/>
          <w:position w:val="0"/>
          <w:sz w:val="18"/>
          <w:szCs w:val="18"/>
        </w:rPr>
        <w:t xml:space="preserve">18. </w:t>
      </w:r>
      <w:r>
        <w:rPr>
          <w:color w:val="000000"/>
          <w:spacing w:val="0"/>
          <w:w w:val="100"/>
          <w:position w:val="0"/>
          <w:sz w:val="18"/>
          <w:szCs w:val="18"/>
        </w:rPr>
        <w:t>91%</w:t>
      </w:r>
      <w:r>
        <w:rPr>
          <w:color w:val="000000"/>
          <w:spacing w:val="0"/>
          <w:w w:val="100"/>
          <w:position w:val="0"/>
        </w:rPr>
        <w:t>，全年净利润</w:t>
      </w:r>
      <w:r>
        <w:rPr>
          <w:color w:val="000000"/>
          <w:spacing w:val="0"/>
          <w:w w:val="100"/>
          <w:position w:val="0"/>
          <w:sz w:val="18"/>
          <w:szCs w:val="18"/>
        </w:rPr>
        <w:t xml:space="preserve">2, 735, 650, </w:t>
      </w:r>
      <w:r>
        <w:rPr>
          <w:color w:val="000000"/>
          <w:spacing w:val="0"/>
          <w:w w:val="100"/>
          <w:position w:val="0"/>
          <w:sz w:val="18"/>
          <w:szCs w:val="18"/>
        </w:rPr>
        <w:t xml:space="preserve">863. </w:t>
      </w:r>
      <w:r>
        <w:rPr>
          <w:color w:val="000000"/>
          <w:spacing w:val="0"/>
          <w:w w:val="100"/>
          <w:position w:val="0"/>
          <w:sz w:val="18"/>
          <w:szCs w:val="18"/>
        </w:rPr>
        <w:t xml:space="preserve">92 </w:t>
      </w:r>
      <w:r>
        <w:rPr>
          <w:color w:val="000000"/>
          <w:spacing w:val="0"/>
          <w:w w:val="100"/>
          <w:position w:val="0"/>
        </w:rPr>
        <w:t>元（包括股利分红产生的投资收益），较上年大幅上升，主要原因系公司业务量增加以及对成本费用管控的有效性持续提升。 报告期内投资收益占比</w:t>
      </w:r>
      <w:r>
        <w:rPr>
          <w:color w:val="000000"/>
          <w:spacing w:val="0"/>
          <w:w w:val="100"/>
          <w:position w:val="0"/>
          <w:sz w:val="18"/>
          <w:szCs w:val="18"/>
        </w:rPr>
        <w:t>10%</w:t>
      </w:r>
      <w:r>
        <w:rPr>
          <w:color w:val="000000"/>
          <w:spacing w:val="0"/>
          <w:w w:val="100"/>
          <w:position w:val="0"/>
        </w:rPr>
        <w:t>以上的股权投资项目基本情况可参见第十一节财务报告六、在其他主体中的权益。</w:t>
      </w:r>
    </w:p>
    <w:p>
      <w:pPr>
        <w:pStyle w:val="Style27"/>
        <w:keepNext/>
        <w:keepLines/>
        <w:widowControl w:val="0"/>
        <w:shd w:val="clear" w:color="auto" w:fill="auto"/>
        <w:tabs>
          <w:tab w:pos="517" w:val="left"/>
        </w:tabs>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八</w:t>
      </w:r>
      <w:bookmarkEnd w:id="177"/>
      <w:r>
        <w:rPr>
          <w:color w:val="000000"/>
          <w:spacing w:val="0"/>
          <w:w w:val="100"/>
          <w:position w:val="0"/>
          <w:sz w:val="24"/>
          <w:szCs w:val="24"/>
        </w:rPr>
        <w:t>、</w:t>
        <w:tab/>
        <w:t>公司控制的结构化主体情况</w:t>
      </w:r>
      <w:bookmarkEnd w:id="175"/>
      <w:bookmarkEnd w:id="176"/>
      <w:bookmarkEnd w:id="178"/>
    </w:p>
    <w:p>
      <w:pPr>
        <w:pStyle w:val="Style11"/>
        <w:keepNext w:val="0"/>
        <w:keepLines w:val="0"/>
        <w:widowControl w:val="0"/>
        <w:shd w:val="clear" w:color="auto" w:fill="auto"/>
        <w:bidi w:val="0"/>
        <w:spacing w:before="0" w:after="80" w:line="54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18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九</w:t>
      </w:r>
      <w:bookmarkEnd w:id="181"/>
      <w:r>
        <w:rPr>
          <w:color w:val="000000"/>
          <w:spacing w:val="0"/>
          <w:w w:val="100"/>
          <w:position w:val="0"/>
          <w:sz w:val="24"/>
          <w:szCs w:val="24"/>
        </w:rPr>
        <w:t>、</w:t>
        <w:tab/>
        <w:t>公司未来发展的展望</w:t>
      </w:r>
      <w:bookmarkEnd w:id="179"/>
      <w:bookmarkEnd w:id="180"/>
      <w:bookmarkEnd w:id="182"/>
    </w:p>
    <w:p>
      <w:pPr>
        <w:pStyle w:val="Style11"/>
        <w:keepNext w:val="0"/>
        <w:keepLines w:val="0"/>
        <w:widowControl w:val="0"/>
        <w:shd w:val="clear" w:color="auto" w:fill="auto"/>
        <w:bidi w:val="0"/>
        <w:spacing w:before="0" w:line="471" w:lineRule="exact"/>
        <w:ind w:left="0" w:right="0" w:firstLine="0"/>
        <w:jc w:val="left"/>
      </w:pPr>
      <w:bookmarkStart w:id="183" w:name="bookmark183"/>
      <w:r>
        <w:rPr>
          <w:b/>
          <w:bCs/>
          <w:color w:val="000000"/>
          <w:spacing w:val="0"/>
          <w:w w:val="100"/>
          <w:position w:val="0"/>
        </w:rPr>
        <w:t>（</w:t>
      </w:r>
      <w:bookmarkEnd w:id="183"/>
      <w:r>
        <w:rPr>
          <w:b/>
          <w:bCs/>
          <w:color w:val="000000"/>
          <w:spacing w:val="0"/>
          <w:w w:val="100"/>
          <w:position w:val="0"/>
        </w:rPr>
        <w:t>一）行业未来发展趋势</w:t>
      </w:r>
    </w:p>
    <w:p>
      <w:pPr>
        <w:pStyle w:val="Style11"/>
        <w:keepNext w:val="0"/>
        <w:keepLines w:val="0"/>
        <w:widowControl w:val="0"/>
        <w:shd w:val="clear" w:color="auto" w:fill="auto"/>
        <w:bidi w:val="0"/>
        <w:spacing w:before="0" w:line="471" w:lineRule="exact"/>
        <w:ind w:left="0" w:right="0" w:firstLine="440"/>
        <w:jc w:val="both"/>
      </w:pPr>
      <w:bookmarkStart w:id="184" w:name="bookmark184"/>
      <w:r>
        <w:rPr>
          <w:b/>
          <w:bCs/>
          <w:color w:val="000000"/>
          <w:spacing w:val="0"/>
          <w:w w:val="100"/>
          <w:position w:val="0"/>
        </w:rPr>
        <w:t>1</w:t>
      </w:r>
      <w:bookmarkEnd w:id="184"/>
      <w:r>
        <w:rPr>
          <w:b/>
          <w:bCs/>
          <w:color w:val="000000"/>
          <w:spacing w:val="0"/>
          <w:w w:val="100"/>
          <w:position w:val="0"/>
        </w:rPr>
        <w:t>、快递行业未来发展空间仍然巨大</w:t>
      </w:r>
    </w:p>
    <w:p>
      <w:pPr>
        <w:pStyle w:val="Style11"/>
        <w:keepNext w:val="0"/>
        <w:keepLines w:val="0"/>
        <w:widowControl w:val="0"/>
        <w:shd w:val="clear" w:color="auto" w:fill="auto"/>
        <w:bidi w:val="0"/>
        <w:spacing w:before="0" w:line="469" w:lineRule="exact"/>
        <w:ind w:left="0" w:right="0"/>
        <w:jc w:val="both"/>
      </w:pPr>
      <w:r>
        <w:rPr>
          <w:color w:val="000000"/>
          <w:spacing w:val="0"/>
          <w:w w:val="100"/>
          <w:position w:val="0"/>
        </w:rPr>
        <w:t>国家邮政局数据显示，</w:t>
      </w:r>
      <w:r>
        <w:rPr>
          <w:color w:val="000000"/>
          <w:spacing w:val="0"/>
          <w:w w:val="100"/>
          <w:position w:val="0"/>
          <w:sz w:val="18"/>
          <w:szCs w:val="18"/>
        </w:rPr>
        <w:t>2016</w:t>
      </w:r>
      <w:r>
        <w:rPr>
          <w:color w:val="000000"/>
          <w:spacing w:val="0"/>
          <w:w w:val="100"/>
          <w:position w:val="0"/>
        </w:rPr>
        <w:t>年快递行业业务量规模</w:t>
      </w:r>
      <w:r>
        <w:rPr>
          <w:color w:val="000000"/>
          <w:spacing w:val="0"/>
          <w:w w:val="100"/>
          <w:position w:val="0"/>
          <w:sz w:val="18"/>
          <w:szCs w:val="18"/>
        </w:rPr>
        <w:t>312.8</w:t>
      </w:r>
      <w:r>
        <w:rPr>
          <w:color w:val="000000"/>
          <w:spacing w:val="0"/>
          <w:w w:val="100"/>
          <w:position w:val="0"/>
        </w:rPr>
        <w:t>亿件，同比增长</w:t>
      </w:r>
      <w:r>
        <w:rPr>
          <w:color w:val="000000"/>
          <w:spacing w:val="0"/>
          <w:w w:val="100"/>
          <w:position w:val="0"/>
          <w:sz w:val="18"/>
          <w:szCs w:val="18"/>
        </w:rPr>
        <w:t>51.4%；</w:t>
      </w:r>
      <w:r>
        <w:rPr>
          <w:color w:val="000000"/>
          <w:spacing w:val="0"/>
          <w:w w:val="100"/>
          <w:position w:val="0"/>
        </w:rPr>
        <w:t>业务收入规模</w:t>
      </w:r>
      <w:r>
        <w:rPr>
          <w:color w:val="000000"/>
          <w:spacing w:val="0"/>
          <w:w w:val="100"/>
          <w:position w:val="0"/>
          <w:sz w:val="18"/>
          <w:szCs w:val="18"/>
        </w:rPr>
        <w:t xml:space="preserve">3974. </w:t>
      </w:r>
      <w:r>
        <w:rPr>
          <w:color w:val="000000"/>
          <w:spacing w:val="0"/>
          <w:w w:val="100"/>
          <w:position w:val="0"/>
          <w:sz w:val="18"/>
          <w:szCs w:val="18"/>
        </w:rPr>
        <w:t>4</w:t>
      </w:r>
      <w:r>
        <w:rPr>
          <w:color w:val="000000"/>
          <w:spacing w:val="0"/>
          <w:w w:val="100"/>
          <w:position w:val="0"/>
        </w:rPr>
        <w:t xml:space="preserve">亿，同比增长 </w:t>
      </w:r>
      <w:r>
        <w:rPr>
          <w:color w:val="000000"/>
          <w:spacing w:val="0"/>
          <w:w w:val="100"/>
          <w:position w:val="0"/>
          <w:sz w:val="18"/>
          <w:szCs w:val="18"/>
        </w:rPr>
        <w:t>43.5%</w:t>
      </w:r>
      <w:r>
        <w:rPr>
          <w:color w:val="000000"/>
          <w:spacing w:val="0"/>
          <w:w w:val="100"/>
          <w:position w:val="0"/>
        </w:rPr>
        <w:t>。快递行业</w:t>
      </w:r>
      <w:r>
        <w:rPr>
          <w:color w:val="000000"/>
          <w:spacing w:val="0"/>
          <w:w w:val="100"/>
          <w:position w:val="0"/>
          <w:sz w:val="18"/>
          <w:szCs w:val="18"/>
        </w:rPr>
        <w:t>2016</w:t>
      </w:r>
      <w:r>
        <w:rPr>
          <w:color w:val="000000"/>
          <w:spacing w:val="0"/>
          <w:w w:val="100"/>
          <w:position w:val="0"/>
        </w:rPr>
        <w:t>年业务量、业务收入增长速度均保持高速增长，并且增速较去年有所提升</w:t>
      </w:r>
      <w:r>
        <w:rPr>
          <w:color w:val="000000"/>
          <w:spacing w:val="0"/>
          <w:w w:val="100"/>
          <w:position w:val="0"/>
          <w:sz w:val="18"/>
          <w:szCs w:val="18"/>
        </w:rPr>
        <w:t>（2015</w:t>
      </w:r>
      <w:r>
        <w:rPr>
          <w:color w:val="000000"/>
          <w:spacing w:val="0"/>
          <w:w w:val="100"/>
          <w:position w:val="0"/>
        </w:rPr>
        <w:t>年行业业务量增长</w:t>
      </w:r>
      <w:r>
        <w:rPr>
          <w:color w:val="000000"/>
          <w:spacing w:val="0"/>
          <w:w w:val="100"/>
          <w:position w:val="0"/>
          <w:sz w:val="18"/>
          <w:szCs w:val="18"/>
        </w:rPr>
        <w:t xml:space="preserve">48. </w:t>
      </w:r>
      <w:r>
        <w:rPr>
          <w:color w:val="000000"/>
          <w:spacing w:val="0"/>
          <w:w w:val="100"/>
          <w:position w:val="0"/>
          <w:sz w:val="18"/>
          <w:szCs w:val="18"/>
        </w:rPr>
        <w:t xml:space="preserve">0%， </w:t>
      </w:r>
      <w:r>
        <w:rPr>
          <w:color w:val="000000"/>
          <w:spacing w:val="0"/>
          <w:w w:val="100"/>
          <w:position w:val="0"/>
        </w:rPr>
        <w:t>业务收入增长</w:t>
      </w:r>
      <w:r>
        <w:rPr>
          <w:color w:val="000000"/>
          <w:spacing w:val="0"/>
          <w:w w:val="100"/>
          <w:position w:val="0"/>
          <w:sz w:val="18"/>
          <w:szCs w:val="18"/>
        </w:rPr>
        <w:t>35.4%）</w:t>
      </w:r>
      <w:r>
        <w:rPr>
          <w:color w:val="000000"/>
          <w:spacing w:val="0"/>
          <w:w w:val="100"/>
          <w:position w:val="0"/>
        </w:rPr>
        <w:t>。快递行业持续展示出强大的活力，成为国家经济结构转型过程当中的重要力量。</w:t>
      </w:r>
      <w:r>
        <w:rPr>
          <w:color w:val="000000"/>
          <w:spacing w:val="0"/>
          <w:w w:val="100"/>
          <w:position w:val="0"/>
          <w:sz w:val="18"/>
          <w:szCs w:val="18"/>
        </w:rPr>
        <w:t>2017</w:t>
      </w:r>
      <w:r>
        <w:rPr>
          <w:color w:val="000000"/>
          <w:spacing w:val="0"/>
          <w:w w:val="100"/>
          <w:position w:val="0"/>
        </w:rPr>
        <w:t>年以来，我国经 济继续保持回暖势头，</w:t>
      </w:r>
      <w:r>
        <w:rPr>
          <w:color w:val="000000"/>
          <w:spacing w:val="0"/>
          <w:w w:val="100"/>
          <w:position w:val="0"/>
          <w:sz w:val="18"/>
          <w:szCs w:val="18"/>
        </w:rPr>
        <w:t>PMI</w:t>
      </w:r>
      <w:r>
        <w:rPr>
          <w:color w:val="000000"/>
          <w:spacing w:val="0"/>
          <w:w w:val="100"/>
          <w:position w:val="0"/>
        </w:rPr>
        <w:t>整体水平持续位于荣枯线之上，</w:t>
      </w:r>
      <w:r>
        <w:rPr>
          <w:color w:val="000000"/>
          <w:spacing w:val="0"/>
          <w:w w:val="100"/>
          <w:position w:val="0"/>
          <w:sz w:val="18"/>
          <w:szCs w:val="18"/>
        </w:rPr>
        <w:t>CPI</w:t>
      </w:r>
      <w:r>
        <w:rPr>
          <w:color w:val="000000"/>
          <w:spacing w:val="0"/>
          <w:w w:val="100"/>
          <w:position w:val="0"/>
        </w:rPr>
        <w:t>和</w:t>
      </w:r>
      <w:r>
        <w:rPr>
          <w:color w:val="000000"/>
          <w:spacing w:val="0"/>
          <w:w w:val="100"/>
          <w:position w:val="0"/>
          <w:sz w:val="18"/>
          <w:szCs w:val="18"/>
        </w:rPr>
        <w:t>PPI</w:t>
      </w:r>
      <w:r>
        <w:rPr>
          <w:color w:val="000000"/>
          <w:spacing w:val="0"/>
          <w:w w:val="100"/>
          <w:position w:val="0"/>
        </w:rPr>
        <w:t xml:space="preserve">同比涨幅创下近年新高，良好的宏观经济形势有利于我 </w:t>
      </w:r>
      <w:r>
        <w:rPr>
          <w:color w:val="000000"/>
          <w:spacing w:val="0"/>
          <w:w w:val="100"/>
          <w:position w:val="0"/>
        </w:rPr>
        <w:t>国快递行业的持续稳定发展。</w:t>
      </w:r>
    </w:p>
    <w:p>
      <w:pPr>
        <w:pStyle w:val="Style11"/>
        <w:keepNext w:val="0"/>
        <w:keepLines w:val="0"/>
        <w:widowControl w:val="0"/>
        <w:shd w:val="clear" w:color="auto" w:fill="auto"/>
        <w:bidi w:val="0"/>
        <w:spacing w:before="0" w:line="469" w:lineRule="exact"/>
        <w:ind w:left="0" w:right="0" w:firstLine="360"/>
        <w:jc w:val="both"/>
      </w:pPr>
      <w:r>
        <w:rPr>
          <w:color w:val="000000"/>
          <w:spacing w:val="0"/>
          <w:w w:val="100"/>
          <w:position w:val="0"/>
        </w:rPr>
        <w:t>随着国内宏观经济不断转型升级，农业、制造业、其他服务业等上游行业也将逐步与快递接轨，快递上游需求空间继续 膨胀。从区域方面看，在国家扩大跨境电子商务试点的背景下，国际快递市场机会巨大；而随着农村和中西部地区互联网和 电子商务的普及，向下、向西的寄递服务需求呈现井喷式的增长，这类需求成为目前快递行业中的蓝海。此外，近年来生鲜 电商的发展也非常迅猛，由此带来生鲜快递的业务需求也会成为行业新的增长点。</w:t>
      </w:r>
    </w:p>
    <w:p>
      <w:pPr>
        <w:pStyle w:val="Style11"/>
        <w:keepNext w:val="0"/>
        <w:keepLines w:val="0"/>
        <w:widowControl w:val="0"/>
        <w:shd w:val="clear" w:color="auto" w:fill="auto"/>
        <w:tabs>
          <w:tab w:pos="649" w:val="left"/>
        </w:tabs>
        <w:bidi w:val="0"/>
        <w:spacing w:before="0" w:line="469" w:lineRule="exact"/>
        <w:ind w:left="0" w:right="0" w:firstLine="360"/>
        <w:jc w:val="both"/>
      </w:pPr>
      <w:bookmarkStart w:id="185" w:name="bookmark185"/>
      <w:r>
        <w:rPr>
          <w:b/>
          <w:bCs/>
          <w:color w:val="000000"/>
          <w:spacing w:val="0"/>
          <w:w w:val="100"/>
          <w:position w:val="0"/>
        </w:rPr>
        <w:t>2</w:t>
      </w:r>
      <w:bookmarkEnd w:id="185"/>
      <w:r>
        <w:rPr>
          <w:b/>
          <w:bCs/>
          <w:color w:val="000000"/>
          <w:spacing w:val="0"/>
          <w:w w:val="100"/>
          <w:position w:val="0"/>
        </w:rPr>
        <w:t>、</w:t>
        <w:tab/>
        <w:t>智能设备和智能运输技术的应用与开发日益受到重视</w:t>
      </w:r>
    </w:p>
    <w:p>
      <w:pPr>
        <w:pStyle w:val="Style11"/>
        <w:keepNext w:val="0"/>
        <w:keepLines w:val="0"/>
        <w:widowControl w:val="0"/>
        <w:shd w:val="clear" w:color="auto" w:fill="auto"/>
        <w:bidi w:val="0"/>
        <w:spacing w:before="0" w:line="470" w:lineRule="exact"/>
        <w:ind w:left="0" w:right="0" w:firstLine="360"/>
        <w:jc w:val="both"/>
      </w:pPr>
      <w:r>
        <w:rPr>
          <w:color w:val="000000"/>
          <w:spacing w:val="0"/>
          <w:w w:val="100"/>
          <w:position w:val="0"/>
        </w:rPr>
        <w:t>近年来，中国快递企业加快信息化、集成化和自动化的发展步伐。自动化分拣、无线传输等技术的投入使用提高了快递 企业的服务效率；电子面单普及应用，缩短操作时间，优化配送流程；智能快递柜的推广成为解决快递“最后一公里”的有 效方案。技术的改革和应用成为行业发展的重点。</w:t>
      </w:r>
    </w:p>
    <w:p>
      <w:pPr>
        <w:pStyle w:val="Style11"/>
        <w:keepNext w:val="0"/>
        <w:keepLines w:val="0"/>
        <w:widowControl w:val="0"/>
        <w:shd w:val="clear" w:color="auto" w:fill="auto"/>
        <w:tabs>
          <w:tab w:pos="649" w:val="left"/>
        </w:tabs>
        <w:bidi w:val="0"/>
        <w:spacing w:before="0" w:line="469" w:lineRule="exact"/>
        <w:ind w:left="0" w:right="0" w:firstLine="360"/>
        <w:jc w:val="both"/>
      </w:pPr>
      <w:bookmarkStart w:id="186" w:name="bookmark186"/>
      <w:r>
        <w:rPr>
          <w:b/>
          <w:bCs/>
          <w:color w:val="000000"/>
          <w:spacing w:val="0"/>
          <w:w w:val="100"/>
          <w:position w:val="0"/>
        </w:rPr>
        <w:t>3</w:t>
      </w:r>
      <w:bookmarkEnd w:id="186"/>
      <w:r>
        <w:rPr>
          <w:b/>
          <w:bCs/>
          <w:color w:val="000000"/>
          <w:spacing w:val="0"/>
          <w:w w:val="100"/>
          <w:position w:val="0"/>
        </w:rPr>
        <w:t>、</w:t>
        <w:tab/>
        <w:t>行业竞争焦点从价格转向服务质量</w:t>
      </w:r>
    </w:p>
    <w:p>
      <w:pPr>
        <w:pStyle w:val="Style11"/>
        <w:keepNext w:val="0"/>
        <w:keepLines w:val="0"/>
        <w:widowControl w:val="0"/>
        <w:shd w:val="clear" w:color="auto" w:fill="auto"/>
        <w:bidi w:val="0"/>
        <w:spacing w:before="0" w:line="468" w:lineRule="exact"/>
        <w:ind w:left="0" w:right="0" w:firstLine="360"/>
        <w:jc w:val="both"/>
      </w:pPr>
      <w:r>
        <w:rPr>
          <w:color w:val="000000"/>
          <w:spacing w:val="0"/>
          <w:w w:val="100"/>
          <w:position w:val="0"/>
        </w:rPr>
        <w:t>目前我国快递行业从业的企业数量众多、同质化严重，竞争激烈，预计短期内价格战依然会持续，并逐渐淘汰弱小的企 业。但随着我国居民消费水平的提升，未来用户将越来越重视快递服务的时效性和安全性以及客户服务体验，价格将不再是 用户选择快递的主要因素，而质量将成为快递行业口碑胜出的决定性因素。</w:t>
      </w:r>
    </w:p>
    <w:p>
      <w:pPr>
        <w:pStyle w:val="Style11"/>
        <w:keepNext w:val="0"/>
        <w:keepLines w:val="0"/>
        <w:widowControl w:val="0"/>
        <w:shd w:val="clear" w:color="auto" w:fill="auto"/>
        <w:tabs>
          <w:tab w:pos="654" w:val="left"/>
        </w:tabs>
        <w:bidi w:val="0"/>
        <w:spacing w:before="0" w:line="469" w:lineRule="exact"/>
        <w:ind w:left="0" w:right="0" w:firstLine="360"/>
        <w:jc w:val="both"/>
      </w:pPr>
      <w:bookmarkStart w:id="187" w:name="bookmark187"/>
      <w:r>
        <w:rPr>
          <w:b/>
          <w:bCs/>
          <w:color w:val="000000"/>
          <w:spacing w:val="0"/>
          <w:w w:val="100"/>
          <w:position w:val="0"/>
        </w:rPr>
        <w:t>4</w:t>
      </w:r>
      <w:bookmarkEnd w:id="187"/>
      <w:r>
        <w:rPr>
          <w:b/>
          <w:bCs/>
          <w:color w:val="000000"/>
          <w:spacing w:val="0"/>
          <w:w w:val="100"/>
          <w:position w:val="0"/>
        </w:rPr>
        <w:t>、</w:t>
        <w:tab/>
        <w:t>行业整合加速，行业集中度持续提高</w:t>
      </w:r>
    </w:p>
    <w:p>
      <w:pPr>
        <w:pStyle w:val="Style11"/>
        <w:keepNext w:val="0"/>
        <w:keepLines w:val="0"/>
        <w:widowControl w:val="0"/>
        <w:shd w:val="clear" w:color="auto" w:fill="auto"/>
        <w:bidi w:val="0"/>
        <w:spacing w:before="0" w:line="472" w:lineRule="exact"/>
        <w:ind w:left="0" w:right="0" w:firstLine="360"/>
        <w:jc w:val="both"/>
      </w:pPr>
      <w:r>
        <w:rPr>
          <w:color w:val="000000"/>
          <w:spacing w:val="0"/>
          <w:w w:val="100"/>
          <w:position w:val="0"/>
        </w:rPr>
        <w:t>国家邮政局数据显示，</w:t>
      </w:r>
      <w:r>
        <w:rPr>
          <w:color w:val="000000"/>
          <w:spacing w:val="0"/>
          <w:w w:val="100"/>
          <w:position w:val="0"/>
          <w:sz w:val="18"/>
          <w:szCs w:val="18"/>
        </w:rPr>
        <w:t>2016</w:t>
      </w:r>
      <w:r>
        <w:rPr>
          <w:color w:val="000000"/>
          <w:spacing w:val="0"/>
          <w:w w:val="100"/>
          <w:position w:val="0"/>
        </w:rPr>
        <w:t>年快递服务品牌集中度指数</w:t>
      </w:r>
      <w:r>
        <w:rPr>
          <w:color w:val="000000"/>
          <w:spacing w:val="0"/>
          <w:w w:val="100"/>
          <w:position w:val="0"/>
          <w:sz w:val="18"/>
          <w:szCs w:val="18"/>
        </w:rPr>
        <w:t>CR8</w:t>
      </w:r>
      <w:r>
        <w:rPr>
          <w:color w:val="000000"/>
          <w:spacing w:val="0"/>
          <w:w w:val="100"/>
          <w:position w:val="0"/>
        </w:rPr>
        <w:t>为</w:t>
      </w:r>
      <w:r>
        <w:rPr>
          <w:color w:val="000000"/>
          <w:spacing w:val="0"/>
          <w:w w:val="100"/>
          <w:position w:val="0"/>
          <w:sz w:val="18"/>
          <w:szCs w:val="18"/>
        </w:rPr>
        <w:t>76.7，</w:t>
      </w:r>
      <w:r>
        <w:rPr>
          <w:color w:val="000000"/>
          <w:spacing w:val="0"/>
          <w:w w:val="100"/>
          <w:position w:val="0"/>
        </w:rPr>
        <w:t>市场主要集中于顺丰、</w:t>
      </w:r>
      <w:r>
        <w:rPr>
          <w:color w:val="000000"/>
          <w:spacing w:val="0"/>
          <w:w w:val="100"/>
          <w:position w:val="0"/>
          <w:sz w:val="18"/>
          <w:szCs w:val="18"/>
        </w:rPr>
        <w:t>EMS</w:t>
      </w:r>
      <w:r>
        <w:rPr>
          <w:color w:val="000000"/>
          <w:spacing w:val="0"/>
          <w:w w:val="100"/>
          <w:position w:val="0"/>
        </w:rPr>
        <w:t>、</w:t>
      </w:r>
      <w:r>
        <w:rPr>
          <w:color w:val="000000"/>
          <w:spacing w:val="0"/>
          <w:w w:val="100"/>
          <w:position w:val="0"/>
        </w:rPr>
        <w:t>四通一达等</w:t>
      </w:r>
      <w:r>
        <w:rPr>
          <w:color w:val="000000"/>
          <w:spacing w:val="0"/>
          <w:w w:val="100"/>
          <w:position w:val="0"/>
          <w:sz w:val="18"/>
          <w:szCs w:val="18"/>
        </w:rPr>
        <w:t>8</w:t>
      </w:r>
      <w:r>
        <w:rPr>
          <w:color w:val="000000"/>
          <w:spacing w:val="0"/>
          <w:w w:val="100"/>
          <w:position w:val="0"/>
        </w:rPr>
        <w:t>家领先 企业当中，行业集中度已处于较高水平。参照欧美国家的发展经验，未来我国快递行业将逐渐形成少数大型快递企业为主导、 众多中小型快递企业作为区域补充的竞争格局。随着大型快递公司完成上市步伐，上市资本将用于各公司核心资源储备和核 心能力建设，未来优胜劣汰，壁垒高筑，落后者淘汰出局，新进者很难进入，“剩”（胜）者为王。最终逐步形成寡头垄断格 局。</w:t>
      </w:r>
    </w:p>
    <w:p>
      <w:pPr>
        <w:pStyle w:val="Style11"/>
        <w:keepNext w:val="0"/>
        <w:keepLines w:val="0"/>
        <w:widowControl w:val="0"/>
        <w:shd w:val="clear" w:color="auto" w:fill="auto"/>
        <w:tabs>
          <w:tab w:pos="654" w:val="left"/>
        </w:tabs>
        <w:bidi w:val="0"/>
        <w:spacing w:before="0" w:line="469" w:lineRule="exact"/>
        <w:ind w:left="0" w:right="0" w:firstLine="360"/>
        <w:jc w:val="both"/>
      </w:pPr>
      <w:bookmarkStart w:id="188" w:name="bookmark188"/>
      <w:r>
        <w:rPr>
          <w:b/>
          <w:bCs/>
          <w:color w:val="000000"/>
          <w:spacing w:val="0"/>
          <w:w w:val="100"/>
          <w:position w:val="0"/>
        </w:rPr>
        <w:t>5</w:t>
      </w:r>
      <w:bookmarkEnd w:id="188"/>
      <w:r>
        <w:rPr>
          <w:b/>
          <w:bCs/>
          <w:color w:val="000000"/>
          <w:spacing w:val="0"/>
          <w:w w:val="100"/>
          <w:position w:val="0"/>
        </w:rPr>
        <w:t>、</w:t>
        <w:tab/>
        <w:t>提供综合性快递物流解决方案将成为行业未来发展方向</w:t>
      </w:r>
    </w:p>
    <w:p>
      <w:pPr>
        <w:pStyle w:val="Style11"/>
        <w:keepNext w:val="0"/>
        <w:keepLines w:val="0"/>
        <w:widowControl w:val="0"/>
        <w:shd w:val="clear" w:color="auto" w:fill="auto"/>
        <w:bidi w:val="0"/>
        <w:spacing w:before="0" w:line="468" w:lineRule="exact"/>
        <w:ind w:left="0" w:right="0" w:firstLine="360"/>
        <w:jc w:val="both"/>
      </w:pPr>
      <w:r>
        <w:rPr>
          <w:color w:val="000000"/>
          <w:spacing w:val="0"/>
          <w:w w:val="100"/>
          <w:position w:val="0"/>
        </w:rPr>
        <w:t>单一快递服务商向综合物流服务商转型成为行业的重要趋势，从国际上看，最具竞争力的物流企业还是具备供应链管理 能力的综合服务商而非单一的快递公司。物流综合服务能力是未来的核心竞争力，服务体系越完整，整体供应链的效率越高， 盈利能力就越强。随着国内经济结构转型与产业升级，企业单一通过内部优化和成本控制提升竞争力的方式将可能遇到瓶颈， 突破的主要手段来源于企业之间的协作优化，此种企业间协作优化往往是以一体化（覆盖了计划、采购、生产、仓储、配送、 售后、财务等环节）供应链服务为基础的。可以预期，专业化、一体化的综合性快递物流服务将成为物流企业的业务增长点。</w:t>
      </w:r>
    </w:p>
    <w:p>
      <w:pPr>
        <w:pStyle w:val="Style11"/>
        <w:keepNext w:val="0"/>
        <w:keepLines w:val="0"/>
        <w:widowControl w:val="0"/>
        <w:shd w:val="clear" w:color="auto" w:fill="auto"/>
        <w:tabs>
          <w:tab w:pos="654" w:val="left"/>
        </w:tabs>
        <w:bidi w:val="0"/>
        <w:spacing w:before="0" w:line="469" w:lineRule="exact"/>
        <w:ind w:left="0" w:right="0" w:firstLine="360"/>
        <w:jc w:val="both"/>
      </w:pPr>
      <w:bookmarkStart w:id="189" w:name="bookmark189"/>
      <w:r>
        <w:rPr>
          <w:b/>
          <w:bCs/>
          <w:color w:val="000000"/>
          <w:spacing w:val="0"/>
          <w:w w:val="100"/>
          <w:position w:val="0"/>
        </w:rPr>
        <w:t>6</w:t>
      </w:r>
      <w:bookmarkEnd w:id="189"/>
      <w:r>
        <w:rPr>
          <w:b/>
          <w:bCs/>
          <w:color w:val="000000"/>
          <w:spacing w:val="0"/>
          <w:w w:val="100"/>
          <w:position w:val="0"/>
        </w:rPr>
        <w:t>、</w:t>
        <w:tab/>
        <w:t>经济全球化，国际业务发展趋势</w:t>
      </w:r>
    </w:p>
    <w:p>
      <w:pPr>
        <w:pStyle w:val="Style11"/>
        <w:keepNext w:val="0"/>
        <w:keepLines w:val="0"/>
        <w:widowControl w:val="0"/>
        <w:shd w:val="clear" w:color="auto" w:fill="auto"/>
        <w:bidi w:val="0"/>
        <w:spacing w:before="0" w:line="469" w:lineRule="exact"/>
        <w:ind w:left="0" w:right="0"/>
        <w:jc w:val="both"/>
      </w:pPr>
      <w:r>
        <w:rPr>
          <w:color w:val="000000"/>
          <w:spacing w:val="0"/>
          <w:w w:val="100"/>
          <w:position w:val="0"/>
        </w:rPr>
        <w:t>经济全球化是当今世界发展的最重要趋势，在我国，绝大多数经营国际快递业务的企业是通过发展与国际企业的代理关 系在国内开办出口国际快递业务，随着跨境电子商务的发展，未来国际业务将延续帮助中国优秀企业“走出去”，亦将海外优 质商品“引进来”的发展方向持续向客户提供优质的客制化服务。投资重点聚焦在美国、欧盟、日本、韩国等发达国家和地 区以及新兴市场（其中以俄罗斯市场最为突出）。这种变化符合国际贸易流向与跨境电商交易的国别特征。经济全球化为国际 物流发展带来前所未有的机遇国际物流是现代物流的重要组成部分，是国际货物跨越国与国、地区与地区之间的一种物流运 作方式。在经济全球化的条件下，当前国际物流的发展，正面临着前所未有的机遇。</w:t>
      </w:r>
    </w:p>
    <w:p>
      <w:pPr>
        <w:pStyle w:val="Style11"/>
        <w:keepNext w:val="0"/>
        <w:keepLines w:val="0"/>
        <w:widowControl w:val="0"/>
        <w:shd w:val="clear" w:color="auto" w:fill="auto"/>
        <w:bidi w:val="0"/>
        <w:spacing w:before="0" w:after="40" w:line="469" w:lineRule="exact"/>
        <w:ind w:left="0" w:right="0" w:firstLine="0"/>
        <w:jc w:val="left"/>
      </w:pPr>
      <w:bookmarkStart w:id="190" w:name="bookmark190"/>
      <w:r>
        <w:rPr>
          <w:b/>
          <w:bCs/>
          <w:color w:val="000000"/>
          <w:spacing w:val="0"/>
          <w:w w:val="100"/>
          <w:position w:val="0"/>
        </w:rPr>
        <w:t>（</w:t>
      </w:r>
      <w:bookmarkEnd w:id="190"/>
      <w:r>
        <w:rPr>
          <w:b/>
          <w:bCs/>
          <w:color w:val="000000"/>
          <w:spacing w:val="0"/>
          <w:w w:val="100"/>
          <w:position w:val="0"/>
        </w:rPr>
        <w:t>二）公司战略发展方向</w:t>
      </w:r>
    </w:p>
    <w:p>
      <w:pPr>
        <w:pStyle w:val="Style11"/>
        <w:keepNext w:val="0"/>
        <w:keepLines w:val="0"/>
        <w:widowControl w:val="0"/>
        <w:shd w:val="clear" w:color="auto" w:fill="auto"/>
        <w:bidi w:val="0"/>
        <w:spacing w:before="0" w:line="469" w:lineRule="exact"/>
        <w:ind w:left="0" w:right="0" w:firstLine="460"/>
        <w:jc w:val="left"/>
      </w:pPr>
      <w:bookmarkStart w:id="191" w:name="bookmark191"/>
      <w:r>
        <w:rPr>
          <w:b/>
          <w:bCs/>
          <w:color w:val="000000"/>
          <w:spacing w:val="0"/>
          <w:w w:val="100"/>
          <w:position w:val="0"/>
        </w:rPr>
        <w:t>1</w:t>
      </w:r>
      <w:bookmarkEnd w:id="191"/>
      <w:r>
        <w:rPr>
          <w:b/>
          <w:bCs/>
          <w:color w:val="000000"/>
          <w:spacing w:val="0"/>
          <w:w w:val="100"/>
          <w:position w:val="0"/>
        </w:rPr>
        <w:t>、持续提升一体化的综合物流服务能力</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rPr>
        <w:t>一体化的物流综合服务能力是物流行业未来发展的核心竞争力，服务体系越完整，整体供应链的效率越高，盈利能力就 越强。因此，顺丰控股不仅仅定位于为客户提供快递服务，而是立志于为客户提供一体化的综合物流解决方案。</w:t>
      </w:r>
    </w:p>
    <w:p>
      <w:pPr>
        <w:pStyle w:val="Style11"/>
        <w:keepNext w:val="0"/>
        <w:keepLines w:val="0"/>
        <w:widowControl w:val="0"/>
        <w:shd w:val="clear" w:color="auto" w:fill="auto"/>
        <w:bidi w:val="0"/>
        <w:spacing w:before="0" w:line="469" w:lineRule="exact"/>
        <w:ind w:left="0" w:right="0" w:firstLine="460"/>
        <w:jc w:val="both"/>
      </w:pPr>
      <w:r>
        <w:rPr>
          <w:color w:val="000000"/>
          <w:spacing w:val="0"/>
          <w:w w:val="100"/>
          <w:position w:val="0"/>
        </w:rPr>
        <w:t>经过多年发展，顺丰控股已具备一定的为客户提供一体化综合物流解决方案的能力，但服务范围的广度和深度有待进一 步拓展和深入。在广度方面，未来公司拟向供应链价值的前端环节进一步渗透，包括进一步提升产销计划协同能力、材料采 购能力、成本管理能力及仓内运营能力，以提供更为丰富、全面的供应链综合服务，帮助客户实现一体化物流解决方案的落 地；在深度方面，公司计划根据不同行业特点和客户需求，深入研究不同行业客户的差异化服务需求，为客户定制个性化的 行业解决方案，包括服装行业、保险行业、白酒行业等，针对性解决客户供应链管理环节的现状痛点，树立行业解决方案服 务标杆，快速推广至行业其它中高端客户，引领客户所属行业供应链效率进一步提升，深入构建和巩固综合物流服务的核心 竞争力。</w:t>
      </w:r>
    </w:p>
    <w:p>
      <w:pPr>
        <w:pStyle w:val="Style11"/>
        <w:keepNext w:val="0"/>
        <w:keepLines w:val="0"/>
        <w:widowControl w:val="0"/>
        <w:shd w:val="clear" w:color="auto" w:fill="auto"/>
        <w:bidi w:val="0"/>
        <w:spacing w:before="0" w:line="469" w:lineRule="exact"/>
        <w:ind w:left="0" w:right="0"/>
        <w:jc w:val="left"/>
      </w:pPr>
      <w:bookmarkStart w:id="192" w:name="bookmark192"/>
      <w:r>
        <w:rPr>
          <w:b/>
          <w:bCs/>
          <w:color w:val="000000"/>
          <w:spacing w:val="0"/>
          <w:w w:val="100"/>
          <w:position w:val="0"/>
        </w:rPr>
        <w:t>2</w:t>
      </w:r>
      <w:bookmarkEnd w:id="192"/>
      <w:r>
        <w:rPr>
          <w:b/>
          <w:bCs/>
          <w:color w:val="000000"/>
          <w:spacing w:val="0"/>
          <w:w w:val="100"/>
          <w:position w:val="0"/>
        </w:rPr>
        <w:t>、顺应“一带一路”及"快递下乡”的国家战略，向西、向下纵深发展主营业务。</w:t>
      </w:r>
    </w:p>
    <w:p>
      <w:pPr>
        <w:pStyle w:val="Style11"/>
        <w:keepNext w:val="0"/>
        <w:keepLines w:val="0"/>
        <w:widowControl w:val="0"/>
        <w:shd w:val="clear" w:color="auto" w:fill="auto"/>
        <w:bidi w:val="0"/>
        <w:spacing w:before="0" w:line="474" w:lineRule="exact"/>
        <w:ind w:left="0" w:right="0"/>
        <w:jc w:val="left"/>
      </w:pPr>
      <w:r>
        <w:rPr>
          <w:color w:val="000000"/>
          <w:spacing w:val="0"/>
          <w:w w:val="100"/>
          <w:position w:val="0"/>
        </w:rPr>
        <w:t>自</w:t>
      </w:r>
      <w:r>
        <w:rPr>
          <w:color w:val="000000"/>
          <w:spacing w:val="0"/>
          <w:w w:val="100"/>
          <w:position w:val="0"/>
          <w:sz w:val="18"/>
          <w:szCs w:val="18"/>
        </w:rPr>
        <w:t>2013</w:t>
      </w:r>
      <w:r>
        <w:rPr>
          <w:color w:val="000000"/>
          <w:spacing w:val="0"/>
          <w:w w:val="100"/>
          <w:position w:val="0"/>
        </w:rPr>
        <w:t>年国家主席习近平首次提出共同建设“丝绸之路经济带”的设想至今，“一带一路”已升级为国家战略，并进入 战略布局实操阶段。“一带一路”国家战略的实施，有助于打通东部一中西部一欧亚非多个国家和地区的经济发展通道，经济 发展离不开物流支撑，随着这种大规模、通道化和多向辐射的大物流通道的深入构建，无疑为我国物流包括快递行业的发展 带来历史重大机遇。</w:t>
      </w:r>
    </w:p>
    <w:p>
      <w:pPr>
        <w:pStyle w:val="Style11"/>
        <w:keepNext w:val="0"/>
        <w:keepLines w:val="0"/>
        <w:widowControl w:val="0"/>
        <w:shd w:val="clear" w:color="auto" w:fill="auto"/>
        <w:bidi w:val="0"/>
        <w:spacing w:before="0" w:line="472" w:lineRule="exact"/>
        <w:ind w:left="0" w:right="0"/>
        <w:jc w:val="left"/>
      </w:pPr>
      <w:r>
        <w:rPr>
          <w:color w:val="000000"/>
          <w:spacing w:val="0"/>
          <w:w w:val="100"/>
          <w:position w:val="0"/>
          <w:sz w:val="18"/>
          <w:szCs w:val="18"/>
        </w:rPr>
        <w:t>2016</w:t>
      </w:r>
      <w:r>
        <w:rPr>
          <w:color w:val="000000"/>
          <w:spacing w:val="0"/>
          <w:w w:val="100"/>
          <w:position w:val="0"/>
        </w:rPr>
        <w:t>年初国务院颁布中央一号文件《中共中央国务院关于落实发展新理念加快农业现代化实现全面小康目标的若干意见》, 第</w:t>
      </w:r>
      <w:r>
        <w:rPr>
          <w:color w:val="000000"/>
          <w:spacing w:val="0"/>
          <w:w w:val="100"/>
          <w:position w:val="0"/>
          <w:sz w:val="18"/>
          <w:szCs w:val="18"/>
        </w:rPr>
        <w:t>14</w:t>
      </w:r>
      <w:r>
        <w:rPr>
          <w:color w:val="000000"/>
          <w:spacing w:val="0"/>
          <w:w w:val="100"/>
          <w:position w:val="0"/>
        </w:rPr>
        <w:t>条明确提出，实施快递下乡工程，加强商贸流通、供销、邮政等系统物流服务网络和设施建设与衔接，加快完善县、乡、 村物流体系。近两年农村快递市场发展迅猛。</w:t>
      </w:r>
      <w:r>
        <w:rPr>
          <w:color w:val="000000"/>
          <w:spacing w:val="0"/>
          <w:w w:val="100"/>
          <w:position w:val="0"/>
          <w:sz w:val="18"/>
          <w:szCs w:val="18"/>
        </w:rPr>
        <w:t>2015</w:t>
      </w:r>
      <w:r>
        <w:rPr>
          <w:color w:val="000000"/>
          <w:spacing w:val="0"/>
          <w:w w:val="100"/>
          <w:position w:val="0"/>
        </w:rPr>
        <w:t>年全年新增农村地区快递服务营业网点</w:t>
      </w:r>
      <w:r>
        <w:rPr>
          <w:color w:val="000000"/>
          <w:spacing w:val="0"/>
          <w:w w:val="100"/>
          <w:position w:val="0"/>
          <w:sz w:val="18"/>
          <w:szCs w:val="18"/>
        </w:rPr>
        <w:t>4.5</w:t>
      </w:r>
      <w:r>
        <w:rPr>
          <w:color w:val="000000"/>
          <w:spacing w:val="0"/>
          <w:w w:val="100"/>
          <w:position w:val="0"/>
        </w:rPr>
        <w:t>万个，乡镇快递服务营业网点 覆盖率由</w:t>
      </w:r>
      <w:r>
        <w:rPr>
          <w:color w:val="000000"/>
          <w:spacing w:val="0"/>
          <w:w w:val="100"/>
          <w:position w:val="0"/>
          <w:sz w:val="18"/>
          <w:szCs w:val="18"/>
        </w:rPr>
        <w:t>2014</w:t>
      </w:r>
      <w:r>
        <w:rPr>
          <w:color w:val="000000"/>
          <w:spacing w:val="0"/>
          <w:w w:val="100"/>
          <w:position w:val="0"/>
        </w:rPr>
        <w:t>年的</w:t>
      </w:r>
      <w:r>
        <w:rPr>
          <w:color w:val="000000"/>
          <w:spacing w:val="0"/>
          <w:w w:val="100"/>
          <w:position w:val="0"/>
          <w:sz w:val="18"/>
          <w:szCs w:val="18"/>
        </w:rPr>
        <w:t>50%</w:t>
      </w:r>
      <w:r>
        <w:rPr>
          <w:color w:val="000000"/>
          <w:spacing w:val="0"/>
          <w:w w:val="100"/>
          <w:position w:val="0"/>
        </w:rPr>
        <w:t>提升至</w:t>
      </w:r>
      <w:r>
        <w:rPr>
          <w:color w:val="000000"/>
          <w:spacing w:val="0"/>
          <w:w w:val="100"/>
          <w:position w:val="0"/>
          <w:sz w:val="18"/>
          <w:szCs w:val="18"/>
        </w:rPr>
        <w:t>70%;</w:t>
      </w:r>
      <w:r>
        <w:rPr>
          <w:color w:val="000000"/>
          <w:spacing w:val="0"/>
          <w:w w:val="100"/>
          <w:position w:val="0"/>
        </w:rPr>
        <w:t>全国农村地区收投快件量超过</w:t>
      </w:r>
      <w:r>
        <w:rPr>
          <w:color w:val="000000"/>
          <w:spacing w:val="0"/>
          <w:w w:val="100"/>
          <w:position w:val="0"/>
          <w:sz w:val="18"/>
          <w:szCs w:val="18"/>
        </w:rPr>
        <w:t>50</w:t>
      </w:r>
      <w:r>
        <w:rPr>
          <w:color w:val="000000"/>
          <w:spacing w:val="0"/>
          <w:w w:val="100"/>
          <w:position w:val="0"/>
        </w:rPr>
        <w:t>亿件，是</w:t>
      </w:r>
      <w:r>
        <w:rPr>
          <w:color w:val="000000"/>
          <w:spacing w:val="0"/>
          <w:w w:val="100"/>
          <w:position w:val="0"/>
          <w:sz w:val="18"/>
          <w:szCs w:val="18"/>
        </w:rPr>
        <w:t>2014</w:t>
      </w:r>
      <w:r>
        <w:rPr>
          <w:color w:val="000000"/>
          <w:spacing w:val="0"/>
          <w:w w:val="100"/>
          <w:position w:val="0"/>
        </w:rPr>
        <w:t>年的</w:t>
      </w:r>
      <w:r>
        <w:rPr>
          <w:color w:val="000000"/>
          <w:spacing w:val="0"/>
          <w:w w:val="100"/>
          <w:position w:val="0"/>
          <w:sz w:val="18"/>
          <w:szCs w:val="18"/>
        </w:rPr>
        <w:t>2.5</w:t>
      </w:r>
      <w:r>
        <w:rPr>
          <w:color w:val="000000"/>
          <w:spacing w:val="0"/>
          <w:w w:val="100"/>
          <w:position w:val="0"/>
        </w:rPr>
        <w:t>倍，占快递总业务量的</w:t>
      </w:r>
      <w:r>
        <w:rPr>
          <w:color w:val="000000"/>
          <w:spacing w:val="0"/>
          <w:w w:val="100"/>
          <w:position w:val="0"/>
          <w:sz w:val="18"/>
          <w:szCs w:val="18"/>
        </w:rPr>
        <w:t>24%</w:t>
      </w:r>
      <w:r>
        <w:rPr>
          <w:color w:val="000000"/>
          <w:spacing w:val="0"/>
          <w:w w:val="100"/>
          <w:position w:val="0"/>
        </w:rPr>
        <w:t>，而 国内各大快递企业与电商巨头已经开始积极布局农村市场。</w:t>
      </w:r>
    </w:p>
    <w:p>
      <w:pPr>
        <w:pStyle w:val="Style11"/>
        <w:keepNext w:val="0"/>
        <w:keepLines w:val="0"/>
        <w:widowControl w:val="0"/>
        <w:shd w:val="clear" w:color="auto" w:fill="auto"/>
        <w:bidi w:val="0"/>
        <w:spacing w:before="0" w:line="473" w:lineRule="exact"/>
        <w:ind w:left="0" w:right="0" w:firstLine="360"/>
        <w:jc w:val="both"/>
      </w:pPr>
      <w:r>
        <w:rPr>
          <w:color w:val="000000"/>
          <w:spacing w:val="0"/>
          <w:w w:val="100"/>
          <w:position w:val="0"/>
        </w:rPr>
        <w:t>公司作为国内大型物流综合服务商，将顺应“一带一路”和“快递下乡”的国家战略，策略性地向西、向下布局物流网 络和其他资源，同时借助部分外部合作形式，前瞻性构建中西部甚至海外部分区域的核心物流能力，在对外提供优质综合物 流服务的同时，积极带动中西部地区经济带的均衡发展，发挥顺丰控股作为公众公司的社会责任。具体网络规划方面，公司 计划未来在中西部地区扩展近千个网点，新增覆盖</w:t>
      </w:r>
      <w:r>
        <w:rPr>
          <w:color w:val="000000"/>
          <w:spacing w:val="0"/>
          <w:w w:val="100"/>
          <w:position w:val="0"/>
          <w:sz w:val="18"/>
          <w:szCs w:val="18"/>
        </w:rPr>
        <w:t>4</w:t>
      </w:r>
      <w:r>
        <w:rPr>
          <w:color w:val="000000"/>
          <w:spacing w:val="0"/>
          <w:w w:val="100"/>
          <w:position w:val="0"/>
        </w:rPr>
        <w:t>个地级市，</w:t>
      </w:r>
      <w:r>
        <w:rPr>
          <w:color w:val="000000"/>
          <w:spacing w:val="0"/>
          <w:w w:val="100"/>
          <w:position w:val="0"/>
          <w:sz w:val="18"/>
          <w:szCs w:val="18"/>
        </w:rPr>
        <w:t>33</w:t>
      </w:r>
      <w:r>
        <w:rPr>
          <w:color w:val="000000"/>
          <w:spacing w:val="0"/>
          <w:w w:val="100"/>
          <w:position w:val="0"/>
        </w:rPr>
        <w:t>个县区，</w:t>
      </w:r>
      <w:r>
        <w:rPr>
          <w:color w:val="000000"/>
          <w:spacing w:val="0"/>
          <w:w w:val="100"/>
          <w:position w:val="0"/>
          <w:sz w:val="18"/>
          <w:szCs w:val="18"/>
        </w:rPr>
        <w:t>2000</w:t>
      </w:r>
      <w:r>
        <w:rPr>
          <w:color w:val="000000"/>
          <w:spacing w:val="0"/>
          <w:w w:val="100"/>
          <w:position w:val="0"/>
        </w:rPr>
        <w:t>多个乡镇。同时通过设立乡镇代理点的形式， 解决因中西部乡镇人口密度低、单网点覆盖人口少而导致的快件量小但成本高的问题。</w:t>
      </w:r>
    </w:p>
    <w:p>
      <w:pPr>
        <w:pStyle w:val="Style11"/>
        <w:keepNext w:val="0"/>
        <w:keepLines w:val="0"/>
        <w:widowControl w:val="0"/>
        <w:shd w:val="clear" w:color="auto" w:fill="auto"/>
        <w:bidi w:val="0"/>
        <w:spacing w:before="0" w:line="470" w:lineRule="exact"/>
        <w:ind w:left="0" w:right="0" w:firstLine="280"/>
        <w:jc w:val="both"/>
      </w:pPr>
      <w:bookmarkStart w:id="193" w:name="bookmark193"/>
      <w:r>
        <w:rPr>
          <w:b/>
          <w:bCs/>
          <w:color w:val="000000"/>
          <w:spacing w:val="0"/>
          <w:w w:val="100"/>
          <w:position w:val="0"/>
        </w:rPr>
        <w:t>3</w:t>
      </w:r>
      <w:bookmarkEnd w:id="193"/>
      <w:r>
        <w:rPr>
          <w:b/>
          <w:bCs/>
          <w:color w:val="000000"/>
          <w:spacing w:val="0"/>
          <w:w w:val="100"/>
          <w:position w:val="0"/>
        </w:rPr>
        <w:t>、加大布局国际、同城配、冷运、重货等新市场和新业务，开拓新兴细分市场。</w:t>
      </w:r>
    </w:p>
    <w:p>
      <w:pPr>
        <w:pStyle w:val="Style11"/>
        <w:keepNext w:val="0"/>
        <w:keepLines w:val="0"/>
        <w:widowControl w:val="0"/>
        <w:shd w:val="clear" w:color="auto" w:fill="auto"/>
        <w:bidi w:val="0"/>
        <w:spacing w:before="0" w:line="470" w:lineRule="exact"/>
        <w:ind w:left="0" w:right="0" w:firstLine="280"/>
        <w:jc w:val="both"/>
      </w:pPr>
      <w:r>
        <w:rPr>
          <w:color w:val="000000"/>
          <w:spacing w:val="0"/>
          <w:w w:val="100"/>
          <w:position w:val="0"/>
        </w:rPr>
        <w:t>公司在巩固现有业务的同时，将着力拓展新市场、新业务。</w:t>
      </w:r>
    </w:p>
    <w:p>
      <w:pPr>
        <w:pStyle w:val="Style11"/>
        <w:keepNext w:val="0"/>
        <w:keepLines w:val="0"/>
        <w:widowControl w:val="0"/>
        <w:shd w:val="clear" w:color="auto" w:fill="auto"/>
        <w:bidi w:val="0"/>
        <w:spacing w:before="0" w:after="0" w:line="469" w:lineRule="exact"/>
        <w:ind w:left="0" w:right="0" w:firstLine="280"/>
        <w:jc w:val="both"/>
      </w:pPr>
      <w:r>
        <w:rPr>
          <w:b/>
          <w:bCs/>
          <w:color w:val="000000"/>
          <w:spacing w:val="0"/>
          <w:w w:val="100"/>
          <w:position w:val="0"/>
        </w:rPr>
        <w:t>国际业务方面：</w:t>
      </w:r>
      <w:r>
        <w:rPr>
          <w:color w:val="000000"/>
          <w:spacing w:val="0"/>
          <w:w w:val="100"/>
          <w:position w:val="0"/>
        </w:rPr>
        <w:t>一方面，国际业务将延续帮助中国优秀企业“走出去”，同时将海外优质商品“引进来”的发展方向，积 极搭建南亚、欧洲等区域性网络，深化国家间网络连接，从而进一步拓展国际业务服务范围，提升产品的时效性，服务质量 和安全保障，增强竞争力。另一方面，顺丰国际将结合客户需求整合公司现有产品和能力等资源，为客户提供全方位的一体 化解决方案和客户化服务。</w:t>
      </w:r>
    </w:p>
    <w:p>
      <w:pPr>
        <w:pStyle w:val="Style11"/>
        <w:keepNext w:val="0"/>
        <w:keepLines w:val="0"/>
        <w:widowControl w:val="0"/>
        <w:shd w:val="clear" w:color="auto" w:fill="auto"/>
        <w:bidi w:val="0"/>
        <w:spacing w:before="0" w:line="470" w:lineRule="exact"/>
        <w:ind w:left="0" w:right="0" w:firstLine="280"/>
        <w:jc w:val="both"/>
      </w:pPr>
      <w:r>
        <w:rPr>
          <w:b/>
          <w:bCs/>
          <w:color w:val="000000"/>
          <w:spacing w:val="0"/>
          <w:w w:val="100"/>
          <w:position w:val="0"/>
        </w:rPr>
        <w:t>同城配业务方面</w:t>
      </w:r>
      <w:r>
        <w:rPr>
          <w:color w:val="000000"/>
          <w:spacing w:val="0"/>
          <w:w w:val="100"/>
          <w:position w:val="0"/>
        </w:rPr>
        <w:t>：顺丰控股未来将重点针对餐饮外卖、商贸供应链、同城快件三大同城领域分别推出相应的物流产品和互 联网系统产品，并构建行业领先的服务团队，以满足客户对同城市场的多样化服务需求，从而为公司带来新的业务增长点， 提升顺丰地面运营能力及同城资源运营效率。</w:t>
      </w:r>
    </w:p>
    <w:p>
      <w:pPr>
        <w:pStyle w:val="Style11"/>
        <w:keepNext w:val="0"/>
        <w:keepLines w:val="0"/>
        <w:widowControl w:val="0"/>
        <w:shd w:val="clear" w:color="auto" w:fill="auto"/>
        <w:bidi w:val="0"/>
        <w:spacing w:before="0" w:line="470" w:lineRule="exact"/>
        <w:ind w:left="0" w:right="0" w:firstLine="280"/>
        <w:jc w:val="both"/>
      </w:pPr>
      <w:r>
        <w:rPr>
          <w:b/>
          <w:bCs/>
          <w:color w:val="000000"/>
          <w:spacing w:val="0"/>
          <w:w w:val="100"/>
          <w:position w:val="0"/>
        </w:rPr>
        <w:t>冷运业务方面</w:t>
      </w:r>
      <w:r>
        <w:rPr>
          <w:color w:val="000000"/>
          <w:spacing w:val="0"/>
          <w:w w:val="100"/>
          <w:position w:val="0"/>
        </w:rPr>
        <w:t>：通过实践逐步完善内部冷链服务标准，并推动行业服务标准制定，提高行业服务门槛，实现对食品生鲜冷 运与医药冷运领域的战略布局。此外，公司会通过运营模式优化、自动设备的投入、功能系统化和外部资源合作等关键措施， 进一步提升作业效能和管理效率，降低内部运营成本，更好的促进前端冷链业务快速发展。</w:t>
      </w:r>
    </w:p>
    <w:p>
      <w:pPr>
        <w:pStyle w:val="Style11"/>
        <w:keepNext w:val="0"/>
        <w:keepLines w:val="0"/>
        <w:widowControl w:val="0"/>
        <w:shd w:val="clear" w:color="auto" w:fill="auto"/>
        <w:bidi w:val="0"/>
        <w:spacing w:before="0" w:line="470" w:lineRule="exact"/>
        <w:ind w:left="0" w:right="0" w:firstLine="280"/>
        <w:jc w:val="both"/>
      </w:pPr>
      <w:r>
        <w:rPr>
          <w:b/>
          <w:bCs/>
          <w:color w:val="000000"/>
          <w:spacing w:val="0"/>
          <w:w w:val="100"/>
          <w:position w:val="0"/>
        </w:rPr>
        <w:t>重货业务方面</w:t>
      </w:r>
      <w:r>
        <w:rPr>
          <w:color w:val="000000"/>
          <w:spacing w:val="0"/>
          <w:w w:val="100"/>
          <w:position w:val="0"/>
        </w:rPr>
        <w:t>：未来顺丰控股将聚焦全流程重货营运能力的建设，在时效、安全、服务、系统等重货物流核心竞争力上持 续改善，不断优化客户体验、创造客户价值、提升客户满意度继续进行重货服务能力不断延伸，推动重货业务的稳健增长。</w:t>
      </w:r>
    </w:p>
    <w:p>
      <w:pPr>
        <w:pStyle w:val="Style11"/>
        <w:keepNext w:val="0"/>
        <w:keepLines w:val="0"/>
        <w:widowControl w:val="0"/>
        <w:shd w:val="clear" w:color="auto" w:fill="auto"/>
        <w:bidi w:val="0"/>
        <w:spacing w:before="0" w:line="470" w:lineRule="exact"/>
        <w:ind w:left="0" w:right="0" w:firstLine="360"/>
        <w:jc w:val="both"/>
      </w:pPr>
      <w:bookmarkStart w:id="194" w:name="bookmark194"/>
      <w:r>
        <w:rPr>
          <w:b/>
          <w:bCs/>
          <w:color w:val="000000"/>
          <w:spacing w:val="0"/>
          <w:w w:val="100"/>
          <w:position w:val="0"/>
        </w:rPr>
        <w:t>4</w:t>
      </w:r>
      <w:bookmarkEnd w:id="194"/>
      <w:r>
        <w:rPr>
          <w:b/>
          <w:bCs/>
          <w:color w:val="000000"/>
          <w:spacing w:val="0"/>
          <w:w w:val="100"/>
          <w:position w:val="0"/>
        </w:rPr>
        <w:t>、大力推动智能物流的发展，加大</w:t>
      </w:r>
      <w:r>
        <w:rPr>
          <w:b/>
          <w:bCs/>
          <w:color w:val="000000"/>
          <w:spacing w:val="0"/>
          <w:w w:val="100"/>
          <w:position w:val="0"/>
        </w:rPr>
        <w:t>IT</w:t>
      </w:r>
      <w:r>
        <w:rPr>
          <w:b/>
          <w:bCs/>
          <w:color w:val="000000"/>
          <w:spacing w:val="0"/>
          <w:w w:val="100"/>
          <w:position w:val="0"/>
        </w:rPr>
        <w:t>信息系统投入，前瞻性布局智能物流技术</w:t>
      </w:r>
    </w:p>
    <w:p>
      <w:pPr>
        <w:pStyle w:val="Style11"/>
        <w:keepNext w:val="0"/>
        <w:keepLines w:val="0"/>
        <w:widowControl w:val="0"/>
        <w:numPr>
          <w:ilvl w:val="0"/>
          <w:numId w:val="7"/>
        </w:numPr>
        <w:shd w:val="clear" w:color="auto" w:fill="auto"/>
        <w:tabs>
          <w:tab w:pos="668" w:val="left"/>
        </w:tabs>
        <w:bidi w:val="0"/>
        <w:spacing w:before="0" w:line="468" w:lineRule="exact"/>
        <w:ind w:left="0" w:right="0" w:firstLine="360"/>
        <w:jc w:val="both"/>
      </w:pPr>
      <w:bookmarkStart w:id="195" w:name="bookmark195"/>
      <w:bookmarkEnd w:id="195"/>
      <w:r>
        <w:rPr>
          <w:color w:val="000000"/>
          <w:spacing w:val="0"/>
          <w:w w:val="100"/>
          <w:position w:val="0"/>
        </w:rPr>
        <w:t>提供智能供应链服务：一方面，公司立足自有物流数据与合作伙伴提供的社交媒体和电商等外部数据，通过云计算和 大数据分析预测终端消费者需求，为客户提供数据增值服务；另一方面，通过现代化地网（包括收派资源平台、智能柜等）、 智能云仓和自动化输送体系为现代制造业、零售业等企业提供精准的端到端物流服务；</w:t>
      </w:r>
    </w:p>
    <w:p>
      <w:pPr>
        <w:pStyle w:val="Style11"/>
        <w:keepNext w:val="0"/>
        <w:keepLines w:val="0"/>
        <w:widowControl w:val="0"/>
        <w:numPr>
          <w:ilvl w:val="0"/>
          <w:numId w:val="7"/>
        </w:numPr>
        <w:shd w:val="clear" w:color="auto" w:fill="auto"/>
        <w:tabs>
          <w:tab w:pos="663" w:val="left"/>
        </w:tabs>
        <w:bidi w:val="0"/>
        <w:spacing w:before="0" w:line="463" w:lineRule="exact"/>
        <w:ind w:left="0" w:right="0" w:firstLine="360"/>
        <w:jc w:val="both"/>
      </w:pPr>
      <w:bookmarkStart w:id="196" w:name="bookmark196"/>
      <w:bookmarkEnd w:id="196"/>
      <w:r>
        <w:rPr>
          <w:color w:val="000000"/>
          <w:spacing w:val="0"/>
          <w:w w:val="100"/>
          <w:position w:val="0"/>
        </w:rPr>
        <w:t>最后一公里社区速配资源整合：公司将联手顺丰商业、丰巢科技等具有丰富社区资源的企业，利用网点资源与新一代 智能柜，提高社区速配资源的覆盖率，为更多客户提供方便、灵活的自寄自取服务，进一步树立公司优异的品牌形象与市场 口碑。</w:t>
      </w:r>
    </w:p>
    <w:p>
      <w:pPr>
        <w:pStyle w:val="Style11"/>
        <w:keepNext w:val="0"/>
        <w:keepLines w:val="0"/>
        <w:widowControl w:val="0"/>
        <w:numPr>
          <w:ilvl w:val="0"/>
          <w:numId w:val="7"/>
        </w:numPr>
        <w:shd w:val="clear" w:color="auto" w:fill="auto"/>
        <w:bidi w:val="0"/>
        <w:spacing w:before="0" w:line="468" w:lineRule="exact"/>
        <w:ind w:left="0" w:right="0" w:firstLine="280"/>
        <w:jc w:val="both"/>
      </w:pPr>
      <w:bookmarkStart w:id="197" w:name="bookmark197"/>
      <w:bookmarkEnd w:id="197"/>
      <w:r>
        <w:rPr>
          <w:color w:val="000000"/>
          <w:spacing w:val="0"/>
          <w:w w:val="100"/>
          <w:position w:val="0"/>
        </w:rPr>
        <w:t>加大智能物流技术投入：公司将持续加大自动化物流设备、大数据/云计算等新一代计算机技术、新一代智能交互设备 及无人机等设备的投入，提前布局前瞻性物流信息化技术，保持公司在信息化技术领域的前沿性，以支持未来快递物流业务 的进一步增长。</w:t>
      </w:r>
    </w:p>
    <w:p>
      <w:pPr>
        <w:pStyle w:val="Style11"/>
        <w:keepNext w:val="0"/>
        <w:keepLines w:val="0"/>
        <w:widowControl w:val="0"/>
        <w:shd w:val="clear" w:color="auto" w:fill="auto"/>
        <w:tabs>
          <w:tab w:pos="481" w:val="left"/>
        </w:tabs>
        <w:bidi w:val="0"/>
        <w:spacing w:before="0" w:after="40" w:line="468" w:lineRule="exact"/>
        <w:ind w:left="0" w:right="0" w:firstLine="0"/>
        <w:jc w:val="left"/>
      </w:pPr>
      <w:bookmarkStart w:id="198" w:name="bookmark198"/>
      <w:r>
        <w:rPr>
          <w:b/>
          <w:bCs/>
          <w:color w:val="000000"/>
          <w:spacing w:val="0"/>
          <w:w w:val="100"/>
          <w:position w:val="0"/>
        </w:rPr>
        <w:t>（</w:t>
      </w:r>
      <w:bookmarkEnd w:id="198"/>
      <w:r>
        <w:rPr>
          <w:b/>
          <w:bCs/>
          <w:color w:val="000000"/>
          <w:spacing w:val="0"/>
          <w:w w:val="100"/>
          <w:position w:val="0"/>
        </w:rPr>
        <w:t>三）</w:t>
        <w:tab/>
        <w:t>公司未来重点经营计划</w:t>
      </w:r>
    </w:p>
    <w:p>
      <w:pPr>
        <w:pStyle w:val="Style11"/>
        <w:keepNext w:val="0"/>
        <w:keepLines w:val="0"/>
        <w:widowControl w:val="0"/>
        <w:shd w:val="clear" w:color="auto" w:fill="auto"/>
        <w:bidi w:val="0"/>
        <w:spacing w:before="0" w:after="40" w:line="467" w:lineRule="exact"/>
        <w:ind w:left="0" w:right="0" w:firstLine="460"/>
        <w:jc w:val="both"/>
      </w:pPr>
      <w:r>
        <w:rPr>
          <w:b/>
          <w:bCs/>
          <w:color w:val="000000"/>
          <w:spacing w:val="0"/>
          <w:w w:val="100"/>
          <w:position w:val="0"/>
        </w:rPr>
        <w:t>进一步优化产品体系，提高性价比</w:t>
      </w:r>
      <w:r>
        <w:rPr>
          <w:color w:val="000000"/>
          <w:spacing w:val="0"/>
          <w:w w:val="100"/>
          <w:position w:val="0"/>
        </w:rPr>
        <w:t>。公司现有较为丰富的产品体系，包含商务快递、电商快递等多种快递产品，物流普 运、重货快运等重货运输产品，以及食品和医药领域的冷链运输产品。未来，一方面，公司将进一步优化时效产品体系，实 现精准时效承诺，扩大产品时效优势，牵引传统业务稳定快速增长；另一方面，深入以客户需求为中心，优化冷运、同城配、 重货、国际等细分市场产品体系，提升客户全流程客户体验，快速捕捉未来良好市场发展机遇。</w:t>
      </w:r>
    </w:p>
    <w:p>
      <w:pPr>
        <w:pStyle w:val="Style11"/>
        <w:keepNext w:val="0"/>
        <w:keepLines w:val="0"/>
        <w:widowControl w:val="0"/>
        <w:shd w:val="clear" w:color="auto" w:fill="auto"/>
        <w:bidi w:val="0"/>
        <w:spacing w:before="0" w:after="40" w:line="469" w:lineRule="exact"/>
        <w:ind w:left="0" w:right="0" w:firstLine="460"/>
        <w:jc w:val="both"/>
      </w:pPr>
      <w:r>
        <w:rPr>
          <w:b/>
          <w:bCs/>
          <w:color w:val="000000"/>
          <w:spacing w:val="0"/>
          <w:w w:val="100"/>
          <w:position w:val="0"/>
        </w:rPr>
        <w:t>资源合理投放，提升投资回报率。</w:t>
      </w:r>
      <w:r>
        <w:rPr>
          <w:color w:val="000000"/>
          <w:spacing w:val="0"/>
          <w:w w:val="100"/>
          <w:position w:val="0"/>
        </w:rPr>
        <w:t>快递行业是一个网络化+规模化的行业，顺丰控股作为快递龙头企业，截至报告期末， 为公司服务的自有、派遣及外包员工超过</w:t>
      </w:r>
      <w:r>
        <w:rPr>
          <w:color w:val="000000"/>
          <w:spacing w:val="0"/>
          <w:w w:val="100"/>
          <w:position w:val="0"/>
          <w:sz w:val="18"/>
          <w:szCs w:val="18"/>
        </w:rPr>
        <w:t>40</w:t>
      </w:r>
      <w:r>
        <w:rPr>
          <w:color w:val="000000"/>
          <w:spacing w:val="0"/>
          <w:w w:val="100"/>
          <w:position w:val="0"/>
        </w:rPr>
        <w:t>万人，网点数量近</w:t>
      </w:r>
      <w:r>
        <w:rPr>
          <w:color w:val="000000"/>
          <w:spacing w:val="0"/>
          <w:w w:val="100"/>
          <w:position w:val="0"/>
          <w:sz w:val="18"/>
          <w:szCs w:val="18"/>
        </w:rPr>
        <w:t>13000</w:t>
      </w:r>
      <w:r>
        <w:rPr>
          <w:color w:val="000000"/>
          <w:spacing w:val="0"/>
          <w:w w:val="100"/>
          <w:position w:val="0"/>
        </w:rPr>
        <w:t>个，线路</w:t>
      </w:r>
      <w:r>
        <w:rPr>
          <w:color w:val="000000"/>
          <w:spacing w:val="0"/>
          <w:w w:val="100"/>
          <w:position w:val="0"/>
          <w:sz w:val="18"/>
          <w:szCs w:val="18"/>
        </w:rPr>
        <w:t>78000</w:t>
      </w:r>
      <w:r>
        <w:rPr>
          <w:color w:val="000000"/>
          <w:spacing w:val="0"/>
          <w:w w:val="100"/>
          <w:position w:val="0"/>
        </w:rPr>
        <w:t>多条、自有及包机数量</w:t>
      </w:r>
      <w:r>
        <w:rPr>
          <w:color w:val="000000"/>
          <w:spacing w:val="0"/>
          <w:w w:val="100"/>
          <w:position w:val="0"/>
          <w:sz w:val="18"/>
          <w:szCs w:val="18"/>
        </w:rPr>
        <w:t>51</w:t>
      </w:r>
      <w:r>
        <w:rPr>
          <w:color w:val="000000"/>
          <w:spacing w:val="0"/>
          <w:w w:val="100"/>
          <w:position w:val="0"/>
        </w:rPr>
        <w:t>架、自有车 辆近</w:t>
      </w:r>
      <w:r>
        <w:rPr>
          <w:color w:val="000000"/>
          <w:spacing w:val="0"/>
          <w:w w:val="100"/>
          <w:position w:val="0"/>
          <w:sz w:val="18"/>
          <w:szCs w:val="18"/>
        </w:rPr>
        <w:t>16000</w:t>
      </w:r>
      <w:r>
        <w:rPr>
          <w:color w:val="000000"/>
          <w:spacing w:val="0"/>
          <w:w w:val="100"/>
          <w:position w:val="0"/>
        </w:rPr>
        <w:t>台，报告期内，公司营业成本高达</w:t>
      </w:r>
      <w:r>
        <w:rPr>
          <w:color w:val="000000"/>
          <w:spacing w:val="0"/>
          <w:w w:val="100"/>
          <w:position w:val="0"/>
          <w:sz w:val="18"/>
          <w:szCs w:val="18"/>
        </w:rPr>
        <w:t>461.65</w:t>
      </w:r>
      <w:r>
        <w:rPr>
          <w:color w:val="000000"/>
          <w:spacing w:val="0"/>
          <w:w w:val="100"/>
          <w:position w:val="0"/>
        </w:rPr>
        <w:t>亿元，占营业收入比例</w:t>
      </w:r>
      <w:r>
        <w:rPr>
          <w:color w:val="000000"/>
          <w:spacing w:val="0"/>
          <w:w w:val="100"/>
          <w:position w:val="0"/>
          <w:sz w:val="18"/>
          <w:szCs w:val="18"/>
        </w:rPr>
        <w:t>80.31%</w:t>
      </w:r>
      <w:r>
        <w:rPr>
          <w:color w:val="000000"/>
          <w:spacing w:val="0"/>
          <w:w w:val="100"/>
          <w:position w:val="0"/>
        </w:rPr>
        <w:t>。同时，快递行业具有很强的季节性， 波峰波谷对资源投入量差异极大，对业务应变的灵敏性要求极高。公司现有的庞大网络、成本规模、以及快递行业本身的季 节性，决定了如何合理投放资源是公司提升盈利能力的关键。未来，公司将深入优化“资源投入与利润平衡”的动态调整机 制，完善基于业务量变动的成本利润测算预警模型，根据利润空间及对资源的需求与重要次序，进行合理分配，并根据业务 量实时情况，动态修正。</w:t>
      </w:r>
    </w:p>
    <w:p>
      <w:pPr>
        <w:pStyle w:val="Style11"/>
        <w:keepNext w:val="0"/>
        <w:keepLines w:val="0"/>
        <w:widowControl w:val="0"/>
        <w:shd w:val="clear" w:color="auto" w:fill="auto"/>
        <w:bidi w:val="0"/>
        <w:spacing w:before="0" w:after="40" w:line="468" w:lineRule="exact"/>
        <w:ind w:left="0" w:right="0"/>
        <w:jc w:val="left"/>
      </w:pPr>
      <w:r>
        <w:rPr>
          <w:b/>
          <w:bCs/>
          <w:color w:val="000000"/>
          <w:spacing w:val="0"/>
          <w:w w:val="100"/>
          <w:position w:val="0"/>
        </w:rPr>
        <w:t>持续深入底盘优化和系统革新</w:t>
      </w:r>
      <w:r>
        <w:rPr>
          <w:color w:val="000000"/>
          <w:spacing w:val="0"/>
          <w:w w:val="100"/>
          <w:position w:val="0"/>
        </w:rPr>
        <w:t>。公司将持续在底盘结构优化、系统工具革新等方面进行精准有效的管理，具体包括：</w:t>
      </w:r>
      <w:r>
        <w:rPr>
          <w:color w:val="000000"/>
          <w:spacing w:val="0"/>
          <w:w w:val="100"/>
          <w:position w:val="0"/>
          <w:sz w:val="18"/>
          <w:szCs w:val="18"/>
        </w:rPr>
        <w:t xml:space="preserve">1） </w:t>
      </w:r>
      <w:r>
        <w:rPr>
          <w:b/>
          <w:bCs/>
          <w:color w:val="000000"/>
          <w:spacing w:val="0"/>
          <w:w w:val="100"/>
          <w:position w:val="0"/>
        </w:rPr>
        <w:t>科学网点布局</w:t>
      </w:r>
      <w:r>
        <w:rPr>
          <w:color w:val="000000"/>
          <w:spacing w:val="0"/>
          <w:w w:val="100"/>
          <w:position w:val="0"/>
        </w:rPr>
        <w:t>：根据区域特性及各类型网点服务能力，更合理地整合和布局网点资源，提高网点规划合理性，实现末端服务 网点的精准投入，进一步提升区域覆盖率和科学性。</w:t>
      </w:r>
      <w:r>
        <w:rPr>
          <w:color w:val="000000"/>
          <w:spacing w:val="0"/>
          <w:w w:val="100"/>
          <w:position w:val="0"/>
          <w:sz w:val="18"/>
          <w:szCs w:val="18"/>
        </w:rPr>
        <w:t>2）</w:t>
      </w:r>
      <w:r>
        <w:rPr>
          <w:b/>
          <w:bCs/>
          <w:color w:val="000000"/>
          <w:spacing w:val="0"/>
          <w:w w:val="100"/>
          <w:position w:val="0"/>
        </w:rPr>
        <w:t>进一步提升物流智能化水平</w:t>
      </w:r>
      <w:r>
        <w:rPr>
          <w:color w:val="000000"/>
          <w:spacing w:val="0"/>
          <w:w w:val="100"/>
          <w:position w:val="0"/>
        </w:rPr>
        <w:t>：</w:t>
      </w:r>
      <w:r>
        <w:rPr>
          <w:b/>
          <w:bCs/>
          <w:color w:val="000000"/>
          <w:spacing w:val="0"/>
          <w:w w:val="100"/>
          <w:position w:val="0"/>
        </w:rPr>
        <w:t>收派环节</w:t>
      </w:r>
      <w:r>
        <w:rPr>
          <w:color w:val="000000"/>
          <w:spacing w:val="0"/>
          <w:w w:val="100"/>
          <w:position w:val="0"/>
        </w:rPr>
        <w:t>：持续推动快件在收派端操作 流程的标准化、系统化、信息化和智能化，并在符合国家法律法规的前提下，优化用工模式，在绿色环保方面，持续推进新 能源车辆、电子运单、包材研发等工作。</w:t>
      </w:r>
      <w:r>
        <w:rPr>
          <w:b/>
          <w:bCs/>
          <w:color w:val="000000"/>
          <w:spacing w:val="0"/>
          <w:w w:val="100"/>
          <w:position w:val="0"/>
        </w:rPr>
        <w:t>中转环节</w:t>
      </w:r>
      <w:r>
        <w:rPr>
          <w:color w:val="000000"/>
          <w:spacing w:val="0"/>
          <w:w w:val="100"/>
          <w:position w:val="0"/>
        </w:rPr>
        <w:t>：运用先进的物流地址库识别技术实现快件自动识别快件，研究并开发中 转各环节智能化分拣工具设备，同时研究运用无线射频技术</w:t>
      </w:r>
      <w:r>
        <w:rPr>
          <w:color w:val="000000"/>
          <w:spacing w:val="0"/>
          <w:w w:val="100"/>
          <w:position w:val="0"/>
          <w:sz w:val="18"/>
          <w:szCs w:val="18"/>
        </w:rPr>
        <w:t>（RFID</w:t>
      </w:r>
      <w:r>
        <w:rPr>
          <w:color w:val="000000"/>
          <w:spacing w:val="0"/>
          <w:w w:val="100"/>
          <w:position w:val="0"/>
          <w:sz w:val="18"/>
          <w:szCs w:val="18"/>
        </w:rPr>
        <w:t>）</w:t>
      </w:r>
      <w:r>
        <w:rPr>
          <w:color w:val="000000"/>
          <w:spacing w:val="0"/>
          <w:w w:val="100"/>
          <w:position w:val="0"/>
        </w:rPr>
        <w:t>自动分拣快件，以提升快件中转效率。</w:t>
      </w:r>
      <w:r>
        <w:rPr>
          <w:b/>
          <w:bCs/>
          <w:color w:val="000000"/>
          <w:spacing w:val="0"/>
          <w:w w:val="100"/>
          <w:position w:val="0"/>
        </w:rPr>
        <w:t>运输环节</w:t>
      </w:r>
      <w:r>
        <w:rPr>
          <w:color w:val="000000"/>
          <w:spacing w:val="0"/>
          <w:w w:val="100"/>
          <w:position w:val="0"/>
          <w:sz w:val="18"/>
          <w:szCs w:val="18"/>
        </w:rPr>
        <w:t>：</w:t>
      </w:r>
      <w:r>
        <w:rPr>
          <w:color w:val="000000"/>
          <w:spacing w:val="0"/>
          <w:w w:val="100"/>
          <w:position w:val="0"/>
        </w:rPr>
        <w:t>结合 产品、时效、成本、区域等综合因素，有效整合航空、公路、铁路资源、合理规划，实现运力投入智能化、运能管理系统化 和效益最大化。</w:t>
      </w:r>
    </w:p>
    <w:p>
      <w:pPr>
        <w:pStyle w:val="Style11"/>
        <w:keepNext w:val="0"/>
        <w:keepLines w:val="0"/>
        <w:widowControl w:val="0"/>
        <w:shd w:val="clear" w:color="auto" w:fill="auto"/>
        <w:tabs>
          <w:tab w:pos="486" w:val="left"/>
        </w:tabs>
        <w:bidi w:val="0"/>
        <w:spacing w:before="0" w:after="40" w:line="468" w:lineRule="exact"/>
        <w:ind w:left="0" w:right="0" w:firstLine="0"/>
        <w:jc w:val="left"/>
      </w:pPr>
      <w:bookmarkStart w:id="199" w:name="bookmark199"/>
      <w:r>
        <w:rPr>
          <w:b/>
          <w:bCs/>
          <w:color w:val="000000"/>
          <w:spacing w:val="0"/>
          <w:w w:val="100"/>
          <w:position w:val="0"/>
        </w:rPr>
        <w:t>（</w:t>
      </w:r>
      <w:bookmarkEnd w:id="199"/>
      <w:r>
        <w:rPr>
          <w:b/>
          <w:bCs/>
          <w:color w:val="000000"/>
          <w:spacing w:val="0"/>
          <w:w w:val="100"/>
          <w:position w:val="0"/>
        </w:rPr>
        <w:t>四）</w:t>
        <w:tab/>
        <w:t>可能面临的风险及应对措施</w:t>
      </w:r>
    </w:p>
    <w:p>
      <w:pPr>
        <w:pStyle w:val="Style11"/>
        <w:keepNext w:val="0"/>
        <w:keepLines w:val="0"/>
        <w:widowControl w:val="0"/>
        <w:shd w:val="clear" w:color="auto" w:fill="auto"/>
        <w:bidi w:val="0"/>
        <w:spacing w:before="0" w:after="40" w:line="468" w:lineRule="exact"/>
        <w:ind w:left="0" w:right="0" w:firstLine="460"/>
        <w:jc w:val="both"/>
      </w:pPr>
      <w:bookmarkStart w:id="200" w:name="bookmark200"/>
      <w:r>
        <w:rPr>
          <w:b/>
          <w:bCs/>
          <w:color w:val="000000"/>
          <w:spacing w:val="0"/>
          <w:w w:val="100"/>
          <w:position w:val="0"/>
        </w:rPr>
        <w:t>1</w:t>
      </w:r>
      <w:bookmarkEnd w:id="200"/>
      <w:r>
        <w:rPr>
          <w:b/>
          <w:bCs/>
          <w:color w:val="000000"/>
          <w:spacing w:val="0"/>
          <w:w w:val="100"/>
          <w:position w:val="0"/>
        </w:rPr>
        <w:t>、市场风险</w:t>
      </w:r>
    </w:p>
    <w:p>
      <w:pPr>
        <w:pStyle w:val="Style11"/>
        <w:keepNext w:val="0"/>
        <w:keepLines w:val="0"/>
        <w:widowControl w:val="0"/>
        <w:shd w:val="clear" w:color="auto" w:fill="auto"/>
        <w:bidi w:val="0"/>
        <w:spacing w:before="0" w:after="40" w:line="466" w:lineRule="exact"/>
        <w:ind w:left="0" w:right="0" w:firstLine="460"/>
        <w:jc w:val="both"/>
      </w:pPr>
      <w:r>
        <w:rPr>
          <w:color w:val="000000"/>
          <w:spacing w:val="0"/>
          <w:w w:val="100"/>
          <w:position w:val="0"/>
        </w:rPr>
        <w:t>宏观经济波动的风险。物流行业对国民经济的发展具有重要的基础作用，同时也明显受到宏观经济状况的影响。近年来， 我国宏观经济增速放缓，并处在经济结构的转型期，未来的发展仍然面临较为复杂的局面。未来宏观经济的波动，将对我国 物流行业的整体发展状况以及顺丰控股的业绩情况产生一定影响。</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rPr>
        <w:t>市场竞争导致的风险。我国快递物流行业的市场竞争已较为激烈。一方面，居行业前列的快递物流企业不断通过各种方 式，努力扩大自己的业务和网络范围。另一方面，电子商务企业、社会资本等外部力量正加速进入快递物流行业，进一步加 剧了市场的竞争。若公司不能采取积极有效的措施应对不断变化的市场竞争格局，将可能面临业务增长放缓及市场份额下降 的风险。</w:t>
      </w:r>
    </w:p>
    <w:p>
      <w:pPr>
        <w:pStyle w:val="Style11"/>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新业务形态变化导致的风险。近年来，随着信息技术的快速发展，互联网经济模式对社会生活方方面面的影响愈发明显。 在快递行业内，一些信息平台型的企业，已陆续涌现。该类企业通过对供需双方信息的快速匹配和有效管理，能够快速聚集 并利用社会运力，为客户提供相应的服务，从而对快递行业的传统经营模式产生一定影响。</w:t>
      </w:r>
    </w:p>
    <w:p>
      <w:pPr>
        <w:pStyle w:val="Style11"/>
        <w:keepNext w:val="0"/>
        <w:keepLines w:val="0"/>
        <w:widowControl w:val="0"/>
        <w:shd w:val="clear" w:color="auto" w:fill="auto"/>
        <w:tabs>
          <w:tab w:pos="669" w:val="left"/>
        </w:tabs>
        <w:bidi w:val="0"/>
        <w:spacing w:before="0" w:line="467" w:lineRule="exact"/>
        <w:ind w:left="0" w:right="0"/>
        <w:jc w:val="both"/>
      </w:pPr>
      <w:bookmarkStart w:id="201" w:name="bookmark201"/>
      <w:r>
        <w:rPr>
          <w:b/>
          <w:bCs/>
          <w:color w:val="000000"/>
          <w:spacing w:val="0"/>
          <w:w w:val="100"/>
          <w:position w:val="0"/>
        </w:rPr>
        <w:t>2</w:t>
      </w:r>
      <w:bookmarkEnd w:id="201"/>
      <w:r>
        <w:rPr>
          <w:b/>
          <w:bCs/>
          <w:color w:val="000000"/>
          <w:spacing w:val="0"/>
          <w:w w:val="100"/>
          <w:position w:val="0"/>
        </w:rPr>
        <w:t>、</w:t>
        <w:tab/>
        <w:t>政策风险</w:t>
      </w:r>
    </w:p>
    <w:p>
      <w:pPr>
        <w:pStyle w:val="Style11"/>
        <w:keepNext w:val="0"/>
        <w:keepLines w:val="0"/>
        <w:widowControl w:val="0"/>
        <w:shd w:val="clear" w:color="auto" w:fill="auto"/>
        <w:bidi w:val="0"/>
        <w:spacing w:before="0" w:line="470" w:lineRule="exact"/>
        <w:ind w:left="0" w:right="0"/>
        <w:jc w:val="both"/>
      </w:pPr>
      <w:r>
        <w:rPr>
          <w:b/>
          <w:bCs/>
          <w:color w:val="000000"/>
          <w:spacing w:val="0"/>
          <w:w w:val="100"/>
          <w:position w:val="0"/>
        </w:rPr>
        <w:t>行业监管法规及产业政策变化的风险。</w:t>
      </w:r>
      <w:r>
        <w:rPr>
          <w:color w:val="000000"/>
          <w:spacing w:val="0"/>
          <w:w w:val="100"/>
          <w:position w:val="0"/>
        </w:rPr>
        <w:t>快递业务属于许可经营类项目，受《邮政法》、《快递业务经营许可管理办法》、《快 递市场管理办法》、《快递服务》行业标准与《快递业务操作指导规范》等法律规范、行政规章的监管与行业标准的约束。为 支持快递行业发展，各级主管部门陆续出台了多项产业扶持和鼓励政策。但如果未来相关法律法规或产业政策存在重大变化 或调整，将可能对快递行业发展趋势及市场竞争格局产生影响，从而可能影响公司未来的业务开展及业绩情况。</w:t>
      </w:r>
    </w:p>
    <w:p>
      <w:pPr>
        <w:pStyle w:val="Style11"/>
        <w:keepNext w:val="0"/>
        <w:keepLines w:val="0"/>
        <w:widowControl w:val="0"/>
        <w:shd w:val="clear" w:color="auto" w:fill="auto"/>
        <w:bidi w:val="0"/>
        <w:spacing w:before="0" w:line="466" w:lineRule="exact"/>
        <w:ind w:left="0" w:right="0"/>
        <w:jc w:val="both"/>
      </w:pPr>
      <w:r>
        <w:rPr>
          <w:b/>
          <w:bCs/>
          <w:color w:val="000000"/>
          <w:spacing w:val="0"/>
          <w:w w:val="100"/>
          <w:position w:val="0"/>
        </w:rPr>
        <w:t>国家环保及节能减排相关政策的风险。</w:t>
      </w:r>
      <w:r>
        <w:rPr>
          <w:color w:val="000000"/>
          <w:spacing w:val="0"/>
          <w:w w:val="100"/>
          <w:position w:val="0"/>
        </w:rPr>
        <w:t>各种类型及型号的机动车辆为快递公司运输工具的重要组成部分。随着我国环保 及节能减排相关政策力度的日益加大，可能导致快递行业公司在环保及节能减排等相关方面费用支出增加，从而也同样对公 司的未来业绩产生影响。</w:t>
      </w:r>
    </w:p>
    <w:p>
      <w:pPr>
        <w:pStyle w:val="Style11"/>
        <w:keepNext w:val="0"/>
        <w:keepLines w:val="0"/>
        <w:widowControl w:val="0"/>
        <w:shd w:val="clear" w:color="auto" w:fill="auto"/>
        <w:tabs>
          <w:tab w:pos="669" w:val="left"/>
        </w:tabs>
        <w:bidi w:val="0"/>
        <w:spacing w:before="0" w:line="467" w:lineRule="exact"/>
        <w:ind w:left="0" w:right="0"/>
        <w:jc w:val="both"/>
      </w:pPr>
      <w:bookmarkStart w:id="202" w:name="bookmark202"/>
      <w:r>
        <w:rPr>
          <w:b/>
          <w:bCs/>
          <w:color w:val="000000"/>
          <w:spacing w:val="0"/>
          <w:w w:val="100"/>
          <w:position w:val="0"/>
        </w:rPr>
        <w:t>3</w:t>
      </w:r>
      <w:bookmarkEnd w:id="202"/>
      <w:r>
        <w:rPr>
          <w:b/>
          <w:bCs/>
          <w:color w:val="000000"/>
          <w:spacing w:val="0"/>
          <w:w w:val="100"/>
          <w:position w:val="0"/>
        </w:rPr>
        <w:t>、</w:t>
        <w:tab/>
        <w:t>经营风险</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成本上升的风险。快递行业属于劳动密集型行业，在揽件、分拣、转运、投递等各个操作环节均有较大的人工需求。随 着我国人口结构的变化，人力成本存在一定的上升压力。同时，场地租赁等成本也在不断增长。如果未来公司不能获得足够 的业务量或无法有效地管控成本投入，将可能对未来的业绩增长带来一定的压力。</w:t>
      </w:r>
    </w:p>
    <w:p>
      <w:pPr>
        <w:pStyle w:val="Style11"/>
        <w:keepNext w:val="0"/>
        <w:keepLines w:val="0"/>
        <w:widowControl w:val="0"/>
        <w:shd w:val="clear" w:color="auto" w:fill="auto"/>
        <w:bidi w:val="0"/>
        <w:spacing w:before="0" w:line="468" w:lineRule="exact"/>
        <w:ind w:left="0" w:right="0"/>
        <w:jc w:val="both"/>
      </w:pPr>
      <w:r>
        <w:rPr>
          <w:color w:val="000000"/>
          <w:spacing w:val="0"/>
          <w:w w:val="100"/>
          <w:position w:val="0"/>
        </w:rPr>
        <w:t>运输安全事故的风险。运输安全事故是快递物流行业的风险之一。公司已为各类运输工具按照国家规定投保相应的保险， 可在一定程度上减少运输安全事故发生后的赔偿支出，但若保险赔付金额无法完全覆盖事故赔偿，将可能发生额外支出，也 可能对公司市场声誉、客户关系造成一定的不利影响。</w:t>
      </w:r>
    </w:p>
    <w:p>
      <w:pPr>
        <w:pStyle w:val="Style11"/>
        <w:keepNext w:val="0"/>
        <w:keepLines w:val="0"/>
        <w:widowControl w:val="0"/>
        <w:shd w:val="clear" w:color="auto" w:fill="auto"/>
        <w:bidi w:val="0"/>
        <w:spacing w:before="0" w:line="467" w:lineRule="exact"/>
        <w:ind w:left="0" w:right="0"/>
        <w:jc w:val="both"/>
      </w:pPr>
      <w:r>
        <w:rPr>
          <w:color w:val="000000"/>
          <w:spacing w:val="0"/>
          <w:w w:val="100"/>
          <w:position w:val="0"/>
        </w:rPr>
        <w:t>燃油价格波动风险。运输成本是快递行业的主要成本，而燃油成本又是运输成本的重要组成部分，燃油价格的波动将会 对快递企业的利润水平造成一定影响。若未来燃油价格大幅上涨，公司将存在一定的成本上升压力。但从整体看，由于整体 运输成本占公司整体营业成本占比不高，而燃油成本又是运输成本的一部分，因此，燃油价格波动对营业成本的影响相对有 限。同时，公司将通过进一步优化线路规划的科学性、提高线路装载率，通过提升资源使用效率来降低燃油价格波动可能产 生的风险。</w:t>
      </w:r>
    </w:p>
    <w:p>
      <w:pPr>
        <w:pStyle w:val="Style11"/>
        <w:keepNext w:val="0"/>
        <w:keepLines w:val="0"/>
        <w:widowControl w:val="0"/>
        <w:shd w:val="clear" w:color="auto" w:fill="auto"/>
        <w:bidi w:val="0"/>
        <w:spacing w:before="0" w:line="469" w:lineRule="exact"/>
        <w:ind w:left="0" w:right="0" w:firstLine="360"/>
        <w:jc w:val="both"/>
      </w:pPr>
      <w:bookmarkStart w:id="203" w:name="bookmark203"/>
      <w:r>
        <w:rPr>
          <w:b/>
          <w:bCs/>
          <w:color w:val="000000"/>
          <w:spacing w:val="0"/>
          <w:w w:val="100"/>
          <w:position w:val="0"/>
        </w:rPr>
        <w:t>4</w:t>
      </w:r>
      <w:bookmarkEnd w:id="203"/>
      <w:r>
        <w:rPr>
          <w:b/>
          <w:bCs/>
          <w:color w:val="000000"/>
          <w:spacing w:val="0"/>
          <w:w w:val="100"/>
          <w:position w:val="0"/>
        </w:rPr>
        <w:t>、汇率波动风险</w:t>
      </w:r>
    </w:p>
    <w:p>
      <w:pPr>
        <w:pStyle w:val="Style11"/>
        <w:keepNext w:val="0"/>
        <w:keepLines w:val="0"/>
        <w:widowControl w:val="0"/>
        <w:shd w:val="clear" w:color="auto" w:fill="auto"/>
        <w:bidi w:val="0"/>
        <w:spacing w:before="0" w:line="473" w:lineRule="exact"/>
        <w:ind w:left="0" w:right="0" w:firstLine="360"/>
        <w:jc w:val="both"/>
      </w:pPr>
      <w:r>
        <w:rPr>
          <w:color w:val="000000"/>
          <w:spacing w:val="0"/>
          <w:w w:val="100"/>
          <w:position w:val="0"/>
        </w:rPr>
        <w:t>目前，公司已开通美国、日本、韩国、新加坡等国的快递服务，以及多个国家和地区的跨境</w:t>
      </w:r>
      <w:r>
        <w:rPr>
          <w:color w:val="000000"/>
          <w:spacing w:val="0"/>
          <w:w w:val="100"/>
          <w:position w:val="0"/>
          <w:sz w:val="18"/>
          <w:szCs w:val="18"/>
        </w:rPr>
        <w:t>B2C</w:t>
      </w:r>
      <w:r>
        <w:rPr>
          <w:color w:val="000000"/>
          <w:spacing w:val="0"/>
          <w:w w:val="100"/>
          <w:position w:val="0"/>
        </w:rPr>
        <w:t>和电商专递业务。未来， 随着顺丰控股海外业务的发展，以外币计价的收入占总收入的比重也会逐渐增加。鉴于国际金融环境及人民币汇率波动的不 确定性，以外币计值的应收和应付款项可能会产生汇兑损失，对公司的持续盈利能力可能造成一定影响。</w:t>
      </w:r>
    </w:p>
    <w:p>
      <w:pPr>
        <w:pStyle w:val="Style11"/>
        <w:keepNext w:val="0"/>
        <w:keepLines w:val="0"/>
        <w:widowControl w:val="0"/>
        <w:shd w:val="clear" w:color="auto" w:fill="auto"/>
        <w:bidi w:val="0"/>
        <w:spacing w:before="0" w:line="475" w:lineRule="exact"/>
        <w:ind w:left="0" w:right="0" w:firstLine="440"/>
        <w:jc w:val="both"/>
      </w:pPr>
      <w:r>
        <w:rPr>
          <w:color w:val="000000"/>
          <w:spacing w:val="0"/>
          <w:w w:val="100"/>
          <w:position w:val="0"/>
        </w:rPr>
        <w:t>公司的外汇交易主要基于跨境业务需求。为了规避及防范汇率及利率波动风险，更好地管理公司的外币头寸，公司已建 立《套期保值业务管理制度》，对外币头寸进行集中管理，以收定支，尽量达到自然对冲。</w:t>
      </w:r>
    </w:p>
    <w:p>
      <w:pPr>
        <w:pStyle w:val="Style11"/>
        <w:keepNext w:val="0"/>
        <w:keepLines w:val="0"/>
        <w:widowControl w:val="0"/>
        <w:shd w:val="clear" w:color="auto" w:fill="auto"/>
        <w:bidi w:val="0"/>
        <w:spacing w:before="0" w:line="468" w:lineRule="exact"/>
        <w:ind w:left="0" w:right="0" w:firstLine="440"/>
        <w:jc w:val="both"/>
      </w:pPr>
      <w:r>
        <w:rPr>
          <w:color w:val="000000"/>
          <w:spacing w:val="0"/>
          <w:w w:val="100"/>
          <w:position w:val="0"/>
        </w:rPr>
        <w:t>公司在选择外汇套期保值产品时，选择违约风险低、风险可控、以规避和锁定汇率风险和利率成本为目的的产品。同时， 加强对汇率利率研究分析，实时关注国际市场环境变化，及时预警并采取应对措施。公司仅与实力较好的境内外大型商业银 行开展外汇交易业务，并严格按照授权规定进行操作，保证有效执行，减少波动对公司经营及损益带来的影响。</w:t>
      </w:r>
    </w:p>
    <w:p>
      <w:pPr>
        <w:pStyle w:val="Style11"/>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此外，公司已建立一整套全面风险管控体系，密切监控和研究宏观经济、行业发展趋势以及政策法规出台情况，前瞻性 规划和调整相关布局，降低外在环境变化对自身业务的影响。同时，通过不断创新优化，提高公司的科技化、智能化水平， 提升资源使用效率、降低成本，以更强的业务能力和盈利水平预防和应对上述可能产生的各种风险，避免对公司正常经营和 未来发展产生不利影响。</w:t>
      </w:r>
    </w:p>
    <w:p>
      <w:pPr>
        <w:pStyle w:val="Style27"/>
        <w:keepNext/>
        <w:keepLines/>
        <w:widowControl w:val="0"/>
        <w:shd w:val="clear" w:color="auto" w:fill="auto"/>
        <w:bidi w:val="0"/>
        <w:spacing w:before="0" w:after="360" w:line="240" w:lineRule="auto"/>
        <w:ind w:left="0" w:right="0" w:firstLine="0"/>
        <w:jc w:val="both"/>
      </w:pPr>
      <w:bookmarkStart w:id="204" w:name="bookmark204"/>
      <w:bookmarkStart w:id="205" w:name="bookmark205"/>
      <w:bookmarkStart w:id="206" w:name="bookmark206"/>
      <w:r>
        <w:rPr>
          <w:color w:val="000000"/>
          <w:spacing w:val="0"/>
          <w:w w:val="100"/>
          <w:position w:val="0"/>
          <w:sz w:val="24"/>
          <w:szCs w:val="24"/>
        </w:rPr>
        <w:t>十、接待调研、沟通、采访等活动</w:t>
      </w:r>
      <w:bookmarkEnd w:id="204"/>
      <w:bookmarkEnd w:id="205"/>
      <w:bookmarkEnd w:id="206"/>
    </w:p>
    <w:p>
      <w:pPr>
        <w:pStyle w:val="Style33"/>
        <w:keepNext w:val="0"/>
        <w:keepLines w:val="0"/>
        <w:widowControl w:val="0"/>
        <w:shd w:val="clear" w:color="auto" w:fill="auto"/>
        <w:bidi w:val="0"/>
        <w:spacing w:before="0" w:after="360" w:line="240" w:lineRule="auto"/>
        <w:ind w:left="0" w:right="0" w:firstLine="0"/>
        <w:jc w:val="both"/>
      </w:pPr>
      <w:bookmarkStart w:id="207" w:name="bookmark207"/>
      <w:r>
        <w:rPr>
          <w:rFonts w:ascii="Times New Roman" w:eastAsia="Times New Roman" w:hAnsi="Times New Roman" w:cs="Times New Roman"/>
          <w:color w:val="000000"/>
          <w:spacing w:val="0"/>
          <w:w w:val="100"/>
          <w:position w:val="0"/>
        </w:rPr>
        <w:t>1</w:t>
      </w:r>
      <w:bookmarkEnd w:id="207"/>
      <w:r>
        <w:rPr>
          <w:color w:val="000000"/>
          <w:spacing w:val="0"/>
          <w:w w:val="100"/>
          <w:position w:val="0"/>
        </w:rPr>
        <w:t>、报告期内接待调研、沟通、采访等活动登记表</w:t>
      </w:r>
    </w:p>
    <w:p>
      <w:pPr>
        <w:pStyle w:val="Style1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740" w:firstLine="0"/>
              <w:jc w:val="right"/>
            </w:pPr>
            <w:r>
              <w:rPr>
                <w:color w:val="000000"/>
                <w:spacing w:val="0"/>
                <w:w w:val="100"/>
                <w:position w:val="0"/>
              </w:rPr>
              <w:t>一</w:t>
            </w:r>
          </w:p>
        </w:tc>
      </w:tr>
    </w:tbl>
    <w:p>
      <w:pPr>
        <w:sectPr>
          <w:footnotePr>
            <w:pos w:val="pageBottom"/>
            <w:numFmt w:val="decimal"/>
            <w:numRestart w:val="continuous"/>
          </w:footnotePr>
          <w:pgSz w:w="11900" w:h="16840"/>
          <w:pgMar w:top="1278" w:right="976" w:bottom="1475" w:left="955" w:header="0" w:footer="3" w:gutter="0"/>
          <w:cols w:space="720"/>
          <w:noEndnote/>
          <w:rtlGutter w:val="0"/>
          <w:docGrid w:linePitch="360"/>
        </w:sectPr>
      </w:pPr>
    </w:p>
    <w:p>
      <w:pPr>
        <w:pStyle w:val="Style8"/>
        <w:keepNext/>
        <w:keepLines/>
        <w:widowControl w:val="0"/>
        <w:shd w:val="clear" w:color="auto" w:fill="auto"/>
        <w:bidi w:val="0"/>
        <w:spacing w:before="640" w:line="240" w:lineRule="auto"/>
        <w:ind w:left="0" w:right="0" w:firstLine="0"/>
        <w:jc w:val="center"/>
      </w:pPr>
      <w:bookmarkStart w:id="211" w:name="bookmark211"/>
      <w:bookmarkStart w:id="212" w:name="bookmark212"/>
      <w:bookmarkStart w:id="213" w:name="bookmark213"/>
      <w:r>
        <w:rPr>
          <w:color w:val="000000"/>
          <w:spacing w:val="0"/>
          <w:w w:val="100"/>
          <w:position w:val="0"/>
        </w:rPr>
        <w:t>第五节重要事项</w:t>
      </w:r>
      <w:bookmarkEnd w:id="211"/>
      <w:bookmarkEnd w:id="212"/>
      <w:bookmarkEnd w:id="213"/>
    </w:p>
    <w:p>
      <w:pPr>
        <w:pStyle w:val="Style27"/>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bookmarkStart w:id="218" w:name="bookmark218"/>
      <w:r>
        <w:rPr>
          <w:color w:val="000000"/>
          <w:spacing w:val="0"/>
          <w:w w:val="100"/>
          <w:position w:val="0"/>
          <w:sz w:val="24"/>
          <w:szCs w:val="24"/>
        </w:rPr>
        <w:t>一</w:t>
      </w:r>
      <w:bookmarkEnd w:id="217"/>
      <w:r>
        <w:rPr>
          <w:color w:val="000000"/>
          <w:spacing w:val="0"/>
          <w:w w:val="100"/>
          <w:position w:val="0"/>
          <w:sz w:val="24"/>
          <w:szCs w:val="24"/>
        </w:rPr>
        <w:t>、公司普通股利润分配及资本公积金转增股本情况</w:t>
      </w:r>
      <w:bookmarkEnd w:id="215"/>
      <w:bookmarkEnd w:id="216"/>
      <w:bookmarkEnd w:id="218"/>
      <w:bookmarkEnd w:id="214"/>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440" w:line="470" w:lineRule="exact"/>
        <w:ind w:left="0"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日，公司前身鼎泰新材召开</w:t>
      </w:r>
      <w:r>
        <w:rPr>
          <w:color w:val="000000"/>
          <w:spacing w:val="0"/>
          <w:w w:val="100"/>
          <w:position w:val="0"/>
          <w:sz w:val="18"/>
          <w:szCs w:val="18"/>
        </w:rPr>
        <w:t>2015</w:t>
      </w:r>
      <w:r>
        <w:rPr>
          <w:color w:val="000000"/>
          <w:spacing w:val="0"/>
          <w:w w:val="100"/>
          <w:position w:val="0"/>
        </w:rPr>
        <w:t>年度股东大会，审议通过了</w:t>
      </w:r>
      <w:r>
        <w:rPr>
          <w:color w:val="000000"/>
          <w:spacing w:val="0"/>
          <w:w w:val="100"/>
          <w:position w:val="0"/>
          <w:sz w:val="18"/>
          <w:szCs w:val="18"/>
        </w:rPr>
        <w:t>2015</w:t>
      </w:r>
      <w:r>
        <w:rPr>
          <w:color w:val="000000"/>
          <w:spacing w:val="0"/>
          <w:w w:val="100"/>
          <w:position w:val="0"/>
        </w:rPr>
        <w:t>年度利润分配预案：以总股本</w:t>
      </w:r>
      <w:r>
        <w:rPr>
          <w:color w:val="000000"/>
          <w:spacing w:val="0"/>
          <w:w w:val="100"/>
          <w:position w:val="0"/>
          <w:sz w:val="18"/>
          <w:szCs w:val="18"/>
        </w:rPr>
        <w:t>116,746,170</w:t>
      </w:r>
      <w:r>
        <w:rPr>
          <w:color w:val="000000"/>
          <w:spacing w:val="0"/>
          <w:w w:val="100"/>
          <w:position w:val="0"/>
        </w:rPr>
        <w:t>股 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1.4</w:t>
      </w:r>
      <w:r>
        <w:rPr>
          <w:color w:val="000000"/>
          <w:spacing w:val="0"/>
          <w:w w:val="100"/>
          <w:position w:val="0"/>
        </w:rPr>
        <w:t>元人民币现金（含税），同时以资本公积金向全体股东每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股；本次不送红股。该 利润分配方案已于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11"/>
        <w:keepNext w:val="0"/>
        <w:keepLines w:val="0"/>
        <w:widowControl w:val="0"/>
        <w:shd w:val="clear" w:color="auto" w:fill="auto"/>
        <w:tabs>
          <w:tab w:pos="344" w:val="left"/>
        </w:tabs>
        <w:bidi w:val="0"/>
        <w:spacing w:before="0" w:after="0" w:line="476" w:lineRule="exact"/>
        <w:ind w:left="0" w:right="0" w:firstLine="0"/>
        <w:jc w:val="left"/>
      </w:pPr>
      <w:bookmarkStart w:id="219" w:name="bookmark219"/>
      <w:r>
        <w:rPr>
          <w:color w:val="000000"/>
          <w:spacing w:val="0"/>
          <w:w w:val="100"/>
          <w:position w:val="0"/>
          <w:sz w:val="18"/>
          <w:szCs w:val="18"/>
        </w:rPr>
        <w:t>1</w:t>
      </w:r>
      <w:bookmarkEnd w:id="219"/>
      <w:r>
        <w:rPr>
          <w:color w:val="000000"/>
          <w:spacing w:val="0"/>
          <w:w w:val="100"/>
          <w:position w:val="0"/>
        </w:rPr>
        <w:t>、</w:t>
        <w:tab/>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日董事会审议通过《</w:t>
      </w:r>
      <w:r>
        <w:rPr>
          <w:color w:val="000000"/>
          <w:spacing w:val="0"/>
          <w:w w:val="100"/>
          <w:position w:val="0"/>
          <w:sz w:val="18"/>
          <w:szCs w:val="18"/>
        </w:rPr>
        <w:t>2016</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4,183,678,213</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418,367,821.30</w:t>
      </w:r>
      <w:r>
        <w:rPr>
          <w:color w:val="000000"/>
          <w:spacing w:val="0"/>
          <w:w w:val="100"/>
          <w:position w:val="0"/>
        </w:rPr>
        <w:t>元，剩余未分配利润结转以后年度，本次不进行公 积金转增股本，不送红股。本预案尚需公司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年年度股东大会审议通过。</w:t>
      </w:r>
    </w:p>
    <w:p>
      <w:pPr>
        <w:pStyle w:val="Style11"/>
        <w:keepNext w:val="0"/>
        <w:keepLines w:val="0"/>
        <w:widowControl w:val="0"/>
        <w:shd w:val="clear" w:color="auto" w:fill="auto"/>
        <w:tabs>
          <w:tab w:pos="344" w:val="left"/>
        </w:tabs>
        <w:bidi w:val="0"/>
        <w:spacing w:before="0" w:after="0" w:line="476" w:lineRule="exact"/>
        <w:ind w:left="0" w:right="0" w:firstLine="0"/>
        <w:jc w:val="left"/>
      </w:pPr>
      <w:bookmarkStart w:id="220" w:name="bookmark220"/>
      <w:r>
        <w:rPr>
          <w:color w:val="000000"/>
          <w:spacing w:val="0"/>
          <w:w w:val="100"/>
          <w:position w:val="0"/>
          <w:sz w:val="18"/>
          <w:szCs w:val="18"/>
        </w:rPr>
        <w:t>2</w:t>
      </w:r>
      <w:bookmarkEnd w:id="220"/>
      <w:r>
        <w:rPr>
          <w:color w:val="000000"/>
          <w:spacing w:val="0"/>
          <w:w w:val="100"/>
          <w:position w:val="0"/>
        </w:rPr>
        <w:t>、</w:t>
        <w:tab/>
        <w:t>公司前身鼎泰新材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年度的普通股股利分配方案、资本公积金转增股本方案情况如下：</w:t>
      </w:r>
    </w:p>
    <w:p>
      <w:pPr>
        <w:pStyle w:val="Style11"/>
        <w:keepNext w:val="0"/>
        <w:keepLines w:val="0"/>
        <w:widowControl w:val="0"/>
        <w:shd w:val="clear" w:color="auto" w:fill="auto"/>
        <w:tabs>
          <w:tab w:pos="536" w:val="left"/>
        </w:tabs>
        <w:bidi w:val="0"/>
        <w:spacing w:before="0" w:after="0" w:line="476" w:lineRule="exact"/>
        <w:ind w:left="0" w:right="0" w:firstLine="0"/>
        <w:jc w:val="left"/>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年半年度利润分配方案：以公司总股本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元人民币现金（含税）；本 次不进行公积金转增股本，不送红股。已实施完毕。</w:t>
      </w:r>
    </w:p>
    <w:p>
      <w:pPr>
        <w:pStyle w:val="Style11"/>
        <w:keepNext w:val="0"/>
        <w:keepLines w:val="0"/>
        <w:widowControl w:val="0"/>
        <w:shd w:val="clear" w:color="auto" w:fill="auto"/>
        <w:bidi w:val="0"/>
        <w:spacing w:before="0" w:after="0" w:line="476" w:lineRule="exact"/>
        <w:ind w:left="0" w:right="0" w:firstLine="0"/>
        <w:jc w:val="left"/>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公司前身鼎泰新材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元人民币现金 （含税），同时以资本公积金向全体股东每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股；本次不送红股。</w:t>
      </w:r>
    </w:p>
    <w:p>
      <w:pPr>
        <w:pStyle w:val="Style11"/>
        <w:keepNext w:val="0"/>
        <w:keepLines w:val="0"/>
        <w:widowControl w:val="0"/>
        <w:shd w:val="clear" w:color="auto" w:fill="auto"/>
        <w:tabs>
          <w:tab w:pos="344" w:val="left"/>
        </w:tabs>
        <w:bidi w:val="0"/>
        <w:spacing w:before="0" w:after="0" w:line="476" w:lineRule="exact"/>
        <w:ind w:left="0" w:right="0" w:firstLine="0"/>
        <w:jc w:val="left"/>
      </w:pPr>
      <w:bookmarkStart w:id="223" w:name="bookmark223"/>
      <w:r>
        <w:rPr>
          <w:color w:val="000000"/>
          <w:spacing w:val="0"/>
          <w:w w:val="100"/>
          <w:position w:val="0"/>
          <w:sz w:val="18"/>
          <w:szCs w:val="18"/>
        </w:rPr>
        <w:t>3</w:t>
      </w:r>
      <w:bookmarkEnd w:id="223"/>
      <w:r>
        <w:rPr>
          <w:color w:val="000000"/>
          <w:spacing w:val="0"/>
          <w:w w:val="100"/>
          <w:position w:val="0"/>
        </w:rPr>
        <w:t>、</w:t>
        <w:tab/>
        <w:t>公司前身鼎泰新材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年度的普通股股利分配方案、资本公积金转增股本方案情况如下：</w:t>
      </w:r>
    </w:p>
    <w:p>
      <w:pPr>
        <w:pStyle w:val="Style11"/>
        <w:keepNext w:val="0"/>
        <w:keepLines w:val="0"/>
        <w:widowControl w:val="0"/>
        <w:shd w:val="clear" w:color="auto" w:fill="auto"/>
        <w:bidi w:val="0"/>
        <w:spacing w:before="0" w:after="0" w:line="476" w:lineRule="exact"/>
        <w:ind w:left="0" w:right="0" w:firstLine="0"/>
        <w:jc w:val="left"/>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年半年度利润分配方案：以公司总股本</w:t>
      </w:r>
      <w:r>
        <w:rPr>
          <w:rFonts w:ascii="Times New Roman" w:eastAsia="Times New Roman" w:hAnsi="Times New Roman" w:cs="Times New Roman"/>
          <w:color w:val="000000"/>
          <w:spacing w:val="0"/>
          <w:w w:val="100"/>
          <w:position w:val="0"/>
          <w:sz w:val="18"/>
          <w:szCs w:val="18"/>
        </w:rPr>
        <w:t>77,830,780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元人民币现金（含税）；本次 不进行公积金转增股本，不送红股。已实施完毕。</w:t>
      </w:r>
    </w:p>
    <w:p>
      <w:pPr>
        <w:pStyle w:val="Style11"/>
        <w:keepNext w:val="0"/>
        <w:keepLines w:val="0"/>
        <w:widowControl w:val="0"/>
        <w:shd w:val="clear" w:color="auto" w:fill="auto"/>
        <w:bidi w:val="0"/>
        <w:spacing w:before="0" w:after="380" w:line="476" w:lineRule="exact"/>
        <w:ind w:left="0" w:right="0" w:firstLine="0"/>
        <w:jc w:val="left"/>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18"/>
          <w:szCs w:val="18"/>
        </w:rPr>
        <w:t>77,830,780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股；本次不派发现金</w:t>
      </w:r>
      <w:r>
        <w:br w:type="page"/>
      </w:r>
    </w:p>
    <w:p>
      <w:pPr>
        <w:pStyle w:val="Style11"/>
        <w:keepNext w:val="0"/>
        <w:keepLines w:val="0"/>
        <w:widowControl w:val="0"/>
        <w:shd w:val="clear" w:color="auto" w:fill="auto"/>
        <w:bidi w:val="0"/>
        <w:spacing w:before="0" w:after="540" w:line="240" w:lineRule="auto"/>
        <w:ind w:left="0" w:right="0" w:firstLine="0"/>
        <w:jc w:val="left"/>
      </w:pPr>
      <w:r>
        <w:rPr>
          <w:color w:val="000000"/>
          <w:spacing w:val="0"/>
          <w:w w:val="100"/>
          <w:position w:val="0"/>
        </w:rPr>
        <w:t>红利、不送红股。已实施完毕。</w:t>
      </w: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418,367,821.30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4,180,426,152.00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51,368,314.80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25,130,574.02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23,349,234.00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24,124,414.93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439" w:line="1" w:lineRule="exact"/>
      </w:pP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上表中的数据说明如下：</w:t>
      </w:r>
    </w:p>
    <w:p>
      <w:pPr>
        <w:pStyle w:val="Style11"/>
        <w:keepNext w:val="0"/>
        <w:keepLines w:val="0"/>
        <w:widowControl w:val="0"/>
        <w:shd w:val="clear" w:color="auto" w:fill="auto"/>
        <w:tabs>
          <w:tab w:pos="334" w:val="left"/>
        </w:tabs>
        <w:bidi w:val="0"/>
        <w:spacing w:before="0" w:after="300" w:line="240" w:lineRule="auto"/>
        <w:ind w:left="0" w:right="0" w:firstLine="0"/>
        <w:jc w:val="left"/>
      </w:pPr>
      <w:bookmarkStart w:id="226" w:name="bookmark226"/>
      <w:r>
        <w:rPr>
          <w:color w:val="000000"/>
          <w:spacing w:val="0"/>
          <w:w w:val="100"/>
          <w:position w:val="0"/>
          <w:sz w:val="18"/>
          <w:szCs w:val="18"/>
        </w:rPr>
        <w:t>1</w:t>
      </w:r>
      <w:bookmarkEnd w:id="226"/>
      <w:r>
        <w:rPr>
          <w:color w:val="000000"/>
          <w:spacing w:val="0"/>
          <w:w w:val="100"/>
          <w:position w:val="0"/>
        </w:rPr>
        <w:t>、</w:t>
        <w:tab/>
        <w:t>上表中的</w:t>
      </w:r>
      <w:r>
        <w:rPr>
          <w:color w:val="000000"/>
          <w:spacing w:val="0"/>
          <w:w w:val="100"/>
          <w:position w:val="0"/>
          <w:sz w:val="18"/>
          <w:szCs w:val="18"/>
        </w:rPr>
        <w:t>2014</w:t>
      </w:r>
      <w:r>
        <w:rPr>
          <w:color w:val="000000"/>
          <w:spacing w:val="0"/>
          <w:w w:val="100"/>
          <w:position w:val="0"/>
        </w:rPr>
        <w:t>年及</w:t>
      </w:r>
      <w:r>
        <w:rPr>
          <w:color w:val="000000"/>
          <w:spacing w:val="0"/>
          <w:w w:val="100"/>
          <w:position w:val="0"/>
          <w:sz w:val="18"/>
          <w:szCs w:val="18"/>
        </w:rPr>
        <w:t>2015</w:t>
      </w:r>
      <w:r>
        <w:rPr>
          <w:color w:val="000000"/>
          <w:spacing w:val="0"/>
          <w:w w:val="100"/>
          <w:position w:val="0"/>
        </w:rPr>
        <w:t>年数据，采用的是本公司前身鼎泰新材</w:t>
      </w:r>
      <w:r>
        <w:rPr>
          <w:color w:val="000000"/>
          <w:spacing w:val="0"/>
          <w:w w:val="100"/>
          <w:position w:val="0"/>
          <w:sz w:val="18"/>
          <w:szCs w:val="18"/>
        </w:rPr>
        <w:t>2014</w:t>
      </w:r>
      <w:r>
        <w:rPr>
          <w:color w:val="000000"/>
          <w:spacing w:val="0"/>
          <w:w w:val="100"/>
          <w:position w:val="0"/>
        </w:rPr>
        <w:t>年度、</w:t>
      </w:r>
      <w:r>
        <w:rPr>
          <w:color w:val="000000"/>
          <w:spacing w:val="0"/>
          <w:w w:val="100"/>
          <w:position w:val="0"/>
          <w:sz w:val="18"/>
          <w:szCs w:val="18"/>
        </w:rPr>
        <w:t>2015</w:t>
      </w:r>
      <w:r>
        <w:rPr>
          <w:color w:val="000000"/>
          <w:spacing w:val="0"/>
          <w:w w:val="100"/>
          <w:position w:val="0"/>
        </w:rPr>
        <w:t>年度的相关分红及利润数据;</w:t>
      </w:r>
    </w:p>
    <w:p>
      <w:pPr>
        <w:pStyle w:val="Style11"/>
        <w:keepNext w:val="0"/>
        <w:keepLines w:val="0"/>
        <w:widowControl w:val="0"/>
        <w:shd w:val="clear" w:color="auto" w:fill="auto"/>
        <w:tabs>
          <w:tab w:pos="344" w:val="left"/>
        </w:tabs>
        <w:bidi w:val="0"/>
        <w:spacing w:before="0" w:after="600" w:line="240" w:lineRule="auto"/>
        <w:ind w:left="0" w:right="0" w:firstLine="0"/>
        <w:jc w:val="left"/>
      </w:pPr>
      <w:bookmarkStart w:id="227" w:name="bookmark227"/>
      <w:r>
        <w:rPr>
          <w:color w:val="000000"/>
          <w:spacing w:val="0"/>
          <w:w w:val="100"/>
          <w:position w:val="0"/>
          <w:sz w:val="18"/>
          <w:szCs w:val="18"/>
        </w:rPr>
        <w:t>2</w:t>
      </w:r>
      <w:bookmarkEnd w:id="227"/>
      <w:r>
        <w:rPr>
          <w:color w:val="000000"/>
          <w:spacing w:val="0"/>
          <w:w w:val="100"/>
          <w:position w:val="0"/>
        </w:rPr>
        <w:t>、</w:t>
        <w:tab/>
        <w:t>上表中的</w:t>
      </w:r>
      <w:r>
        <w:rPr>
          <w:color w:val="000000"/>
          <w:spacing w:val="0"/>
          <w:w w:val="100"/>
          <w:position w:val="0"/>
          <w:sz w:val="18"/>
          <w:szCs w:val="18"/>
        </w:rPr>
        <w:t>2016</w:t>
      </w:r>
      <w:r>
        <w:rPr>
          <w:color w:val="000000"/>
          <w:spacing w:val="0"/>
          <w:w w:val="100"/>
          <w:position w:val="0"/>
        </w:rPr>
        <w:t>年数据，采用的是本公司顺丰控股</w:t>
      </w:r>
      <w:r>
        <w:rPr>
          <w:color w:val="000000"/>
          <w:spacing w:val="0"/>
          <w:w w:val="100"/>
          <w:position w:val="0"/>
          <w:sz w:val="18"/>
          <w:szCs w:val="18"/>
        </w:rPr>
        <w:t>2016</w:t>
      </w:r>
      <w:r>
        <w:rPr>
          <w:color w:val="000000"/>
          <w:spacing w:val="0"/>
          <w:w w:val="100"/>
          <w:position w:val="0"/>
        </w:rPr>
        <w:t>年度的利润分配预案相关数据。</w:t>
      </w:r>
    </w:p>
    <w:p>
      <w:pPr>
        <w:pStyle w:val="Style1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二</w:t>
      </w:r>
      <w:bookmarkEnd w:id="230"/>
      <w:r>
        <w:rPr>
          <w:color w:val="000000"/>
          <w:spacing w:val="0"/>
          <w:w w:val="100"/>
          <w:position w:val="0"/>
          <w:sz w:val="24"/>
          <w:szCs w:val="24"/>
        </w:rPr>
        <w:t>、本报告期利润分配及资本公积金转增股本预案</w:t>
      </w:r>
      <w:bookmarkEnd w:id="228"/>
      <w:bookmarkEnd w:id="229"/>
      <w:bookmarkEnd w:id="231"/>
    </w:p>
    <w:p>
      <w:pPr>
        <w:pStyle w:val="Style1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4,183,678,213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418,367,821.30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400"/>
              <w:jc w:val="both"/>
            </w:pPr>
            <w:r>
              <w:rPr>
                <w:color w:val="000000"/>
                <w:spacing w:val="0"/>
                <w:w w:val="100"/>
                <w:position w:val="0"/>
              </w:rPr>
              <w:t>经普华永道中天会计师事务所（特殊普通合伙）审计，</w:t>
            </w:r>
            <w:r>
              <w:rPr>
                <w:color w:val="000000"/>
                <w:spacing w:val="0"/>
                <w:w w:val="100"/>
                <w:position w:val="0"/>
                <w:sz w:val="18"/>
                <w:szCs w:val="18"/>
              </w:rPr>
              <w:t>2016</w:t>
            </w:r>
            <w:r>
              <w:rPr>
                <w:color w:val="000000"/>
                <w:spacing w:val="0"/>
                <w:w w:val="100"/>
                <w:position w:val="0"/>
              </w:rPr>
              <w:t>年度母公司实现净利润</w:t>
            </w:r>
            <w:r>
              <w:rPr>
                <w:color w:val="000000"/>
                <w:spacing w:val="0"/>
                <w:w w:val="100"/>
                <w:position w:val="0"/>
                <w:sz w:val="18"/>
                <w:szCs w:val="18"/>
              </w:rPr>
              <w:t>895,231,690.74</w:t>
            </w:r>
            <w:r>
              <w:rPr>
                <w:color w:val="000000"/>
                <w:spacing w:val="0"/>
                <w:w w:val="100"/>
                <w:position w:val="0"/>
              </w:rPr>
              <w:t>元，扣除按</w:t>
            </w:r>
            <w:r>
              <w:rPr>
                <w:color w:val="000000"/>
                <w:spacing w:val="0"/>
                <w:w w:val="100"/>
                <w:position w:val="0"/>
                <w:sz w:val="18"/>
                <w:szCs w:val="18"/>
              </w:rPr>
              <w:t xml:space="preserve">2016 </w:t>
            </w:r>
            <w:r>
              <w:rPr>
                <w:color w:val="000000"/>
                <w:spacing w:val="0"/>
                <w:w w:val="100"/>
                <w:position w:val="0"/>
              </w:rPr>
              <w:t>年度母公司实现净利润的</w:t>
            </w:r>
            <w:r>
              <w:rPr>
                <w:color w:val="000000"/>
                <w:spacing w:val="0"/>
                <w:w w:val="100"/>
                <w:position w:val="0"/>
                <w:sz w:val="18"/>
                <w:szCs w:val="18"/>
              </w:rPr>
              <w:t>10%</w:t>
            </w:r>
            <w:r>
              <w:rPr>
                <w:color w:val="000000"/>
                <w:spacing w:val="0"/>
                <w:w w:val="100"/>
                <w:position w:val="0"/>
              </w:rPr>
              <w:t>提取法定盈余公积金</w:t>
            </w:r>
            <w:r>
              <w:rPr>
                <w:color w:val="000000"/>
                <w:spacing w:val="0"/>
                <w:w w:val="100"/>
                <w:position w:val="0"/>
                <w:sz w:val="18"/>
                <w:szCs w:val="18"/>
              </w:rPr>
              <w:t xml:space="preserve">89, 523, </w:t>
            </w:r>
            <w:r>
              <w:rPr>
                <w:color w:val="000000"/>
                <w:spacing w:val="0"/>
                <w:w w:val="100"/>
                <w:position w:val="0"/>
                <w:sz w:val="18"/>
                <w:szCs w:val="18"/>
              </w:rPr>
              <w:t xml:space="preserve">169. </w:t>
            </w:r>
            <w:r>
              <w:rPr>
                <w:color w:val="000000"/>
                <w:spacing w:val="0"/>
                <w:w w:val="100"/>
                <w:position w:val="0"/>
                <w:sz w:val="18"/>
                <w:szCs w:val="18"/>
              </w:rPr>
              <w:t>07</w:t>
            </w:r>
            <w:r>
              <w:rPr>
                <w:color w:val="000000"/>
                <w:spacing w:val="0"/>
                <w:w w:val="100"/>
                <w:position w:val="0"/>
              </w:rPr>
              <w:t>元，加上年初未分配利润</w:t>
            </w:r>
            <w:r>
              <w:rPr>
                <w:color w:val="000000"/>
                <w:spacing w:val="0"/>
                <w:w w:val="100"/>
                <w:position w:val="0"/>
                <w:sz w:val="18"/>
                <w:szCs w:val="18"/>
              </w:rPr>
              <w:t xml:space="preserve">16, 561, </w:t>
            </w:r>
            <w:r>
              <w:rPr>
                <w:color w:val="000000"/>
                <w:spacing w:val="0"/>
                <w:w w:val="100"/>
                <w:position w:val="0"/>
                <w:sz w:val="18"/>
                <w:szCs w:val="18"/>
              </w:rPr>
              <w:t xml:space="preserve">732. </w:t>
            </w:r>
            <w:r>
              <w:rPr>
                <w:color w:val="000000"/>
                <w:spacing w:val="0"/>
                <w:w w:val="100"/>
                <w:position w:val="0"/>
                <w:sz w:val="18"/>
                <w:szCs w:val="18"/>
              </w:rPr>
              <w:t>30</w:t>
            </w:r>
            <w:r>
              <w:rPr>
                <w:color w:val="000000"/>
                <w:spacing w:val="0"/>
                <w:w w:val="100"/>
                <w:position w:val="0"/>
              </w:rPr>
              <w:t>元，扣除</w:t>
            </w:r>
            <w:r>
              <w:rPr>
                <w:color w:val="000000"/>
                <w:spacing w:val="0"/>
                <w:w w:val="100"/>
                <w:position w:val="0"/>
                <w:sz w:val="18"/>
                <w:szCs w:val="18"/>
              </w:rPr>
              <w:t xml:space="preserve">2016 </w:t>
            </w:r>
            <w:r>
              <w:rPr>
                <w:color w:val="000000"/>
                <w:spacing w:val="0"/>
                <w:w w:val="100"/>
                <w:position w:val="0"/>
              </w:rPr>
              <w:t>年度内实际派发的现金股利</w:t>
            </w:r>
            <w:r>
              <w:rPr>
                <w:color w:val="000000"/>
                <w:spacing w:val="0"/>
                <w:w w:val="100"/>
                <w:position w:val="0"/>
                <w:sz w:val="18"/>
                <w:szCs w:val="18"/>
              </w:rPr>
              <w:t xml:space="preserve">16, 344, </w:t>
            </w:r>
            <w:r>
              <w:rPr>
                <w:color w:val="000000"/>
                <w:spacing w:val="0"/>
                <w:w w:val="100"/>
                <w:position w:val="0"/>
                <w:sz w:val="18"/>
                <w:szCs w:val="18"/>
              </w:rPr>
              <w:t xml:space="preserve">463. </w:t>
            </w:r>
            <w:r>
              <w:rPr>
                <w:color w:val="000000"/>
                <w:spacing w:val="0"/>
                <w:w w:val="100"/>
                <w:position w:val="0"/>
                <w:sz w:val="18"/>
                <w:szCs w:val="18"/>
              </w:rPr>
              <w:t>80</w:t>
            </w:r>
            <w:r>
              <w:rPr>
                <w:color w:val="000000"/>
                <w:spacing w:val="0"/>
                <w:w w:val="100"/>
                <w:position w:val="0"/>
              </w:rPr>
              <w:t>元，截止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日止，母公司可供股东分配的利润为</w:t>
            </w:r>
            <w:r>
              <w:rPr>
                <w:color w:val="000000"/>
                <w:spacing w:val="0"/>
                <w:w w:val="100"/>
                <w:position w:val="0"/>
                <w:sz w:val="18"/>
                <w:szCs w:val="18"/>
              </w:rPr>
              <w:t xml:space="preserve">805,925,790. </w:t>
            </w:r>
            <w:r>
              <w:rPr>
                <w:color w:val="000000"/>
                <w:spacing w:val="0"/>
                <w:w w:val="100"/>
                <w:position w:val="0"/>
                <w:sz w:val="18"/>
                <w:szCs w:val="18"/>
              </w:rPr>
              <w:t>17 7</w:t>
            </w:r>
            <w:r>
              <w:rPr>
                <w:color w:val="000000"/>
                <w:spacing w:val="0"/>
                <w:w w:val="100"/>
                <w:position w:val="0"/>
              </w:rPr>
              <w:t>元</w:t>
            </w:r>
            <w:r>
              <w:rPr>
                <w:color w:val="000000"/>
                <w:spacing w:val="0"/>
                <w:w w:val="100"/>
                <w:position w:val="0"/>
                <w:vertAlign w:val="superscript"/>
              </w:rPr>
              <w:t>0</w:t>
            </w:r>
          </w:p>
          <w:p>
            <w:pPr>
              <w:pStyle w:val="Style23"/>
              <w:keepNext w:val="0"/>
              <w:keepLines w:val="0"/>
              <w:widowControl w:val="0"/>
              <w:shd w:val="clear" w:color="auto" w:fill="auto"/>
              <w:bidi w:val="0"/>
              <w:spacing w:before="0" w:after="0" w:line="319" w:lineRule="exact"/>
              <w:ind w:left="0" w:right="0" w:firstLine="40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年度利润分配预案为：以公司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4, 183, 678, 213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 现金股利人民币</w:t>
            </w:r>
            <w:r>
              <w:rPr>
                <w:color w:val="000000"/>
                <w:spacing w:val="0"/>
                <w:w w:val="100"/>
                <w:position w:val="0"/>
                <w:sz w:val="18"/>
                <w:szCs w:val="18"/>
              </w:rPr>
              <w:t>1</w:t>
            </w:r>
            <w:r>
              <w:rPr>
                <w:color w:val="000000"/>
                <w:spacing w:val="0"/>
                <w:w w:val="100"/>
                <w:position w:val="0"/>
              </w:rPr>
              <w:t>元（含税），共计</w:t>
            </w:r>
            <w:r>
              <w:rPr>
                <w:color w:val="000000"/>
                <w:spacing w:val="0"/>
                <w:w w:val="100"/>
                <w:position w:val="0"/>
                <w:sz w:val="18"/>
                <w:szCs w:val="18"/>
              </w:rPr>
              <w:t xml:space="preserve">418, </w:t>
            </w:r>
            <w:r>
              <w:rPr>
                <w:color w:val="000000"/>
                <w:spacing w:val="0"/>
                <w:w w:val="100"/>
                <w:position w:val="0"/>
                <w:sz w:val="18"/>
                <w:szCs w:val="18"/>
              </w:rPr>
              <w:t>367,821.30</w:t>
            </w:r>
            <w:r>
              <w:rPr>
                <w:color w:val="000000"/>
                <w:spacing w:val="0"/>
                <w:w w:val="100"/>
                <w:position w:val="0"/>
              </w:rPr>
              <w:t>元，剩余未分配利润结转以后年度。本次不进行公积金转增股本、不</w:t>
            </w:r>
          </w:p>
        </w:tc>
      </w:tr>
    </w:tbl>
    <w:p>
      <w:pPr>
        <w:spacing w:lineRule="exact" w:line="1"/>
        <w:rPr>
          <w:sz w:val="2"/>
          <w:szCs w:val="2"/>
        </w:rPr>
      </w:pPr>
      <w:r>
        <w:br w:type="page"/>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color w:val="000000"/>
          <w:spacing w:val="0"/>
          <w:w w:val="100"/>
          <w:position w:val="0"/>
        </w:rPr>
        <w:t>送红股。</w:t>
      </w:r>
    </w:p>
    <w:p>
      <w:pPr>
        <w:pStyle w:val="Style27"/>
        <w:keepNext/>
        <w:keepLines/>
        <w:widowControl w:val="0"/>
        <w:shd w:val="clear" w:color="auto" w:fill="auto"/>
        <w:bidi w:val="0"/>
        <w:spacing w:before="0" w:after="2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三</w:t>
      </w:r>
      <w:bookmarkEnd w:id="234"/>
      <w:r>
        <w:rPr>
          <w:color w:val="000000"/>
          <w:spacing w:val="0"/>
          <w:w w:val="100"/>
          <w:position w:val="0"/>
          <w:sz w:val="24"/>
          <w:szCs w:val="24"/>
        </w:rPr>
        <w:t>、承诺事项履行情况</w:t>
      </w:r>
      <w:bookmarkEnd w:id="232"/>
      <w:bookmarkEnd w:id="233"/>
      <w:bookmarkEnd w:id="235"/>
    </w:p>
    <w:p>
      <w:pPr>
        <w:pStyle w:val="Style33"/>
        <w:keepNext w:val="0"/>
        <w:keepLines w:val="0"/>
        <w:widowControl w:val="0"/>
        <w:shd w:val="clear" w:color="auto" w:fill="auto"/>
        <w:bidi w:val="0"/>
        <w:spacing w:before="0" w:after="340" w:line="326" w:lineRule="exact"/>
        <w:ind w:left="0" w:right="0" w:firstLine="0"/>
        <w:jc w:val="left"/>
      </w:pPr>
      <w:bookmarkStart w:id="236" w:name="bookmark236"/>
      <w:r>
        <w:rPr>
          <w:rFonts w:ascii="Times New Roman" w:eastAsia="Times New Roman" w:hAnsi="Times New Roman" w:cs="Times New Roman"/>
          <w:color w:val="000000"/>
          <w:spacing w:val="0"/>
          <w:w w:val="100"/>
          <w:position w:val="0"/>
        </w:rPr>
        <w:t>1</w:t>
      </w:r>
      <w:bookmarkEnd w:id="236"/>
      <w:r>
        <w:rPr>
          <w:color w:val="000000"/>
          <w:spacing w:val="0"/>
          <w:w w:val="100"/>
          <w:position w:val="0"/>
        </w:rPr>
        <w:t>、公司实际控制人、股东、关联方、收购人以及公司等承诺相关方在报告期内履行完毕及截至报告期末尚 未履行完毕的承诺事项</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850"/>
        <w:gridCol w:w="850"/>
        <w:gridCol w:w="3826"/>
        <w:gridCol w:w="710"/>
        <w:gridCol w:w="850"/>
        <w:gridCol w:w="86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承诺事由</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变动报告书中所作</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75"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深圳明德</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控股发展</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45" w:val="left"/>
              </w:tabs>
              <w:bidi w:val="0"/>
              <w:spacing w:before="0" w:after="40" w:line="32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本公司在本次重组中所认购的鼎泰新材股票, 自该等股票登记在本公司名下之日起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不以任何方式转让，也不委托第三方管理该等股 份。</w:t>
            </w:r>
          </w:p>
          <w:p>
            <w:pPr>
              <w:pStyle w:val="Style23"/>
              <w:keepNext w:val="0"/>
              <w:keepLines w:val="0"/>
              <w:widowControl w:val="0"/>
              <w:shd w:val="clear" w:color="auto" w:fill="auto"/>
              <w:tabs>
                <w:tab w:pos="283"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前述锁定期届满之时，如因标的公司未能达 到《盈利预测补偿协议》约定的承诺净利润而导 致本公司须向鼎泰新材履行股份补偿义务且该 等股份补偿义务尚未履行完毕的，上述锁定期延 长至本公司在《盈利预测补偿协议》项下的股份 补偿义务履行完毕之日。</w:t>
            </w:r>
          </w:p>
          <w:p>
            <w:pPr>
              <w:pStyle w:val="Style23"/>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个月内，如鼎泰新材的股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个交易日的收盘价均低于本次发行价, 或者本次重组完成后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个月期末收盘价低于本次 发行价的，则本公司持有的该等股票的锁定期限 自动延长至少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个月（若上述期间鼎泰新材发生 派息、送股、转增股本或配股等除权除息事项的， 则前述本次发行价以经除息、除权等因素调整后 的价格计算）。</w:t>
            </w:r>
          </w:p>
          <w:p>
            <w:pPr>
              <w:pStyle w:val="Style23"/>
              <w:keepNext w:val="0"/>
              <w:keepLines w:val="0"/>
              <w:widowControl w:val="0"/>
              <w:shd w:val="clear" w:color="auto" w:fill="auto"/>
              <w:tabs>
                <w:tab w:pos="283" w:val="left"/>
              </w:tabs>
              <w:bidi w:val="0"/>
              <w:spacing w:before="0" w:after="4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本次交易完成后，本公司在本次重组中所认 购的鼎泰新材股票因鼎泰新材分配股票股利、资 本公积转增股本等情形所衍生取得的股份亦应 遵守上述股份限售安排。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97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嘉强顺风</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 股权投资 合伙企业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伙）、宁波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left"/>
            </w:pPr>
            <w:r>
              <w:rPr>
                <w:color w:val="000000"/>
                <w:spacing w:val="0"/>
                <w:w w:val="100"/>
                <w:position w:val="0"/>
              </w:rPr>
              <w:t>嘉强顺风、招广投资、元禾顺风、古玉秋创、顺 达丰润、顺信丰合承诺：</w:t>
            </w:r>
          </w:p>
          <w:p>
            <w:pPr>
              <w:pStyle w:val="Style23"/>
              <w:keepNext w:val="0"/>
              <w:keepLines w:val="0"/>
              <w:widowControl w:val="0"/>
              <w:shd w:val="clear" w:color="auto" w:fill="auto"/>
              <w:tabs>
                <w:tab w:pos="245" w:val="left"/>
              </w:tabs>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在本次重组中所认购的鼎泰新材股票，自相 关股份登记至其名下之日起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w:t>
            </w:r>
          </w:p>
          <w:p>
            <w:pPr>
              <w:pStyle w:val="Style23"/>
              <w:keepNext w:val="0"/>
              <w:keepLines w:val="0"/>
              <w:widowControl w:val="0"/>
              <w:shd w:val="clear" w:color="auto" w:fill="auto"/>
              <w:tabs>
                <w:tab w:pos="283" w:val="left"/>
              </w:tabs>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前述期限届满后，所持鼎泰新材股份按如下 比例分期解锁：①第一期：自该等鼎泰新材股票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1570"/>
        <w:gridCol w:w="850"/>
        <w:gridCol w:w="850"/>
        <w:gridCol w:w="3826"/>
        <w:gridCol w:w="710"/>
        <w:gridCol w:w="850"/>
        <w:gridCol w:w="864"/>
      </w:tblGrid>
      <w:tr>
        <w:trPr>
          <w:trHeight w:val="855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顺达丰润 投资管理 合伙企业</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伙）、宁波 顺信丰合 投资管理 合伙企业</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伙）、深圳 市招广投 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苏州工 业园区元 禾顺风股 权投资企 业（有限 合伙）、苏 州古玉秋 创股权投 资合伙企 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登记至其名下之日起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个月届满之日且对业绩 承诺第一年补偿义务（若有）履行完毕之日（若 无业绩补偿义务，则为关于承诺业绩的专项审计 报告公告之日）（以较晚者为准），其本次取得的 增发股份总数的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（扣除补偿部分，若有）可 解除锁定；②第二期：对业绩承诺第二年业绩补 偿义务（若有）履行完毕之日（若无业绩补偿义 务，则为关于承诺业绩的专项审计报告公告之 日）（以较晚者为准），其本次取得的增发股份总 数的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（扣除补偿部分，若有）可解除锁定； ③第三期，对业绩承诺第三年业绩补偿义务（若 有）履行完毕之日（若无业绩补偿义务，则为关 于承诺业绩的专项审计报告公告之日），其本次 取得的增发股份总数的</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（扣除补偿部分，若 有）可解除锁定。</w:t>
            </w:r>
          </w:p>
          <w:p>
            <w:pPr>
              <w:pStyle w:val="Style23"/>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个月内，如鼎泰新材的股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个交易日的收盘价均低于本次发行价, 或者本次重组完成后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个月期末收盘价低于本次 发行价的，则其持有的该等股票的锁定期限自动 延长至少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个月（若上述期间鼎泰新材发生派息、 送股、转增股本或配股等除权除息事项的，则前 述本次发行价以经除息、除权等因素调整后的价 格计算）。</w:t>
            </w:r>
          </w:p>
          <w:p>
            <w:pPr>
              <w:pStyle w:val="Style23"/>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本次交易完成后，其在本次重组中所认购的 鼎泰新材股票因鼎泰新材分配股票股利、资本公 积转增股本等情形所衍生取得的股份亦应遵守 上述股份限售安排。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嘉强顺风</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 股权投资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伙）、宁波 顺达丰润 投资管理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伙）、宁波 顺信丰合 投资管理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伙）、深圳 明德控股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关于规范 及减少关 联交易的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王卫与明德控股、嘉强顺风、招广投资、元禾顺 风、古玉秋创、顺达丰润、顺信丰合关于规范及 减少关联交易的承诺：</w:t>
            </w:r>
          </w:p>
          <w:p>
            <w:pPr>
              <w:pStyle w:val="Style23"/>
              <w:keepNext w:val="0"/>
              <w:keepLines w:val="0"/>
              <w:widowControl w:val="0"/>
              <w:shd w:val="clear" w:color="auto" w:fill="auto"/>
              <w:tabs>
                <w:tab w:pos="27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 股或实际控制的公司或者企业或经济组织（不包 括上市公司控制的企业，以下统称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）将严格按照法律、法规及 其他规范性文件的规定行使股东的权利，履行股 东的义务，保持上市公司在资产、财务、人员、 业务和机构等方面的独立性。</w:t>
            </w:r>
          </w:p>
          <w:p>
            <w:pPr>
              <w:pStyle w:val="Style23"/>
              <w:keepNext w:val="0"/>
              <w:keepLines w:val="0"/>
              <w:widowControl w:val="0"/>
              <w:shd w:val="clear" w:color="auto" w:fill="auto"/>
              <w:tabs>
                <w:tab w:pos="283"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关联企业不利用股东的地位促使上市公司股东 大会或董事会做出侵犯中小股东合法权益的决 议。</w:t>
            </w:r>
          </w:p>
          <w:p>
            <w:pPr>
              <w:pStyle w:val="Style23"/>
              <w:keepNext w:val="0"/>
              <w:keepLines w:val="0"/>
              <w:widowControl w:val="0"/>
              <w:shd w:val="clear" w:color="auto" w:fill="auto"/>
              <w:tabs>
                <w:tab w:pos="27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关联企业不以借款、代偿债务、代垫款项或者其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1570"/>
        <w:gridCol w:w="850"/>
        <w:gridCol w:w="850"/>
        <w:gridCol w:w="3826"/>
        <w:gridCol w:w="710"/>
        <w:gridCol w:w="850"/>
        <w:gridCol w:w="864"/>
      </w:tblGrid>
      <w:tr>
        <w:trPr>
          <w:trHeight w:val="703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发展有限 公司、深 圳市招广 投资有限 公司、苏 州工业园 区元禾顺 风股权投 资企业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伙）、苏州 古玉秋创 股权投资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伙）、王卫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他任何方式占用上市公司的资金。</w:t>
            </w:r>
          </w:p>
          <w:p>
            <w:pPr>
              <w:pStyle w:val="Style23"/>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关联企业将尽量避免与上市公司之间产生关联 交易，对于不可避免与上市公司发生关联交易 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关联企业自身并将促使所控制的主体按照公平 合理和正常的商业交易条件进行，不会要求或接 受上市公司给予比在任何一项市场公平交易中 第三者更优惠的条件，并善意、严格地履行与上 市公司签订的各种关联交易协议。</w:t>
            </w:r>
          </w:p>
          <w:p>
            <w:pPr>
              <w:pStyle w:val="Style23"/>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关联企业将严格按照上市公司章程以及相关法 律法规的规定履行关联交易决策程序以及相应 的信息披露义务。</w:t>
            </w:r>
          </w:p>
          <w:p>
            <w:pPr>
              <w:pStyle w:val="Style23"/>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关联企业将确保自身及控制的主体不通过与上 市公司之间的关联交易谋求超出上述规定以外 的特殊利益，不会进行有损上市公司及其中小股 东利益的关联交易。若违反上述承诺，本公司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本人将连带承担相应的法律责任，包括但 不限于对由此给上市公司及其中小股东造成的 全部损失承担个别和连带的法律责任。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深圳明德 控股发展 有限公 司、王卫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 同业竞争 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rPr>
              <w:t>王卫与明德控股关于避免同业竞争的承诺：</w:t>
            </w:r>
          </w:p>
          <w:p>
            <w:pPr>
              <w:pStyle w:val="Style23"/>
              <w:keepNext w:val="0"/>
              <w:keepLines w:val="0"/>
              <w:widowControl w:val="0"/>
              <w:shd w:val="clear" w:color="auto" w:fill="auto"/>
              <w:tabs>
                <w:tab w:pos="278"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本次重组完成后，在本公司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 对上市公司拥有控制权或重大影响的情况下，本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本人直接或间接控制的除上 市公司及其子公司以外的其他公司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）将不会从事任何与 上市公司目前或未来从事的业务构成实质性竞 争的业务。</w:t>
            </w:r>
          </w:p>
          <w:p>
            <w:pPr>
              <w:pStyle w:val="Style23"/>
              <w:keepNext w:val="0"/>
              <w:keepLines w:val="0"/>
              <w:widowControl w:val="0"/>
              <w:shd w:val="clear" w:color="auto" w:fill="auto"/>
              <w:tabs>
                <w:tab w:pos="25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本次重组完成后，如本公司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人控制的公司可能在将来与上市公司构成实质 性同业竞争或与上市公司发生利益冲突，本公司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本人将放弃或将促使本公司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本人控制的公司放 弃可能构成同业竞争的业务机会，或将本公司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本人和本公司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本人控制的公司构成同业竞争的 业务以公平、公允的市场价格，在适当时机全部 注入上市公司。</w:t>
            </w:r>
          </w:p>
          <w:p>
            <w:pPr>
              <w:pStyle w:val="Style23"/>
              <w:keepNext w:val="0"/>
              <w:keepLines w:val="0"/>
              <w:widowControl w:val="0"/>
              <w:shd w:val="clear" w:color="auto" w:fill="auto"/>
              <w:tabs>
                <w:tab w:pos="274" w:val="left"/>
              </w:tabs>
              <w:bidi w:val="0"/>
              <w:spacing w:before="0" w:after="40" w:line="32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本人不会利用从上市公司了解或知悉 的信息协助第三方从事或参与上市公司从事的 业务存在实质性竞争或潜在竞争的任何经营活 动。</w:t>
            </w:r>
          </w:p>
          <w:p>
            <w:pPr>
              <w:pStyle w:val="Style23"/>
              <w:keepNext w:val="0"/>
              <w:keepLines w:val="0"/>
              <w:widowControl w:val="0"/>
              <w:shd w:val="clear" w:color="auto" w:fill="auto"/>
              <w:tabs>
                <w:tab w:pos="25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若因本公司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本人控制的公司违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1570"/>
        <w:gridCol w:w="850"/>
        <w:gridCol w:w="850"/>
        <w:gridCol w:w="3826"/>
        <w:gridCol w:w="710"/>
        <w:gridCol w:w="850"/>
        <w:gridCol w:w="864"/>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反上述承诺而导致上市公司权益受到损害的，本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3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深圳明德</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控股发展</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关于社会 保险、住 房公积金 等相关事 宜的承诺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明德控股关于社会保险、住房公积金等相关事宜 的承诺：</w:t>
            </w:r>
          </w:p>
          <w:p>
            <w:pPr>
              <w:pStyle w:val="Style23"/>
              <w:keepNext w:val="0"/>
              <w:keepLines w:val="0"/>
              <w:widowControl w:val="0"/>
              <w:shd w:val="clear" w:color="auto" w:fill="auto"/>
              <w:tabs>
                <w:tab w:pos="278" w:val="left"/>
              </w:tabs>
              <w:bidi w:val="0"/>
              <w:spacing w:before="0" w:after="4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如果发生职工向泰森控股及其子公司追索社 会保险、住房公积金及因此引起的诉讼、仲裁， 或者泰森控股及其子公司因此受到有关行政管 理机关的行政处罚，本公司将承担相应的赔偿责 任：如果社会保险、住房公积金主管部门要求泰 森控股及其子公司对以前年度的员工社会保险、 住房公积金进行补缴，本公司将按主管部门核定 的金额无偿代泰森控股及其子公司补缴：如果因 未按照规定缴纳社会保险、住房公积金而给泰森 控股及其子公司带来任何其他费用支出和经济 损失，本公司将全部无偿代泰森控股及其子公司 承担。</w:t>
            </w:r>
          </w:p>
          <w:p>
            <w:pPr>
              <w:pStyle w:val="Style23"/>
              <w:keepNext w:val="0"/>
              <w:keepLines w:val="0"/>
              <w:widowControl w:val="0"/>
              <w:shd w:val="clear" w:color="auto" w:fill="auto"/>
              <w:tabs>
                <w:tab w:pos="283"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就泰森控股及其子公司的自有房产，承诺若 泰森控股及其子公司现在及将来因相关土地未 办理土地使用权证和/或房屋未办理房屋所有 权证事直受到有关行政主管机关行政处罚的，本 公司将承担相应的赔偿责任；若因此导致泰森控 股不能继续使用相关土地/房屋的，由此造成的 其他任何费用支出和经济损失，本公司将全部无 偿代泰森控股承担。</w:t>
            </w:r>
          </w:p>
          <w:p>
            <w:pPr>
              <w:pStyle w:val="Style23"/>
              <w:keepNext w:val="0"/>
              <w:keepLines w:val="0"/>
              <w:widowControl w:val="0"/>
              <w:shd w:val="clear" w:color="auto" w:fill="auto"/>
              <w:tabs>
                <w:tab w:pos="26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若泰森控股及其子公司、分公司困租赁的场 地和/或房屋不规范情形影响各相关企业继续 使用该等场地和/或房屋，而使得相关企业需要 搬迁的，本公司将承担泰森控股及其子公司、分 公司因此而遭受的任何损失、费用等。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627"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深圳明德 控股发展 有限公 司、王卫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关于保持 上市公司 独立性的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334" w:lineRule="exact"/>
              <w:ind w:left="0" w:right="0" w:firstLine="0"/>
              <w:jc w:val="left"/>
            </w:pPr>
            <w:r>
              <w:rPr>
                <w:color w:val="000000"/>
                <w:spacing w:val="0"/>
                <w:w w:val="100"/>
                <w:position w:val="0"/>
              </w:rPr>
              <w:t>王卫与明德控股关于保持上市公司独立性的承 诺，本次重组完成后，本公司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本人将保证： 一、上市公司的人员独立</w:t>
            </w:r>
          </w:p>
          <w:p>
            <w:pPr>
              <w:pStyle w:val="Style23"/>
              <w:keepNext w:val="0"/>
              <w:keepLines w:val="0"/>
              <w:widowControl w:val="0"/>
              <w:shd w:val="clear" w:color="auto" w:fill="auto"/>
              <w:tabs>
                <w:tab w:pos="278"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上市公司的高级管理人员（总经理、副总经 理、董事会秘书及财务负责人等）专职在上市公 司工作，并在上市公司领取薪酬，不在本企业担 任除董事以外的其他职务，不在本人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本企业控制 的除鼎泰新材及其子公司以外的其他企业（以下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）担任除董 事、监事以外的职务。</w:t>
            </w:r>
          </w:p>
          <w:p>
            <w:pPr>
              <w:pStyle w:val="Style23"/>
              <w:keepNext w:val="0"/>
              <w:keepLines w:val="0"/>
              <w:widowControl w:val="0"/>
              <w:shd w:val="clear" w:color="auto" w:fill="auto"/>
              <w:tabs>
                <w:tab w:pos="27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上市公司的财务人员不在本公司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本人控制的其他企业中兼职。</w:t>
            </w:r>
          </w:p>
          <w:p>
            <w:pPr>
              <w:pStyle w:val="Style23"/>
              <w:keepNext w:val="0"/>
              <w:keepLines w:val="0"/>
              <w:widowControl w:val="0"/>
              <w:shd w:val="clear" w:color="auto" w:fill="auto"/>
              <w:tabs>
                <w:tab w:pos="27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上市公司人事关系、劳动关系独立于本公司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1570"/>
        <w:gridCol w:w="850"/>
        <w:gridCol w:w="850"/>
        <w:gridCol w:w="3826"/>
        <w:gridCol w:w="710"/>
        <w:gridCol w:w="850"/>
        <w:gridCol w:w="864"/>
      </w:tblGrid>
      <w:tr>
        <w:trPr>
          <w:trHeight w:val="13766"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本人仅通过股东大会间接行使股东权 利，按照法律法规或者上市公司章程及其他规章 制度的规定推荐出任上市公司董事、监事和高级 管理人员的人选，本公司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本人不会超越股东大会 或董事会干预上市公司的人事任免。</w:t>
            </w:r>
          </w:p>
          <w:p>
            <w:pPr>
              <w:pStyle w:val="Style23"/>
              <w:keepNext w:val="0"/>
              <w:keepLines w:val="0"/>
              <w:widowControl w:val="0"/>
              <w:shd w:val="clear" w:color="auto" w:fill="auto"/>
              <w:tabs>
                <w:tab w:pos="360" w:val="left"/>
              </w:tabs>
              <w:bidi w:val="0"/>
              <w:spacing w:before="0" w:after="0" w:line="317" w:lineRule="exact"/>
              <w:ind w:left="0" w:right="0" w:firstLine="0"/>
              <w:jc w:val="left"/>
            </w:pPr>
            <w:r>
              <w:rPr>
                <w:color w:val="000000"/>
                <w:spacing w:val="0"/>
                <w:w w:val="100"/>
                <w:position w:val="0"/>
              </w:rPr>
              <w:t>二、</w:t>
              <w:tab/>
              <w:t>上市公司的资产独立</w:t>
            </w:r>
          </w:p>
          <w:p>
            <w:pPr>
              <w:pStyle w:val="Style23"/>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上市公司具有独立完整的资产，上市公司的 资产全部处于上市公司的控制之下，并为上市公 司独立拥有和运营。</w:t>
            </w:r>
          </w:p>
          <w:p>
            <w:pPr>
              <w:pStyle w:val="Style23"/>
              <w:keepNext w:val="0"/>
              <w:keepLines w:val="0"/>
              <w:widowControl w:val="0"/>
              <w:shd w:val="clear" w:color="auto" w:fill="auto"/>
              <w:tabs>
                <w:tab w:pos="25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本人控制的其他企业不 以任何方式违法违规占用上市公司的资金、资 产。</w:t>
            </w:r>
          </w:p>
          <w:p>
            <w:pPr>
              <w:pStyle w:val="Style23"/>
              <w:keepNext w:val="0"/>
              <w:keepLines w:val="0"/>
              <w:widowControl w:val="0"/>
              <w:shd w:val="clear" w:color="auto" w:fill="auto"/>
              <w:tabs>
                <w:tab w:pos="25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不以上市公司的资产为本公司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本人控制的其他企业的债务违规提供担保。</w:t>
            </w:r>
          </w:p>
          <w:p>
            <w:pPr>
              <w:pStyle w:val="Style23"/>
              <w:keepNext w:val="0"/>
              <w:keepLines w:val="0"/>
              <w:widowControl w:val="0"/>
              <w:shd w:val="clear" w:color="auto" w:fill="auto"/>
              <w:tabs>
                <w:tab w:pos="360" w:val="left"/>
              </w:tabs>
              <w:bidi w:val="0"/>
              <w:spacing w:before="0" w:after="0" w:line="317" w:lineRule="exact"/>
              <w:ind w:left="0" w:right="0" w:firstLine="0"/>
              <w:jc w:val="left"/>
            </w:pPr>
            <w:r>
              <w:rPr>
                <w:color w:val="000000"/>
                <w:spacing w:val="0"/>
                <w:w w:val="100"/>
                <w:position w:val="0"/>
              </w:rPr>
              <w:t>三、</w:t>
              <w:tab/>
              <w:t>上市公司的财务独立</w:t>
            </w:r>
          </w:p>
          <w:p>
            <w:pPr>
              <w:pStyle w:val="Style23"/>
              <w:keepNext w:val="0"/>
              <w:keepLines w:val="0"/>
              <w:widowControl w:val="0"/>
              <w:shd w:val="clear" w:color="auto" w:fill="auto"/>
              <w:tabs>
                <w:tab w:pos="269"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上市公司及其控股子公司建立独立的财务会 计部门，建立独立的财务核算体系和财务管理制 度。</w:t>
            </w:r>
          </w:p>
          <w:p>
            <w:pPr>
              <w:pStyle w:val="Style23"/>
              <w:keepNext w:val="0"/>
              <w:keepLines w:val="0"/>
              <w:widowControl w:val="0"/>
              <w:shd w:val="clear" w:color="auto" w:fill="auto"/>
              <w:tabs>
                <w:tab w:pos="27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上市公司及其控股子公司能够独立作出财务 决策，本公司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本人不会超越上市公司的股东大会 或董事会干预上市公司的资金使用。</w:t>
            </w:r>
          </w:p>
          <w:p>
            <w:pPr>
              <w:pStyle w:val="Style23"/>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上市公司及其控股子公司独立开具银行账户， 本公司及本公司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本人控制的其他企业不会与上 市公司及其控股子公司共用银行账户。</w:t>
            </w:r>
          </w:p>
          <w:p>
            <w:pPr>
              <w:pStyle w:val="Style23"/>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上市公司及其控股子公司独立纳税。</w:t>
            </w:r>
          </w:p>
          <w:p>
            <w:pPr>
              <w:pStyle w:val="Style23"/>
              <w:keepNext w:val="0"/>
              <w:keepLines w:val="0"/>
              <w:widowControl w:val="0"/>
              <w:shd w:val="clear" w:color="auto" w:fill="auto"/>
              <w:tabs>
                <w:tab w:pos="346" w:val="left"/>
              </w:tabs>
              <w:bidi w:val="0"/>
              <w:spacing w:before="0" w:after="0" w:line="317" w:lineRule="exact"/>
              <w:ind w:left="0" w:right="0" w:firstLine="0"/>
              <w:jc w:val="left"/>
            </w:pPr>
            <w:r>
              <w:rPr>
                <w:color w:val="000000"/>
                <w:spacing w:val="0"/>
                <w:w w:val="100"/>
                <w:position w:val="0"/>
              </w:rPr>
              <w:t>四、</w:t>
              <w:tab/>
              <w:t>上市公司的机构独立</w:t>
            </w:r>
          </w:p>
          <w:p>
            <w:pPr>
              <w:pStyle w:val="Style23"/>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上市公司依法建立和完善法人治理结构，建 立独立、完整的组织机构，并与本公司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本人的机 构完全分开；上市公司不会与本公司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本人控制的其他企业存在办公机构混同或经 营场所混用的情形。</w:t>
            </w:r>
          </w:p>
          <w:p>
            <w:pPr>
              <w:pStyle w:val="Style23"/>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上市公司独立自主地运作，本公司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 超越股东大会及董事会干预上市公司的经营管 理。</w:t>
            </w:r>
          </w:p>
          <w:p>
            <w:pPr>
              <w:pStyle w:val="Style23"/>
              <w:keepNext w:val="0"/>
              <w:keepLines w:val="0"/>
              <w:widowControl w:val="0"/>
              <w:shd w:val="clear" w:color="auto" w:fill="auto"/>
              <w:tabs>
                <w:tab w:pos="360" w:val="left"/>
              </w:tabs>
              <w:bidi w:val="0"/>
              <w:spacing w:before="0" w:after="0" w:line="317" w:lineRule="exact"/>
              <w:ind w:left="0" w:right="0" w:firstLine="0"/>
              <w:jc w:val="left"/>
            </w:pPr>
            <w:r>
              <w:rPr>
                <w:color w:val="000000"/>
                <w:spacing w:val="0"/>
                <w:w w:val="100"/>
                <w:position w:val="0"/>
              </w:rPr>
              <w:t>五、</w:t>
              <w:tab/>
              <w:t>上市公司的业务独立</w:t>
            </w:r>
          </w:p>
          <w:p>
            <w:pPr>
              <w:pStyle w:val="Style23"/>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上市公司在本次重组完成后独立拥有开展经 营活动的资产、人员、资质以及具有独立面向市 场自主经营的能力。</w:t>
            </w:r>
          </w:p>
          <w:p>
            <w:pPr>
              <w:pStyle w:val="Style23"/>
              <w:keepNext w:val="0"/>
              <w:keepLines w:val="0"/>
              <w:widowControl w:val="0"/>
              <w:shd w:val="clear" w:color="auto" w:fill="auto"/>
              <w:tabs>
                <w:tab w:pos="25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本人控制的其他企业将 避免从事与上市公司及其控股子公司业务构成 同业竞争的业务。</w:t>
            </w:r>
          </w:p>
          <w:p>
            <w:pPr>
              <w:pStyle w:val="Style23"/>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本人不会非法占用上市公司的资金或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850"/>
        <w:gridCol w:w="850"/>
        <w:gridCol w:w="3826"/>
        <w:gridCol w:w="710"/>
        <w:gridCol w:w="850"/>
        <w:gridCol w:w="864"/>
      </w:tblGrid>
      <w:tr>
        <w:trPr>
          <w:trHeight w:val="535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本人将严格遵守上市公司的关联交 易管理制度，规范并尽量减少与上市公司发生关 联交易。对于不可避免与上市公司发生关联交易 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本人自身并将促使本公司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 的其他企业按照公平合理和正常的商业交易条 件进行，不会要求或接受上市公司给予比在任何 一项市场公平交易中第三者更优惠的条件，并善 意、严格地履行与上市公司签订的各种关联交易 协议。本公司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本人将严格按照上市公司公司章程 以及相关法律法规的规定履行关联交易决策程 序以及相应的信息披露义务。本公司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本人将严格 遵守中国证监会关于上市公司独立性的相关规 定，不利用控股股东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实际控制人地位违反上市公 司规范运作程序，不会越权干预上市公司及其子 公司的经营管理活动</w:t>
            </w:r>
            <w:r>
              <w:rPr>
                <w:color w:val="000000"/>
                <w:spacing w:val="0"/>
                <w:w w:val="100"/>
                <w:position w:val="0"/>
                <w:sz w:val="18"/>
                <w:szCs w:val="18"/>
              </w:rPr>
              <w:t>，</w:t>
            </w:r>
            <w:r>
              <w:rPr>
                <w:color w:val="000000"/>
                <w:spacing w:val="0"/>
                <w:w w:val="100"/>
                <w:position w:val="0"/>
              </w:rPr>
              <w:t>不侵占上市公司及其控股 子公司的利益，不损害上市公司和其他股东的合 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6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嘉强顺风</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 股权投资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伙）、宁波 顺达丰润 投资管理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伙）、宁波 顺信丰合 投资管理 合伙企业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伙）、深圳 明德控股 发展有限 公司、深 圳市招广 投资有限 公司、苏 州工业园 区元禾顺 风股权投 资企业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 及补偿安 排</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本次资产重组交易对手方明德控股、顺达丰润、 嘉强顺风、招广投资、元禾顺风、古玉秋创、顺 信丰合承诺，泰森控股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年度净利润不低于</w:t>
            </w:r>
            <w:r>
              <w:rPr>
                <w:rFonts w:ascii="Times New Roman" w:eastAsia="Times New Roman" w:hAnsi="Times New Roman" w:cs="Times New Roman"/>
                <w:color w:val="000000"/>
                <w:spacing w:val="0"/>
                <w:w w:val="100"/>
                <w:position w:val="0"/>
                <w:sz w:val="18"/>
                <w:szCs w:val="18"/>
              </w:rPr>
              <w:t>218,500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281,500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348,800</w:t>
            </w:r>
            <w:r>
              <w:rPr>
                <w:color w:val="000000"/>
                <w:spacing w:val="0"/>
                <w:w w:val="100"/>
                <w:position w:val="0"/>
              </w:rPr>
              <w:t>万元。前述净利润是指泰森控股合并报 表范围扣除非经常性损益后归属于母公司所有 者的净利润；考虑到本次重大资产重组配套募集 资金会对标的公司净利润水平产生影响，鉴于本 次募集资金投入项目并不直接产生收益，公司与 泰森控股全体股东对于泰森控股业绩承诺约定 如下：</w:t>
            </w:r>
          </w:p>
          <w:p>
            <w:pPr>
              <w:pStyle w:val="Style23"/>
              <w:keepNext w:val="0"/>
              <w:keepLines w:val="0"/>
              <w:widowControl w:val="0"/>
              <w:shd w:val="clear" w:color="auto" w:fill="auto"/>
              <w:tabs>
                <w:tab w:pos="278" w:val="left"/>
              </w:tabs>
              <w:bidi w:val="0"/>
              <w:spacing w:before="0" w:after="4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本次募集资金自募投项目实际投入运营之日 起，按照同期银行贷款基准利率及募投项目实际 运营天数（按照募投项目实际投入运营之日起计 算）计算资金使用费，泰森控股全体股东对于泰 森控股承诺净利润以扣除上述资金使用费后的 净利润为准，资金使用费计算公式如下：资金使 用费=实际投入的募集资金金额</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同期银行贷款 基准利率</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 xml:space="preserve">募投项目实际运营天数/ </w:t>
            </w:r>
            <w:r>
              <w:rPr>
                <w:rFonts w:ascii="Times New Roman" w:eastAsia="Times New Roman" w:hAnsi="Times New Roman" w:cs="Times New Roman"/>
                <w:color w:val="000000"/>
                <w:spacing w:val="0"/>
                <w:w w:val="100"/>
                <w:position w:val="0"/>
                <w:sz w:val="18"/>
                <w:szCs w:val="18"/>
              </w:rPr>
              <w:t>360</w:t>
            </w:r>
          </w:p>
          <w:p>
            <w:pPr>
              <w:pStyle w:val="Style23"/>
              <w:keepNext w:val="0"/>
              <w:keepLines w:val="0"/>
              <w:widowControl w:val="0"/>
              <w:shd w:val="clear" w:color="auto" w:fill="auto"/>
              <w:tabs>
                <w:tab w:pos="288"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公司本次募集资金专户存储或现金管理所产 生的利息等收益，不计入交易对手方对于标的资 产的承诺净利润范围内。利润补偿期间实现的净 利润数未达到承诺净利润数的，交易对手方明德 控股、顺达丰润、嘉强顺风、招广投资、元禾顺 风、古玉秋创、顺信丰合应首先以本次交易取得 的鼎泰新材股份进行补偿，当股份补偿的总数达 到本次发行股份购买资产发行的股份总数的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 到期后至 补偿完毕 为止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1570"/>
        <w:gridCol w:w="850"/>
        <w:gridCol w:w="850"/>
        <w:gridCol w:w="3826"/>
        <w:gridCol w:w="710"/>
        <w:gridCol w:w="850"/>
        <w:gridCol w:w="864"/>
      </w:tblGrid>
      <w:tr>
        <w:trPr>
          <w:trHeight w:val="192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伙）、苏州 古玉秋创 股权投资 合伙企业</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后，以现金进行补偿。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股东刘冀 鲁、刘凌 云、宫为 平、黄学 春、唐成 宽、吴翠 华、章大 林、史志 民、袁福 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关于买卖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股票的承</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本人承诺，在公司复牌直至本次重大资产重组事 项实施完毕或公司宣布终止该事项实施期间，本 人不再买卖公司的股票。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刘凌云、 黄学春、 吴翠华违 法了承</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诺，其他 人已履行 完毕</w:t>
            </w:r>
          </w:p>
        </w:tc>
      </w:tr>
      <w:tr>
        <w:trPr>
          <w:trHeight w:val="3835"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本公司前身鼎泰新</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材首次公开发行或</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再融资时所作承诺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股东宫为 平、黄学 春、刘冀 鲁、刘凌 云、陆江、 史志民、 唐成宽、 吴翠华、 喻琴、袁 福祥、章 大林、赵 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 同业竞争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自本承诺函出具之日起，不以任何方式直接或间 接地从事与股份公司主营业务构成或可能构成 竞争的业务，不以任何方式从事或参与生产任何 与股份公司产品相同、相似或可以取代股份公司 产品的业务或活动，不损害股份公司和其他股东 的合法权益，不在股份公司谋取任何不正当利 </w:t>
            </w:r>
            <w:r>
              <w:rPr>
                <w:color w:val="000000"/>
                <w:spacing w:val="0"/>
                <w:w w:val="100"/>
                <w:position w:val="0"/>
                <w:u w:val="single"/>
              </w:rPr>
              <w:t>益</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已履行完 毕</w:t>
            </w:r>
          </w:p>
        </w:tc>
      </w:tr>
      <w:tr>
        <w:trPr>
          <w:trHeight w:val="351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股东宫为 平、黄学 春、刘冀 鲁、刘凌 云、陆江、 史志民、 唐成宽、 吴翠华、 袁福祥、 章大林、 赵明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股份限售 及减持承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自股票首发上市之日起三年锁定期限届满后，在 其任职期间每年转让的股份不超过其所持有本 公司股份总数的百分之二十；离职以后三年内， 不转让其所持有的本公司股份，且三年后每年转 让的股份不超过其所持有公司股份总数的百分 之二十。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除赵明 外，其他 均正常履</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行中</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9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 说明未完成履行的</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一、本公司前身鼎泰新材首次公开发行时担任高级管理人员的股东赵明在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日离任后，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日期间减持其所持有的公司股份，其持有公司的股份比例由 </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下降至截至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0.41%</w:t>
            </w:r>
            <w:r>
              <w:rPr>
                <w:color w:val="000000"/>
                <w:spacing w:val="0"/>
                <w:w w:val="100"/>
                <w:position w:val="0"/>
              </w:rPr>
              <w:t>，超过其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年度可减持公司股份总数的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,违反了</w:t>
            </w:r>
          </w:p>
        </w:tc>
      </w:tr>
    </w:tbl>
    <w:p>
      <w:pPr>
        <w:widowControl w:val="0"/>
        <w:spacing w:line="1" w:lineRule="exact"/>
      </w:pPr>
    </w:p>
    <w:tbl>
      <w:tblPr>
        <w:tblOverlap w:val="never"/>
        <w:jc w:val="center"/>
        <w:tblLayout w:type="fixed"/>
      </w:tblPr>
      <w:tblGrid>
        <w:gridCol w:w="1570"/>
        <w:gridCol w:w="7949"/>
      </w:tblGrid>
      <w:tr>
        <w:trPr>
          <w:trHeight w:val="2602" w:hRule="exact"/>
        </w:trPr>
        <w:tc>
          <w:tcPr>
            <w:tcBorders>
              <w:top w:val="single" w:sz="4"/>
              <w:left w:val="single" w:sz="4"/>
              <w:bottom w:val="single" w:sz="4"/>
            </w:tcBorders>
            <w:shd w:val="clear" w:color="auto" w:fill="D4D4D4"/>
            <w:vAlign w:val="top"/>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具体原因及下一步 的工作计划</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其上述所做的关于股份限售的承诺即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离职以后三年内，不转让其所持有的本公司股份，且三年后每 年转让的股份不超过其所持有公司股份总数的百分之二十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。公司将加强对于股东的培训，及时提醒 相关人员有关股份买卖注意事项。</w:t>
            </w:r>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二、自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日（公司股票复牌日）至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日期间，本公司前身鼎泰新材的股 东刘凌云共计减持公司股票</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股，吴翠华共计减持公司股票</w:t>
            </w:r>
            <w:r>
              <w:rPr>
                <w:rFonts w:ascii="Times New Roman" w:eastAsia="Times New Roman" w:hAnsi="Times New Roman" w:cs="Times New Roman"/>
                <w:color w:val="000000"/>
                <w:spacing w:val="0"/>
                <w:w w:val="100"/>
                <w:position w:val="0"/>
                <w:sz w:val="18"/>
                <w:szCs w:val="18"/>
              </w:rPr>
              <w:t>265,300</w:t>
            </w:r>
            <w:r>
              <w:rPr>
                <w:color w:val="000000"/>
                <w:spacing w:val="0"/>
                <w:w w:val="100"/>
                <w:position w:val="0"/>
              </w:rPr>
              <w:t>股，黄学春共计减持公司 股票</w:t>
            </w:r>
            <w:r>
              <w:rPr>
                <w:rFonts w:ascii="Times New Roman" w:eastAsia="Times New Roman" w:hAnsi="Times New Roman" w:cs="Times New Roman"/>
                <w:color w:val="000000"/>
                <w:spacing w:val="0"/>
                <w:w w:val="100"/>
                <w:position w:val="0"/>
                <w:sz w:val="18"/>
                <w:szCs w:val="18"/>
              </w:rPr>
              <w:t>109,447</w:t>
            </w:r>
            <w:r>
              <w:rPr>
                <w:color w:val="000000"/>
                <w:spacing w:val="0"/>
                <w:w w:val="100"/>
                <w:position w:val="0"/>
              </w:rPr>
              <w:t>股，三人均违反了之前其本人做出的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在公司复牌直至本次重大资产重组事项实施完毕或 公司宣布终止该事项实施期间，本人不再买卖公司的股票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的承诺。公司将加强对于股东的培训，及 时提醒相关人员有关股份买卖注意事项。</w:t>
            </w:r>
          </w:p>
        </w:tc>
      </w:tr>
    </w:tbl>
    <w:p>
      <w:pPr>
        <w:widowControl w:val="0"/>
        <w:spacing w:after="259" w:line="1" w:lineRule="exact"/>
      </w:pPr>
    </w:p>
    <w:p>
      <w:pPr>
        <w:pStyle w:val="Style33"/>
        <w:keepNext w:val="0"/>
        <w:keepLines w:val="0"/>
        <w:widowControl w:val="0"/>
        <w:shd w:val="clear" w:color="auto" w:fill="auto"/>
        <w:bidi w:val="0"/>
        <w:spacing w:before="0" w:after="360" w:line="312" w:lineRule="exact"/>
        <w:ind w:left="0" w:right="0" w:firstLine="0"/>
        <w:jc w:val="both"/>
      </w:pPr>
      <w:bookmarkStart w:id="237" w:name="bookmark237"/>
      <w:r>
        <w:rPr>
          <w:rFonts w:ascii="Times New Roman" w:eastAsia="Times New Roman" w:hAnsi="Times New Roman" w:cs="Times New Roman"/>
          <w:color w:val="000000"/>
          <w:spacing w:val="0"/>
          <w:w w:val="100"/>
          <w:position w:val="0"/>
        </w:rPr>
        <w:t>2</w:t>
      </w:r>
      <w:bookmarkEnd w:id="237"/>
      <w:r>
        <w:rPr>
          <w:color w:val="000000"/>
          <w:spacing w:val="0"/>
          <w:w w:val="100"/>
          <w:position w:val="0"/>
        </w:rPr>
        <w:t>、公司资产或项目存在盈利预测，且报告期仍处在盈利预测期间，公司就资产或项目达到原盈利预测及其 原因做出说明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未达预测的原 因（如适用）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5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本次重大资产 重组标的公司 深圳顺丰泰森 控股（集团）有 限公司的盈利 预测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264,320.94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《重大资产置 换及发行股份 购买资产并募 集配套资金暨 关联交易报告 书（草案）》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公司股东、交易对手方在报告年度经营业绩做出的承诺情况</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8" w:val="left"/>
        </w:tabs>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四</w:t>
      </w:r>
      <w:bookmarkEnd w:id="240"/>
      <w:r>
        <w:rPr>
          <w:color w:val="000000"/>
          <w:spacing w:val="0"/>
          <w:w w:val="100"/>
          <w:position w:val="0"/>
          <w:sz w:val="24"/>
          <w:szCs w:val="24"/>
        </w:rPr>
        <w:t>、</w:t>
        <w:tab/>
        <w:t>控股股东及其关联方对上市公司的非经营性占用资金情况</w:t>
      </w:r>
      <w:bookmarkEnd w:id="238"/>
      <w:bookmarkEnd w:id="239"/>
      <w:bookmarkEnd w:id="241"/>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五</w:t>
      </w:r>
      <w:bookmarkEnd w:id="24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42"/>
      <w:bookmarkEnd w:id="243"/>
      <w:bookmarkEnd w:id="245"/>
    </w:p>
    <w:p>
      <w:pPr>
        <w:pStyle w:val="Style11"/>
        <w:keepNext w:val="0"/>
        <w:keepLines w:val="0"/>
        <w:widowControl w:val="0"/>
        <w:shd w:val="clear" w:color="auto" w:fill="auto"/>
        <w:bidi w:val="0"/>
        <w:spacing w:before="0" w:after="8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六</w:t>
      </w:r>
      <w:bookmarkEnd w:id="248"/>
      <w:r>
        <w:rPr>
          <w:color w:val="000000"/>
          <w:spacing w:val="0"/>
          <w:w w:val="100"/>
          <w:position w:val="0"/>
          <w:sz w:val="24"/>
          <w:szCs w:val="24"/>
        </w:rPr>
        <w:t>、</w:t>
        <w:tab/>
        <w:t>与上年度财务报告相比，会计政策、会计估计和核算方法发生变化的情况说明</w:t>
      </w:r>
      <w:bookmarkEnd w:id="246"/>
      <w:bookmarkEnd w:id="247"/>
      <w:bookmarkEnd w:id="249"/>
    </w:p>
    <w:p>
      <w:pPr>
        <w:pStyle w:val="Style11"/>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360" w:line="473" w:lineRule="exact"/>
        <w:ind w:left="0" w:right="0" w:firstLine="480"/>
        <w:jc w:val="left"/>
      </w:pPr>
      <w:r>
        <w:rPr>
          <w:color w:val="000000"/>
          <w:spacing w:val="0"/>
          <w:w w:val="100"/>
          <w:position w:val="0"/>
        </w:rPr>
        <w:t>本公司前身鼎泰新材</w:t>
      </w:r>
      <w:r>
        <w:rPr>
          <w:color w:val="000000"/>
          <w:spacing w:val="0"/>
          <w:w w:val="100"/>
          <w:position w:val="0"/>
          <w:sz w:val="18"/>
          <w:szCs w:val="18"/>
        </w:rPr>
        <w:t>2016</w:t>
      </w:r>
      <w:r>
        <w:rPr>
          <w:color w:val="000000"/>
          <w:spacing w:val="0"/>
          <w:w w:val="100"/>
          <w:position w:val="0"/>
        </w:rPr>
        <w:t>年度发生重大资产重组事项，以截至置出资产评估基准日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日）全部资产及负债 与泰森控股全体股东持有的泰森控股</w:t>
      </w:r>
      <w:r>
        <w:rPr>
          <w:color w:val="000000"/>
          <w:spacing w:val="0"/>
          <w:w w:val="100"/>
          <w:position w:val="0"/>
          <w:sz w:val="18"/>
          <w:szCs w:val="18"/>
        </w:rPr>
        <w:t>100%</w:t>
      </w:r>
      <w:r>
        <w:rPr>
          <w:color w:val="000000"/>
          <w:spacing w:val="0"/>
          <w:w w:val="100"/>
          <w:position w:val="0"/>
        </w:rPr>
        <w:t>股权的等值部分进行置换，置入资产与置出资产的差额部分由本公司前身鼎泰新材 以发行股份的方式自泰森控股全体股东处购买。</w:t>
      </w:r>
    </w:p>
    <w:p>
      <w:pPr>
        <w:pStyle w:val="Style11"/>
        <w:keepNext w:val="0"/>
        <w:keepLines w:val="0"/>
        <w:widowControl w:val="0"/>
        <w:shd w:val="clear" w:color="auto" w:fill="auto"/>
        <w:bidi w:val="0"/>
        <w:spacing w:before="0" w:after="0" w:line="468" w:lineRule="exact"/>
        <w:ind w:left="0" w:right="0"/>
        <w:jc w:val="both"/>
      </w:pPr>
      <w:r>
        <w:rPr>
          <w:color w:val="000000"/>
          <w:spacing w:val="0"/>
          <w:w w:val="100"/>
          <w:position w:val="0"/>
        </w:rPr>
        <w:t>鉴于本次实施重大资产重组，公司的资产、主营业务及股权结构等均发生变更。为真实、准确地反映公司财务状况，公 司决定变更原有的会计政策与会计估计，采用泰森控股使用的会计政策与会计估计。具体说明如下：</w:t>
      </w:r>
    </w:p>
    <w:p>
      <w:pPr>
        <w:pStyle w:val="Style11"/>
        <w:keepNext w:val="0"/>
        <w:keepLines w:val="0"/>
        <w:widowControl w:val="0"/>
        <w:shd w:val="clear" w:color="auto" w:fill="auto"/>
        <w:bidi w:val="0"/>
        <w:spacing w:before="0" w:after="0" w:line="468" w:lineRule="exact"/>
        <w:ind w:left="0" w:right="0" w:firstLine="0"/>
        <w:jc w:val="both"/>
      </w:pPr>
      <w:bookmarkStart w:id="250" w:name="bookmark250"/>
      <w:r>
        <w:rPr>
          <w:b/>
          <w:bCs/>
          <w:color w:val="000000"/>
          <w:spacing w:val="0"/>
          <w:w w:val="100"/>
          <w:position w:val="0"/>
        </w:rPr>
        <w:t>（</w:t>
      </w:r>
      <w:bookmarkEnd w:id="250"/>
      <w:r>
        <w:rPr>
          <w:b/>
          <w:bCs/>
          <w:color w:val="000000"/>
          <w:spacing w:val="0"/>
          <w:w w:val="100"/>
          <w:position w:val="0"/>
        </w:rPr>
        <w:t>一）变更事项</w:t>
      </w:r>
    </w:p>
    <w:p>
      <w:pPr>
        <w:pStyle w:val="Style11"/>
        <w:keepNext w:val="0"/>
        <w:keepLines w:val="0"/>
        <w:widowControl w:val="0"/>
        <w:shd w:val="clear" w:color="auto" w:fill="auto"/>
        <w:bidi w:val="0"/>
        <w:spacing w:before="0" w:after="0" w:line="468" w:lineRule="exact"/>
        <w:ind w:left="0" w:right="0" w:firstLine="480"/>
        <w:jc w:val="both"/>
      </w:pPr>
      <w:bookmarkStart w:id="251" w:name="bookmark251"/>
      <w:r>
        <w:rPr>
          <w:b/>
          <w:bCs/>
          <w:color w:val="000000"/>
          <w:spacing w:val="0"/>
          <w:w w:val="100"/>
          <w:position w:val="0"/>
        </w:rPr>
        <w:t>1</w:t>
      </w:r>
      <w:bookmarkEnd w:id="251"/>
      <w:r>
        <w:rPr>
          <w:b/>
          <w:bCs/>
          <w:color w:val="000000"/>
          <w:spacing w:val="0"/>
          <w:w w:val="100"/>
          <w:position w:val="0"/>
        </w:rPr>
        <w:t>、应收款项</w:t>
      </w:r>
    </w:p>
    <w:p>
      <w:pPr>
        <w:pStyle w:val="Style11"/>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变更前：</w:t>
      </w:r>
    </w:p>
    <w:p>
      <w:pPr>
        <w:pStyle w:val="Style11"/>
        <w:keepNext w:val="0"/>
        <w:keepLines w:val="0"/>
        <w:widowControl w:val="0"/>
        <w:shd w:val="clear" w:color="auto" w:fill="auto"/>
        <w:bidi w:val="0"/>
        <w:spacing w:before="0" w:after="0" w:line="468" w:lineRule="exact"/>
        <w:ind w:left="0" w:right="0"/>
        <w:jc w:val="both"/>
      </w:pPr>
      <w:bookmarkStart w:id="252" w:name="bookmark252"/>
      <w:r>
        <w:rPr>
          <w:color w:val="000000"/>
          <w:spacing w:val="0"/>
          <w:w w:val="100"/>
          <w:position w:val="0"/>
          <w:sz w:val="18"/>
          <w:szCs w:val="18"/>
        </w:rPr>
        <w:t>（</w:t>
      </w:r>
      <w:bookmarkEnd w:id="252"/>
      <w:r>
        <w:rPr>
          <w:color w:val="000000"/>
          <w:spacing w:val="0"/>
          <w:w w:val="100"/>
          <w:position w:val="0"/>
          <w:sz w:val="18"/>
          <w:szCs w:val="18"/>
        </w:rPr>
        <w:t>1）</w:t>
      </w:r>
      <w:r>
        <w:rPr>
          <w:color w:val="000000"/>
          <w:spacing w:val="0"/>
          <w:w w:val="100"/>
          <w:position w:val="0"/>
        </w:rPr>
        <w:t>单项金额重大并单项计提坏账准备的应收款项坏账准备的确认标准、计提方法</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将金额为人民币</w:t>
      </w:r>
      <w:r>
        <w:rPr>
          <w:color w:val="000000"/>
          <w:spacing w:val="0"/>
          <w:w w:val="100"/>
          <w:position w:val="0"/>
          <w:sz w:val="18"/>
          <w:szCs w:val="18"/>
        </w:rPr>
        <w:t>10 0</w:t>
      </w:r>
      <w:r>
        <w:rPr>
          <w:color w:val="000000"/>
          <w:spacing w:val="0"/>
          <w:w w:val="100"/>
          <w:position w:val="0"/>
        </w:rPr>
        <w:t>万元以上的应收款项确认为单项金额重大的应收款项。</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对单项金额重大的应收款项单独进行减值测试，单独测试未发生减值的金融资产，包括在具有类似信用风险特征的金融 资产组合中进行减值测试。单项测试已确认减值损失的应收款项，不再包括在具有类似信用风险特征的应收款项组合中进行 减值测试。</w:t>
      </w:r>
    </w:p>
    <w:p>
      <w:pPr>
        <w:pStyle w:val="Style11"/>
        <w:keepNext w:val="0"/>
        <w:keepLines w:val="0"/>
        <w:widowControl w:val="0"/>
        <w:shd w:val="clear" w:color="auto" w:fill="auto"/>
        <w:bidi w:val="0"/>
        <w:spacing w:before="0" w:after="0" w:line="468" w:lineRule="exact"/>
        <w:ind w:left="0" w:right="0" w:firstLine="480"/>
        <w:jc w:val="both"/>
      </w:pPr>
      <w:bookmarkStart w:id="253" w:name="bookmark253"/>
      <w:r>
        <w:rPr>
          <w:color w:val="000000"/>
          <w:spacing w:val="0"/>
          <w:w w:val="100"/>
          <w:position w:val="0"/>
          <w:sz w:val="18"/>
          <w:szCs w:val="18"/>
        </w:rPr>
        <w:t>（</w:t>
      </w:r>
      <w:bookmarkEnd w:id="253"/>
      <w:r>
        <w:rPr>
          <w:color w:val="000000"/>
          <w:spacing w:val="0"/>
          <w:w w:val="100"/>
          <w:position w:val="0"/>
          <w:sz w:val="18"/>
          <w:szCs w:val="18"/>
        </w:rPr>
        <w:t>2）</w:t>
      </w:r>
      <w:r>
        <w:rPr>
          <w:color w:val="000000"/>
          <w:spacing w:val="0"/>
          <w:w w:val="100"/>
          <w:position w:val="0"/>
        </w:rPr>
        <w:t>按信用风险组合计提坏账准备的应收款项的确定依据、坏账准备计提方法</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18"/>
          <w:szCs w:val="18"/>
        </w:rPr>
        <w:t>A.</w:t>
      </w:r>
      <w:r>
        <w:rPr>
          <w:color w:val="000000"/>
          <w:spacing w:val="0"/>
          <w:w w:val="100"/>
          <w:position w:val="0"/>
        </w:rPr>
        <w:t>信用风险特征组合的确定依据</w:t>
      </w:r>
    </w:p>
    <w:p>
      <w:pPr>
        <w:pStyle w:val="Style11"/>
        <w:keepNext w:val="0"/>
        <w:keepLines w:val="0"/>
        <w:widowControl w:val="0"/>
        <w:shd w:val="clear" w:color="auto" w:fill="auto"/>
        <w:bidi w:val="0"/>
        <w:spacing w:before="0" w:after="260" w:line="468" w:lineRule="exact"/>
        <w:ind w:left="0" w:right="0" w:firstLine="480"/>
        <w:jc w:val="left"/>
      </w:pPr>
      <w:r>
        <w:rPr>
          <w:color w:val="000000"/>
          <w:spacing w:val="0"/>
          <w:w w:val="100"/>
          <w:position w:val="0"/>
        </w:rPr>
        <w:t>对单项金额不重大以及金额重大但单项测试未发生减值的应收款项，按信用风险特征的相似性和相关性对金融资产进 行分组。这些信用风险通常反映债务人按照该等资产的合同条款偿还所有到期金额的能力，并且与被检查资产的未来现金流 量测算相关。</w:t>
      </w:r>
    </w:p>
    <w:p>
      <w:pPr>
        <w:pStyle w:val="Style29"/>
        <w:keepNext w:val="0"/>
        <w:keepLines w:val="0"/>
        <w:widowControl w:val="0"/>
        <w:shd w:val="clear" w:color="auto" w:fill="auto"/>
        <w:bidi w:val="0"/>
        <w:spacing w:before="0" w:after="0" w:line="240" w:lineRule="auto"/>
        <w:ind w:left="470" w:right="0" w:firstLine="0"/>
        <w:jc w:val="left"/>
      </w:pPr>
      <w:r>
        <w:rPr>
          <w:color w:val="000000"/>
          <w:spacing w:val="0"/>
          <w:w w:val="100"/>
          <w:position w:val="0"/>
        </w:rPr>
        <w:t>不同组合的确定依据:</w:t>
      </w:r>
    </w:p>
    <w:tbl>
      <w:tblPr>
        <w:tblOverlap w:val="never"/>
        <w:jc w:val="center"/>
        <w:tblLayout w:type="fixed"/>
      </w:tblPr>
      <w:tblGrid>
        <w:gridCol w:w="4829"/>
        <w:gridCol w:w="4829"/>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无信用风险组合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合并范围内关联方款项</w:t>
            </w:r>
          </w:p>
        </w:tc>
      </w:tr>
      <w:tr>
        <w:trPr>
          <w:trHeight w:val="5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除合并范围内关联方款项</w:t>
            </w:r>
          </w:p>
        </w:tc>
      </w:tr>
    </w:tbl>
    <w:p>
      <w:pPr>
        <w:widowControl w:val="0"/>
        <w:spacing w:after="119" w:line="1" w:lineRule="exact"/>
      </w:pP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sz w:val="18"/>
          <w:szCs w:val="18"/>
        </w:rPr>
        <w:t>B.</w:t>
      </w:r>
      <w:r>
        <w:rPr>
          <w:color w:val="000000"/>
          <w:spacing w:val="0"/>
          <w:w w:val="100"/>
          <w:position w:val="0"/>
        </w:rPr>
        <w:t>根据信用风险特征组合确定的坏账准备计提方法</w:t>
      </w: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 xml:space="preserve">按组合方式实施减值测试时，坏账准备金额系根据应收款项组合结构及类似信用风险特征（债务人根据合同条款偿还欠 </w:t>
      </w:r>
      <w:r>
        <w:rPr>
          <w:color w:val="000000"/>
          <w:spacing w:val="0"/>
          <w:w w:val="100"/>
          <w:position w:val="0"/>
        </w:rPr>
        <w:t>款的能力）按历史损失经验及目前经济状况与预计应收款项组合中已经存在的损失评估确定。</w:t>
      </w:r>
    </w:p>
    <w:p>
      <w:pPr>
        <w:pStyle w:val="Style11"/>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无信用风险组合不计提坏账准备，账龄组合采用账龄分析法计提坏账准备：</w:t>
      </w:r>
    </w:p>
    <w:tbl>
      <w:tblPr>
        <w:tblOverlap w:val="never"/>
        <w:jc w:val="center"/>
        <w:tblLayout w:type="fixed"/>
      </w:tblPr>
      <w:tblGrid>
        <w:gridCol w:w="3274"/>
        <w:gridCol w:w="3110"/>
        <w:gridCol w:w="3274"/>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00%</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5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（3）</w:t>
      </w:r>
      <w:r>
        <w:rPr>
          <w:color w:val="000000"/>
          <w:spacing w:val="0"/>
          <w:w w:val="100"/>
          <w:position w:val="0"/>
        </w:rPr>
        <w:t>单项金额虽不重大但单项计提坏账准备的应收款项</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对于单项金额虽不重大但具备以下特征的应收款项，单独进行减值测试，有客观证据表明其发生了减值的，根据其未来 现金流量现值低于其账面价值的差额，确认减值损失，计提坏账准备。单项金额虽不重大但单项计提坏账准备的应收款项的 特征：应收关联方款项；与对方存在争议或涉及诉讼、仲裁的应收款项；已有明显迹象表明债务人很可能无法履行还款义务 的应收款项。</w:t>
      </w:r>
    </w:p>
    <w:p>
      <w:pPr>
        <w:pStyle w:val="Style11"/>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变更后：</w:t>
      </w:r>
    </w:p>
    <w:p>
      <w:pPr>
        <w:pStyle w:val="Style11"/>
        <w:keepNext w:val="0"/>
        <w:keepLines w:val="0"/>
        <w:widowControl w:val="0"/>
        <w:shd w:val="clear" w:color="auto" w:fill="auto"/>
        <w:tabs>
          <w:tab w:pos="925" w:val="left"/>
        </w:tabs>
        <w:bidi w:val="0"/>
        <w:spacing w:before="0" w:after="0" w:line="469" w:lineRule="exact"/>
        <w:ind w:left="0" w:right="0" w:firstLine="480"/>
        <w:jc w:val="both"/>
      </w:pPr>
      <w:bookmarkStart w:id="254" w:name="bookmark254"/>
      <w:r>
        <w:rPr>
          <w:color w:val="000000"/>
          <w:spacing w:val="0"/>
          <w:w w:val="100"/>
          <w:position w:val="0"/>
          <w:sz w:val="18"/>
          <w:szCs w:val="18"/>
        </w:rPr>
        <w:t>（</w:t>
      </w:r>
      <w:bookmarkEnd w:id="254"/>
      <w:r>
        <w:rPr>
          <w:color w:val="000000"/>
          <w:spacing w:val="0"/>
          <w:w w:val="100"/>
          <w:position w:val="0"/>
          <w:sz w:val="18"/>
          <w:szCs w:val="18"/>
        </w:rPr>
        <w:t>1）</w:t>
        <w:tab/>
      </w:r>
      <w:r>
        <w:rPr>
          <w:color w:val="000000"/>
          <w:spacing w:val="0"/>
          <w:w w:val="100"/>
          <w:position w:val="0"/>
        </w:rPr>
        <w:t>单独计提坏账准备的应收款项</w:t>
      </w:r>
    </w:p>
    <w:p>
      <w:pPr>
        <w:pStyle w:val="Style11"/>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无论单项金额是否重大，当存在客观证据表明将无法按应收款项的原有条款收回款项时，单独计提坏账准备。</w:t>
      </w:r>
    </w:p>
    <w:p>
      <w:pPr>
        <w:pStyle w:val="Style11"/>
        <w:keepNext w:val="0"/>
        <w:keepLines w:val="0"/>
        <w:widowControl w:val="0"/>
        <w:shd w:val="clear" w:color="auto" w:fill="auto"/>
        <w:tabs>
          <w:tab w:pos="925" w:val="left"/>
        </w:tabs>
        <w:bidi w:val="0"/>
        <w:spacing w:before="0" w:after="0" w:line="469" w:lineRule="exact"/>
        <w:ind w:left="0" w:right="0" w:firstLine="480"/>
        <w:jc w:val="left"/>
      </w:pPr>
      <w:bookmarkStart w:id="255" w:name="bookmark255"/>
      <w:r>
        <w:rPr>
          <w:color w:val="000000"/>
          <w:spacing w:val="0"/>
          <w:w w:val="100"/>
          <w:position w:val="0"/>
          <w:sz w:val="18"/>
          <w:szCs w:val="18"/>
        </w:rPr>
        <w:t>（</w:t>
      </w:r>
      <w:bookmarkEnd w:id="255"/>
      <w:r>
        <w:rPr>
          <w:color w:val="000000"/>
          <w:spacing w:val="0"/>
          <w:w w:val="100"/>
          <w:position w:val="0"/>
          <w:sz w:val="18"/>
          <w:szCs w:val="18"/>
        </w:rPr>
        <w:t>2）</w:t>
        <w:tab/>
      </w:r>
      <w:r>
        <w:rPr>
          <w:color w:val="000000"/>
          <w:spacing w:val="0"/>
          <w:w w:val="100"/>
          <w:position w:val="0"/>
        </w:rPr>
        <w:t>按组合计提坏账准备的应收款项</w:t>
      </w:r>
    </w:p>
    <w:p>
      <w:pPr>
        <w:pStyle w:val="Style11"/>
        <w:keepNext w:val="0"/>
        <w:keepLines w:val="0"/>
        <w:widowControl w:val="0"/>
        <w:shd w:val="clear" w:color="auto" w:fill="auto"/>
        <w:bidi w:val="0"/>
        <w:spacing w:before="0" w:after="120" w:line="466" w:lineRule="exact"/>
        <w:ind w:left="0" w:right="0" w:firstLine="480"/>
        <w:jc w:val="both"/>
      </w:pPr>
      <w:r>
        <w:rPr>
          <w:color w:val="000000"/>
          <w:spacing w:val="0"/>
          <w:w w:val="100"/>
          <w:position w:val="0"/>
        </w:rPr>
        <w:t>未单独计提坏账准备的应收款项按信用风险特征划分为以下组合，根据以前年度与之具有类似信用风险特征的应收款项 组合的实际损失率为基础，结合现时情况计提坏账准备。</w:t>
      </w:r>
    </w:p>
    <w:tbl>
      <w:tblPr>
        <w:tblOverlap w:val="never"/>
        <w:jc w:val="center"/>
        <w:tblLayout w:type="fixed"/>
      </w:tblPr>
      <w:tblGrid>
        <w:gridCol w:w="4546"/>
        <w:gridCol w:w="5112"/>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由于历史损失率很低，因此设定的计提比例为</w:t>
            </w:r>
            <w:r>
              <w:rPr>
                <w:color w:val="000000"/>
                <w:spacing w:val="0"/>
                <w:w w:val="100"/>
                <w:position w:val="0"/>
                <w:sz w:val="18"/>
                <w:szCs w:val="18"/>
              </w:rPr>
              <w:t>0%</w:t>
            </w:r>
          </w:p>
        </w:tc>
      </w:tr>
      <w:tr>
        <w:trPr>
          <w:trHeight w:val="5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按照余额</w:t>
            </w:r>
            <w:r>
              <w:rPr>
                <w:color w:val="000000"/>
                <w:spacing w:val="0"/>
                <w:w w:val="100"/>
                <w:position w:val="0"/>
                <w:sz w:val="18"/>
                <w:szCs w:val="18"/>
              </w:rPr>
              <w:t>0.5%</w:t>
            </w:r>
            <w:r>
              <w:rPr>
                <w:color w:val="000000"/>
                <w:spacing w:val="0"/>
                <w:w w:val="100"/>
                <w:position w:val="0"/>
              </w:rPr>
              <w:t>计提组合坏账准备</w:t>
            </w:r>
          </w:p>
        </w:tc>
      </w:tr>
    </w:tbl>
    <w:p>
      <w:pPr>
        <w:widowControl w:val="0"/>
        <w:spacing w:after="119" w:line="1" w:lineRule="exact"/>
      </w:pPr>
    </w:p>
    <w:p>
      <w:pPr>
        <w:pStyle w:val="Style11"/>
        <w:keepNext w:val="0"/>
        <w:keepLines w:val="0"/>
        <w:widowControl w:val="0"/>
        <w:shd w:val="clear" w:color="auto" w:fill="auto"/>
        <w:bidi w:val="0"/>
        <w:spacing w:before="0" w:after="260" w:line="240" w:lineRule="auto"/>
        <w:ind w:left="0" w:right="0" w:firstLine="480"/>
        <w:jc w:val="both"/>
      </w:pPr>
      <w:bookmarkStart w:id="256" w:name="bookmark256"/>
      <w:r>
        <w:rPr>
          <w:color w:val="000000"/>
          <w:spacing w:val="0"/>
          <w:w w:val="100"/>
          <w:position w:val="0"/>
          <w:sz w:val="18"/>
          <w:szCs w:val="18"/>
        </w:rPr>
        <w:t>（</w:t>
      </w:r>
      <w:bookmarkEnd w:id="256"/>
      <w:r>
        <w:rPr>
          <w:color w:val="000000"/>
          <w:spacing w:val="0"/>
          <w:w w:val="100"/>
          <w:position w:val="0"/>
          <w:sz w:val="18"/>
          <w:szCs w:val="18"/>
        </w:rPr>
        <w:t>3）</w:t>
      </w:r>
      <w:r>
        <w:rPr>
          <w:color w:val="000000"/>
          <w:spacing w:val="0"/>
          <w:w w:val="100"/>
          <w:position w:val="0"/>
        </w:rPr>
        <w:t>应收保理款、客户贷款及垫款、长期应收款（融资租赁款）</w:t>
      </w: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 xml:space="preserve">对应收保理款、客户贷款及垫款、长期应收款（融资租赁款）包括在具有类似信用风险特征的组合中进行减值测试。对划 </w:t>
      </w:r>
      <w:r>
        <w:rPr>
          <w:color w:val="000000"/>
          <w:spacing w:val="0"/>
          <w:w w:val="100"/>
          <w:position w:val="0"/>
        </w:rPr>
        <w:t>分为不同信用风险特征的组合规定了相应的减值准备计提比例。</w:t>
      </w: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根据以前年度与之具有类似信用风险特征的应收款项组合的实际损失率为基础，结合现时情况确定应计提的坏账准备。</w:t>
      </w:r>
    </w:p>
    <w:p>
      <w:pPr>
        <w:pStyle w:val="Style11"/>
        <w:keepNext w:val="0"/>
        <w:keepLines w:val="0"/>
        <w:widowControl w:val="0"/>
        <w:shd w:val="clear" w:color="auto" w:fill="auto"/>
        <w:tabs>
          <w:tab w:pos="829" w:val="left"/>
        </w:tabs>
        <w:bidi w:val="0"/>
        <w:spacing w:before="0" w:after="260" w:line="240" w:lineRule="auto"/>
        <w:ind w:left="0" w:right="0" w:firstLine="480"/>
        <w:jc w:val="both"/>
      </w:pPr>
      <w:bookmarkStart w:id="257" w:name="bookmark257"/>
      <w:r>
        <w:rPr>
          <w:b/>
          <w:bCs/>
          <w:color w:val="000000"/>
          <w:spacing w:val="0"/>
          <w:w w:val="100"/>
          <w:position w:val="0"/>
        </w:rPr>
        <w:t>2</w:t>
      </w:r>
      <w:bookmarkEnd w:id="257"/>
      <w:r>
        <w:rPr>
          <w:b/>
          <w:bCs/>
          <w:color w:val="000000"/>
          <w:spacing w:val="0"/>
          <w:w w:val="100"/>
          <w:position w:val="0"/>
        </w:rPr>
        <w:t>、</w:t>
        <w:tab/>
        <w:t>存货</w:t>
      </w:r>
    </w:p>
    <w:p>
      <w:pPr>
        <w:pStyle w:val="Style11"/>
        <w:keepNext w:val="0"/>
        <w:keepLines w:val="0"/>
        <w:widowControl w:val="0"/>
        <w:shd w:val="clear" w:color="auto" w:fill="auto"/>
        <w:bidi w:val="0"/>
        <w:spacing w:before="0" w:after="260" w:line="240" w:lineRule="auto"/>
        <w:ind w:left="0" w:right="0" w:firstLine="480"/>
        <w:jc w:val="both"/>
      </w:pPr>
      <w:r>
        <w:rPr>
          <w:b/>
          <w:bCs/>
          <w:color w:val="000000"/>
          <w:spacing w:val="0"/>
          <w:w w:val="100"/>
          <w:position w:val="0"/>
        </w:rPr>
        <w:t>变更前：</w:t>
      </w: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存货发出计价方法：存货领用和发出时按加权平均法计价。</w:t>
      </w:r>
    </w:p>
    <w:p>
      <w:pPr>
        <w:pStyle w:val="Style11"/>
        <w:keepNext w:val="0"/>
        <w:keepLines w:val="0"/>
        <w:widowControl w:val="0"/>
        <w:shd w:val="clear" w:color="auto" w:fill="auto"/>
        <w:bidi w:val="0"/>
        <w:spacing w:before="0" w:after="260" w:line="240" w:lineRule="auto"/>
        <w:ind w:left="0" w:right="0" w:firstLine="480"/>
        <w:jc w:val="both"/>
      </w:pPr>
      <w:r>
        <w:rPr>
          <w:b/>
          <w:bCs/>
          <w:color w:val="000000"/>
          <w:spacing w:val="0"/>
          <w:w w:val="100"/>
          <w:position w:val="0"/>
        </w:rPr>
        <w:t>变更后：</w:t>
      </w: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存货发出计价方法:库存材料和库存商品发出时的成本按加权平均法核算。航材消耗件发出时的成本按个别计价法核算。</w:t>
      </w:r>
    </w:p>
    <w:p>
      <w:pPr>
        <w:pStyle w:val="Style11"/>
        <w:keepNext w:val="0"/>
        <w:keepLines w:val="0"/>
        <w:widowControl w:val="0"/>
        <w:shd w:val="clear" w:color="auto" w:fill="auto"/>
        <w:tabs>
          <w:tab w:pos="829" w:val="left"/>
        </w:tabs>
        <w:bidi w:val="0"/>
        <w:spacing w:before="0" w:after="260" w:line="240" w:lineRule="auto"/>
        <w:ind w:left="0" w:right="0" w:firstLine="480"/>
        <w:jc w:val="both"/>
      </w:pPr>
      <w:bookmarkStart w:id="258" w:name="bookmark258"/>
      <w:r>
        <w:rPr>
          <w:b/>
          <w:bCs/>
          <w:color w:val="000000"/>
          <w:spacing w:val="0"/>
          <w:w w:val="100"/>
          <w:position w:val="0"/>
        </w:rPr>
        <w:t>3</w:t>
      </w:r>
      <w:bookmarkEnd w:id="258"/>
      <w:r>
        <w:rPr>
          <w:b/>
          <w:bCs/>
          <w:color w:val="000000"/>
          <w:spacing w:val="0"/>
          <w:w w:val="100"/>
          <w:position w:val="0"/>
        </w:rPr>
        <w:t>、</w:t>
        <w:tab/>
        <w:t>固定资产折旧</w:t>
      </w:r>
    </w:p>
    <w:p>
      <w:pPr>
        <w:pStyle w:val="Style11"/>
        <w:keepNext w:val="0"/>
        <w:keepLines w:val="0"/>
        <w:widowControl w:val="0"/>
        <w:shd w:val="clear" w:color="auto" w:fill="auto"/>
        <w:bidi w:val="0"/>
        <w:spacing w:before="0" w:after="260" w:line="240" w:lineRule="auto"/>
        <w:ind w:left="0" w:right="0" w:firstLine="480"/>
        <w:jc w:val="both"/>
      </w:pPr>
      <w:r>
        <w:rPr>
          <w:b/>
          <w:bCs/>
          <w:color w:val="000000"/>
          <w:spacing w:val="0"/>
          <w:w w:val="100"/>
          <w:position w:val="0"/>
        </w:rPr>
        <w:t>变更前：</w:t>
      </w:r>
    </w:p>
    <w:p>
      <w:pPr>
        <w:pStyle w:val="Style1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固定资产从达到预定可使用状态的次月起，采用年限平均法在使用寿命内计提折旧。各类固定资产的使用寿命、预计净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残值和年折旧率如下:</w:t>
      </w:r>
    </w:p>
    <w:tbl>
      <w:tblPr>
        <w:tblOverlap w:val="never"/>
        <w:jc w:val="center"/>
        <w:tblLayout w:type="fixed"/>
      </w:tblPr>
      <w:tblGrid>
        <w:gridCol w:w="2563"/>
        <w:gridCol w:w="1982"/>
        <w:gridCol w:w="1704"/>
        <w:gridCol w:w="1699"/>
        <w:gridCol w:w="1709"/>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17%</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50%</w:t>
            </w:r>
          </w:p>
        </w:tc>
      </w:tr>
      <w:tr>
        <w:trPr>
          <w:trHeight w:val="5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9.50%-19.00%</w:t>
            </w:r>
          </w:p>
        </w:tc>
      </w:tr>
    </w:tbl>
    <w:p>
      <w:pPr>
        <w:widowControl w:val="0"/>
        <w:spacing w:line="1" w:lineRule="exact"/>
      </w:pPr>
    </w:p>
    <w:tbl>
      <w:tblPr>
        <w:tblOverlap w:val="never"/>
        <w:jc w:val="center"/>
        <w:tblLayout w:type="fixed"/>
      </w:tblPr>
      <w:tblGrid>
        <w:gridCol w:w="2563"/>
        <w:gridCol w:w="1982"/>
        <w:gridCol w:w="1704"/>
        <w:gridCol w:w="1699"/>
        <w:gridCol w:w="1709"/>
      </w:tblGrid>
      <w:tr>
        <w:trPr>
          <w:trHeight w:val="52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r>
    </w:tbl>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预计净残值是指假定固定资产预计使用寿命已满并处于使用寿命终了时的预期状态，目前从该项资产处置中获得的扣除 预计处置费用后的金额。</w:t>
      </w:r>
    </w:p>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至少于年度终了对固定资产的使用寿命、预计净残值和折旧方法进行复核，如发生改变则作为会计估计变更处理。</w:t>
      </w:r>
    </w:p>
    <w:p>
      <w:pPr>
        <w:pStyle w:val="Style11"/>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变更后：</w:t>
      </w:r>
    </w:p>
    <w:p>
      <w:pPr>
        <w:pStyle w:val="Style11"/>
        <w:keepNext w:val="0"/>
        <w:keepLines w:val="0"/>
        <w:widowControl w:val="0"/>
        <w:shd w:val="clear" w:color="auto" w:fill="auto"/>
        <w:bidi w:val="0"/>
        <w:spacing w:before="0" w:after="260" w:line="470" w:lineRule="exact"/>
        <w:ind w:left="0" w:right="0" w:firstLine="480"/>
        <w:jc w:val="left"/>
      </w:pPr>
      <w:r>
        <w:rPr>
          <w:color w:val="000000"/>
          <w:spacing w:val="0"/>
          <w:w w:val="100"/>
          <w:position w:val="0"/>
        </w:rPr>
        <w:t>除发动机机身大修替换件外，固定资产折旧采用年限平均法并按其入账价值减去预计净残值后在预计使用寿命内计提。</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对计提了减值准备的固定资产，则在未来期间按扣除减值准备后的账面价值及依据尚可使用年限确定折旧额。</w:t>
      </w:r>
    </w:p>
    <w:p>
      <w:pPr>
        <w:pStyle w:val="Style11"/>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固定资产的预计使用寿命、净残值率及年折旧率列示如下：</w:t>
      </w:r>
    </w:p>
    <w:tbl>
      <w:tblPr>
        <w:tblOverlap w:val="never"/>
        <w:jc w:val="center"/>
        <w:tblLayout w:type="fixed"/>
      </w:tblPr>
      <w:tblGrid>
        <w:gridCol w:w="3274"/>
        <w:gridCol w:w="2126"/>
        <w:gridCol w:w="1982"/>
        <w:gridCol w:w="2275"/>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10-50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50%-1. 90%</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运输工具（除电动车外）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23.75%</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运输工具（电动车）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47.50%</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机器设备（除国外进口自动化分拣设备外）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rPr>
              <w:t>50%</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机器设备（国外进口自动化分拣设备）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33%</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计算机及电子设备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31.67%</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飞机及发动机机身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rPr>
              <w:t>50%</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飞机机身大修替换件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 </w:t>
            </w:r>
            <w:r>
              <w:rPr>
                <w:color w:val="000000"/>
                <w:spacing w:val="0"/>
                <w:w w:val="100"/>
                <w:position w:val="0"/>
                <w:sz w:val="18"/>
                <w:szCs w:val="18"/>
              </w:rPr>
              <w:t>67%-8. 33%</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rPr>
              <w:t>50%</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高价飞机维修工具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19.00%</w:t>
            </w:r>
          </w:p>
        </w:tc>
      </w:tr>
      <w:tr>
        <w:trPr>
          <w:trHeight w:val="5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19.00%</w:t>
            </w:r>
          </w:p>
        </w:tc>
      </w:tr>
    </w:tbl>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发动机机身大修替换件采用工作量法，以预计可使用循环数为工作量单位计提折旧。</w:t>
      </w:r>
    </w:p>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对固定资产的预计使用寿命/预计可使用循环、预计净残值和折旧方法于每年年度终了进行复核并作适当调整。</w:t>
      </w:r>
    </w:p>
    <w:p>
      <w:pPr>
        <w:pStyle w:val="Style11"/>
        <w:keepNext w:val="0"/>
        <w:keepLines w:val="0"/>
        <w:widowControl w:val="0"/>
        <w:shd w:val="clear" w:color="auto" w:fill="auto"/>
        <w:bidi w:val="0"/>
        <w:spacing w:before="0" w:after="0" w:line="470" w:lineRule="exact"/>
        <w:ind w:left="0" w:right="0" w:firstLine="480"/>
        <w:jc w:val="left"/>
      </w:pPr>
      <w:bookmarkStart w:id="259" w:name="bookmark259"/>
      <w:r>
        <w:rPr>
          <w:b/>
          <w:bCs/>
          <w:color w:val="000000"/>
          <w:spacing w:val="0"/>
          <w:w w:val="100"/>
          <w:position w:val="0"/>
        </w:rPr>
        <w:t>4</w:t>
      </w:r>
      <w:bookmarkEnd w:id="259"/>
      <w:r>
        <w:rPr>
          <w:b/>
          <w:bCs/>
          <w:color w:val="000000"/>
          <w:spacing w:val="0"/>
          <w:w w:val="100"/>
          <w:position w:val="0"/>
        </w:rPr>
        <w:t>、无形资产</w:t>
      </w:r>
    </w:p>
    <w:p>
      <w:pPr>
        <w:pStyle w:val="Style11"/>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变更前：</w:t>
      </w:r>
    </w:p>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使用寿命有限的无形资产自可供使用时起，对其原值减去已计提的减值准备累计金额在其预计使用寿命内采用直线法分 期平均摊销。使用寿命不确定的无形资产不予摊销。</w:t>
      </w:r>
    </w:p>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取得的土地使用权通常作为无形资产核算，按照</w:t>
      </w:r>
      <w:r>
        <w:rPr>
          <w:color w:val="000000"/>
          <w:spacing w:val="0"/>
          <w:w w:val="100"/>
          <w:position w:val="0"/>
          <w:sz w:val="18"/>
          <w:szCs w:val="18"/>
        </w:rPr>
        <w:t>50</w:t>
      </w:r>
      <w:r>
        <w:rPr>
          <w:color w:val="000000"/>
          <w:spacing w:val="0"/>
          <w:w w:val="100"/>
          <w:position w:val="0"/>
        </w:rPr>
        <w:t>年摊销。</w:t>
      </w:r>
    </w:p>
    <w:p>
      <w:pPr>
        <w:pStyle w:val="Style11"/>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变更后：</w:t>
      </w:r>
    </w:p>
    <w:p>
      <w:pPr>
        <w:pStyle w:val="Style1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 xml:space="preserve">对于使用寿命有限的无形资产，在为企业带来经济利益的期限内按直线法摊销；无法预见无形资产为企业带来经济利益 </w:t>
      </w:r>
      <w:r>
        <w:rPr>
          <w:color w:val="000000"/>
          <w:spacing w:val="0"/>
          <w:w w:val="100"/>
          <w:position w:val="0"/>
        </w:rPr>
        <w:t>期限的，视为使用寿命不确定的无形资产，不予摊销。</w:t>
      </w:r>
    </w:p>
    <w:p>
      <w:pPr>
        <w:pStyle w:val="Style11"/>
        <w:keepNext w:val="0"/>
        <w:keepLines w:val="0"/>
        <w:widowControl w:val="0"/>
        <w:shd w:val="clear" w:color="auto" w:fill="auto"/>
        <w:tabs>
          <w:tab w:pos="925" w:val="left"/>
        </w:tabs>
        <w:bidi w:val="0"/>
        <w:spacing w:before="0" w:after="0" w:line="467" w:lineRule="exact"/>
        <w:ind w:left="0" w:right="0" w:firstLine="480"/>
        <w:jc w:val="left"/>
      </w:pPr>
      <w:bookmarkStart w:id="260" w:name="bookmark260"/>
      <w:r>
        <w:rPr>
          <w:color w:val="000000"/>
          <w:spacing w:val="0"/>
          <w:w w:val="100"/>
          <w:position w:val="0"/>
          <w:sz w:val="18"/>
          <w:szCs w:val="18"/>
        </w:rPr>
        <w:t>（</w:t>
      </w:r>
      <w:bookmarkEnd w:id="260"/>
      <w:r>
        <w:rPr>
          <w:color w:val="000000"/>
          <w:spacing w:val="0"/>
          <w:w w:val="100"/>
          <w:position w:val="0"/>
          <w:sz w:val="18"/>
          <w:szCs w:val="18"/>
        </w:rPr>
        <w:t>1）</w:t>
        <w:tab/>
      </w:r>
      <w:r>
        <w:rPr>
          <w:color w:val="000000"/>
          <w:spacing w:val="0"/>
          <w:w w:val="100"/>
          <w:position w:val="0"/>
        </w:rPr>
        <w:t>软件使用权：按</w:t>
      </w:r>
      <w:r>
        <w:rPr>
          <w:color w:val="000000"/>
          <w:spacing w:val="0"/>
          <w:w w:val="100"/>
          <w:position w:val="0"/>
          <w:sz w:val="18"/>
          <w:szCs w:val="18"/>
        </w:rPr>
        <w:t>5-10</w:t>
      </w:r>
      <w:r>
        <w:rPr>
          <w:color w:val="000000"/>
          <w:spacing w:val="0"/>
          <w:w w:val="100"/>
          <w:position w:val="0"/>
        </w:rPr>
        <w:t>年平均摊销。</w:t>
      </w:r>
    </w:p>
    <w:p>
      <w:pPr>
        <w:pStyle w:val="Style11"/>
        <w:keepNext w:val="0"/>
        <w:keepLines w:val="0"/>
        <w:widowControl w:val="0"/>
        <w:shd w:val="clear" w:color="auto" w:fill="auto"/>
        <w:tabs>
          <w:tab w:pos="925" w:val="left"/>
        </w:tabs>
        <w:bidi w:val="0"/>
        <w:spacing w:before="0" w:after="0" w:line="467" w:lineRule="exact"/>
        <w:ind w:left="0" w:right="0" w:firstLine="480"/>
        <w:jc w:val="left"/>
      </w:pPr>
      <w:bookmarkStart w:id="261" w:name="bookmark261"/>
      <w:r>
        <w:rPr>
          <w:color w:val="000000"/>
          <w:spacing w:val="0"/>
          <w:w w:val="100"/>
          <w:position w:val="0"/>
          <w:sz w:val="18"/>
          <w:szCs w:val="18"/>
        </w:rPr>
        <w:t>（</w:t>
      </w:r>
      <w:bookmarkEnd w:id="261"/>
      <w:r>
        <w:rPr>
          <w:color w:val="000000"/>
          <w:spacing w:val="0"/>
          <w:w w:val="100"/>
          <w:position w:val="0"/>
          <w:sz w:val="18"/>
          <w:szCs w:val="18"/>
        </w:rPr>
        <w:t>2）</w:t>
        <w:tab/>
      </w:r>
      <w:r>
        <w:rPr>
          <w:color w:val="000000"/>
          <w:spacing w:val="0"/>
          <w:w w:val="100"/>
          <w:position w:val="0"/>
        </w:rPr>
        <w:t>土地使用权：按</w:t>
      </w:r>
      <w:r>
        <w:rPr>
          <w:color w:val="000000"/>
          <w:spacing w:val="0"/>
          <w:w w:val="100"/>
          <w:position w:val="0"/>
          <w:sz w:val="18"/>
          <w:szCs w:val="18"/>
        </w:rPr>
        <w:t>39. 75-50</w:t>
      </w:r>
      <w:r>
        <w:rPr>
          <w:color w:val="000000"/>
          <w:spacing w:val="0"/>
          <w:w w:val="100"/>
          <w:position w:val="0"/>
        </w:rPr>
        <w:t>年平均摊销。</w:t>
      </w:r>
    </w:p>
    <w:p>
      <w:pPr>
        <w:pStyle w:val="Style11"/>
        <w:keepNext w:val="0"/>
        <w:keepLines w:val="0"/>
        <w:widowControl w:val="0"/>
        <w:shd w:val="clear" w:color="auto" w:fill="auto"/>
        <w:tabs>
          <w:tab w:pos="925" w:val="left"/>
        </w:tabs>
        <w:bidi w:val="0"/>
        <w:spacing w:before="0" w:after="0" w:line="467" w:lineRule="exact"/>
        <w:ind w:left="0" w:right="0" w:firstLine="480"/>
        <w:jc w:val="left"/>
      </w:pPr>
      <w:bookmarkStart w:id="262" w:name="bookmark262"/>
      <w:r>
        <w:rPr>
          <w:color w:val="000000"/>
          <w:spacing w:val="0"/>
          <w:w w:val="100"/>
          <w:position w:val="0"/>
          <w:sz w:val="18"/>
          <w:szCs w:val="18"/>
        </w:rPr>
        <w:t>（</w:t>
      </w:r>
      <w:bookmarkEnd w:id="262"/>
      <w:r>
        <w:rPr>
          <w:color w:val="000000"/>
          <w:spacing w:val="0"/>
          <w:w w:val="100"/>
          <w:position w:val="0"/>
          <w:sz w:val="18"/>
          <w:szCs w:val="18"/>
        </w:rPr>
        <w:t>3）</w:t>
        <w:tab/>
      </w:r>
      <w:r>
        <w:rPr>
          <w:color w:val="000000"/>
          <w:spacing w:val="0"/>
          <w:w w:val="100"/>
          <w:position w:val="0"/>
        </w:rPr>
        <w:t>商标权：按</w:t>
      </w:r>
      <w:r>
        <w:rPr>
          <w:color w:val="000000"/>
          <w:spacing w:val="0"/>
          <w:w w:val="100"/>
          <w:position w:val="0"/>
          <w:sz w:val="18"/>
          <w:szCs w:val="18"/>
        </w:rPr>
        <w:t>5-10</w:t>
      </w:r>
      <w:r>
        <w:rPr>
          <w:color w:val="000000"/>
          <w:spacing w:val="0"/>
          <w:w w:val="100"/>
          <w:position w:val="0"/>
        </w:rPr>
        <w:t>年平均摊销。</w:t>
      </w:r>
    </w:p>
    <w:p>
      <w:pPr>
        <w:pStyle w:val="Style11"/>
        <w:keepNext w:val="0"/>
        <w:keepLines w:val="0"/>
        <w:widowControl w:val="0"/>
        <w:shd w:val="clear" w:color="auto" w:fill="auto"/>
        <w:tabs>
          <w:tab w:pos="925" w:val="left"/>
        </w:tabs>
        <w:bidi w:val="0"/>
        <w:spacing w:before="0" w:after="0" w:line="467" w:lineRule="exact"/>
        <w:ind w:left="0" w:right="0" w:firstLine="480"/>
        <w:jc w:val="left"/>
      </w:pPr>
      <w:bookmarkStart w:id="263" w:name="bookmark263"/>
      <w:r>
        <w:rPr>
          <w:color w:val="000000"/>
          <w:spacing w:val="0"/>
          <w:w w:val="100"/>
          <w:position w:val="0"/>
          <w:sz w:val="18"/>
          <w:szCs w:val="18"/>
        </w:rPr>
        <w:t>（</w:t>
      </w:r>
      <w:bookmarkEnd w:id="263"/>
      <w:r>
        <w:rPr>
          <w:color w:val="000000"/>
          <w:spacing w:val="0"/>
          <w:w w:val="100"/>
          <w:position w:val="0"/>
          <w:sz w:val="18"/>
          <w:szCs w:val="18"/>
        </w:rPr>
        <w:t>4）</w:t>
        <w:tab/>
      </w:r>
      <w:r>
        <w:rPr>
          <w:color w:val="000000"/>
          <w:spacing w:val="0"/>
          <w:w w:val="100"/>
          <w:position w:val="0"/>
        </w:rPr>
        <w:t>专利权：按</w:t>
      </w:r>
      <w:r>
        <w:rPr>
          <w:color w:val="000000"/>
          <w:spacing w:val="0"/>
          <w:w w:val="100"/>
          <w:position w:val="0"/>
          <w:sz w:val="18"/>
          <w:szCs w:val="18"/>
        </w:rPr>
        <w:t>5-10</w:t>
      </w:r>
      <w:r>
        <w:rPr>
          <w:color w:val="000000"/>
          <w:spacing w:val="0"/>
          <w:w w:val="100"/>
          <w:position w:val="0"/>
        </w:rPr>
        <w:t>年平均摊销。</w:t>
      </w:r>
    </w:p>
    <w:p>
      <w:pPr>
        <w:pStyle w:val="Style11"/>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对使用寿命有限的无形资产的预计使用寿命及摊销方法于每年年度终了进行复核并作适当调整。</w:t>
      </w:r>
    </w:p>
    <w:p>
      <w:pPr>
        <w:pStyle w:val="Style11"/>
        <w:keepNext w:val="0"/>
        <w:keepLines w:val="0"/>
        <w:widowControl w:val="0"/>
        <w:shd w:val="clear" w:color="auto" w:fill="auto"/>
        <w:bidi w:val="0"/>
        <w:spacing w:before="0" w:after="0" w:line="467" w:lineRule="exact"/>
        <w:ind w:left="0" w:right="0" w:firstLine="480"/>
        <w:jc w:val="both"/>
      </w:pPr>
      <w:bookmarkStart w:id="264" w:name="bookmark264"/>
      <w:r>
        <w:rPr>
          <w:b/>
          <w:bCs/>
          <w:color w:val="000000"/>
          <w:spacing w:val="0"/>
          <w:w w:val="100"/>
          <w:position w:val="0"/>
        </w:rPr>
        <w:t>5</w:t>
      </w:r>
      <w:bookmarkEnd w:id="264"/>
      <w:r>
        <w:rPr>
          <w:b/>
          <w:bCs/>
          <w:color w:val="000000"/>
          <w:spacing w:val="0"/>
          <w:w w:val="100"/>
          <w:position w:val="0"/>
        </w:rPr>
        <w:t>、收入确认</w:t>
      </w:r>
    </w:p>
    <w:p>
      <w:pPr>
        <w:pStyle w:val="Style11"/>
        <w:keepNext w:val="0"/>
        <w:keepLines w:val="0"/>
        <w:widowControl w:val="0"/>
        <w:shd w:val="clear" w:color="auto" w:fill="auto"/>
        <w:bidi w:val="0"/>
        <w:spacing w:before="0" w:after="0" w:line="467" w:lineRule="exact"/>
        <w:ind w:left="0" w:right="0" w:firstLine="480"/>
        <w:jc w:val="both"/>
      </w:pPr>
      <w:r>
        <w:rPr>
          <w:b/>
          <w:bCs/>
          <w:color w:val="000000"/>
          <w:spacing w:val="0"/>
          <w:w w:val="100"/>
          <w:position w:val="0"/>
        </w:rPr>
        <w:t>变更前：</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65" w:name="bookmark265"/>
      <w:r>
        <w:rPr>
          <w:color w:val="000000"/>
          <w:spacing w:val="0"/>
          <w:w w:val="100"/>
          <w:position w:val="0"/>
          <w:sz w:val="18"/>
          <w:szCs w:val="18"/>
        </w:rPr>
        <w:t>（</w:t>
      </w:r>
      <w:bookmarkEnd w:id="265"/>
      <w:r>
        <w:rPr>
          <w:color w:val="000000"/>
          <w:spacing w:val="0"/>
          <w:w w:val="100"/>
          <w:position w:val="0"/>
          <w:sz w:val="18"/>
          <w:szCs w:val="18"/>
        </w:rPr>
        <w:t>1）</w:t>
        <w:tab/>
      </w:r>
      <w:r>
        <w:rPr>
          <w:color w:val="000000"/>
          <w:spacing w:val="0"/>
          <w:w w:val="100"/>
          <w:position w:val="0"/>
        </w:rPr>
        <w:t>商品销售收入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66" w:name="bookmark266"/>
      <w:r>
        <w:rPr>
          <w:color w:val="000000"/>
          <w:spacing w:val="0"/>
          <w:w w:val="100"/>
          <w:position w:val="0"/>
          <w:sz w:val="18"/>
          <w:szCs w:val="18"/>
        </w:rPr>
        <w:t>（</w:t>
      </w:r>
      <w:bookmarkEnd w:id="266"/>
      <w:r>
        <w:rPr>
          <w:color w:val="000000"/>
          <w:spacing w:val="0"/>
          <w:w w:val="100"/>
          <w:position w:val="0"/>
          <w:sz w:val="18"/>
          <w:szCs w:val="18"/>
        </w:rPr>
        <w:t>2）</w:t>
        <w:tab/>
      </w:r>
      <w:r>
        <w:rPr>
          <w:color w:val="000000"/>
          <w:spacing w:val="0"/>
          <w:w w:val="100"/>
          <w:position w:val="0"/>
        </w:rPr>
        <w:t>提供劳务收入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与其他企业签订的合同或协议包括销售商品和提供劳务时，如销售商品部分和提供劳务部分能够区分并单独计量的，将 销售商品部分和提供劳务部分分别处理；如销售商品部分和提供劳务部分不能够区分，或虽能区分但不能够单独计量的，将 该合同全部作为销售商品处理。</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67" w:name="bookmark267"/>
      <w:r>
        <w:rPr>
          <w:color w:val="000000"/>
          <w:spacing w:val="0"/>
          <w:w w:val="100"/>
          <w:position w:val="0"/>
          <w:sz w:val="18"/>
          <w:szCs w:val="18"/>
        </w:rPr>
        <w:t>（</w:t>
      </w:r>
      <w:bookmarkEnd w:id="267"/>
      <w:r>
        <w:rPr>
          <w:color w:val="000000"/>
          <w:spacing w:val="0"/>
          <w:w w:val="100"/>
          <w:position w:val="0"/>
          <w:sz w:val="18"/>
          <w:szCs w:val="18"/>
        </w:rPr>
        <w:t>3）</w:t>
        <w:tab/>
      </w:r>
      <w:r>
        <w:rPr>
          <w:color w:val="000000"/>
          <w:spacing w:val="0"/>
          <w:w w:val="100"/>
          <w:position w:val="0"/>
        </w:rPr>
        <w:t>建造合同收入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在建造合同的结果能够可靠估计的情况下，于资产负债表日按照完工百分比法确认合同收入和合同费用。合同完工进度 按已经完成的合同工作量占合同预计总工作量的比例确定。</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的结果不能可靠估计的不确定因素不复存在的，按照完工百分比法确定与建造合同有关的收入和费用。</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合同预计总成本超过合同总收入的，将预计损失确认为当期费用。</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在建合同累计已发生的成本和累计已确认的毛利（亏损）与已结算的价款在资产负债表中以抵销后的净额列示。在建合同 累计已发生的成本和累计已确认的毛利（亏损）之和超过已结算价款的部分作为存货列示；在建合同已结算的价款超过累计已 发生的成本与累计已确认的毛利（亏损）之和的部分作为预收款项列示。</w:t>
      </w:r>
    </w:p>
    <w:p>
      <w:pPr>
        <w:pStyle w:val="Style11"/>
        <w:keepNext w:val="0"/>
        <w:keepLines w:val="0"/>
        <w:widowControl w:val="0"/>
        <w:shd w:val="clear" w:color="auto" w:fill="auto"/>
        <w:bidi w:val="0"/>
        <w:spacing w:before="0" w:after="0" w:line="467" w:lineRule="exact"/>
        <w:ind w:left="0" w:right="0" w:firstLine="480"/>
        <w:jc w:val="both"/>
      </w:pPr>
      <w:r>
        <w:rPr>
          <w:b/>
          <w:bCs/>
          <w:color w:val="000000"/>
          <w:spacing w:val="0"/>
          <w:w w:val="100"/>
          <w:position w:val="0"/>
        </w:rPr>
        <w:t>变更后：</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收入的金额按照公司在日常经营活动中销售商品和提供劳务时，已收或应收合同或协议价款的公允价值确定。收入按扣 除销售折让及销售退回的净额列示。</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与交易相关的经济利益能够流入，相关的收入能够可靠计量且满足下列各项经营活动的特定收入确认标准时，确认相关 的收入。</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68" w:name="bookmark268"/>
      <w:r>
        <w:rPr>
          <w:color w:val="000000"/>
          <w:spacing w:val="0"/>
          <w:w w:val="100"/>
          <w:position w:val="0"/>
          <w:sz w:val="18"/>
          <w:szCs w:val="18"/>
        </w:rPr>
        <w:t>（</w:t>
      </w:r>
      <w:bookmarkEnd w:id="268"/>
      <w:r>
        <w:rPr>
          <w:color w:val="000000"/>
          <w:spacing w:val="0"/>
          <w:w w:val="100"/>
          <w:position w:val="0"/>
          <w:sz w:val="18"/>
          <w:szCs w:val="18"/>
        </w:rPr>
        <w:t>1）</w:t>
        <w:tab/>
      </w:r>
      <w:r>
        <w:rPr>
          <w:color w:val="000000"/>
          <w:spacing w:val="0"/>
          <w:w w:val="100"/>
          <w:position w:val="0"/>
        </w:rPr>
        <w:t>提供劳务</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速运收入包括国内、国际快递；国际货代服务的代理服务收入；国内、国际航空货邮运输服务收入及快递代理服务。在 服务已经完成，并且取得收取服务收入的权利时确认。</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69" w:name="bookmark269"/>
      <w:r>
        <w:rPr>
          <w:color w:val="000000"/>
          <w:spacing w:val="0"/>
          <w:w w:val="100"/>
          <w:position w:val="0"/>
          <w:sz w:val="18"/>
          <w:szCs w:val="18"/>
        </w:rPr>
        <w:t>（</w:t>
      </w:r>
      <w:bookmarkEnd w:id="269"/>
      <w:r>
        <w:rPr>
          <w:color w:val="000000"/>
          <w:spacing w:val="0"/>
          <w:w w:val="100"/>
          <w:position w:val="0"/>
          <w:sz w:val="18"/>
          <w:szCs w:val="18"/>
        </w:rPr>
        <w:t>2）</w:t>
        <w:tab/>
      </w:r>
      <w:r>
        <w:rPr>
          <w:color w:val="000000"/>
          <w:spacing w:val="0"/>
          <w:w w:val="100"/>
          <w:position w:val="0"/>
        </w:rPr>
        <w:t>销售商品</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在已将商品所有权上的主要风险和报酬转移给购货方，并且不再对该商品实施继续管理和控制，与交易相关的经济利益 能够流入，相关的收入和成本能够可靠计量时确认销售收入的实现。</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70" w:name="bookmark270"/>
      <w:r>
        <w:rPr>
          <w:color w:val="000000"/>
          <w:spacing w:val="0"/>
          <w:w w:val="100"/>
          <w:position w:val="0"/>
          <w:sz w:val="18"/>
          <w:szCs w:val="18"/>
        </w:rPr>
        <w:t>（</w:t>
      </w:r>
      <w:bookmarkEnd w:id="270"/>
      <w:r>
        <w:rPr>
          <w:color w:val="000000"/>
          <w:spacing w:val="0"/>
          <w:w w:val="100"/>
          <w:position w:val="0"/>
          <w:sz w:val="18"/>
          <w:szCs w:val="18"/>
        </w:rPr>
        <w:t>3）</w:t>
        <w:tab/>
      </w:r>
      <w:r>
        <w:rPr>
          <w:color w:val="000000"/>
          <w:spacing w:val="0"/>
          <w:w w:val="100"/>
          <w:position w:val="0"/>
        </w:rPr>
        <w:t>利息收入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利息收入金额，按照他人使用本公司货币资金的时间和实际利率计算确定。</w:t>
      </w:r>
    </w:p>
    <w:p>
      <w:pPr>
        <w:pStyle w:val="Style11"/>
        <w:keepNext w:val="0"/>
        <w:keepLines w:val="0"/>
        <w:widowControl w:val="0"/>
        <w:shd w:val="clear" w:color="auto" w:fill="auto"/>
        <w:tabs>
          <w:tab w:pos="925" w:val="left"/>
        </w:tabs>
        <w:bidi w:val="0"/>
        <w:spacing w:before="0" w:after="0" w:line="467" w:lineRule="exact"/>
        <w:ind w:left="0" w:right="0" w:firstLine="480"/>
        <w:jc w:val="both"/>
      </w:pPr>
      <w:bookmarkStart w:id="271" w:name="bookmark271"/>
      <w:r>
        <w:rPr>
          <w:color w:val="000000"/>
          <w:spacing w:val="0"/>
          <w:w w:val="100"/>
          <w:position w:val="0"/>
          <w:sz w:val="18"/>
          <w:szCs w:val="18"/>
        </w:rPr>
        <w:t>（</w:t>
      </w:r>
      <w:bookmarkEnd w:id="271"/>
      <w:r>
        <w:rPr>
          <w:color w:val="000000"/>
          <w:spacing w:val="0"/>
          <w:w w:val="100"/>
          <w:position w:val="0"/>
          <w:sz w:val="18"/>
          <w:szCs w:val="18"/>
        </w:rPr>
        <w:t>4）</w:t>
        <w:tab/>
      </w:r>
      <w:r>
        <w:rPr>
          <w:color w:val="000000"/>
          <w:spacing w:val="0"/>
          <w:w w:val="100"/>
          <w:position w:val="0"/>
        </w:rPr>
        <w:t>租赁收入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融资租赁在分配未实现融资收益时，采用实际利率法计算确定在租赁期内各个期间应确认的融资租赁收入。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经营租赁的租金收入在租赁期内按照直线法确认租赁收入。</w:t>
      </w:r>
    </w:p>
    <w:p>
      <w:pPr>
        <w:pStyle w:val="Style11"/>
        <w:keepNext w:val="0"/>
        <w:keepLines w:val="0"/>
        <w:widowControl w:val="0"/>
        <w:shd w:val="clear" w:color="auto" w:fill="auto"/>
        <w:bidi w:val="0"/>
        <w:spacing w:before="0" w:after="0" w:line="467" w:lineRule="exact"/>
        <w:ind w:left="0" w:right="0" w:firstLine="0"/>
        <w:jc w:val="left"/>
      </w:pPr>
      <w:bookmarkStart w:id="272" w:name="bookmark272"/>
      <w:r>
        <w:rPr>
          <w:b/>
          <w:bCs/>
          <w:color w:val="000000"/>
          <w:spacing w:val="0"/>
          <w:w w:val="100"/>
          <w:position w:val="0"/>
        </w:rPr>
        <w:t>（</w:t>
      </w:r>
      <w:bookmarkEnd w:id="272"/>
      <w:r>
        <w:rPr>
          <w:b/>
          <w:bCs/>
          <w:color w:val="000000"/>
          <w:spacing w:val="0"/>
          <w:w w:val="100"/>
          <w:position w:val="0"/>
        </w:rPr>
        <w:t>二）本次会计政策、会计估计变更对公司的影响</w:t>
      </w:r>
    </w:p>
    <w:p>
      <w:pPr>
        <w:pStyle w:val="Style11"/>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本次变更是由于公司进行重大资产重组所致，以上变更后的会计政策及会计估计均为购买方泰森控股的相关会计政策及 会计估计。重大资产重组完成后，根据反向购买的处理原则，本公司合并财务报表以法律上的子公司（即购买方）财务数据 为基础编制，不存在对财务状况和经营成果的影响。</w:t>
      </w:r>
    </w:p>
    <w:p>
      <w:pPr>
        <w:pStyle w:val="Style27"/>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七</w:t>
      </w:r>
      <w:bookmarkEnd w:id="275"/>
      <w:r>
        <w:rPr>
          <w:color w:val="000000"/>
          <w:spacing w:val="0"/>
          <w:w w:val="100"/>
          <w:position w:val="0"/>
          <w:sz w:val="24"/>
          <w:szCs w:val="24"/>
        </w:rPr>
        <w:t>、报告期内发生重大会计差错更正需追溯重述的情况说明</w:t>
      </w:r>
      <w:bookmarkEnd w:id="273"/>
      <w:bookmarkEnd w:id="274"/>
      <w:bookmarkEnd w:id="276"/>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17" w:val="left"/>
        </w:tabs>
        <w:bidi w:val="0"/>
        <w:spacing w:before="0" w:after="36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八</w:t>
      </w:r>
      <w:bookmarkEnd w:id="279"/>
      <w:r>
        <w:rPr>
          <w:color w:val="000000"/>
          <w:spacing w:val="0"/>
          <w:w w:val="100"/>
          <w:position w:val="0"/>
          <w:sz w:val="24"/>
          <w:szCs w:val="24"/>
        </w:rPr>
        <w:t>、</w:t>
        <w:tab/>
        <w:t>与上年度财务报告相比，合并报表范围发生变化的情况说明</w:t>
      </w:r>
      <w:bookmarkEnd w:id="277"/>
      <w:bookmarkEnd w:id="278"/>
      <w:bookmarkEnd w:id="280"/>
    </w:p>
    <w:p>
      <w:pPr>
        <w:pStyle w:val="Style11"/>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11"/>
        <w:keepNext w:val="0"/>
        <w:keepLines w:val="0"/>
        <w:widowControl w:val="0"/>
        <w:shd w:val="clear" w:color="auto" w:fill="auto"/>
        <w:tabs>
          <w:tab w:pos="349" w:val="left"/>
        </w:tabs>
        <w:bidi w:val="0"/>
        <w:spacing w:before="0" w:after="0" w:line="463" w:lineRule="exact"/>
        <w:ind w:left="0" w:right="0" w:firstLine="0"/>
        <w:jc w:val="both"/>
      </w:pPr>
      <w:bookmarkStart w:id="281" w:name="bookmark281"/>
      <w:r>
        <w:rPr>
          <w:color w:val="000000"/>
          <w:spacing w:val="0"/>
          <w:w w:val="100"/>
          <w:position w:val="0"/>
          <w:sz w:val="18"/>
          <w:szCs w:val="18"/>
        </w:rPr>
        <w:t>1</w:t>
      </w:r>
      <w:bookmarkEnd w:id="281"/>
      <w:r>
        <w:rPr>
          <w:color w:val="000000"/>
          <w:spacing w:val="0"/>
          <w:w w:val="100"/>
          <w:position w:val="0"/>
        </w:rPr>
        <w:t>、</w:t>
        <w:tab/>
        <w:t>根据财政部《关于做好执行会计准则企业</w:t>
      </w:r>
      <w:r>
        <w:rPr>
          <w:color w:val="000000"/>
          <w:spacing w:val="0"/>
          <w:w w:val="100"/>
          <w:position w:val="0"/>
          <w:sz w:val="18"/>
          <w:szCs w:val="18"/>
        </w:rPr>
        <w:t>2008</w:t>
      </w:r>
      <w:r>
        <w:rPr>
          <w:color w:val="000000"/>
          <w:spacing w:val="0"/>
          <w:w w:val="100"/>
          <w:position w:val="0"/>
        </w:rPr>
        <w:t>年年报工作的通知》（财会函</w:t>
      </w:r>
      <w:r>
        <w:rPr>
          <w:color w:val="000000"/>
          <w:spacing w:val="0"/>
          <w:w w:val="100"/>
          <w:position w:val="0"/>
          <w:sz w:val="18"/>
          <w:szCs w:val="18"/>
        </w:rPr>
        <w:t>[2008]60</w:t>
      </w:r>
      <w:r>
        <w:rPr>
          <w:color w:val="000000"/>
          <w:spacing w:val="0"/>
          <w:w w:val="100"/>
          <w:position w:val="0"/>
        </w:rPr>
        <w:t>号）及财政部《关于非上市公司购买上 市公司股权实现间接上市会计处理的复函》（财会便</w:t>
      </w:r>
      <w:r>
        <w:rPr>
          <w:color w:val="000000"/>
          <w:spacing w:val="0"/>
          <w:w w:val="100"/>
          <w:position w:val="0"/>
          <w:sz w:val="18"/>
          <w:szCs w:val="18"/>
        </w:rPr>
        <w:t>[2009]17</w:t>
      </w:r>
      <w:r>
        <w:rPr>
          <w:color w:val="000000"/>
          <w:spacing w:val="0"/>
          <w:w w:val="100"/>
          <w:position w:val="0"/>
        </w:rPr>
        <w:t>号）的规定，本公司前身鼎泰新材于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月完成的重大资产 置换及发行股份购买资产的交易（十一节（一））构成非业务类型的反向购买，应按照权益性交易的原则进行处理。因此，本 公司（法律上的母公司）在资产置换完成后保留的各项可辨认资产、负债，按照重组日的公允价值进行确认和计量，企业合并 成本与本公司可辨认净资产公允价值之间的差额调整合并报表的资本公积，不确认商誉或计入当期损益。</w:t>
      </w:r>
    </w:p>
    <w:p>
      <w:pPr>
        <w:pStyle w:val="Style11"/>
        <w:keepNext w:val="0"/>
        <w:keepLines w:val="0"/>
        <w:widowControl w:val="0"/>
        <w:shd w:val="clear" w:color="auto" w:fill="auto"/>
        <w:tabs>
          <w:tab w:pos="344" w:val="left"/>
        </w:tabs>
        <w:bidi w:val="0"/>
        <w:spacing w:before="0" w:after="800" w:line="463" w:lineRule="exact"/>
        <w:ind w:left="0" w:right="0" w:firstLine="0"/>
        <w:jc w:val="both"/>
      </w:pPr>
      <w:bookmarkStart w:id="282" w:name="bookmark282"/>
      <w:r>
        <w:rPr>
          <w:color w:val="000000"/>
          <w:spacing w:val="0"/>
          <w:w w:val="100"/>
          <w:position w:val="0"/>
          <w:sz w:val="18"/>
          <w:szCs w:val="18"/>
        </w:rPr>
        <w:t>2</w:t>
      </w:r>
      <w:bookmarkEnd w:id="282"/>
      <w:r>
        <w:rPr>
          <w:color w:val="000000"/>
          <w:spacing w:val="0"/>
          <w:w w:val="100"/>
          <w:position w:val="0"/>
        </w:rPr>
        <w:t>、</w:t>
        <w:tab/>
        <w:t>公司</w:t>
      </w:r>
      <w:r>
        <w:rPr>
          <w:color w:val="000000"/>
          <w:spacing w:val="0"/>
          <w:w w:val="100"/>
          <w:position w:val="0"/>
          <w:sz w:val="18"/>
          <w:szCs w:val="18"/>
        </w:rPr>
        <w:t>2016</w:t>
      </w:r>
      <w:r>
        <w:rPr>
          <w:color w:val="000000"/>
          <w:spacing w:val="0"/>
          <w:w w:val="100"/>
          <w:position w:val="0"/>
        </w:rPr>
        <w:t>年新设合并范围内子公司详见第十一节财务报告五、合并范围的变更。</w:t>
      </w:r>
    </w:p>
    <w:p>
      <w:pPr>
        <w:pStyle w:val="Style27"/>
        <w:keepNext/>
        <w:keepLines/>
        <w:widowControl w:val="0"/>
        <w:shd w:val="clear" w:color="auto" w:fill="auto"/>
        <w:tabs>
          <w:tab w:pos="517" w:val="left"/>
        </w:tabs>
        <w:bidi w:val="0"/>
        <w:spacing w:before="0" w:after="360" w:line="240" w:lineRule="auto"/>
        <w:ind w:left="0" w:right="0" w:firstLine="0"/>
        <w:jc w:val="both"/>
      </w:pPr>
      <w:bookmarkStart w:id="283" w:name="bookmark283"/>
      <w:bookmarkStart w:id="284" w:name="bookmark284"/>
      <w:bookmarkStart w:id="285" w:name="bookmark285"/>
      <w:bookmarkStart w:id="286" w:name="bookmark286"/>
      <w:r>
        <w:rPr>
          <w:color w:val="000000"/>
          <w:spacing w:val="0"/>
          <w:w w:val="100"/>
          <w:position w:val="0"/>
          <w:sz w:val="24"/>
          <w:szCs w:val="24"/>
        </w:rPr>
        <w:t>九</w:t>
      </w:r>
      <w:bookmarkEnd w:id="285"/>
      <w:r>
        <w:rPr>
          <w:color w:val="000000"/>
          <w:spacing w:val="0"/>
          <w:w w:val="100"/>
          <w:position w:val="0"/>
          <w:sz w:val="24"/>
          <w:szCs w:val="24"/>
        </w:rPr>
        <w:t>、</w:t>
        <w:tab/>
        <w:t>聘任、解聘会计师事务所情况</w:t>
      </w:r>
      <w:bookmarkEnd w:id="283"/>
      <w:bookmarkEnd w:id="284"/>
      <w:bookmarkEnd w:id="28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1620</w:t>
            </w:r>
            <w:r>
              <w:rPr>
                <w:color w:val="000000"/>
                <w:spacing w:val="0"/>
                <w:w w:val="100"/>
                <w:position w:val="0"/>
              </w:rPr>
              <w:t>万元</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林崇云、华军</w:t>
            </w:r>
          </w:p>
        </w:tc>
      </w:tr>
    </w:tbl>
    <w:p>
      <w:pPr>
        <w:pStyle w:val="Style11"/>
        <w:keepNext w:val="0"/>
        <w:keepLines w:val="0"/>
        <w:widowControl w:val="0"/>
        <w:shd w:val="clear" w:color="auto" w:fill="auto"/>
        <w:bidi w:val="0"/>
        <w:spacing w:before="0" w:after="580" w:line="466" w:lineRule="exact"/>
        <w:ind w:left="0" w:right="0" w:firstLine="0"/>
        <w:jc w:val="both"/>
      </w:pPr>
      <w:r>
        <w:rPr>
          <w:color w:val="000000"/>
          <w:spacing w:val="0"/>
          <w:w w:val="100"/>
          <w:position w:val="0"/>
        </w:rPr>
        <w:t>注：上述境内会计师事务所报酬包括普华永道中天会计师事务所（特殊普通合伙）为上市公司及其境内分支机构提供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度财务报告审计服务，以及为上市公司提供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年度内部控制报告审计服务所收取的报酬。</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是否在审计期间改聘会计师事务所</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更换会计师事务所是否履行审批程序</w:t>
      </w:r>
    </w:p>
    <w:p>
      <w:pPr>
        <w:pStyle w:val="Style1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对改聘、变更会计师事务所情况的详细说明</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本公司前身鼎泰新材原聘请的</w:t>
      </w:r>
      <w:r>
        <w:rPr>
          <w:color w:val="000000"/>
          <w:spacing w:val="0"/>
          <w:w w:val="100"/>
          <w:position w:val="0"/>
          <w:sz w:val="18"/>
          <w:szCs w:val="18"/>
        </w:rPr>
        <w:t>2016</w:t>
      </w:r>
      <w:r>
        <w:rPr>
          <w:color w:val="000000"/>
          <w:spacing w:val="0"/>
          <w:w w:val="100"/>
          <w:position w:val="0"/>
        </w:rPr>
        <w:t>年审计机构为瑞华会计师事务所（特殊普通合伙）</w:t>
      </w:r>
      <w:r>
        <w:rPr>
          <w:color w:val="000000"/>
          <w:spacing w:val="0"/>
          <w:w w:val="100"/>
          <w:position w:val="0"/>
          <w:sz w:val="18"/>
          <w:szCs w:val="18"/>
        </w:rPr>
        <w:t>，</w:t>
      </w:r>
      <w:r>
        <w:rPr>
          <w:color w:val="000000"/>
          <w:spacing w:val="0"/>
          <w:w w:val="100"/>
          <w:position w:val="0"/>
        </w:rPr>
        <w:t>鉴于本次重大资产重组工作已完 成，公司主营业务已发生变更为标的资产泰森控股所从事的快递物流等相关经营范围业务，而标的资产泰森控股自</w:t>
      </w:r>
      <w:r>
        <w:rPr>
          <w:color w:val="000000"/>
          <w:spacing w:val="0"/>
          <w:w w:val="100"/>
          <w:position w:val="0"/>
          <w:sz w:val="18"/>
          <w:szCs w:val="18"/>
        </w:rPr>
        <w:t>2016</w:t>
      </w:r>
      <w:r>
        <w:rPr>
          <w:color w:val="000000"/>
          <w:spacing w:val="0"/>
          <w:w w:val="100"/>
          <w:position w:val="0"/>
        </w:rPr>
        <w:t>年度 聘请普华永道中天会计师事务所（特殊普通合伙）为审计师。为保证年度审计工作的连续性和一贯性，公司聘请普华永道中 天会计师事务所（特殊普通合伙）为公司</w:t>
      </w:r>
      <w:r>
        <w:rPr>
          <w:color w:val="000000"/>
          <w:spacing w:val="0"/>
          <w:w w:val="100"/>
          <w:position w:val="0"/>
          <w:sz w:val="18"/>
          <w:szCs w:val="18"/>
        </w:rPr>
        <w:t>2016</w:t>
      </w:r>
      <w:r>
        <w:rPr>
          <w:color w:val="000000"/>
          <w:spacing w:val="0"/>
          <w:w w:val="100"/>
          <w:position w:val="0"/>
        </w:rPr>
        <w:t>年度审计机构。</w:t>
      </w:r>
    </w:p>
    <w:p>
      <w:pPr>
        <w:pStyle w:val="Style11"/>
        <w:keepNext w:val="0"/>
        <w:keepLines w:val="0"/>
        <w:widowControl w:val="0"/>
        <w:shd w:val="clear" w:color="auto" w:fill="auto"/>
        <w:bidi w:val="0"/>
        <w:spacing w:before="0" w:after="500" w:line="467" w:lineRule="exact"/>
        <w:ind w:left="0" w:right="0" w:firstLine="480"/>
        <w:jc w:val="both"/>
      </w:pPr>
      <w:r>
        <w:rPr>
          <w:color w:val="000000"/>
          <w:spacing w:val="0"/>
          <w:w w:val="100"/>
          <w:position w:val="0"/>
        </w:rPr>
        <w:t xml:space="preserve">普华永道中天会计师事务所（特殊普通合伙）接受公司委托，对公司向中国证券监督管理委员会申请重大资产置换及发 </w:t>
      </w:r>
      <w:r>
        <w:rPr>
          <w:color w:val="000000"/>
          <w:spacing w:val="0"/>
          <w:w w:val="100"/>
          <w:position w:val="0"/>
        </w:rPr>
        <w:t>行股份购买资产并募集配套资金暨关联交易之目的而编制的申报材料执行工作。该事务所对公司基本情况熟悉，能够满足公 司及控股子公司财务审计工作要求。聘任该事务所为公司</w:t>
      </w:r>
      <w:r>
        <w:rPr>
          <w:color w:val="000000"/>
          <w:spacing w:val="0"/>
          <w:w w:val="100"/>
          <w:position w:val="0"/>
          <w:sz w:val="18"/>
          <w:szCs w:val="18"/>
        </w:rPr>
        <w:t>2016</w:t>
      </w:r>
      <w:r>
        <w:rPr>
          <w:color w:val="000000"/>
          <w:spacing w:val="0"/>
          <w:w w:val="100"/>
          <w:position w:val="0"/>
        </w:rPr>
        <w:t>年度审计机构，有利于保持审计连贯性，满足公司年度审计工 作的独立性要求。</w:t>
      </w:r>
    </w:p>
    <w:p>
      <w:pPr>
        <w:pStyle w:val="Style11"/>
        <w:keepNext w:val="0"/>
        <w:keepLines w:val="0"/>
        <w:widowControl w:val="0"/>
        <w:shd w:val="clear" w:color="auto" w:fill="auto"/>
        <w:bidi w:val="0"/>
        <w:spacing w:before="0" w:after="0" w:line="470" w:lineRule="exact"/>
        <w:ind w:left="0" w:right="0" w:firstLine="0"/>
        <w:jc w:val="left"/>
      </w:pPr>
      <w:r>
        <w:rPr>
          <w:color w:val="000000"/>
          <w:spacing w:val="0"/>
          <w:w w:val="100"/>
          <w:position w:val="0"/>
        </w:rPr>
        <w:t>聘请内部控制审计会计师事务所、财务顾问或保荐人情况</w:t>
      </w:r>
    </w:p>
    <w:p>
      <w:pPr>
        <w:pStyle w:val="Style11"/>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1"/>
        <w:keepNext w:val="0"/>
        <w:keepLines w:val="0"/>
        <w:widowControl w:val="0"/>
        <w:shd w:val="clear" w:color="auto" w:fill="auto"/>
        <w:bidi w:val="0"/>
        <w:spacing w:before="0" w:after="920" w:line="475" w:lineRule="exact"/>
        <w:ind w:left="0" w:right="0"/>
        <w:jc w:val="both"/>
      </w:pPr>
      <w:r>
        <w:rPr>
          <w:color w:val="000000"/>
          <w:spacing w:val="0"/>
          <w:w w:val="100"/>
          <w:position w:val="0"/>
        </w:rPr>
        <w:t>公司聘任普华永道中天会计师事务所（特殊普通合伙）为公司</w:t>
      </w:r>
      <w:r>
        <w:rPr>
          <w:color w:val="000000"/>
          <w:spacing w:val="0"/>
          <w:w w:val="100"/>
          <w:position w:val="0"/>
          <w:sz w:val="18"/>
          <w:szCs w:val="18"/>
        </w:rPr>
        <w:t>2016</w:t>
      </w:r>
      <w:r>
        <w:rPr>
          <w:color w:val="000000"/>
          <w:spacing w:val="0"/>
          <w:w w:val="100"/>
          <w:position w:val="0"/>
        </w:rPr>
        <w:t>年度内部控制审计机构。因重大资产重组，公司聘任 华泰联合证券有限责任公司、中信证券股份有限公司及招商证券股份有限公司为公司财务顾问。</w:t>
      </w:r>
    </w:p>
    <w:p>
      <w:pPr>
        <w:pStyle w:val="Style27"/>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十、年度报告披露后面临暂停上市和终止上市情况</w:t>
      </w:r>
      <w:bookmarkEnd w:id="287"/>
      <w:bookmarkEnd w:id="288"/>
      <w:bookmarkEnd w:id="289"/>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r>
        <w:rPr>
          <w:color w:val="000000"/>
          <w:spacing w:val="0"/>
          <w:w w:val="100"/>
          <w:position w:val="0"/>
          <w:sz w:val="24"/>
          <w:szCs w:val="24"/>
        </w:rPr>
        <w:t>十一、破产重整相关事项</w:t>
      </w:r>
      <w:bookmarkEnd w:id="290"/>
      <w:bookmarkEnd w:id="291"/>
      <w:bookmarkEnd w:id="292"/>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r>
        <w:rPr>
          <w:color w:val="000000"/>
          <w:spacing w:val="0"/>
          <w:w w:val="100"/>
          <w:position w:val="0"/>
          <w:sz w:val="24"/>
          <w:szCs w:val="24"/>
        </w:rPr>
        <w:t>十二、重大诉讼、仲裁事项</w:t>
      </w:r>
      <w:bookmarkEnd w:id="293"/>
      <w:bookmarkEnd w:id="294"/>
      <w:bookmarkEnd w:id="295"/>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96"/>
        <w:gridCol w:w="706"/>
        <w:gridCol w:w="710"/>
        <w:gridCol w:w="850"/>
        <w:gridCol w:w="1133"/>
        <w:gridCol w:w="710"/>
        <w:gridCol w:w="710"/>
        <w:gridCol w:w="1003"/>
      </w:tblGrid>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 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 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根据青岛振兴达车厢制造有限公司（即本案原 告及反诉被告，以下简称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青岛振兴达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）的《起 诉状》：</w:t>
            </w:r>
          </w:p>
          <w:p>
            <w:pPr>
              <w:pStyle w:val="Style23"/>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月，青岛顺丰速运有限公司（即本案 被告及反诉原告，以下简称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青岛顺丰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）与青 岛振兴达签署了《房屋租赁合同》、《场地租赁 合同》，约定青岛顺丰承租青岛振兴达所有的厂 房作为仓储物流及快件中转场。</w:t>
            </w:r>
          </w:p>
          <w:p>
            <w:pPr>
              <w:pStyle w:val="Style23"/>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月，因青岛顺丰在对该租赁厂房进行 改造时发生部分墙体坍塌，青岛振兴达要求青 岛顺丰对租赁厂房恢复原状。</w:t>
            </w:r>
          </w:p>
          <w:p>
            <w:pPr>
              <w:pStyle w:val="Style23"/>
              <w:keepNext w:val="0"/>
              <w:keepLines w:val="0"/>
              <w:widowControl w:val="0"/>
              <w:shd w:val="clear" w:color="auto" w:fill="auto"/>
              <w:bidi w:val="0"/>
              <w:spacing w:before="0" w:after="80" w:line="36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月，青岛振兴达以青岛顺丰未按要求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法院已做 出一审判 决，判决 我司支付 水电费共 计</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149056.16 </w:t>
            </w:r>
            <w:r>
              <w:rPr>
                <w:color w:val="000000"/>
                <w:spacing w:val="0"/>
                <w:w w:val="100"/>
                <w:position w:val="0"/>
              </w:rPr>
              <w:t>元，青岛 振兴达车 厢制造有 限公司返 还租金并 赔偿装修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本案件中，鉴 于青岛顺丰 系该案原告， 且该案件所 涉及的金额 较小，该案件 的结果不会 对公司的财 务状况和持 续经营能力 构成重大不 利影响，不会 对本次交易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 xml:space="preserve">（草案），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tc>
      </w:tr>
    </w:tbl>
    <w:p>
      <w:pPr>
        <w:widowControl w:val="0"/>
        <w:spacing w:line="1" w:lineRule="exact"/>
      </w:pPr>
      <w:r>
        <w:br w:type="page"/>
      </w:r>
    </w:p>
    <w:tbl>
      <w:tblPr>
        <w:tblOverlap w:val="never"/>
        <w:jc w:val="center"/>
        <w:tblLayout w:type="fixed"/>
      </w:tblPr>
      <w:tblGrid>
        <w:gridCol w:w="3696"/>
        <w:gridCol w:w="706"/>
        <w:gridCol w:w="710"/>
        <w:gridCol w:w="850"/>
        <w:gridCol w:w="1133"/>
        <w:gridCol w:w="710"/>
        <w:gridCol w:w="710"/>
        <w:gridCol w:w="1003"/>
      </w:tblGrid>
      <w:tr>
        <w:trPr>
          <w:trHeight w:val="286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302" w:lineRule="exact"/>
              <w:ind w:left="0" w:right="0" w:firstLine="0"/>
              <w:jc w:val="both"/>
            </w:pPr>
            <w:r>
              <w:rPr>
                <w:color w:val="000000"/>
                <w:spacing w:val="0"/>
                <w:w w:val="100"/>
                <w:position w:val="0"/>
              </w:rPr>
              <w:t>恢复厂房原状为由向青岛顺丰发出《解约合同 通知书》。</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日，青岛振兴达因上述合同纠 纷事宜向青岛市城阳区人民法院提起诉讼，请 求判令：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、青岛顺丰按要求恢复原状；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、青 岛顺丰搬出租赁的房屋及场地并交付给青岛振 兴达；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、青岛顺丰向青岛振兴达支付违约金 </w:t>
            </w:r>
            <w:r>
              <w:rPr>
                <w:rFonts w:ascii="Times New Roman" w:eastAsia="Times New Roman" w:hAnsi="Times New Roman" w:cs="Times New Roman"/>
                <w:color w:val="000000"/>
                <w:spacing w:val="0"/>
                <w:w w:val="100"/>
                <w:position w:val="0"/>
                <w:sz w:val="18"/>
                <w:szCs w:val="18"/>
              </w:rPr>
              <w:t xml:space="preserve">2,524,486.20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设计费损 失、改造 工程款损 失，共计</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3178374.4</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。双方均 已上诉，</w:t>
            </w:r>
          </w:p>
          <w:p>
            <w:pPr>
              <w:pStyle w:val="Style23"/>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二审尚未 开庭。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构成重大不 利影响。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根据深圳国投商业保理有限公司（即本案原告，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深国投</w:t>
            </w:r>
            <w:r>
              <w:rPr>
                <w:color w:val="000000"/>
                <w:spacing w:val="0"/>
                <w:w w:val="100"/>
                <w:position w:val="0"/>
              </w:rPr>
              <w:t>''）</w:t>
            </w:r>
            <w:r>
              <w:rPr>
                <w:color w:val="000000"/>
                <w:spacing w:val="0"/>
                <w:w w:val="100"/>
                <w:position w:val="0"/>
              </w:rPr>
              <w:t>的《起诉状》：</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日，深国投与湖北星宇服装有 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湖北星宇</w:t>
            </w:r>
            <w:r>
              <w:rPr>
                <w:color w:val="000000"/>
                <w:spacing w:val="0"/>
                <w:w w:val="100"/>
                <w:position w:val="0"/>
              </w:rPr>
              <w:t>''）</w:t>
            </w:r>
            <w:r>
              <w:rPr>
                <w:color w:val="000000"/>
                <w:spacing w:val="0"/>
                <w:w w:val="100"/>
                <w:position w:val="0"/>
              </w:rPr>
              <w:t>签署《国 投保理业务合同》，约定深国投向湖北星宇提供 保理融资，湖北星宇同时应按该合同的约定按 时进行溢价回购；该合同并由富程投资控股集 团有限公司（即本案被告二）、曾士祥（即本案 被告三）、曾程（即本案被告四）、姜斌（即本 案被告五）提供担保。</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月，公司子公司顺丰速 运有限公司（即本案被告六，以下简称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顺丰速 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）、深圳市顺丰供应链有限公司（即本案被 告七，以下简称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顺丰供应链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）分别与湖北星 宇签订服装采购合同，合同共计金额为人民币 </w:t>
            </w:r>
            <w:r>
              <w:rPr>
                <w:rFonts w:ascii="Times New Roman" w:eastAsia="Times New Roman" w:hAnsi="Times New Roman" w:cs="Times New Roman"/>
                <w:color w:val="000000"/>
                <w:spacing w:val="0"/>
                <w:w w:val="100"/>
                <w:position w:val="0"/>
                <w:sz w:val="18"/>
                <w:szCs w:val="18"/>
              </w:rPr>
              <w:t xml:space="preserve">18,099,519 </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日，湖北星宇与深国投签署《国 投保理业务合同补充协议（一）》，约定将湖北 星宇对顺丰速运、顺丰供应链基于上述服装采 购合同的应收账款共计</w:t>
            </w:r>
            <w:r>
              <w:rPr>
                <w:rFonts w:ascii="Times New Roman" w:eastAsia="Times New Roman" w:hAnsi="Times New Roman" w:cs="Times New Roman"/>
                <w:color w:val="000000"/>
                <w:spacing w:val="0"/>
                <w:w w:val="100"/>
                <w:position w:val="0"/>
                <w:sz w:val="18"/>
                <w:szCs w:val="18"/>
              </w:rPr>
              <w:t>18,099,519</w:t>
            </w:r>
            <w:r>
              <w:rPr>
                <w:color w:val="000000"/>
                <w:spacing w:val="0"/>
                <w:w w:val="100"/>
                <w:position w:val="0"/>
              </w:rPr>
              <w:t xml:space="preserve">元转让给深 国投。鉴于湖北星宇未按照《国投保理业务合 同》的约定溢价回购保理融资，且顺丰速运、 顺丰供应链亦未向深国投支付货款人民币 </w:t>
            </w:r>
            <w:r>
              <w:rPr>
                <w:rFonts w:ascii="Times New Roman" w:eastAsia="Times New Roman" w:hAnsi="Times New Roman" w:cs="Times New Roman"/>
                <w:color w:val="000000"/>
                <w:spacing w:val="0"/>
                <w:w w:val="100"/>
                <w:position w:val="0"/>
                <w:sz w:val="18"/>
                <w:szCs w:val="18"/>
              </w:rPr>
              <w:t xml:space="preserve">18,099,519 </w:t>
            </w:r>
            <w:r>
              <w:rPr>
                <w:color w:val="000000"/>
                <w:spacing w:val="0"/>
                <w:w w:val="100"/>
                <w:position w:val="0"/>
              </w:rPr>
              <w:t>元。</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日，深国投向福田区人民法院提 起诉讼，请求判令：（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）顺丰速运、顺丰供应 链向深国投支付货款人民币</w:t>
            </w:r>
            <w:r>
              <w:rPr>
                <w:rFonts w:ascii="Times New Roman" w:eastAsia="Times New Roman" w:hAnsi="Times New Roman" w:cs="Times New Roman"/>
                <w:color w:val="000000"/>
                <w:spacing w:val="0"/>
                <w:w w:val="100"/>
                <w:position w:val="0"/>
                <w:sz w:val="18"/>
                <w:szCs w:val="18"/>
              </w:rPr>
              <w:t>18,099,519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湖北星宇、富程投资控股集团有限公司、曾士 祥、曾程、姜斌、顺丰速运和顺丰供应链对前 述支付承担连带责任；（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）由本案各被告承担 本案的律师费、诉讼费及其他全部诉讼费用。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该案件在 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日的公告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《重大资 产置换及 发行股份 购买资产 并募集配 套资金暨 关联交易 报告书</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（草案）》 已披露， 无后续进 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该案件为因 合同货款支 付而发生的 纠纷，涉诉标 的为公司需 履行合同之 应付账款，且 标的金额较 小，该等案件 的结果不会 对公司的财 务状况和持 续经营能力 构成重大不 利影响。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1" w:lineRule="exact"/>
              <w:ind w:left="0" w:right="0" w:firstLine="0"/>
              <w:jc w:val="left"/>
              <w:rPr>
                <w:sz w:val="18"/>
                <w:szCs w:val="18"/>
              </w:rPr>
            </w:pPr>
            <w:r>
              <w:rPr>
                <w:color w:val="000000"/>
                <w:spacing w:val="0"/>
                <w:w w:val="100"/>
                <w:position w:val="0"/>
                <w:sz w:val="17"/>
                <w:szCs w:val="17"/>
              </w:rPr>
              <w:t xml:space="preserve">（草案），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tc>
      </w:tr>
    </w:tbl>
    <w:p>
      <w:pPr>
        <w:pStyle w:val="Style27"/>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十三、处罚及整改情况</w:t>
      </w:r>
      <w:bookmarkEnd w:id="296"/>
      <w:bookmarkEnd w:id="297"/>
      <w:bookmarkEnd w:id="298"/>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十四、公司及其控股股东、实际控制人的诚信状况</w:t>
      </w:r>
      <w:bookmarkEnd w:id="299"/>
      <w:bookmarkEnd w:id="300"/>
      <w:bookmarkEnd w:id="301"/>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十五、公司股权激励计划、员工持股计划或其他员工激励措施的实施情况</w:t>
      </w:r>
      <w:bookmarkEnd w:id="302"/>
      <w:bookmarkEnd w:id="303"/>
      <w:bookmarkEnd w:id="304"/>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240" w:lineRule="auto"/>
        <w:ind w:left="0" w:right="0" w:firstLine="0"/>
        <w:jc w:val="both"/>
      </w:pPr>
      <w:bookmarkStart w:id="305" w:name="bookmark305"/>
      <w:bookmarkStart w:id="306" w:name="bookmark306"/>
      <w:bookmarkStart w:id="307" w:name="bookmark307"/>
      <w:r>
        <w:rPr>
          <w:color w:val="000000"/>
          <w:spacing w:val="0"/>
          <w:w w:val="100"/>
          <w:position w:val="0"/>
          <w:sz w:val="24"/>
          <w:szCs w:val="24"/>
        </w:rPr>
        <w:t>十六、重大关联交易</w:t>
      </w:r>
      <w:bookmarkEnd w:id="305"/>
      <w:bookmarkEnd w:id="306"/>
      <w:bookmarkEnd w:id="307"/>
    </w:p>
    <w:p>
      <w:pPr>
        <w:pStyle w:val="Style33"/>
        <w:keepNext w:val="0"/>
        <w:keepLines w:val="0"/>
        <w:widowControl w:val="0"/>
        <w:shd w:val="clear" w:color="auto" w:fill="auto"/>
        <w:bidi w:val="0"/>
        <w:spacing w:before="0" w:after="360" w:line="240" w:lineRule="auto"/>
        <w:ind w:left="0" w:right="0" w:firstLine="0"/>
        <w:jc w:val="both"/>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、与日常经营相关的关联交易</w:t>
      </w:r>
    </w:p>
    <w:p>
      <w:pPr>
        <w:pStyle w:val="Style1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902"/>
        <w:gridCol w:w="566"/>
        <w:gridCol w:w="994"/>
        <w:gridCol w:w="994"/>
        <w:gridCol w:w="422"/>
        <w:gridCol w:w="854"/>
        <w:gridCol w:w="566"/>
        <w:gridCol w:w="706"/>
        <w:gridCol w:w="283"/>
        <w:gridCol w:w="710"/>
        <w:gridCol w:w="710"/>
        <w:gridCol w:w="566"/>
        <w:gridCol w:w="437"/>
      </w:tblGrid>
      <w:tr>
        <w:trPr>
          <w:trHeight w:val="259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220" w:right="0" w:hanging="220"/>
              <w:jc w:val="both"/>
            </w:pPr>
            <w:r>
              <w:rPr>
                <w:color w:val="000000"/>
                <w:spacing w:val="0"/>
                <w:w w:val="100"/>
                <w:position w:val="0"/>
              </w:rPr>
              <w:t>关联交易定 价原则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 交易 价格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占同 类交 易金 额的 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3"/>
              <w:keepNext w:val="0"/>
              <w:keepLines w:val="0"/>
              <w:widowControl w:val="0"/>
              <w:shd w:val="clear" w:color="auto" w:fill="auto"/>
              <w:bidi w:val="0"/>
              <w:spacing w:before="0" w:after="0" w:line="314" w:lineRule="exact"/>
              <w:ind w:left="0" w:right="0" w:firstLine="160"/>
              <w:jc w:val="left"/>
            </w:pPr>
            <w:r>
              <w:rPr>
                <w:color w:val="000000"/>
                <w:spacing w:val="0"/>
                <w:w w:val="100"/>
                <w:position w:val="0"/>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 否 超 过 获 批 额 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披露 索引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台湾顺丰 速运股份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在过去</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个月内受 最终控制 人关系密 切的家庭 成员控制 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 联人 提供 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向关联人提 供航空运 输、呼叫通 讯、联运及 货代相关服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在遵循独立 交易原则下 参照市场价 格的基础上 的公允定 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 约定 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按合同 约定结 算周期 及条款 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台湾顺丰 速运股份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在过去</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个月内受 最终控制 人关系密 切的家庭 成员控制 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接收</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 人的 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接收关联人 提供联运服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在遵循独立 交易原则下 参照市场价 格的基础上 的公允定 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 约定 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按合同 约定结 算周期 及条款 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顺丰控股 集团商贸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同受控股 股东控制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 联人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向关联人提 供代理结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在遵循独立 交易原则下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 约定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按合同 约定结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6250"/>
      </w:tblGrid>
      <w:tr>
        <w:trPr>
          <w:trHeight w:val="1301"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1685" w:val="left"/>
              </w:tabs>
              <w:bidi w:val="0"/>
              <w:spacing w:before="0" w:after="100" w:line="240" w:lineRule="auto"/>
              <w:ind w:left="0" w:right="0" w:firstLine="0"/>
              <w:jc w:val="left"/>
            </w:pPr>
            <w:r>
              <w:rPr>
                <w:color w:val="000000"/>
                <w:spacing w:val="0"/>
                <w:w w:val="100"/>
                <w:position w:val="0"/>
              </w:rPr>
              <w:t>有限公司</w:t>
              <w:tab/>
              <w:t>提供算、呼叫通</w:t>
            </w:r>
          </w:p>
          <w:p>
            <w:pPr>
              <w:pStyle w:val="Style23"/>
              <w:keepNext w:val="0"/>
              <w:keepLines w:val="0"/>
              <w:widowControl w:val="0"/>
              <w:shd w:val="clear" w:color="auto" w:fill="auto"/>
              <w:tabs>
                <w:tab w:pos="1690" w:val="left"/>
              </w:tabs>
              <w:bidi w:val="0"/>
              <w:spacing w:before="0" w:after="100" w:line="240" w:lineRule="auto"/>
              <w:ind w:left="0" w:right="0" w:firstLine="0"/>
              <w:jc w:val="left"/>
            </w:pPr>
            <w:r>
              <w:rPr>
                <w:color w:val="000000"/>
                <w:spacing w:val="0"/>
                <w:w w:val="100"/>
                <w:position w:val="0"/>
              </w:rPr>
              <w:t>及其子公</w:t>
              <w:tab/>
              <w:t>劳务讯、联运及</w:t>
            </w:r>
          </w:p>
          <w:p>
            <w:pPr>
              <w:pStyle w:val="Style23"/>
              <w:keepNext w:val="0"/>
              <w:keepLines w:val="0"/>
              <w:widowControl w:val="0"/>
              <w:shd w:val="clear" w:color="auto" w:fill="auto"/>
              <w:tabs>
                <w:tab w:pos="3144" w:val="right"/>
              </w:tabs>
              <w:bidi w:val="0"/>
              <w:spacing w:before="0" w:after="100" w:line="240" w:lineRule="auto"/>
              <w:ind w:left="0" w:right="0" w:firstLine="0"/>
              <w:jc w:val="left"/>
            </w:pPr>
            <w:r>
              <w:rPr>
                <w:color w:val="000000"/>
                <w:spacing w:val="0"/>
                <w:w w:val="100"/>
                <w:position w:val="0"/>
              </w:rPr>
              <w:t>司</w:t>
              <w:tab/>
              <w:t>货代相关服</w:t>
            </w:r>
          </w:p>
          <w:p>
            <w:pPr>
              <w:pStyle w:val="Style23"/>
              <w:keepNext w:val="0"/>
              <w:keepLines w:val="0"/>
              <w:widowControl w:val="0"/>
              <w:shd w:val="clear" w:color="auto" w:fill="auto"/>
              <w:bidi w:val="0"/>
              <w:spacing w:before="0" w:after="100" w:line="240" w:lineRule="auto"/>
              <w:ind w:left="2300" w:right="0" w:firstLine="0"/>
              <w:jc w:val="left"/>
            </w:pPr>
            <w:r>
              <w:rPr>
                <w:color w:val="000000"/>
                <w:spacing w:val="0"/>
                <w:w w:val="100"/>
                <w:position w:val="0"/>
              </w:rPr>
              <w:t>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811" w:val="left"/>
              </w:tabs>
              <w:bidi w:val="0"/>
              <w:spacing w:before="0" w:after="100" w:line="240" w:lineRule="auto"/>
              <w:ind w:left="0" w:right="0" w:firstLine="0"/>
              <w:jc w:val="left"/>
            </w:pPr>
            <w:r>
              <w:rPr>
                <w:color w:val="000000"/>
                <w:spacing w:val="0"/>
                <w:w w:val="100"/>
                <w:position w:val="0"/>
              </w:rPr>
              <w:t>参照市场价价格</w:t>
              <w:tab/>
              <w:t>算周期</w:t>
            </w:r>
          </w:p>
          <w:p>
            <w:pPr>
              <w:pStyle w:val="Style23"/>
              <w:keepNext w:val="0"/>
              <w:keepLines w:val="0"/>
              <w:widowControl w:val="0"/>
              <w:shd w:val="clear" w:color="auto" w:fill="auto"/>
              <w:tabs>
                <w:tab w:pos="3811" w:val="left"/>
              </w:tabs>
              <w:bidi w:val="0"/>
              <w:spacing w:before="0" w:after="100" w:line="240" w:lineRule="auto"/>
              <w:ind w:left="0" w:right="0" w:firstLine="0"/>
              <w:jc w:val="left"/>
            </w:pPr>
            <w:r>
              <w:rPr>
                <w:color w:val="000000"/>
                <w:spacing w:val="0"/>
                <w:w w:val="100"/>
                <w:position w:val="0"/>
              </w:rPr>
              <w:t>格的基础上</w:t>
              <w:tab/>
              <w:t>及条款</w:t>
            </w:r>
          </w:p>
          <w:p>
            <w:pPr>
              <w:pStyle w:val="Style23"/>
              <w:keepNext w:val="0"/>
              <w:keepLines w:val="0"/>
              <w:widowControl w:val="0"/>
              <w:shd w:val="clear" w:color="auto" w:fill="auto"/>
              <w:tabs>
                <w:tab w:pos="3797" w:val="left"/>
              </w:tabs>
              <w:bidi w:val="0"/>
              <w:spacing w:before="0" w:after="100" w:line="240" w:lineRule="auto"/>
              <w:ind w:left="0" w:right="0" w:firstLine="0"/>
              <w:jc w:val="left"/>
            </w:pPr>
            <w:r>
              <w:rPr>
                <w:color w:val="000000"/>
                <w:spacing w:val="0"/>
                <w:w w:val="100"/>
                <w:position w:val="0"/>
              </w:rPr>
              <w:t>的公允定</w:t>
              <w:tab/>
              <w:t>结算</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tabs>
                <w:tab w:pos="1126" w:val="left"/>
                <w:tab w:pos="2470" w:val="left"/>
                <w:tab w:pos="2926" w:val="left"/>
                <w:tab w:pos="4102" w:val="left"/>
                <w:tab w:pos="4812" w:val="left"/>
                <w:tab w:pos="5446" w:val="left"/>
                <w:tab w:pos="5945" w:val="left"/>
              </w:tabs>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tab/>
              <w:t>--78,462.86</w:t>
              <w:tab/>
              <w:t>--</w:t>
              <w:tab/>
            </w:r>
            <w:r>
              <w:rPr>
                <w:rFonts w:ascii="Times New Roman" w:eastAsia="Times New Roman" w:hAnsi="Times New Roman" w:cs="Times New Roman"/>
                <w:color w:val="000000"/>
                <w:spacing w:val="0"/>
                <w:w w:val="100"/>
                <w:position w:val="0"/>
                <w:sz w:val="18"/>
                <w:szCs w:val="18"/>
              </w:rPr>
              <w:t xml:space="preserve">100,000 </w:t>
            </w:r>
            <w:r>
              <w:rPr>
                <w:rFonts w:ascii="Times New Roman" w:eastAsia="Times New Roman" w:hAnsi="Times New Roman" w:cs="Times New Roman"/>
                <w:color w:val="000000"/>
                <w:spacing w:val="0"/>
                <w:w w:val="100"/>
                <w:position w:val="0"/>
                <w:sz w:val="18"/>
                <w:szCs w:val="18"/>
              </w:rPr>
              <w:t>--</w:t>
              <w:tab/>
              <w:t>--</w:t>
              <w:tab/>
              <w:t>--</w:t>
              <w:tab/>
              <w:t>--</w:t>
              <w:tab/>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按类别对本期将发生的日常关联交易进 行总金额预计的，在报告期内的实际履行 情况（如有）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月重大资产重组实施完毕前，深圳顺丰泰森控股（集团）有限公 司依据自身《公司章程》等相关规定，审议通过了上述日常关联交易预计额度， 报告期内实际发生的交易未超过预计额度。</w:t>
            </w:r>
          </w:p>
        </w:tc>
      </w:tr>
      <w:tr>
        <w:trPr>
          <w:trHeight w:val="36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因（如适用）</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33"/>
        <w:keepNext w:val="0"/>
        <w:keepLines w:val="0"/>
        <w:widowControl w:val="0"/>
        <w:shd w:val="clear" w:color="auto" w:fill="auto"/>
        <w:bidi w:val="0"/>
        <w:spacing w:before="0" w:after="340" w:line="240" w:lineRule="auto"/>
        <w:ind w:left="0" w:right="0" w:firstLine="0"/>
        <w:jc w:val="left"/>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、资产或股权收购、出售发生的关联交易</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10"/>
        <w:gridCol w:w="566"/>
        <w:gridCol w:w="706"/>
        <w:gridCol w:w="710"/>
        <w:gridCol w:w="994"/>
        <w:gridCol w:w="850"/>
        <w:gridCol w:w="850"/>
        <w:gridCol w:w="710"/>
        <w:gridCol w:w="994"/>
        <w:gridCol w:w="566"/>
        <w:gridCol w:w="1003"/>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转让资产的 账面价值</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47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明德控股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重大资 产重组 后公司 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月内的 控股股 东</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 收购</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产重组</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1,447,157.5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资产置</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换及发</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行股份</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（草案），</w:t>
            </w:r>
          </w:p>
          <w:p>
            <w:pPr>
              <w:pStyle w:val="Style23"/>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18"/>
                <w:szCs w:val="18"/>
              </w:rPr>
              <w:t>httD</w:t>
            </w:r>
            <w:r>
              <w:rPr>
                <w:color w:val="0000FF"/>
                <w:spacing w:val="0"/>
                <w:w w:val="100"/>
                <w:position w:val="0"/>
                <w:sz w:val="18"/>
                <w:szCs w:val="18"/>
              </w:rPr>
              <w:t>：</w:t>
            </w:r>
            <w:r>
              <w:rPr>
                <w:rFonts w:ascii="Times New Roman" w:eastAsia="Times New Roman" w:hAnsi="Times New Roman" w:cs="Times New Roman"/>
                <w:color w:val="0000FF"/>
                <w:spacing w:val="0"/>
                <w:w w:val="100"/>
                <w:position w:val="0"/>
                <w:sz w:val="18"/>
                <w:szCs w:val="18"/>
              </w:rPr>
              <w:t>//www.c</w:t>
            </w:r>
            <w:r>
              <w:fldChar w:fldCharType="end"/>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18"/>
                <w:szCs w:val="18"/>
              </w:rPr>
              <w:t>ninfo.com.c</w:t>
            </w:r>
            <w:r>
              <w:fldChar w:fldCharType="end"/>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18"/>
                <w:szCs w:val="18"/>
              </w:rPr>
              <w:t>n</w:t>
            </w:r>
            <w:r>
              <w:fldChar w:fldCharType="end"/>
            </w:r>
          </w:p>
        </w:tc>
      </w:tr>
      <w:tr>
        <w:trPr>
          <w:trHeight w:val="40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明德控</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 顺达丰 润、</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嘉强顺 风、</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招广投 资、</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元禾顺 风、</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古玉秋</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 产重组 资产的 接收方、 重大资 产重组 后公司 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 的股东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 出售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产重组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0" w:lineRule="exact"/>
              <w:ind w:left="0" w:right="0" w:firstLine="0"/>
              <w:jc w:val="both"/>
              <w:rPr>
                <w:sz w:val="18"/>
                <w:szCs w:val="18"/>
              </w:rPr>
            </w:pPr>
            <w:r>
              <w:rPr>
                <w:color w:val="000000"/>
                <w:spacing w:val="0"/>
                <w:w w:val="100"/>
                <w:position w:val="0"/>
                <w:sz w:val="17"/>
                <w:szCs w:val="17"/>
              </w:rPr>
              <w:t xml:space="preserve">（草案），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bl>
    <w:p>
      <w:pPr>
        <w:widowControl w:val="0"/>
        <w:spacing w:line="1" w:lineRule="exact"/>
      </w:pPr>
      <w:r>
        <w:br w:type="page"/>
      </w:r>
    </w:p>
    <w:tbl>
      <w:tblPr>
        <w:tblOverlap w:val="never"/>
        <w:jc w:val="center"/>
        <w:tblLayout w:type="fixed"/>
      </w:tblPr>
      <w:tblGrid>
        <w:gridCol w:w="859"/>
        <w:gridCol w:w="710"/>
        <w:gridCol w:w="566"/>
        <w:gridCol w:w="706"/>
        <w:gridCol w:w="710"/>
        <w:gridCol w:w="994"/>
        <w:gridCol w:w="850"/>
        <w:gridCol w:w="850"/>
        <w:gridCol w:w="710"/>
        <w:gridCol w:w="994"/>
        <w:gridCol w:w="566"/>
        <w:gridCol w:w="1003"/>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顺信丰合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深圳市丰 巢科技有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 事担任 董事的 联营公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不</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适</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商顺供应 链管理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 事担任 董事的 合营公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收购其 子公司 翠玉控 股有限 公司及 其附属 公司固 特发展 有限公 司的股 权以及 股东贷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91,654.97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 xml:space="preserve">（草案）（修 订稿），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r>
        <w:trPr>
          <w:trHeight w:val="3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明德控股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 控股股 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出售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出售合 丰小额 贷款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30,750.60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 xml:space="preserve">（草案）（修 订稿），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明德控股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 控股股 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出售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出售乐 丰保理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重大资产置 换及发行股 份购买资产 并募集配套 资金暨关联 交易报告书</w:t>
            </w:r>
          </w:p>
          <w:p>
            <w:pPr>
              <w:pStyle w:val="Style23"/>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 xml:space="preserve">（草案）（修 订稿），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置业企业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出售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顺诚融 资租赁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37,721.44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换及发行股</w:t>
            </w:r>
          </w:p>
        </w:tc>
      </w:tr>
    </w:tbl>
    <w:p>
      <w:pPr>
        <w:widowControl w:val="0"/>
        <w:spacing w:line="1" w:lineRule="exact"/>
      </w:pPr>
      <w:r>
        <w:br w:type="page"/>
      </w:r>
    </w:p>
    <w:tbl>
      <w:tblPr>
        <w:tblOverlap w:val="never"/>
        <w:jc w:val="center"/>
        <w:tblLayout w:type="fixed"/>
      </w:tblPr>
      <w:tblGrid>
        <w:gridCol w:w="859"/>
        <w:gridCol w:w="710"/>
        <w:gridCol w:w="566"/>
        <w:gridCol w:w="706"/>
        <w:gridCol w:w="710"/>
        <w:gridCol w:w="994"/>
        <w:gridCol w:w="850"/>
        <w:gridCol w:w="850"/>
        <w:gridCol w:w="710"/>
        <w:gridCol w:w="994"/>
        <w:gridCol w:w="566"/>
        <w:gridCol w:w="1003"/>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制的公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及其子 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份购买资产 并募集配套 资金暨关联 交易报告书</w:t>
            </w:r>
          </w:p>
          <w:p>
            <w:pPr>
              <w:pStyle w:val="Style23"/>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 xml:space="preserve">（草案）（修 订稿），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tc>
      </w:tr>
      <w:tr>
        <w:trPr>
          <w:trHeight w:val="3917"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对公司经营成果与财务状况的影响 情况</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6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上述交易中，与重大资产重组相关的关联交易对公司的经营成果与财务状况的影 响情况分析，详见公司在巨潮资讯网披露的公告《重大资产置换及发行股份购买资产 并募集配套资金暨关联交易报告书（草案）（修订稿）》。</w:t>
            </w:r>
          </w:p>
          <w:p>
            <w:pPr>
              <w:pStyle w:val="Style23"/>
              <w:keepNext w:val="0"/>
              <w:keepLines w:val="0"/>
              <w:widowControl w:val="0"/>
              <w:shd w:val="clear" w:color="auto" w:fill="auto"/>
              <w:tabs>
                <w:tab w:pos="283"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收购翠玉控股有限公司及其附属公司固特发展有限公司的股权以及股东贷款的关 联交易，对公司经营成本与财务状况的影响情况，详见第十一节财务报告五、合并 范围的变更。</w:t>
            </w:r>
          </w:p>
          <w:p>
            <w:pPr>
              <w:pStyle w:val="Style23"/>
              <w:keepNext w:val="0"/>
              <w:keepLines w:val="0"/>
              <w:widowControl w:val="0"/>
              <w:shd w:val="clear" w:color="auto" w:fill="auto"/>
              <w:tabs>
                <w:tab w:pos="269"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对深圳市丰巢科技有限的增资之关联交易，是重组置入的子公司泰森控股在</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月重大资产重组实施完毕前发生的交易。该关联交易决策程序符合国家有关法 律、法规及泰森控股的《公司章程》的规定，依据市场公允价格确定交易价格，遵循 公开、公平、公正的原则，不存在损害公司和中小股东利益的情形。本交易对公司整 体业务盈利水平和财务状况不会产生重大不利影响，也不会对公司未来持续经经营业 务产生重大不利影响。</w:t>
            </w:r>
          </w:p>
        </w:tc>
      </w:tr>
      <w:tr>
        <w:trPr>
          <w:trHeight w:val="720"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 期内的业绩实现情况</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上述重大资产重组报告期内的业绩实现情况，详见第五节重要事项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三、承诺事项履 行情况</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共同对外投资的关联交易</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311" w:name="bookmark311"/>
      <w:r>
        <w:rPr>
          <w:rFonts w:ascii="Times New Roman" w:eastAsia="Times New Roman" w:hAnsi="Times New Roman" w:cs="Times New Roman"/>
          <w:color w:val="000000"/>
          <w:spacing w:val="0"/>
          <w:w w:val="100"/>
          <w:position w:val="0"/>
        </w:rPr>
        <w:t>4</w:t>
      </w:r>
      <w:bookmarkEnd w:id="311"/>
      <w:r>
        <w:rPr>
          <w:color w:val="000000"/>
          <w:spacing w:val="0"/>
          <w:w w:val="100"/>
          <w:position w:val="0"/>
        </w:rPr>
        <w:t>、</w:t>
        <w:tab/>
        <w:t>关联债权债务往来</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312" w:name="bookmark312"/>
      <w:r>
        <w:rPr>
          <w:rFonts w:ascii="Times New Roman" w:eastAsia="Times New Roman" w:hAnsi="Times New Roman" w:cs="Times New Roman"/>
          <w:color w:val="000000"/>
          <w:spacing w:val="0"/>
          <w:w w:val="100"/>
          <w:position w:val="0"/>
        </w:rPr>
        <w:t>5</w:t>
      </w:r>
      <w:bookmarkEnd w:id="312"/>
      <w:r>
        <w:rPr>
          <w:color w:val="000000"/>
          <w:spacing w:val="0"/>
          <w:w w:val="100"/>
          <w:position w:val="0"/>
        </w:rPr>
        <w:t>、</w:t>
        <w:tab/>
        <w:t>其他重大关联交易</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both"/>
      </w:pPr>
      <w:bookmarkStart w:id="313" w:name="bookmark313"/>
      <w:bookmarkStart w:id="314" w:name="bookmark314"/>
      <w:bookmarkStart w:id="315" w:name="bookmark315"/>
      <w:r>
        <w:rPr>
          <w:color w:val="000000"/>
          <w:spacing w:val="0"/>
          <w:w w:val="100"/>
          <w:position w:val="0"/>
          <w:sz w:val="24"/>
          <w:szCs w:val="24"/>
        </w:rPr>
        <w:t>十七、重大合同及其履行情况</w:t>
      </w:r>
      <w:bookmarkEnd w:id="313"/>
      <w:bookmarkEnd w:id="314"/>
      <w:bookmarkEnd w:id="315"/>
    </w:p>
    <w:p>
      <w:pPr>
        <w:pStyle w:val="Style33"/>
        <w:keepNext w:val="0"/>
        <w:keepLines w:val="0"/>
        <w:widowControl w:val="0"/>
        <w:shd w:val="clear" w:color="auto" w:fill="auto"/>
        <w:tabs>
          <w:tab w:pos="368" w:val="left"/>
        </w:tabs>
        <w:bidi w:val="0"/>
        <w:spacing w:before="0" w:after="380" w:line="240" w:lineRule="auto"/>
        <w:ind w:left="0" w:right="0" w:firstLine="0"/>
        <w:jc w:val="both"/>
      </w:pPr>
      <w:bookmarkStart w:id="316" w:name="bookmark316"/>
      <w:r>
        <w:rPr>
          <w:rFonts w:ascii="Times New Roman" w:eastAsia="Times New Roman" w:hAnsi="Times New Roman" w:cs="Times New Roman"/>
          <w:color w:val="000000"/>
          <w:spacing w:val="0"/>
          <w:w w:val="100"/>
          <w:position w:val="0"/>
        </w:rPr>
        <w:t>1</w:t>
      </w:r>
      <w:bookmarkEnd w:id="316"/>
      <w:r>
        <w:rPr>
          <w:color w:val="000000"/>
          <w:spacing w:val="0"/>
          <w:w w:val="100"/>
          <w:position w:val="0"/>
        </w:rPr>
        <w:t>、</w:t>
        <w:tab/>
        <w:t>托管、承包、租赁事项情况</w:t>
      </w:r>
    </w:p>
    <w:p>
      <w:pPr>
        <w:pStyle w:val="Style33"/>
        <w:keepNext w:val="0"/>
        <w:keepLines w:val="0"/>
        <w:widowControl w:val="0"/>
        <w:shd w:val="clear" w:color="auto" w:fill="auto"/>
        <w:tabs>
          <w:tab w:pos="493" w:val="left"/>
        </w:tabs>
        <w:bidi w:val="0"/>
        <w:spacing w:before="0" w:after="380" w:line="240" w:lineRule="auto"/>
        <w:ind w:left="0" w:right="0" w:firstLine="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公司报告期不存在应披露的重大托管情况。</w:t>
      </w:r>
    </w:p>
    <w:p>
      <w:pPr>
        <w:pStyle w:val="Style33"/>
        <w:keepNext w:val="0"/>
        <w:keepLines w:val="0"/>
        <w:widowControl w:val="0"/>
        <w:shd w:val="clear" w:color="auto" w:fill="auto"/>
        <w:tabs>
          <w:tab w:pos="493" w:val="left"/>
        </w:tabs>
        <w:bidi w:val="0"/>
        <w:spacing w:before="0" w:after="380" w:line="240" w:lineRule="auto"/>
        <w:ind w:left="0" w:right="0" w:firstLine="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公司报告期不存在应披露的重大承包情况。</w:t>
      </w:r>
    </w:p>
    <w:p>
      <w:pPr>
        <w:pStyle w:val="Style33"/>
        <w:keepNext w:val="0"/>
        <w:keepLines w:val="0"/>
        <w:widowControl w:val="0"/>
        <w:shd w:val="clear" w:color="auto" w:fill="auto"/>
        <w:tabs>
          <w:tab w:pos="493" w:val="left"/>
        </w:tabs>
        <w:bidi w:val="0"/>
        <w:spacing w:before="0" w:after="380" w:line="240" w:lineRule="auto"/>
        <w:ind w:left="0" w:right="0" w:firstLine="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公司报告期不存在应披露的重大租赁情况。</w:t>
      </w:r>
    </w:p>
    <w:p>
      <w:pPr>
        <w:pStyle w:val="Style33"/>
        <w:keepNext w:val="0"/>
        <w:keepLines w:val="0"/>
        <w:widowControl w:val="0"/>
        <w:shd w:val="clear" w:color="auto" w:fill="auto"/>
        <w:tabs>
          <w:tab w:pos="378" w:val="left"/>
        </w:tabs>
        <w:bidi w:val="0"/>
        <w:spacing w:before="0" w:after="380" w:line="240" w:lineRule="auto"/>
        <w:ind w:left="0" w:right="0" w:firstLine="0"/>
        <w:jc w:val="both"/>
      </w:pPr>
      <w:bookmarkStart w:id="320" w:name="bookmark320"/>
      <w:r>
        <w:rPr>
          <w:rFonts w:ascii="Times New Roman" w:eastAsia="Times New Roman" w:hAnsi="Times New Roman" w:cs="Times New Roman"/>
          <w:color w:val="000000"/>
          <w:spacing w:val="0"/>
          <w:w w:val="100"/>
          <w:position w:val="0"/>
        </w:rPr>
        <w:t>2</w:t>
      </w:r>
      <w:bookmarkEnd w:id="320"/>
      <w:r>
        <w:rPr>
          <w:color w:val="000000"/>
          <w:spacing w:val="0"/>
          <w:w w:val="100"/>
          <w:position w:val="0"/>
        </w:rPr>
        <w:t>、</w:t>
        <w:tab/>
        <w:t>重大担保</w:t>
      </w:r>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）担保情况</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853"/>
        <w:gridCol w:w="787"/>
        <w:gridCol w:w="917"/>
        <w:gridCol w:w="1306"/>
        <w:gridCol w:w="1056"/>
        <w:gridCol w:w="1042"/>
        <w:gridCol w:w="1051"/>
        <w:gridCol w:w="643"/>
        <w:gridCol w:w="149"/>
        <w:gridCol w:w="278"/>
        <w:gridCol w:w="509"/>
      </w:tblGrid>
      <w:tr>
        <w:trPr>
          <w:trHeight w:val="408"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担保额度</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相关公告</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实际发生日期（协</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议签署日）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实际担保金额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是否履行</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完毕</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是否为关</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联方担保</w:t>
            </w: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公司与子公司之间担保情况</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担保额度</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相关公告</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实际发生日期（协</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议签署日）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实际担保金额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是否履行</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完毕</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是否为关</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联方担保</w:t>
            </w: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子公司对子公司的担保情况</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担保额度</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相关公告</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rPr>
              <w:t>实际发生日期（协</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议签署日）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实际担保金额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担保类型</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是否</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履行</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是否</w:t>
            </w:r>
          </w:p>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为关 联方 担保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连带责任保证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2016/2/1-2017/1/31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连带责任保证</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2016/1/4-2017/1/4</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2016/3/26-2017/3/26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2016/3/25-2017/3/25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2016/5/6-2017/5/6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2016/10/26-2017/10/26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2016/11/15-2017/5/10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2016/12/5-2017/11/29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2016/12/5-2017/11/30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819.49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2016/12/19-2018/1/31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2016/2/29-2016/12/10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2015/5/1-2016/4/30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2015/2/13-2016/1/31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2015/3/25-2016/3/25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2015/5/8-2016/3/1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2015/6/12-2016/8/15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2015/11/4-2016/10/25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2015/11/9-2016/11/10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2016/3/25-2017/3/25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2016/7/3-2017/7/3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2016/7/6-2017/6/30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2016/7/6-2017/7/5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563.53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563.53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2016/10/11-2017/10/9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2013/11/29-2020/9/7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2015/3/18-2016/1/1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563.53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563.53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2015/4/14-2016/4/13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2015/4/24-2016/4/30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2015/6/23-2016/6/22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2015/7/3-2016/7/2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2015/11/16-2016/11/4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2016/4/18-2017/3/1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99.43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99.43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2016/4/28-2017/5/31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2016/5/17-2017/5/17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2016/6/22-2017/6/22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2016/6/28-2017/6/27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2016/8/15-2017/7/31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2016/9/1-2017/8/31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2016/9/13-2017/9/12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464.88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464.88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2016/9/22-2017/9/22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2016/11/8-2017/8/22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2016/1/22-2016/11/30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2016/2/1-2016/7/31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2016/6/7-2016/11/30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2016/6/14-2016/12/31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2015/2/28-2016/1/31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2015/2/28-2016/1/31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2015/4/13-2016/4/13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2015/5/6-2016/2/2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2015/6/15-2016/6/15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2015/8/7-2016/1/31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2015/8/11-2016/1/31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2015/8/12-2016/8/12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2015/8/20-2016/8/1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464.88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464.88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2015/9/6-2016/9/6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2015/11/24-2016/4/1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2015/12/11-2016/10/31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成都泰顺物流有限公司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2016/2/2-2017/2/10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成都泰顺物流有限公司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2016/3/8-2017/1/31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成都泰顺物流有限公司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2016/7/6-2017/1/31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成都泰顺物流有限公司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2015/2/15-2016/1/31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成都泰顺物流有限公司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2015/2/28-2016/1/31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成都泰顺物流有限公司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2015/9/6-2016/1/31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佛山顺丰速运有限公司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97.44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97.44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2016/4/8-2017/4/8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佛山顺丰速运有限公司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2015/11/16-2016/5/1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2015/11/19-2016/5/31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赣州顺丰速运有限公司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2015/11/4-2016/11/25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2016/4/8-2017/1/31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2016/7/13-2017/7/12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2016/11/8-2017/11/7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2016/3/1-2017/1/31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2015/3/12-2016/1/31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2015/3/25-2016/1/31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2015/4/29-2016/1/31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广州汇益物流有限公司越 秀分公司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2016/4/18-2016/12/31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2016/8/9-2017/8/8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2016/7/27-2017/7/26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2015/8/8-2016/8/8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2016/6/7-2017/3/31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2015/5/26-2016/5/26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2016/11/16-2017/8/31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2016/1/22-2016/12/1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杭州顺意丰进出口贸易有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2016/6/4-2017/6/4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杭州顺意丰进出口贸易有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2015/6/3-2016/6/3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2016/6/7-2017/3/31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2015/4/29-2016/3/31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河北顺丰速运有限公司保</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定分公司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2015/6/15-2016/6/15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河北顺丰速运有限公司廊 坊分公司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2016/8/17-2017/8/16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河北顺丰速运有限公司廊 坊分公司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2015/8/19-2016/8/19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河北顺丰速运有限公司唐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2016/12/15-2017/12/13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河北顺丰速运有限公司唐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2015/12/11-2016/12/11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河南汇海物流有限公司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2016/7/20-2017/7/19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河南省顺丰速运有限公司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2016/12/1-2017/11/30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河南省顺丰速运有限公司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2015/12/8-2016/11/30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河南省顺丰速运有限公司</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郑州城管分公司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123.78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2015/7/15-2016/7/15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黑龙江省顺丰速运有限公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2016/4/8-2017/4/1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黑龙江省顺丰速运有限公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2015/5/15-2016/5/1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黑龙江省顺丰速运有限公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2015/5/21-2016/4/1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黑龙江省顺丰速运有限公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2015/6/1-2016/5/15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黑龙江省顺丰速运有限公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2016/7/13-2016/8/14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2015/12/29-2016/5/1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2016/5/17-2017/5/1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2016/7/20-2017/7/19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2016/11/16-2017/1/31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2016/11/22-2017/11/21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79.33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2015/7/6-2016/7/6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2015/7/6-2016/4/1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2016/5/17-2017/3/31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79.33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2016/7/7-2017/7/6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湖北顺丰运输有限公司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2016/9/26-2017/9/25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2015/5/12-2016/4/1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2015/7/6-2016/5/1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2015/7/30-2016/7/30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2015/11/11-2016/7/1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2016/5/17-2017/4/1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2016/10/14-2017/6/30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2016/6/14-2017/6/30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2016/12/5-2017/8/24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2015/1/28-2016/1/13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2016/5/13-2017/4/22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2015/4/22-2016/4/22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2015/9/15-2016/7/31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2016/11/2-2017/9/14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兰州顺丰速运有限公司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2016/5/25-2017/3/31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2016/4/1-2017/4/1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2016/12/15-2017/10/31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辽宁顺路物流有限公司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2016/1/14-2016/10/31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2015/6/29-2016/1/1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2016/4/9-2017/4/9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2015/4/8-2016/4/8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2015/6/28-2016/6/28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2016/7/5-2017/4/9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2016/9/26-2016/10/31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2016/5/16-2017/5/16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2016/7/6-2017/7/6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2016/8/1-2017/7/31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2016/9/1-2017/8/26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2016/10/24-2017/8/31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2016/12/9-2017/12/1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2016/3/17-2016/12/1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2015/5/15-2016/5/15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2015/7/5-2016/7/5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2015/7/21-2016/8/26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2015/8/27-2016/8/27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泉州顺路物流有限公司厦</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门分公司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泉州顺路物流有限公司厦</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门分公司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2015/2/10-2016/1/31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泉州顺路物流有限公司厦</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门分公司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2015/9/22-2016/7/31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泉州顺路物流有限公司厦</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门分公司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2016/10/25-2017/7/31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泉州顺路物流有限公司长 乐分公司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泉州顺路物流有限公司长 乐分公司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2015/2/10-2016/1/31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厦门市顺丰速运有限公司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2016/6/14-2017/6/14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厦门市顺丰速运有限公司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2016/11/29-2017/11/28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厦门市顺丰速运有限公司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2015/5/5-2016/5/5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2016/6/13-2017/5/31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2016/6/13-2017/5/31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2016/6/22-2017/3/14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2016/8/10-2017/8/9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2016/2/1-2016/5/31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2016/2/1-2016/5/31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2016/2/1-2016/5/31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2016/7/6-2016/12/31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2015/1/4-2016/1/31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2015/1/4-2016/1/31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2015/2/28-2016/2/28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2015/4/9-2016/1/31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2015/9/6-2016/11/1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2016/1/18-2017/1/18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2016/6/13-2017/4/30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2016/6/21-2017/6/20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2016/6/22-2017/6/22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2015/4/22-2016/1/1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2015/9/15-2016/5/31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2016/12/19-2017/6/30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上海顺衡物流有限公司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2016/8/15-2017/9/30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上海顺啸丰运输有限公司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2015/12/8-2016/10/8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327.75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2014/11/3-2017/10/31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2016/4/18-2017/1/31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2015/2/15-2016/1/30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2015/2/15-2016/1/1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2015/3/5-2016/3/4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244.12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244.12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2015/6/23-2016/6/22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2015/8/19-2016/7/13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2015/9/1-2016/9/1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2015/9/2-2016/9/1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2015/9/22-2016/8/9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2015/9/14-2016/6/30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2016/8/15-2017/9/30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2016/10/25-2017/7/12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2016/10/25-2016/12/31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244.12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2016/11/1-2017/10/31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深圳市顺丰供应链有限公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2016/2/16-2017/2/15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2016/3/14-2017/3/1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2016/4/1-2017/4/1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2016/4/25-2017/4/25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2016/5/16-2017/5/16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2015/1/27-2016/1/27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2015/2/3-2016/2/3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2015/3/3-2016/3/1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14.73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2015/3/28-2016/3/28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98.41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98.41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2015/3/13-2016/3/12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2015/4/1-2016/4/1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2015/4/14-2016/4/14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2015/4/22-2016/2/9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2015/4/24-2016/4/24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2015/5/15-2016/5/15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25.68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2015/9/6-2016/9/6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1,640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2015/9/14-2016/9/14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2015/11/19-2016/11/13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2015/11/23-2016/11/24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深圳市顺丰供应链有限公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1,300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2016/9/26-2017/9/25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2016/11/14-2018/1/1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深圳市顺路航空货代有限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2,038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2016/5/17-2017/5/17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深圳市顺路航空货代有限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2016/8/2-2017/8/1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深圳市顺路航空货代有限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1,773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2016/1/26-2016/5/1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深圳市顺路航空货代有限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2016/1/22-2016/12/31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深圳市顺路航空货代有限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2016/3/31-2016/8/1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2016/2/16-2017/1/31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2016/5/23-2017/1/31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2016/5/30-2017/5/30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2016/10/26-2017/10/26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2016/11/2-2017/9/1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2016/12/19-2017/5/30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深圳市顺丰电子产品售后</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2016/1/19-2016/12/10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2016/1/27-2017/1/27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2016/3/8-2017/3/7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2016/3/8-2017/3/7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2016/3/8-2017/3/7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2016/4/5-2017/3/10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2016/1/8-2016/12/31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2016/1/8-2016/12/31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2016/1/8-2016/12/31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2015/1/5-2016/1/5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2015/4/9-2016/4/9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2015/8/7-2016/8/7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2015/8/28-2016/1/31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2015/8/28-2016/1/31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2015/8/28-2016/1/31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2016/7/1-2017/7/1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2016/7/21-2018/6/1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2016/8/8-2017/8/7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2016/10/18-2017/3/31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7,367.75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2016/11/16-2017/11/15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顺丰数据服务（武汉）有限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142.56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142.56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2016/11/9-2017/11/2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顺丰数据服务（武汉）有限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142.56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142.56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2015/7/21-2016/7/21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顺丰速运（东莞）有限公司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181.56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181.56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2016/3/14-2017/3/13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顺丰速运（惠州）有限公司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2016/7/20-2017/7/19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顺丰速运（惠州）有限公司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2016/9/1-2017/8/31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顺丰速运（惠州）有限公司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2015/6/15-2016/6/15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顺丰速运（宁夏）有限公司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2016/3/17-2016/12/31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顺丰速运（宁夏）有限公司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2015/5/15-2016/2/1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顺丰速运（沈阳）有限公司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2016/2/15-2017/2/14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顺丰速运（沈阳）有限公司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2015/2/15-2016/2/14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顺丰速运（沈阳）有限公司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2015/9/1-2016/9/1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顺丰速运（沈阳）有限公司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2015/12/29-2016/12/9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98.41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98.41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2016/3/8-2017/4/15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72.06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2016/11/29-2017/11/28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顺丰速运（沈阳）有限公司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2016/9/9-2017/9/7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顺丰速运集团（上海）速运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2015/5/3-2016/5/3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顺丰速运集团（上海）速运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2015/6/3-2016/6/3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2016/6/21-2018/6/20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2016/8/1-2017/7/31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2016/10/8-2017/10/7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2016/10/11-2017/10/31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2016/10/11-2017/7/31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2016/10/18-2017/9/30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2016/10/31-2017/6/30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2016/10/31-2017/6/30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2016/11/30-2017/11/30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2016/1/8-2016/10/31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2016/1/25-2016/11/30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222.13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222.13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2015/3/5-2016/1/31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2015/3/18-2016/3/18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2015/8/1-2016/7/31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2015/10/9-2016/10/7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2015/11/11-2016/7/1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2015/11/9-2016/12/1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顺丰速运重庆有限公司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2016/4/20-2017/4/20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顺丰速运重庆有限公司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239.17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239.17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2016/5/7-2017/5/7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顺丰速运重庆有限公司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239.14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239.14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2015/5/6-2016/5/6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顺丰医药供应链南京有限</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2016/9/27-2017/9/26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顺丰运输（南京）有限公司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2016/9/8-2017/9/7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顺丰运输（南京）有限公司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2016/10/18-2017/3/31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2016/4/13-2017/4/13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2016/6/7-2017/6/7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2016/6/14-2017/1/1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2015/3/25-2016/3/25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2015/4/14-2016/4/8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2015/5/6-2016/5/6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2015/7/6-2016/7/5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2015/11/16-2016/11/16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2015/12/9-2016/8/14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2016/7/20-2017/7/19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2016/8/15-2017/5/14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2016/9/30-2017/9/29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2016/12/15-2017/8/31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2016/5/6-2017/4/30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苏州工业园区顺丰速运有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2016/5/6-2017/4/14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2016/8/3-2017/8/2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205.17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2016/9/9-2017/9/8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2016/9/22-2017/9/22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2016/9/23-2017/9/22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2016/11/8-2017/11/7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2015/3/28-2016/3/28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2015/4/30-2016/4/30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2015/4/24-2016/4/29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205.17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2015/6/30-2016/6/30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2015/5/21-2016/5/21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2015/7/6-2016/7/10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2015/8/20-2016/8/20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苏州工业园区顺丰速运有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2015/7/24-2016/7/24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苏州市丰泰跨境电商产业</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园服务有限公司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2016/9/8-2017/9/7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天津顺丰速递有限公司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2016/4/27-2017/4/27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天津顺丰速递有限公司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2016/7/29-2017/7/29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天津顺丰速递有限公司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2015/4/27-2016/4/26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天津顺丰速递有限公司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2015/7/15-2016/5/31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温州顺丰速运有限公司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2015/5/26-2016/5/1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温州顺衡速运有限公司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2015/1/16-2016/1/15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无锡市顺丰速运有限公司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2016/1/18-2016/8/31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无锡市顺丰速运有限公司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2016/5/22-2017/5/22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无锡市顺丰速运有限公司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2015/5/21-2016/5/21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194.79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194.79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2016/2/29-2017/3/1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2016/1/25-2017/1/1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2015/1/10-2016/2/9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2015/1/10-2016/2/9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2015/2/15-2016/1/31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194.79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194.79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2015/2/28-2016/2/28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2015/11/5-2016/6/1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2016/7/27-2017/5/31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新疆顺丰速运有限公司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2016/11/22-2017/12/31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烟台顺丰速运有限公司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2016/1/22-2017/1/6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烟台顺丰速运有限公司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2015/2/10-2016/1/6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2016/9/22-2017/8/24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2015/2/10-2016/1/31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2015/6/11-2016/1/31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2016/3/24-2016/12/31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159.69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159.69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2015/2/3-2016/2/3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2016/7/20-2016/12/31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2016/9/2-2017/9/2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2016/10/11-2017/6/1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2016/4/28-2017/4/28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2015/10/1-2016/10/10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2015/11/16-2016/6/30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2015/11/24-2016/12/7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2016/7/5-2017/4/28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2016/10/11-2017/6/30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2016/12/1-2017/11/30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668.84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2016/12/8-2017/12/7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中山顺丰速运有限公司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141.98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141.98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2016/12/15-2017/12/13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重庆汇益丰物流有限公司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2016/6/21-2017/6/20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重庆汇益丰物流有限公司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2015/3/9-2016/1/31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重庆汇益丰物流有限公司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2015/6/17-2016/6/17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北京顺城物流有限公司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2013/6/25-2021/5/21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无锡市顺丰速运有限公司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11,400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2014/10/31-2024/10/29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2"/>
        <w:gridCol w:w="917"/>
        <w:gridCol w:w="1310"/>
        <w:gridCol w:w="1046"/>
        <w:gridCol w:w="1051"/>
        <w:gridCol w:w="1694"/>
        <w:gridCol w:w="427"/>
        <w:gridCol w:w="509"/>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顺丰速运有限公司、深圳市</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顺丰航空产业地产管理有</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24,024.16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2013/7/31-2025/7/30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江西顺丰速运有限公司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2015/9/15-2027/9/14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泉州顺路物流有限公司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2015/9/24-2027/9/23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上海丰预泰实业有限公司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35,705.76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2014/12/12-2026/12/11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深圳市丰泰电商产业园资</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2016/8/11-2028/8/11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顺丰恒通支付有限公司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2015/5/22-2016/11/22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2015/9/23-2018/9/22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2015/8/25-2017/2/28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深圳市顺丰供应链有限公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2015/11/9-2016/11/9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顺丰速运（中国）有限公司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12,761.97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2013/8/26-2025/9/26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固特发展有限公司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2012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171,078.62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2012/9/27-2027/9/27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26,835.3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2016/3/31-2018/3/30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2016/4/21-2017/4/20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2016/7/7-2017/7/6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2016/10/13-2017/9/29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2016/10/18-2017/11/6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89.45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2016/12/15-2017/11/27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2016/12/19-2017/12/18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2016/11/30-2017/11/30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2016/12/15-2019/2/14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2015/9/9-2018/11/8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14.11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2016/7/25-2018/8/28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2016/10/1-2018/10/31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2015/6/10-2017/7/24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10.05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2015/7/1-2017/8/15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bl>
    <w:p>
      <w:pPr>
        <w:widowControl w:val="0"/>
        <w:spacing w:line="1" w:lineRule="exact"/>
      </w:pPr>
      <w:r>
        <w:br w:type="page"/>
      </w:r>
    </w:p>
    <w:tbl>
      <w:tblPr>
        <w:tblOverlap w:val="never"/>
        <w:jc w:val="center"/>
        <w:tblLayout w:type="fixed"/>
      </w:tblPr>
      <w:tblGrid>
        <w:gridCol w:w="1853"/>
        <w:gridCol w:w="787"/>
        <w:gridCol w:w="912"/>
        <w:gridCol w:w="1310"/>
        <w:gridCol w:w="1046"/>
        <w:gridCol w:w="1051"/>
        <w:gridCol w:w="1694"/>
        <w:gridCol w:w="427"/>
        <w:gridCol w:w="509"/>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2016/10/17-2017/10/17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53,670.6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53,670.6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2015/3/31-2018/3/30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2016/1/15-2017/1/14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2016/2/14-2017/2/14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2016/1/4-2016/12/31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2015/3/9-2016/3/8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2015/9/30-2016/9/30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2015/11/6-2016/11/6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(China)Limited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2015/12/1-2016/11/30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2014/7/15-2016/8/28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9.22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2014/10/1-2016/10/31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2015/1/6-2016/2/14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 (Hong</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Kong)Limited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2015/7/30-2016/7/30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EXPRESS</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2015/10/2-2016/10/17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134,176.5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44,725.5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2016/9/30-2017/12/31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62,615.7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26,835.3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2016/11/14-2018/5/14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107,341.2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26,835.3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2016/9/2-2018/2/28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2016/7/18-2018/9/30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2016/7/25-2017/7/24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13,417.65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7,156.08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2016/7/18-2021/9/30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44,725.5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31,307.85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2015/7/24-2017/2/28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2016/7/27-2017/7/26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17,890.2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2015/2/5-2017/3/5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44,725.5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44,725.5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2015/11/17-2016/11/17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44,725.5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44,725.5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2014/8/4-2016/10/31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SF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20,573.73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2016/2/18-2017/3/31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报告期内审批对子公司担保额度合计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C1</w:t>
            </w:r>
            <w:r>
              <w:rPr>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497,695.13</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报告期内对子公司担保实际发</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生额合计</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C2</w:t>
            </w:r>
            <w:r>
              <w:rPr>
                <w:color w:val="000000"/>
                <w:spacing w:val="0"/>
                <w:w w:val="100"/>
                <w:position w:val="0"/>
                <w:sz w:val="15"/>
                <w:szCs w:val="15"/>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197,451.78</w:t>
            </w:r>
          </w:p>
        </w:tc>
      </w:tr>
      <w:tr>
        <w:trPr>
          <w:trHeight w:val="413"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报告期末已审批的对子公司担保额度合</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942,163.48</w:t>
            </w:r>
          </w:p>
        </w:tc>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报告期末对子公司实际担保余</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599,568.29</w:t>
            </w:r>
          </w:p>
        </w:tc>
      </w:tr>
    </w:tbl>
    <w:p>
      <w:pPr>
        <w:widowControl w:val="0"/>
        <w:spacing w:line="1" w:lineRule="exact"/>
      </w:pPr>
      <w:r>
        <w:br w:type="page"/>
      </w:r>
    </w:p>
    <w:tbl>
      <w:tblPr>
        <w:tblOverlap w:val="never"/>
        <w:jc w:val="center"/>
        <w:tblLayout w:type="fixed"/>
      </w:tblPr>
      <w:tblGrid>
        <w:gridCol w:w="2640"/>
        <w:gridCol w:w="2222"/>
        <w:gridCol w:w="2098"/>
        <w:gridCol w:w="2630"/>
      </w:tblGrid>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C3</w:t>
            </w: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额合计</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C4</w:t>
            </w:r>
            <w:r>
              <w:rPr>
                <w:color w:val="000000"/>
                <w:spacing w:val="0"/>
                <w:w w:val="100"/>
                <w:position w:val="0"/>
                <w:sz w:val="15"/>
                <w:szCs w:val="15"/>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公司担保总额（即前三大项的合计）</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报告期内审批担保额度合计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A1+B1+C1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497,695.13</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报告期内担保实际发生额合计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A2+B2+C2</w:t>
            </w: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197,451.78</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报告期末已审批的担保额度合计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A3+B3+C3</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942,163.48</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报告期末实际担保余额合计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A4+B4+C4</w:t>
            </w: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599,568.29</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实际担保总额（即</w:t>
            </w:r>
            <w:r>
              <w:rPr>
                <w:rFonts w:ascii="Times New Roman" w:eastAsia="Times New Roman" w:hAnsi="Times New Roman" w:cs="Times New Roman"/>
                <w:color w:val="000000"/>
                <w:spacing w:val="0"/>
                <w:w w:val="100"/>
                <w:position w:val="0"/>
                <w:sz w:val="15"/>
                <w:szCs w:val="15"/>
              </w:rPr>
              <w:t>A4+B4+C4</w:t>
            </w:r>
            <w:r>
              <w:rPr>
                <w:color w:val="000000"/>
                <w:spacing w:val="0"/>
                <w:w w:val="100"/>
                <w:position w:val="0"/>
                <w:sz w:val="15"/>
                <w:szCs w:val="15"/>
              </w:rPr>
              <w:t>）</w:t>
            </w:r>
            <w:r>
              <w:rPr>
                <w:color w:val="000000"/>
                <w:spacing w:val="0"/>
                <w:w w:val="100"/>
                <w:position w:val="0"/>
                <w:sz w:val="15"/>
                <w:szCs w:val="15"/>
              </w:rPr>
              <w:t>占公司净资产的比例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29.23%</w:t>
            </w:r>
          </w:p>
        </w:tc>
      </w:tr>
      <w:tr>
        <w:trPr>
          <w:trHeight w:val="403" w:hRule="exact"/>
        </w:trPr>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为股东、实际控制人及其关联方提供担保的余额</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D</w:t>
            </w:r>
            <w:r>
              <w:rPr>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398"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直接或间接为资产负债率超过</w:t>
            </w:r>
            <w:r>
              <w:rPr>
                <w:rFonts w:ascii="Times New Roman" w:eastAsia="Times New Roman" w:hAnsi="Times New Roman" w:cs="Times New Roman"/>
                <w:color w:val="000000"/>
                <w:spacing w:val="0"/>
                <w:w w:val="100"/>
                <w:position w:val="0"/>
                <w:sz w:val="15"/>
                <w:szCs w:val="15"/>
              </w:rPr>
              <w:t>70%</w:t>
            </w:r>
            <w:r>
              <w:rPr>
                <w:color w:val="000000"/>
                <w:spacing w:val="0"/>
                <w:w w:val="100"/>
                <w:position w:val="0"/>
                <w:sz w:val="15"/>
                <w:szCs w:val="15"/>
              </w:rPr>
              <w:t>的被担保对象提供的债务担保余额</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E</w:t>
            </w:r>
            <w:r>
              <w:rPr>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16,275.45</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担保总额超过净资产</w:t>
            </w: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5"/>
                <w:szCs w:val="15"/>
              </w:rPr>
              <w:t>部分的金额</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F</w:t>
            </w:r>
            <w:r>
              <w:rPr>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上述三项担保金额合计（</w:t>
            </w:r>
            <w:r>
              <w:rPr>
                <w:rFonts w:ascii="Times New Roman" w:eastAsia="Times New Roman" w:hAnsi="Times New Roman" w:cs="Times New Roman"/>
                <w:color w:val="000000"/>
                <w:spacing w:val="0"/>
                <w:w w:val="100"/>
                <w:position w:val="0"/>
                <w:sz w:val="15"/>
                <w:szCs w:val="15"/>
              </w:rPr>
              <w:t>D+E+F</w:t>
            </w:r>
            <w:r>
              <w:rPr>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16,275.45</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对未到期担保，报告期内已发生担保责任或可能承担连带清偿责任的情况 说明（如有）</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r>
      <w:tr>
        <w:trPr>
          <w:trHeight w:val="408"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r>
    </w:tbl>
    <w:p>
      <w:pPr>
        <w:widowControl w:val="0"/>
        <w:spacing w:after="239" w:line="1" w:lineRule="exact"/>
      </w:pPr>
    </w:p>
    <w:p>
      <w:pPr>
        <w:pStyle w:val="Style1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上表中为报告期内泰森控股及其子公司对外担保情况统计。截至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月泰森控股置入上市公司前，泰森控股及其 子公司依据自身《公司章程》等相关规定履行对外担保的程序。</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月泰森控股置入上市公司之后，作为上市公司的 子公司，泰森控股及其子公司严格按照《深圳证券交所股票上市规则》等相关法律法规履行对外担保事项的审议及披露程序。</w:t>
      </w:r>
    </w:p>
    <w:p>
      <w:pPr>
        <w:pStyle w:val="Style11"/>
        <w:keepNext w:val="0"/>
        <w:keepLines w:val="0"/>
        <w:widowControl w:val="0"/>
        <w:shd w:val="clear" w:color="auto" w:fill="auto"/>
        <w:bidi w:val="0"/>
        <w:spacing w:before="0" w:after="820" w:line="470" w:lineRule="exact"/>
        <w:ind w:left="0" w:right="0" w:firstLine="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日，公司及其控股子公司对外担保余额为</w:t>
      </w:r>
      <w:r>
        <w:rPr>
          <w:color w:val="000000"/>
          <w:spacing w:val="0"/>
          <w:w w:val="100"/>
          <w:position w:val="0"/>
          <w:sz w:val="18"/>
          <w:szCs w:val="18"/>
        </w:rPr>
        <w:t>599,568.29</w:t>
      </w:r>
      <w:r>
        <w:rPr>
          <w:color w:val="000000"/>
          <w:spacing w:val="0"/>
          <w:w w:val="100"/>
          <w:position w:val="0"/>
        </w:rPr>
        <w:t>万元，对外担保余额占</w:t>
      </w:r>
      <w:r>
        <w:rPr>
          <w:color w:val="000000"/>
          <w:spacing w:val="0"/>
          <w:w w:val="100"/>
          <w:position w:val="0"/>
          <w:sz w:val="18"/>
          <w:szCs w:val="18"/>
        </w:rPr>
        <w:t>2016</w:t>
      </w:r>
      <w:r>
        <w:rPr>
          <w:color w:val="000000"/>
          <w:spacing w:val="0"/>
          <w:w w:val="100"/>
          <w:position w:val="0"/>
        </w:rPr>
        <w:t>年上市公司经审计的 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日归属于母公司净资产的比重为</w:t>
      </w:r>
      <w:r>
        <w:rPr>
          <w:color w:val="000000"/>
          <w:spacing w:val="0"/>
          <w:w w:val="100"/>
          <w:position w:val="0"/>
          <w:sz w:val="18"/>
          <w:szCs w:val="18"/>
        </w:rPr>
        <w:t xml:space="preserve">29. </w:t>
      </w:r>
      <w:r>
        <w:rPr>
          <w:color w:val="000000"/>
          <w:spacing w:val="0"/>
          <w:w w:val="100"/>
          <w:position w:val="0"/>
          <w:sz w:val="18"/>
          <w:szCs w:val="18"/>
        </w:rPr>
        <w:t>23%</w:t>
      </w:r>
      <w:r>
        <w:rPr>
          <w:color w:val="000000"/>
          <w:spacing w:val="0"/>
          <w:w w:val="100"/>
          <w:position w:val="0"/>
        </w:rPr>
        <w:t>。</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val="0"/>
        <w:keepLines w:val="0"/>
        <w:widowControl w:val="0"/>
        <w:shd w:val="clear" w:color="auto" w:fill="auto"/>
        <w:bidi w:val="0"/>
        <w:spacing w:before="0" w:after="380" w:line="240" w:lineRule="auto"/>
        <w:ind w:left="0" w:right="0" w:firstLine="0"/>
        <w:jc w:val="left"/>
      </w:pPr>
      <w:bookmarkStart w:id="321" w:name="bookmark321"/>
      <w:r>
        <w:rPr>
          <w:rFonts w:ascii="Times New Roman" w:eastAsia="Times New Roman" w:hAnsi="Times New Roman" w:cs="Times New Roman"/>
          <w:color w:val="000000"/>
          <w:spacing w:val="0"/>
          <w:w w:val="100"/>
          <w:position w:val="0"/>
        </w:rPr>
        <w:t>3</w:t>
      </w:r>
      <w:bookmarkEnd w:id="321"/>
      <w:r>
        <w:rPr>
          <w:color w:val="000000"/>
          <w:spacing w:val="0"/>
          <w:w w:val="100"/>
          <w:position w:val="0"/>
        </w:rPr>
        <w:t>、委托他人进行现金资产管理情况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4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受托人名</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是否关联交</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易</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产品类型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rPr>
              <w:t>委托理财金</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起始日期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终止日期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rPr>
              <w:t>报酬确定</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方式</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right"/>
              <w:rPr>
                <w:sz w:val="15"/>
                <w:szCs w:val="15"/>
              </w:rPr>
            </w:pPr>
            <w:r>
              <w:rPr>
                <w:color w:val="000000"/>
                <w:spacing w:val="0"/>
                <w:w w:val="100"/>
                <w:position w:val="0"/>
                <w:sz w:val="15"/>
                <w:szCs w:val="15"/>
              </w:rPr>
              <w:t>本期实际</w:t>
            </w:r>
          </w:p>
          <w:p>
            <w:pPr>
              <w:pStyle w:val="Style23"/>
              <w:keepNext w:val="0"/>
              <w:keepLines w:val="0"/>
              <w:widowControl w:val="0"/>
              <w:shd w:val="clear" w:color="auto" w:fill="auto"/>
              <w:bidi w:val="0"/>
              <w:spacing w:before="0" w:line="240" w:lineRule="auto"/>
              <w:ind w:left="0" w:right="0" w:firstLine="0"/>
              <w:jc w:val="right"/>
              <w:rPr>
                <w:sz w:val="15"/>
                <w:szCs w:val="15"/>
              </w:rPr>
            </w:pPr>
            <w:r>
              <w:rPr>
                <w:color w:val="000000"/>
                <w:spacing w:val="0"/>
                <w:w w:val="100"/>
                <w:position w:val="0"/>
                <w:sz w:val="15"/>
                <w:szCs w:val="15"/>
              </w:rPr>
              <w:t>收回本金</w:t>
            </w:r>
          </w:p>
          <w:p>
            <w:pPr>
              <w:pStyle w:val="Style23"/>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计提减值</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准备金额</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（如有）</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预计收益</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报告期实</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际损益金</w:t>
            </w:r>
          </w:p>
          <w:p>
            <w:pPr>
              <w:pStyle w:val="Style23"/>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right"/>
              <w:rPr>
                <w:sz w:val="15"/>
                <w:szCs w:val="15"/>
              </w:rPr>
            </w:pPr>
            <w:r>
              <w:rPr>
                <w:color w:val="000000"/>
                <w:spacing w:val="0"/>
                <w:w w:val="100"/>
                <w:position w:val="0"/>
                <w:sz w:val="15"/>
                <w:szCs w:val="15"/>
              </w:rPr>
              <w:t>报告期</w:t>
            </w:r>
          </w:p>
          <w:p>
            <w:pPr>
              <w:pStyle w:val="Style23"/>
              <w:keepNext w:val="0"/>
              <w:keepLines w:val="0"/>
              <w:widowControl w:val="0"/>
              <w:shd w:val="clear" w:color="auto" w:fill="auto"/>
              <w:bidi w:val="0"/>
              <w:spacing w:before="0" w:line="240" w:lineRule="auto"/>
              <w:ind w:left="0" w:right="0" w:firstLine="0"/>
              <w:jc w:val="right"/>
              <w:rPr>
                <w:sz w:val="15"/>
                <w:szCs w:val="15"/>
              </w:rPr>
            </w:pPr>
            <w:r>
              <w:rPr>
                <w:color w:val="000000"/>
                <w:spacing w:val="0"/>
                <w:w w:val="100"/>
                <w:position w:val="0"/>
                <w:sz w:val="15"/>
                <w:szCs w:val="15"/>
              </w:rPr>
              <w:t>损益实</w:t>
            </w:r>
          </w:p>
          <w:p>
            <w:pPr>
              <w:pStyle w:val="Style23"/>
              <w:keepNext w:val="0"/>
              <w:keepLines w:val="0"/>
              <w:widowControl w:val="0"/>
              <w:shd w:val="clear" w:color="auto" w:fill="auto"/>
              <w:bidi w:val="0"/>
              <w:spacing w:before="0" w:line="240" w:lineRule="auto"/>
              <w:ind w:left="0" w:right="0" w:firstLine="0"/>
              <w:jc w:val="right"/>
              <w:rPr>
                <w:sz w:val="15"/>
                <w:szCs w:val="15"/>
              </w:rPr>
            </w:pPr>
            <w:r>
              <w:rPr>
                <w:color w:val="000000"/>
                <w:spacing w:val="0"/>
                <w:w w:val="100"/>
                <w:position w:val="0"/>
                <w:sz w:val="15"/>
                <w:szCs w:val="15"/>
              </w:rPr>
              <w:t>际收回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情况</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银行深圳 国贸支行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68.93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68.93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93.51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93.51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39.78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39.78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153.7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32.55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32.55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57,000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242.21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242.21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206.16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206.16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230.14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230.14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123.7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123.7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64.62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64.62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87.08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87.08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8"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174.76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115.89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205.15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153.86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11.34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55.42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76.38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76.38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19.28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148.81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309.29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388.88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388.88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354.8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249.66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249.66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138.08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银行深圳</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243.3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243.3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109.32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268.49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268.49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155.34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46.49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92.47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92.47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30.82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30.82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177.88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177.88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74.79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74.79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15.22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49.78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49.78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20.55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20.55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53.34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53.34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181.95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181.95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9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71.92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71.92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34.06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34.06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150.97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150.97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71.92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71.92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8.08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52.44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52.44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316.4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316.4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61.64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46.11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46.11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9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243.49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66.45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131.01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131.01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181.65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181.65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186.3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31.86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56.71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56.71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160.68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160.68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165.41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165.41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189.04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73.78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73.78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151.23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151.23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银行深圳 喜年支行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86.3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17.25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66.16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49.62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33,000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118.53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118.53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37,900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48.32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65.5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113.42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38,000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121.81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43.73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43.73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82.19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深圳科技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231.86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231.86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72.33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174.39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174.39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112.19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63.28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63.28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83.84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158.2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123.98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44,000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133.81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29.17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64.27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71.84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199.4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199.4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37.56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37.56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192.82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192.82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70.52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70.52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15.83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96.41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96.41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68.05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68.05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186.3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186.3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30.89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77.51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77.51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77.51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77.51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212.67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212.67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21.15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21.15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深圳科技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201.35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201.35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15.52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70.96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70.96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80.54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80.54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116.68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34.86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34.86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150.52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150.52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39.47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39.47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51.26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51.26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116.66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172.6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172.6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36.84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36.84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45.81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45.81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8"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78.93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深圳科技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108.49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108.49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34,000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143.55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41.13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110.14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13.35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76.66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国家开发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125.28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银行深圳</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73.42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73.42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76.85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76.85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30.29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13.76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13.76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80.55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80.55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65.21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65.21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45.88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45.88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37.26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37.26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63,000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187.8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187.8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108.35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20.49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20.49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83.84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83.84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54,000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161.11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9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市分行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105.78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183.69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126.68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126.68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27.95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27.95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银行深圳 国贸支行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46.58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46.58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27.95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27.95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31.67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53.45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5.36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67.07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恒生银行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46.58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46.58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103.41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103.41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36.71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36.71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深圳科技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113.92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113.92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深圳车公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70.8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庙支行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73.42</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28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国贸支行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122.96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218.44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218.44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187.23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187.23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43.77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43.77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158.35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星展银行</w:t>
            </w:r>
          </w:p>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（中国）有 限公司深 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115.64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240.49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240.49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156.03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156.03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64.25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113.81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205.86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91.78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银行深圳 国贸支行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53.05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29.37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74.59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中国工商</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银行深圳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127.3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喜年支行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银行深圳 国贸支行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国家开发 银行深圳 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招商银行 深圳车公 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截至报 告期末， 理财未 到期。</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恒生银行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截至报 告期末， 理财未 到期。</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中国农业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低风险理财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到期偿还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截至报</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9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银行深圳 国贸支行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n</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中国工商 银行深圳 喜年支行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中国农业 银行深圳 国贸支行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苏州银行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苏州银行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到期偿还</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截至报 告期末， 理财未 到期。</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厦门东区</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5,860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厦门东区</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赎回时还</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截止报 告期末， 部分未 赎回。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厦门东区</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赎回时还</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截止报 告期末， 未赎回。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厦门东区</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截止报 告期末， 未赎回。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厦门东区</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截止报 告期末， 未赎回。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厦门东区</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截止报 告期末， 未赎回。</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上海古美</w:t>
            </w:r>
          </w:p>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59"/>
        <w:gridCol w:w="749"/>
        <w:gridCol w:w="605"/>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上海古美</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截止报 告期末， 部分未 赎回。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上海古美</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截止报 告期末， 部分未 赎回。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上海古美</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截止报 告期末， 未赎回。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建设银行</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上海古美</w:t>
            </w:r>
          </w:p>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低风险理财</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立</w:t>
            </w:r>
            <w:r>
              <w:rPr>
                <w:rFonts w:ascii="Times New Roman" w:eastAsia="Times New Roman" w:hAnsi="Times New Roman" w:cs="Times New Roman"/>
                <w:color w:val="000000"/>
                <w:spacing w:val="0"/>
                <w:w w:val="100"/>
                <w:position w:val="0"/>
                <w:sz w:val="15"/>
                <w:szCs w:val="15"/>
              </w:rPr>
              <w:t>a</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赎回时偿</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还本息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截止报 告期末， 未赎回。</w:t>
            </w:r>
          </w:p>
        </w:tc>
      </w:tr>
      <w:tr>
        <w:trPr>
          <w:trHeight w:val="398"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9,858,100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9,231,575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15"/>
                <w:szCs w:val="15"/>
              </w:rPr>
            </w:pPr>
            <w:r>
              <w:rPr>
                <w:rFonts w:ascii="Times New Roman" w:eastAsia="Times New Roman" w:hAnsi="Times New Roman" w:cs="Times New Roman"/>
                <w:color w:val="000000"/>
                <w:spacing w:val="0"/>
                <w:w w:val="100"/>
                <w:position w:val="0"/>
                <w:sz w:val="15"/>
                <w:szCs w:val="15"/>
              </w:rPr>
              <w:t>29,893.22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27,625.34</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委托理财资金来源</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403"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逾期未收回的本金和收益累计金额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涉诉情况（如适用）</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不适用</w:t>
            </w:r>
          </w:p>
        </w:tc>
      </w:tr>
      <w:tr>
        <w:trPr>
          <w:trHeight w:val="710"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委托理财审批董事会公告披露日期</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（如有</w:t>
            </w:r>
            <w:r>
              <w:rPr>
                <w:color w:val="000000"/>
                <w:spacing w:val="0"/>
                <w:w w:val="100"/>
                <w:position w:val="0"/>
                <w:sz w:val="15"/>
                <w:szCs w:val="15"/>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不适用</w:t>
            </w:r>
          </w:p>
        </w:tc>
      </w:tr>
      <w:tr>
        <w:trPr>
          <w:trHeight w:val="715"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委托理财审批股东会公告披露日期</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（如有</w:t>
            </w:r>
            <w:r>
              <w:rPr>
                <w:color w:val="000000"/>
                <w:spacing w:val="0"/>
                <w:w w:val="100"/>
                <w:position w:val="0"/>
                <w:sz w:val="15"/>
                <w:szCs w:val="15"/>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不适用</w:t>
            </w:r>
          </w:p>
        </w:tc>
      </w:tr>
      <w:tr>
        <w:trPr>
          <w:trHeight w:val="1349" w:hRule="exact"/>
        </w:trPr>
        <w:tc>
          <w:tcPr>
            <w:gridSpan w:val="3"/>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5"/>
                <w:szCs w:val="15"/>
              </w:rPr>
            </w:pPr>
            <w:r>
              <w:rPr>
                <w:color w:val="000000"/>
                <w:spacing w:val="0"/>
                <w:w w:val="100"/>
                <w:position w:val="0"/>
                <w:sz w:val="15"/>
                <w:szCs w:val="15"/>
              </w:rPr>
              <w:t>公司分别于</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日召开公司第四届董事会第一次会议，</w:t>
            </w: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日召开</w:t>
            </w: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5"/>
                <w:szCs w:val="15"/>
              </w:rPr>
              <w:t>年第一次临 时股东大会审议通过了《关于使用自有资金开展委托理财业务的议案》，同意公司（含控股子公司）使用不 超过人民币</w:t>
            </w:r>
            <w:r>
              <w:rPr>
                <w:rFonts w:ascii="Times New Roman" w:eastAsia="Times New Roman" w:hAnsi="Times New Roman" w:cs="Times New Roman"/>
                <w:color w:val="000000"/>
                <w:spacing w:val="0"/>
                <w:w w:val="100"/>
                <w:position w:val="0"/>
                <w:sz w:val="15"/>
                <w:szCs w:val="15"/>
              </w:rPr>
              <w:t>150</w:t>
            </w:r>
            <w:r>
              <w:rPr>
                <w:color w:val="000000"/>
                <w:spacing w:val="0"/>
                <w:w w:val="100"/>
                <w:position w:val="0"/>
                <w:sz w:val="15"/>
                <w:szCs w:val="15"/>
              </w:rPr>
              <w:t>亿元的自有资金开展委托理财业务，在此额度范围内资金可以循环使用，有效期自公司</w:t>
            </w: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年第一次临时股东大会审议通过之日起，至</w:t>
            </w: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5"/>
                <w:szCs w:val="15"/>
              </w:rPr>
              <w:t>年年度股东大会止。</w:t>
            </w:r>
          </w:p>
        </w:tc>
      </w:tr>
    </w:tbl>
    <w:p>
      <w:pPr>
        <w:widowControl w:val="0"/>
        <w:spacing w:after="239" w:line="1" w:lineRule="exact"/>
      </w:pPr>
    </w:p>
    <w:p>
      <w:pPr>
        <w:pStyle w:val="Style11"/>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上表中为报告期内泰森控股及其子公司委托理财情况统计。截至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月泰森控股置入上市公司前，泰森控股及其 子公司依据自身《公司章程》等相关规定履行委托理财的程序。</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月泰森控股置入上市公司之后，作为公司的子公 司，泰森控股及其子公司严格按照《深交所股票上市规则》等相关法律法规履行委托理财事项的审议及披露程序。</w:t>
      </w:r>
    </w:p>
    <w:p>
      <w:pPr>
        <w:pStyle w:val="Style11"/>
        <w:keepNext w:val="0"/>
        <w:keepLines w:val="0"/>
        <w:widowControl w:val="0"/>
        <w:shd w:val="clear" w:color="auto" w:fill="auto"/>
        <w:bidi w:val="0"/>
        <w:spacing w:before="0" w:after="460" w:line="461" w:lineRule="exact"/>
        <w:ind w:left="0" w:right="0" w:firstLine="360"/>
        <w:jc w:val="both"/>
      </w:pPr>
      <w:r>
        <w:rPr>
          <w:color w:val="000000"/>
          <w:spacing w:val="0"/>
          <w:w w:val="100"/>
          <w:position w:val="0"/>
        </w:rPr>
        <w:t>受行业特征和业务规模影响，泰森控股经营活动产生的现金流量较为充裕，为满足日常经营中流动性需求同时兼顾资金 管理效率，会有计划地通过滚动购买风险低、期限短（平均期限为一个月以内）且收益稳定的银行理财产品进行日常资金管 理。</w:t>
      </w: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）委托贷款情况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240" w:line="240" w:lineRule="auto"/>
        <w:ind w:left="0" w:right="160" w:firstLine="0"/>
        <w:jc w:val="right"/>
      </w:pPr>
      <w:r>
        <w:rPr>
          <w:color w:val="000000"/>
          <w:spacing w:val="0"/>
          <w:w w:val="100"/>
          <w:position w:val="0"/>
        </w:rPr>
        <w:t>单位：万元</w:t>
      </w: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贷款对象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计提减值 准备金额</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报告期实 际损益金</w:t>
            </w:r>
          </w:p>
          <w:p>
            <w:pPr>
              <w:pStyle w:val="Style23"/>
              <w:keepNext w:val="0"/>
              <w:keepLines w:val="0"/>
              <w:widowControl w:val="0"/>
              <w:shd w:val="clear" w:color="auto" w:fill="auto"/>
              <w:bidi w:val="0"/>
              <w:spacing w:before="0" w:after="0" w:line="298" w:lineRule="exact"/>
              <w:ind w:left="0" w:right="0" w:firstLine="340"/>
              <w:jc w:val="left"/>
            </w:pPr>
            <w:r>
              <w:rPr>
                <w:color w:val="000000"/>
                <w:spacing w:val="0"/>
                <w:w w:val="100"/>
                <w:position w:val="0"/>
              </w:rPr>
              <w:t>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报告期损 益实际收 回情况</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珠海梧桐 树电子商 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中山市盈 峰纺织有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郑州絮语 服饰有限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郑州市子 润电子科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郑州凯西</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体育用品</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浙江问问 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浙江飘飘 龙网络科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浙江隆仕 升服饰有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义乌市朗 蒙服饰有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宜兴仁曜 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武汉腾阅 商贸有限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武汉思微</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天成商贸</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武汉攀升 兄弟科技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武汉联盛 恒信商贸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武汉嘉德 恒信科技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武汉白领 尚品科技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无锡新骏 商务咨询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无锡纳吉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温州市焕 增工贸有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威达高科 技控股有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天津龙辉</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丽泰商贸</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泰安市岱 岳区创和 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苏州耀骐 电子材料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苏州小猪 猪贸易有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苏州市金 田鞋业有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苏州世界 堡服饰有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苏州耐佳 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沈阳宝尔 电子商务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深圳鑫盛 世贸易有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深圳通感 微电子有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 移普泰网 络设备有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深圳市智</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维翔科技</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深圳市长 宏时代贸 易发展有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深圳市泽 凯思科技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深圳市煜 恒祥通信 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深圳市亿 品汇科技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6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深圳市信 航道国际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货运代理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深圳市万 福昌科技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深圳市托 普旺物流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深圳市同 步飞扬电 子有限公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深圳市天 士凯电子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深圳市天</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盛微电子</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深圳市茄 子科技有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深圳市凌 动智能科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深圳市灵 魂世纪贸 易有限公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深圳市乐 乐牛科技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 乐为科技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 乐成科技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深圳市嘉</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布尔科技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深圳市华 泓电路有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深圳市方</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德亚科技</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深圳市鼎 盛时茂电 子科技有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深圳市创 新威服饰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深圳纯净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世界科技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深圳爱谷 歌科技有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上海昕煊 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上海托普 旺物流有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上海统领 印刷发展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上海施敏 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上海润氏 电子科技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上海牵趣 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上海能良 通讯技术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5,710.00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上海金家 藩通讯科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上海和和 义齿有限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上海丰麟 物流有限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厦门易登 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厦门领投 电子商务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厦门乐麦 网络技术 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三明市道 诚商贸有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润氏电子 科技（信 阳）有限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泉州市德 化闽毓陶 瓷有限公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泉州经济 技术开发 区锐诚商 贸有限公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青岛祖玛 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青岛趣妙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多商贸有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青岛骐骥</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光电科技</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青岛欧美 德服装有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青岛美亿 淘电子商 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青岛美德 威文化传 播有限公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青岛德盛 合商贸有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莆田市亿 来达贸易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莆田市乐 尚贸易有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莆田市华 氏度贸易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莆田市恒 运商务发 展有限公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诺迅（福 建）电子 商务有限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宁波亿普 瑞物流自 动化分拣 设备有限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南通伊明 工贸有限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南京萱诺 琪电子有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南京希维 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南京绿灯 侠电子商 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南京哈啰 信息科技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南京独角 戏服饰有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晋江市马 可维奇商 贸有限公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晋江市动 炫电子商 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江西华祺 实业有限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济南祖医 堂企业管 理咨询有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济南合达 电子技术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济南辰霖</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通讯器材</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淮安市达 丽服饰有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河南得者 淘商贸有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河北润石 珠宝饰品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杭州长禧 物流有限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杭州莫问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杭州开端 服饰有限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杭州给力 通信设备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广州兴果 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广州市普 泰德医疗 器械有限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广州市玖 佳电子科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广州讷言 电子产品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广州承运</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福州万森 贸易有限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福州市台 江区悠购</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商贸有限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6.26</w:t>
            </w:r>
          </w:p>
        </w:tc>
        <w:tc>
          <w:tcPr>
            <w:vMerge/>
            <w:tcBorders>
              <w:left w:val="single" w:sz="4"/>
              <w:right w:val="single" w:sz="4"/>
            </w:tcBorders>
            <w:shd w:val="clear" w:color="auto" w:fill="FFFFFF"/>
            <w:vAlign w:val="bottom"/>
          </w:tcPr>
          <w:p>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福州市鼓 楼区北伟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贸易有限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6.85</w:t>
            </w:r>
          </w:p>
        </w:tc>
        <w:tc>
          <w:tcPr>
            <w:vMerge/>
            <w:tcBorders>
              <w:left w:val="single" w:sz="4"/>
              <w:right w:val="single" w:sz="4"/>
            </w:tcBorders>
            <w:shd w:val="clear" w:color="auto" w:fill="FFFFFF"/>
            <w:vAlign w:val="bottom"/>
          </w:tcPr>
          <w:p>
            <w:pPr/>
          </w:p>
        </w:tc>
      </w:tr>
      <w:tr>
        <w:trPr>
          <w:trHeight w:val="36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福州路雅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鞋业有限 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7.09</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福州合利 生贸易有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福建悠悠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电子商务 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福建省泉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州市益辉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服饰有限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12.10</w:t>
            </w:r>
          </w:p>
        </w:tc>
        <w:tc>
          <w:tcPr>
            <w:vMerge/>
            <w:tcBorders>
              <w:left w:val="single" w:sz="4"/>
              <w:right w:val="single" w:sz="4"/>
            </w:tcBorders>
            <w:shd w:val="clear" w:color="auto" w:fill="FFFFFF"/>
            <w:vAlign w:val="bottom"/>
          </w:tcPr>
          <w:p>
            <w:pPr/>
          </w:p>
        </w:tc>
      </w:tr>
      <w:tr>
        <w:trPr>
          <w:trHeight w:val="36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福建省南 安市万灵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石艺有限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12.11</w:t>
            </w:r>
          </w:p>
        </w:tc>
        <w:tc>
          <w:tcPr>
            <w:vMerge/>
            <w:tcBorders>
              <w:left w:val="single" w:sz="4"/>
              <w:right w:val="single" w:sz="4"/>
            </w:tcBorders>
            <w:shd w:val="clear" w:color="auto" w:fill="FFFFFF"/>
            <w:vAlign w:val="bottom"/>
          </w:tcPr>
          <w:p>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福建省海</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创信息科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w:t>
            </w:r>
          </w:p>
        </w:tc>
        <w:tc>
          <w:tcPr>
            <w:vMerge/>
            <w:tcBorders>
              <w:left w:val="single" w:sz="4"/>
              <w:right w:val="single" w:sz="4"/>
            </w:tcBorders>
            <w:shd w:val="clear" w:color="auto" w:fill="FFFFFF"/>
            <w:vAlign w:val="bottom"/>
          </w:tcPr>
          <w:p>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福建省大 宝山茶业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5.66</w:t>
            </w:r>
          </w:p>
        </w:tc>
        <w:tc>
          <w:tcPr>
            <w:vMerge/>
            <w:tcBorders>
              <w:left w:val="single" w:sz="4"/>
              <w:right w:val="single" w:sz="4"/>
            </w:tcBorders>
            <w:shd w:val="clear" w:color="auto" w:fill="FFFFFF"/>
            <w:vAlign w:val="bottom"/>
          </w:tcPr>
          <w:p>
            <w:pP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福建华成 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福安市艾</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尔康机械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设备有限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w:t>
            </w:r>
          </w:p>
        </w:tc>
        <w:tc>
          <w:tcPr>
            <w:vMerge/>
            <w:tcBorders>
              <w:left w:val="single" w:sz="4"/>
              <w:right w:val="single" w:sz="4"/>
            </w:tcBorders>
            <w:shd w:val="clear" w:color="auto" w:fill="FFFFFF"/>
            <w:vAlign w:val="bottom"/>
          </w:tcPr>
          <w:p>
            <w:pPr/>
          </w:p>
        </w:tc>
      </w:tr>
      <w:tr>
        <w:trPr>
          <w:trHeight w:val="370"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佛山市顺 德区卓浪 服装有限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佛山市顺 德区九鼎 世纪网络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佛山市南 海晨盛鞋 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二连市青 格勒地毯 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东莞市中 振纺织品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东莞市妙 美易林服 饰贸易有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 呈服饰有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东莞市林 瑞手袋制 品有限公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东莞市交 泰实业有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东莞市佳 旺毛织服 饰有限公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东莞市汇 简服饰有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东莞市丰 佳通讯实 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东莞瑞森 手袋制品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顶沛（上 海）供应 链管理有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大连恺丰 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成都市境 界科技有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成都米米 乐电子商 务股份有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成都萃峰</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投资发展</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成都艾尔 微鞋业有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常州市二 帆篷布有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北京云雀 商贸有限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北京银思 朗能源技 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北京托普 旺物流有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widowControl w:val="0"/>
        <w:spacing w:line="1" w:lineRule="exact"/>
      </w:pPr>
      <w:r>
        <w:br w:type="page"/>
      </w:r>
    </w:p>
    <w:tbl>
      <w:tblPr>
        <w:tblOverlap w:val="never"/>
        <w:jc w:val="center"/>
        <w:tblLayout w:type="fixed"/>
      </w:tblPr>
      <w:tblGrid>
        <w:gridCol w:w="874"/>
        <w:gridCol w:w="864"/>
        <w:gridCol w:w="984"/>
        <w:gridCol w:w="850"/>
        <w:gridCol w:w="869"/>
        <w:gridCol w:w="869"/>
        <w:gridCol w:w="869"/>
        <w:gridCol w:w="869"/>
        <w:gridCol w:w="864"/>
        <w:gridCol w:w="869"/>
        <w:gridCol w:w="802"/>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北京萨拉 维商贸有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北京九洲 科瑞科技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北京京唯 天下商贸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北京华程 金源国际 物流有限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北京弘祥 信盛商贸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北京国良 嘉业科技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北京冠捷 国际物流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北京爱尚 本本科技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爱辰（上 海）贸易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122,078.2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2,437.44</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委托贷款资金来源</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822</w:t>
            </w:r>
            <w:r>
              <w:rPr>
                <w:color w:val="000000"/>
                <w:spacing w:val="0"/>
                <w:w w:val="100"/>
                <w:position w:val="0"/>
              </w:rPr>
              <w:t>万元</w:t>
            </w:r>
          </w:p>
        </w:tc>
      </w:tr>
      <w:tr>
        <w:trPr>
          <w:trHeight w:val="1022"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日，上述委托贷款交易中涉诉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起，涉及金额</w:t>
            </w:r>
            <w:r>
              <w:rPr>
                <w:rFonts w:ascii="Times New Roman" w:eastAsia="Times New Roman" w:hAnsi="Times New Roman" w:cs="Times New Roman"/>
                <w:color w:val="000000"/>
                <w:spacing w:val="0"/>
                <w:w w:val="100"/>
                <w:position w:val="0"/>
                <w:sz w:val="18"/>
                <w:szCs w:val="18"/>
              </w:rPr>
              <w:t>271</w:t>
            </w:r>
            <w:r>
              <w:rPr>
                <w:color w:val="000000"/>
                <w:spacing w:val="0"/>
                <w:w w:val="100"/>
                <w:position w:val="0"/>
              </w:rPr>
              <w:t>万， 公司已根据合同条款启动司法程序。该事项不会对公司正常的经营业务产生 影响。</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gridSpan w:val="7"/>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上表中为报告期内泰森控股及其子公司委托贷款情况统计。截至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月泰森控股置入上市公司前，泰森控股及其子公司依据自身《公司章程》等 相关规定履行委托贷款的程序。上述委托贷款交易均为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月泰森控 股置入上市公司前发生的交易。</w:t>
            </w:r>
          </w:p>
        </w:tc>
      </w:tr>
      <w:tr>
        <w:trPr>
          <w:trHeight w:val="1301"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gridSpan w:val="7"/>
            <w:vMerge/>
            <w:tcBorders>
              <w:left w:val="single" w:sz="4"/>
              <w:bottom w:val="single" w:sz="4"/>
              <w:right w:val="single" w:sz="4"/>
            </w:tcBorders>
            <w:shd w:val="clear" w:color="auto" w:fill="FFFFFF"/>
            <w:vAlign w:val="center"/>
          </w:tcPr>
          <w:p>
            <w:pPr/>
          </w:p>
        </w:tc>
      </w:tr>
    </w:tbl>
    <w:p>
      <w:pPr>
        <w:widowControl w:val="0"/>
        <w:spacing w:line="1" w:lineRule="exact"/>
      </w:pPr>
    </w:p>
    <w:tbl>
      <w:tblPr>
        <w:tblOverlap w:val="never"/>
        <w:jc w:val="center"/>
        <w:tblLayout w:type="fixed"/>
      </w:tblPr>
      <w:tblGrid>
        <w:gridCol w:w="3571"/>
        <w:gridCol w:w="6010"/>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未来是否还有委托贷款计划</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3"/>
        <w:keepNext w:val="0"/>
        <w:keepLines w:val="0"/>
        <w:widowControl w:val="0"/>
        <w:shd w:val="clear" w:color="auto" w:fill="auto"/>
        <w:bidi w:val="0"/>
        <w:spacing w:before="0" w:after="380" w:line="240" w:lineRule="auto"/>
        <w:ind w:left="0" w:right="0" w:firstLine="0"/>
        <w:jc w:val="left"/>
      </w:pPr>
      <w:bookmarkStart w:id="322" w:name="bookmark322"/>
      <w:r>
        <w:rPr>
          <w:rFonts w:ascii="Times New Roman" w:eastAsia="Times New Roman" w:hAnsi="Times New Roman" w:cs="Times New Roman"/>
          <w:color w:val="000000"/>
          <w:spacing w:val="0"/>
          <w:w w:val="100"/>
          <w:position w:val="0"/>
        </w:rPr>
        <w:t>4</w:t>
      </w:r>
      <w:bookmarkEnd w:id="322"/>
      <w:r>
        <w:rPr>
          <w:color w:val="000000"/>
          <w:spacing w:val="0"/>
          <w:w w:val="100"/>
          <w:position w:val="0"/>
        </w:rPr>
        <w:t>、其他重大合同</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十八、社会责任情况</w:t>
      </w:r>
      <w:bookmarkEnd w:id="323"/>
      <w:bookmarkEnd w:id="324"/>
      <w:bookmarkEnd w:id="325"/>
    </w:p>
    <w:p>
      <w:pPr>
        <w:pStyle w:val="Style33"/>
        <w:keepNext w:val="0"/>
        <w:keepLines w:val="0"/>
        <w:widowControl w:val="0"/>
        <w:shd w:val="clear" w:color="auto" w:fill="auto"/>
        <w:tabs>
          <w:tab w:pos="368" w:val="left"/>
        </w:tabs>
        <w:bidi w:val="0"/>
        <w:spacing w:before="0" w:after="100" w:line="240" w:lineRule="auto"/>
        <w:ind w:left="0" w:right="0" w:firstLine="0"/>
        <w:jc w:val="both"/>
      </w:pPr>
      <w:bookmarkStart w:id="326" w:name="bookmark326"/>
      <w:r>
        <w:rPr>
          <w:rFonts w:ascii="Times New Roman" w:eastAsia="Times New Roman" w:hAnsi="Times New Roman" w:cs="Times New Roman"/>
          <w:color w:val="000000"/>
          <w:spacing w:val="0"/>
          <w:w w:val="100"/>
          <w:position w:val="0"/>
        </w:rPr>
        <w:t>1</w:t>
      </w:r>
      <w:bookmarkEnd w:id="326"/>
      <w:r>
        <w:rPr>
          <w:color w:val="000000"/>
          <w:spacing w:val="0"/>
          <w:w w:val="100"/>
          <w:position w:val="0"/>
        </w:rPr>
        <w:t>、</w:t>
        <w:tab/>
        <w:t>履行精准扶贫社会责任情况</w:t>
      </w:r>
    </w:p>
    <w:p>
      <w:pPr>
        <w:pStyle w:val="Style11"/>
        <w:keepNext w:val="0"/>
        <w:keepLines w:val="0"/>
        <w:widowControl w:val="0"/>
        <w:shd w:val="clear" w:color="auto" w:fill="auto"/>
        <w:bidi w:val="0"/>
        <w:spacing w:before="0" w:after="380" w:line="46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78" w:val="left"/>
        </w:tabs>
        <w:bidi w:val="0"/>
        <w:spacing w:before="0" w:after="380" w:line="240" w:lineRule="auto"/>
        <w:ind w:left="0" w:right="0" w:firstLine="0"/>
        <w:jc w:val="both"/>
      </w:pPr>
      <w:bookmarkStart w:id="327" w:name="bookmark327"/>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履行其他社会责任的情况</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是否发布社会责任报告</w:t>
      </w:r>
    </w:p>
    <w:p>
      <w:pPr>
        <w:pStyle w:val="Style1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顺丰控股积极履行企业社会责任，通过提供大量就业岗位、支援农村地区产业发展、资助教育等方式，倡导社会正气等 方式，构建良好和谐的企业和社区关系，回报社会。</w:t>
      </w:r>
    </w:p>
    <w:p>
      <w:pPr>
        <w:pStyle w:val="Style11"/>
        <w:keepNext w:val="0"/>
        <w:keepLines w:val="0"/>
        <w:widowControl w:val="0"/>
        <w:shd w:val="clear" w:color="auto" w:fill="auto"/>
        <w:tabs>
          <w:tab w:pos="679" w:val="left"/>
        </w:tabs>
        <w:bidi w:val="0"/>
        <w:spacing w:before="0" w:after="0" w:line="466" w:lineRule="exact"/>
        <w:ind w:left="0" w:right="0" w:firstLine="340"/>
        <w:jc w:val="both"/>
      </w:pPr>
      <w:bookmarkStart w:id="328" w:name="bookmark328"/>
      <w:r>
        <w:rPr>
          <w:b/>
          <w:bCs/>
          <w:color w:val="000000"/>
          <w:spacing w:val="0"/>
          <w:w w:val="100"/>
          <w:position w:val="0"/>
        </w:rPr>
        <w:t>1</w:t>
      </w:r>
      <w:bookmarkEnd w:id="328"/>
      <w:r>
        <w:rPr>
          <w:b/>
          <w:bCs/>
          <w:color w:val="000000"/>
          <w:spacing w:val="0"/>
          <w:w w:val="100"/>
          <w:position w:val="0"/>
        </w:rPr>
        <w:t>、</w:t>
        <w:tab/>
        <w:t>转移就业方式进行脱贫</w:t>
      </w:r>
    </w:p>
    <w:p>
      <w:pPr>
        <w:pStyle w:val="Style11"/>
        <w:keepNext w:val="0"/>
        <w:keepLines w:val="0"/>
        <w:widowControl w:val="0"/>
        <w:shd w:val="clear" w:color="auto" w:fill="auto"/>
        <w:bidi w:val="0"/>
        <w:spacing w:before="0" w:after="0" w:line="461" w:lineRule="exact"/>
        <w:ind w:left="0" w:right="0" w:firstLine="34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年底，顺丰控股直接或间接为社会提供了四十多万就业岗位。上述岗位中就业人员中，约</w:t>
      </w:r>
      <w:r>
        <w:rPr>
          <w:color w:val="000000"/>
          <w:spacing w:val="0"/>
          <w:w w:val="100"/>
          <w:position w:val="0"/>
          <w:sz w:val="18"/>
          <w:szCs w:val="18"/>
        </w:rPr>
        <w:t>26</w:t>
      </w:r>
      <w:r>
        <w:rPr>
          <w:color w:val="000000"/>
          <w:spacing w:val="0"/>
          <w:w w:val="100"/>
          <w:position w:val="0"/>
        </w:rPr>
        <w:t>万人来自于农村，</w:t>
      </w:r>
    </w:p>
    <w:p>
      <w:pPr>
        <w:pStyle w:val="Style11"/>
        <w:keepNext w:val="0"/>
        <w:keepLines w:val="0"/>
        <w:widowControl w:val="0"/>
        <w:shd w:val="clear" w:color="auto" w:fill="auto"/>
        <w:bidi w:val="0"/>
        <w:spacing w:before="0" w:after="0" w:line="461" w:lineRule="exact"/>
        <w:ind w:left="0" w:right="0" w:firstLine="0"/>
        <w:jc w:val="both"/>
      </w:pPr>
      <w:r>
        <w:rPr>
          <w:color w:val="000000"/>
          <w:spacing w:val="0"/>
          <w:w w:val="100"/>
          <w:position w:val="0"/>
        </w:rPr>
        <w:t>他们依靠自身劳动获得获得较好的收入，改善和提升了自身及家庭的经济条件和生活状况。同时，为使员工或服务人员能较 好地兼顾家庭和工作，自</w:t>
      </w:r>
      <w:r>
        <w:rPr>
          <w:color w:val="000000"/>
          <w:spacing w:val="0"/>
          <w:w w:val="100"/>
          <w:position w:val="0"/>
          <w:sz w:val="18"/>
          <w:szCs w:val="18"/>
        </w:rPr>
        <w:t>2014</w:t>
      </w:r>
      <w:r>
        <w:rPr>
          <w:color w:val="000000"/>
          <w:spacing w:val="0"/>
          <w:w w:val="100"/>
          <w:position w:val="0"/>
        </w:rPr>
        <w:t>年起，公司鼓励内部员工在家乡设立基层代办点，就近就业，同公司一起共同发展。截止</w:t>
      </w:r>
      <w:r>
        <w:rPr>
          <w:color w:val="000000"/>
          <w:spacing w:val="0"/>
          <w:w w:val="100"/>
          <w:position w:val="0"/>
          <w:sz w:val="18"/>
          <w:szCs w:val="18"/>
        </w:rPr>
        <w:t xml:space="preserve">2016 </w:t>
      </w:r>
      <w:r>
        <w:rPr>
          <w:color w:val="000000"/>
          <w:spacing w:val="0"/>
          <w:w w:val="100"/>
          <w:position w:val="0"/>
        </w:rPr>
        <w:t>年底，通过就近就业方式，公司合计开设乡镇代办点</w:t>
      </w:r>
      <w:r>
        <w:rPr>
          <w:color w:val="000000"/>
          <w:spacing w:val="0"/>
          <w:w w:val="100"/>
          <w:position w:val="0"/>
          <w:sz w:val="18"/>
          <w:szCs w:val="18"/>
        </w:rPr>
        <w:t>2400</w:t>
      </w:r>
      <w:r>
        <w:rPr>
          <w:color w:val="000000"/>
          <w:spacing w:val="0"/>
          <w:w w:val="100"/>
          <w:position w:val="0"/>
        </w:rPr>
        <w:t>多个，覆盖近</w:t>
      </w:r>
      <w:r>
        <w:rPr>
          <w:color w:val="000000"/>
          <w:spacing w:val="0"/>
          <w:w w:val="100"/>
          <w:position w:val="0"/>
          <w:sz w:val="18"/>
          <w:szCs w:val="18"/>
        </w:rPr>
        <w:t>9000</w:t>
      </w:r>
      <w:r>
        <w:rPr>
          <w:color w:val="000000"/>
          <w:spacing w:val="0"/>
          <w:w w:val="100"/>
          <w:position w:val="0"/>
        </w:rPr>
        <w:t>个乡镇。</w:t>
      </w:r>
    </w:p>
    <w:p>
      <w:pPr>
        <w:pStyle w:val="Style11"/>
        <w:keepNext w:val="0"/>
        <w:keepLines w:val="0"/>
        <w:widowControl w:val="0"/>
        <w:shd w:val="clear" w:color="auto" w:fill="auto"/>
        <w:tabs>
          <w:tab w:pos="709" w:val="left"/>
        </w:tabs>
        <w:bidi w:val="0"/>
        <w:spacing w:before="0" w:after="0" w:line="466" w:lineRule="exact"/>
        <w:ind w:left="0" w:right="0" w:firstLine="360"/>
        <w:jc w:val="both"/>
      </w:pPr>
      <w:bookmarkStart w:id="329" w:name="bookmark329"/>
      <w:r>
        <w:rPr>
          <w:b/>
          <w:bCs/>
          <w:color w:val="000000"/>
          <w:spacing w:val="0"/>
          <w:w w:val="100"/>
          <w:position w:val="0"/>
        </w:rPr>
        <w:t>2</w:t>
      </w:r>
      <w:bookmarkEnd w:id="329"/>
      <w:r>
        <w:rPr>
          <w:b/>
          <w:bCs/>
          <w:color w:val="000000"/>
          <w:spacing w:val="0"/>
          <w:w w:val="100"/>
          <w:position w:val="0"/>
        </w:rPr>
        <w:t>、</w:t>
        <w:tab/>
        <w:t>促进农副产品流通，拉升农村经济发展</w:t>
      </w:r>
    </w:p>
    <w:p>
      <w:pPr>
        <w:pStyle w:val="Style11"/>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公司积极开辟特色经济业务，结合各地农业情况，提供包括冷运在内的定制化运输服务，并联合下游销售渠道提供运输 及销售一体化方案，促进农副产品流通。</w:t>
      </w:r>
      <w:r>
        <w:rPr>
          <w:color w:val="000000"/>
          <w:spacing w:val="0"/>
          <w:w w:val="100"/>
          <w:position w:val="0"/>
          <w:sz w:val="18"/>
          <w:szCs w:val="18"/>
        </w:rPr>
        <w:t>2016</w:t>
      </w:r>
      <w:r>
        <w:rPr>
          <w:color w:val="000000"/>
          <w:spacing w:val="0"/>
          <w:w w:val="100"/>
          <w:position w:val="0"/>
        </w:rPr>
        <w:t>年，公司为大闸蟹、樱桃、羊肉等农副产品的特色农副产品，提供了合计近</w:t>
      </w:r>
      <w:r>
        <w:rPr>
          <w:color w:val="000000"/>
          <w:spacing w:val="0"/>
          <w:w w:val="100"/>
          <w:position w:val="0"/>
          <w:sz w:val="18"/>
          <w:szCs w:val="18"/>
        </w:rPr>
        <w:t xml:space="preserve">5 </w:t>
      </w:r>
      <w:r>
        <w:rPr>
          <w:color w:val="000000"/>
          <w:spacing w:val="0"/>
          <w:w w:val="100"/>
          <w:position w:val="0"/>
        </w:rPr>
        <w:t>万吨的流通服务，有力地拉动了当地农村经济的发展，为当地农户的创收增收提供了良好的机会和保障。</w:t>
      </w:r>
    </w:p>
    <w:p>
      <w:pPr>
        <w:pStyle w:val="Style11"/>
        <w:keepNext w:val="0"/>
        <w:keepLines w:val="0"/>
        <w:widowControl w:val="0"/>
        <w:shd w:val="clear" w:color="auto" w:fill="auto"/>
        <w:tabs>
          <w:tab w:pos="709" w:val="left"/>
        </w:tabs>
        <w:bidi w:val="0"/>
        <w:spacing w:before="0" w:after="0" w:line="466" w:lineRule="exact"/>
        <w:ind w:left="0" w:right="0" w:firstLine="360"/>
        <w:jc w:val="both"/>
      </w:pPr>
      <w:bookmarkStart w:id="330" w:name="bookmark330"/>
      <w:r>
        <w:rPr>
          <w:b/>
          <w:bCs/>
          <w:color w:val="000000"/>
          <w:spacing w:val="0"/>
          <w:w w:val="100"/>
          <w:position w:val="0"/>
        </w:rPr>
        <w:t>3</w:t>
      </w:r>
      <w:bookmarkEnd w:id="330"/>
      <w:r>
        <w:rPr>
          <w:b/>
          <w:bCs/>
          <w:color w:val="000000"/>
          <w:spacing w:val="0"/>
          <w:w w:val="100"/>
          <w:position w:val="0"/>
        </w:rPr>
        <w:t>、</w:t>
        <w:tab/>
        <w:t>开展偏远贫苦地区的教育资助和儿童医疗资助活动</w:t>
      </w:r>
    </w:p>
    <w:p>
      <w:pPr>
        <w:pStyle w:val="Style11"/>
        <w:keepNext w:val="0"/>
        <w:keepLines w:val="0"/>
        <w:widowControl w:val="0"/>
        <w:shd w:val="clear" w:color="auto" w:fill="auto"/>
        <w:bidi w:val="0"/>
        <w:spacing w:before="0" w:after="0" w:line="475" w:lineRule="exact"/>
        <w:ind w:left="0" w:right="0" w:firstLine="360"/>
        <w:jc w:val="both"/>
      </w:pPr>
      <w:r>
        <w:rPr>
          <w:color w:val="000000"/>
          <w:spacing w:val="0"/>
          <w:w w:val="100"/>
          <w:position w:val="0"/>
          <w:sz w:val="18"/>
          <w:szCs w:val="18"/>
        </w:rPr>
        <w:t>2012</w:t>
      </w:r>
      <w:r>
        <w:rPr>
          <w:color w:val="000000"/>
          <w:spacing w:val="0"/>
          <w:w w:val="100"/>
          <w:position w:val="0"/>
        </w:rPr>
        <w:t>年，公司下属子公司同控股股东共同发起成立顺丰公益基金会，并以公益基金会作为平台，针对贫困地区积极开展 包括顺丰莲花助学、儿童健康关爱等在内的各类社会公益活动。</w:t>
      </w:r>
    </w:p>
    <w:p>
      <w:pPr>
        <w:pStyle w:val="Style11"/>
        <w:keepNext w:val="0"/>
        <w:keepLines w:val="0"/>
        <w:widowControl w:val="0"/>
        <w:shd w:val="clear" w:color="auto" w:fill="auto"/>
        <w:bidi w:val="0"/>
        <w:spacing w:before="0" w:after="0" w:line="475" w:lineRule="exact"/>
        <w:ind w:left="0" w:right="0" w:firstLine="280"/>
        <w:jc w:val="both"/>
      </w:pPr>
      <w:r>
        <w:rPr>
          <w:b/>
          <w:bCs/>
          <w:color w:val="000000"/>
          <w:spacing w:val="0"/>
          <w:w w:val="100"/>
          <w:position w:val="0"/>
        </w:rPr>
        <w:t>（1）助学方面：</w:t>
      </w:r>
      <w:r>
        <w:rPr>
          <w:color w:val="000000"/>
          <w:spacing w:val="0"/>
          <w:w w:val="100"/>
          <w:position w:val="0"/>
        </w:rPr>
        <w:t>顺丰公益基金会成立以来已经累计资助学生</w:t>
      </w:r>
      <w:r>
        <w:rPr>
          <w:color w:val="000000"/>
          <w:spacing w:val="0"/>
          <w:w w:val="100"/>
          <w:position w:val="0"/>
          <w:sz w:val="18"/>
          <w:szCs w:val="18"/>
        </w:rPr>
        <w:t>4, 465</w:t>
      </w:r>
      <w:r>
        <w:rPr>
          <w:color w:val="000000"/>
          <w:spacing w:val="0"/>
          <w:w w:val="100"/>
          <w:position w:val="0"/>
        </w:rPr>
        <w:t>人，</w:t>
      </w:r>
      <w:r>
        <w:rPr>
          <w:color w:val="000000"/>
          <w:spacing w:val="0"/>
          <w:w w:val="100"/>
          <w:position w:val="0"/>
          <w:sz w:val="18"/>
          <w:szCs w:val="18"/>
        </w:rPr>
        <w:t>2016</w:t>
      </w:r>
      <w:r>
        <w:rPr>
          <w:color w:val="000000"/>
          <w:spacing w:val="0"/>
          <w:w w:val="100"/>
          <w:position w:val="0"/>
        </w:rPr>
        <w:t>年参加高考的</w:t>
      </w:r>
      <w:r>
        <w:rPr>
          <w:color w:val="000000"/>
          <w:spacing w:val="0"/>
          <w:w w:val="100"/>
          <w:position w:val="0"/>
          <w:sz w:val="18"/>
          <w:szCs w:val="18"/>
        </w:rPr>
        <w:t>790</w:t>
      </w:r>
      <w:r>
        <w:rPr>
          <w:color w:val="000000"/>
          <w:spacing w:val="0"/>
          <w:w w:val="100"/>
          <w:position w:val="0"/>
        </w:rPr>
        <w:t xml:space="preserve">名资助对象中，本科上 </w:t>
      </w:r>
      <w:r>
        <w:rPr>
          <w:color w:val="000000"/>
          <w:spacing w:val="0"/>
          <w:w w:val="100"/>
          <w:position w:val="0"/>
        </w:rPr>
        <w:t>线人数为</w:t>
      </w:r>
      <w:r>
        <w:rPr>
          <w:color w:val="000000"/>
          <w:spacing w:val="0"/>
          <w:w w:val="100"/>
          <w:position w:val="0"/>
          <w:sz w:val="18"/>
          <w:szCs w:val="18"/>
        </w:rPr>
        <w:t>617</w:t>
      </w:r>
      <w:r>
        <w:rPr>
          <w:color w:val="000000"/>
          <w:spacing w:val="0"/>
          <w:w w:val="100"/>
          <w:position w:val="0"/>
        </w:rPr>
        <w:t>人，上线率高达</w:t>
      </w:r>
      <w:r>
        <w:rPr>
          <w:color w:val="000000"/>
          <w:spacing w:val="0"/>
          <w:w w:val="100"/>
          <w:position w:val="0"/>
          <w:sz w:val="18"/>
          <w:szCs w:val="18"/>
        </w:rPr>
        <w:t xml:space="preserve">78. </w:t>
      </w:r>
      <w:r>
        <w:rPr>
          <w:color w:val="000000"/>
          <w:spacing w:val="0"/>
          <w:w w:val="100"/>
          <w:position w:val="0"/>
          <w:sz w:val="18"/>
          <w:szCs w:val="18"/>
        </w:rPr>
        <w:t>17%</w:t>
      </w:r>
      <w:r>
        <w:rPr>
          <w:color w:val="000000"/>
          <w:spacing w:val="0"/>
          <w:w w:val="100"/>
          <w:position w:val="0"/>
        </w:rPr>
        <w:t>。顺丰公益基金会援建的云南省双江县沙河乡邦木村、贵州省天柱县江东乡金鸡村两所 顺丰莲花小学也在</w:t>
      </w:r>
      <w:r>
        <w:rPr>
          <w:color w:val="000000"/>
          <w:spacing w:val="0"/>
          <w:w w:val="100"/>
          <w:position w:val="0"/>
          <w:sz w:val="18"/>
          <w:szCs w:val="18"/>
        </w:rPr>
        <w:t>2016</w:t>
      </w:r>
      <w:r>
        <w:rPr>
          <w:color w:val="000000"/>
          <w:spacing w:val="0"/>
          <w:w w:val="100"/>
          <w:position w:val="0"/>
        </w:rPr>
        <w:t>年竣工投入使用。</w:t>
      </w:r>
    </w:p>
    <w:p>
      <w:pPr>
        <w:pStyle w:val="Style11"/>
        <w:keepNext w:val="0"/>
        <w:keepLines w:val="0"/>
        <w:widowControl w:val="0"/>
        <w:shd w:val="clear" w:color="auto" w:fill="auto"/>
        <w:bidi w:val="0"/>
        <w:spacing w:before="0" w:after="0" w:line="475" w:lineRule="exact"/>
        <w:ind w:left="0" w:right="0" w:firstLine="280"/>
        <w:jc w:val="both"/>
      </w:pPr>
      <w:r>
        <w:rPr>
          <w:b/>
          <w:bCs/>
          <w:color w:val="000000"/>
          <w:spacing w:val="0"/>
          <w:w w:val="100"/>
          <w:position w:val="0"/>
        </w:rPr>
        <w:t>(2)医疗救助方面：</w:t>
      </w:r>
      <w:r>
        <w:rPr>
          <w:color w:val="000000"/>
          <w:spacing w:val="0"/>
          <w:w w:val="100"/>
          <w:position w:val="0"/>
        </w:rPr>
        <w:t>自</w:t>
      </w:r>
      <w:r>
        <w:rPr>
          <w:color w:val="000000"/>
          <w:spacing w:val="0"/>
          <w:w w:val="100"/>
          <w:position w:val="0"/>
          <w:sz w:val="18"/>
          <w:szCs w:val="18"/>
        </w:rPr>
        <w:t>2014</w:t>
      </w:r>
      <w:r>
        <w:rPr>
          <w:color w:val="000000"/>
          <w:spacing w:val="0"/>
          <w:w w:val="100"/>
          <w:position w:val="0"/>
        </w:rPr>
        <w:t>年起，顺丰公益基金会与爱佑慈善基金会合作，在贫困地区开展</w:t>
      </w:r>
      <w:r>
        <w:rPr>
          <w:color w:val="000000"/>
          <w:spacing w:val="0"/>
          <w:w w:val="100"/>
          <w:position w:val="0"/>
          <w:sz w:val="18"/>
          <w:szCs w:val="18"/>
        </w:rPr>
        <w:t>0—14</w:t>
      </w:r>
      <w:r>
        <w:rPr>
          <w:color w:val="000000"/>
          <w:spacing w:val="0"/>
          <w:w w:val="100"/>
          <w:position w:val="0"/>
        </w:rPr>
        <w:t>周岁先天性心脏病和 先天性白血病患儿救助项目，截止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月，合计救助先天性心脏病患儿</w:t>
      </w:r>
      <w:r>
        <w:rPr>
          <w:color w:val="000000"/>
          <w:spacing w:val="0"/>
          <w:w w:val="100"/>
          <w:position w:val="0"/>
          <w:sz w:val="18"/>
          <w:szCs w:val="18"/>
        </w:rPr>
        <w:t>972</w:t>
      </w:r>
      <w:r>
        <w:rPr>
          <w:color w:val="000000"/>
          <w:spacing w:val="0"/>
          <w:w w:val="100"/>
          <w:position w:val="0"/>
        </w:rPr>
        <w:t>人，先天性白血病患儿</w:t>
      </w:r>
      <w:r>
        <w:rPr>
          <w:color w:val="000000"/>
          <w:spacing w:val="0"/>
          <w:w w:val="100"/>
          <w:position w:val="0"/>
          <w:sz w:val="18"/>
          <w:szCs w:val="18"/>
        </w:rPr>
        <w:t>179</w:t>
      </w:r>
      <w:r>
        <w:rPr>
          <w:color w:val="000000"/>
          <w:spacing w:val="0"/>
          <w:w w:val="100"/>
          <w:position w:val="0"/>
        </w:rPr>
        <w:t>人，取得较好 的效果。</w:t>
      </w:r>
    </w:p>
    <w:p>
      <w:pPr>
        <w:pStyle w:val="Style11"/>
        <w:keepNext w:val="0"/>
        <w:keepLines w:val="0"/>
        <w:widowControl w:val="0"/>
        <w:shd w:val="clear" w:color="auto" w:fill="auto"/>
        <w:bidi w:val="0"/>
        <w:spacing w:before="0" w:after="0" w:line="475" w:lineRule="exact"/>
        <w:ind w:left="0" w:right="0" w:firstLine="360"/>
        <w:jc w:val="left"/>
      </w:pPr>
      <w:bookmarkStart w:id="331" w:name="bookmark331"/>
      <w:r>
        <w:rPr>
          <w:b/>
          <w:bCs/>
          <w:color w:val="000000"/>
          <w:spacing w:val="0"/>
          <w:w w:val="100"/>
          <w:position w:val="0"/>
        </w:rPr>
        <w:t>4</w:t>
      </w:r>
      <w:bookmarkEnd w:id="331"/>
      <w:r>
        <w:rPr>
          <w:b/>
          <w:bCs/>
          <w:color w:val="000000"/>
          <w:spacing w:val="0"/>
          <w:w w:val="100"/>
          <w:position w:val="0"/>
        </w:rPr>
        <w:t>、倡导社会正气，构建和谐社区关系</w:t>
      </w:r>
    </w:p>
    <w:p>
      <w:pPr>
        <w:pStyle w:val="Style11"/>
        <w:keepNext w:val="0"/>
        <w:keepLines w:val="0"/>
        <w:widowControl w:val="0"/>
        <w:shd w:val="clear" w:color="auto" w:fill="auto"/>
        <w:bidi w:val="0"/>
        <w:spacing w:before="0" w:after="800" w:line="475" w:lineRule="exact"/>
        <w:ind w:left="0" w:right="0" w:firstLine="360"/>
        <w:jc w:val="both"/>
      </w:pPr>
      <w:r>
        <w:rPr>
          <w:color w:val="000000"/>
          <w:spacing w:val="0"/>
          <w:w w:val="100"/>
          <w:position w:val="0"/>
          <w:sz w:val="18"/>
          <w:szCs w:val="18"/>
        </w:rPr>
        <w:t>2016</w:t>
      </w:r>
      <w:r>
        <w:rPr>
          <w:color w:val="000000"/>
          <w:spacing w:val="0"/>
          <w:w w:val="100"/>
          <w:position w:val="0"/>
        </w:rPr>
        <w:t>年，公司涌现大量的救火、救灾、救人、拾金不昧等员工先进事迹，部分事迹经过媒体报道向社会传播，获得社会 和社区的高度赞誉和评价。在员工中涌现的先进事迹，是公司文化长期沉淀的结果，反过来促进公司优秀文化的进一步提升， 形成良性发展。</w:t>
      </w:r>
    </w:p>
    <w:p>
      <w:pPr>
        <w:pStyle w:val="Style27"/>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十九、其他重大事项的说明</w:t>
      </w:r>
      <w:bookmarkEnd w:id="332"/>
      <w:bookmarkEnd w:id="333"/>
      <w:bookmarkEnd w:id="334"/>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报告期内其他重大事项，详见公司在巨潮资讯网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上披露的以下公告</w:t>
      </w:r>
      <w:r>
        <w:rPr>
          <w:color w:val="000000"/>
          <w:spacing w:val="0"/>
          <w:w w:val="100"/>
          <w:position w:val="0"/>
        </w:rPr>
        <w:t>:</w:t>
      </w:r>
    </w:p>
    <w:tbl>
      <w:tblPr>
        <w:tblOverlap w:val="never"/>
        <w:jc w:val="center"/>
        <w:tblLayout w:type="fixed"/>
      </w:tblPr>
      <w:tblGrid>
        <w:gridCol w:w="590"/>
        <w:gridCol w:w="1267"/>
        <w:gridCol w:w="5813"/>
        <w:gridCol w:w="1709"/>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公告编号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公告名称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披露日期</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限售股份上市流通提示性公告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关于公司控股股东及部分董事、监事、高级管理人员完成股份增持计划 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关于免去陆江副总经理职务的公告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年度业绩快报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关于筹划重大事项停牌的进展公告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关于筹划重大事项停牌的进展公告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第三届监事会第九次会议决议公告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年年度报告摘要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sz w:val="18"/>
                <w:szCs w:val="18"/>
              </w:rPr>
              <w:t>2015</w:t>
            </w:r>
            <w:r>
              <w:rPr>
                <w:color w:val="000000"/>
                <w:spacing w:val="0"/>
                <w:w w:val="100"/>
                <w:position w:val="0"/>
              </w:rPr>
              <w:t>年度利润分配方案的公告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8"/>
                <w:szCs w:val="18"/>
              </w:rPr>
              <w:t>2015</w:t>
            </w:r>
            <w:r>
              <w:rPr>
                <w:color w:val="000000"/>
                <w:spacing w:val="0"/>
                <w:w w:val="100"/>
                <w:position w:val="0"/>
              </w:rPr>
              <w:t>年度股东大会通知公告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color w:val="000000"/>
                <w:spacing w:val="0"/>
                <w:w w:val="100"/>
                <w:position w:val="0"/>
                <w:sz w:val="18"/>
                <w:szCs w:val="18"/>
              </w:rPr>
              <w:t>2015</w:t>
            </w:r>
            <w:r>
              <w:rPr>
                <w:color w:val="000000"/>
                <w:spacing w:val="0"/>
                <w:w w:val="100"/>
                <w:position w:val="0"/>
              </w:rPr>
              <w:t>年度报告网上说明会的公告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关于筹划重大事项停牌的进展公告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关于《关于公司关联方非经营性资金占用及其他关联资金往来情况汇总 表的专项审核报告》的更正公告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关于公司独立董事辞职的公告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590"/>
        <w:gridCol w:w="1267"/>
        <w:gridCol w:w="5813"/>
        <w:gridCol w:w="17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第一季度报告正文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关于筹划重大事项停牌的进展公告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关于筹划重大事项停牌的进展公告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关于筹划重大事项停牌的进展公告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第三届董事会第十三次会议决议公告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关于重大资产重组的一般风险提示暨暂不复牌公告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关于重大资产置换及发行股份购买资产并募集配套资金暨关联交易预案 修订说明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关于公司股票复牌的提示性公告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关于副总经理辞职的公告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股价异动公告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关于股票交易异常波动停牌核查的公告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i/>
                <w:iCs/>
                <w:color w:val="000000"/>
                <w:spacing w:val="0"/>
                <w:w w:val="100"/>
                <w:position w:val="0"/>
              </w:rPr>
              <w:t>7</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关于控股股东、实际控制人部分股份解除质押及再质押的公告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关于股票交易异常波动核查结果暨复牌的公告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第三届董事会第十四次会议决议公告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第三届监事会第十二次会议决议公告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关于本次重大资产重组涉及控股股东、实际控制人及其他</w:t>
            </w:r>
            <w:r>
              <w:rPr>
                <w:color w:val="000000"/>
                <w:spacing w:val="0"/>
                <w:w w:val="100"/>
                <w:position w:val="0"/>
                <w:sz w:val="18"/>
                <w:szCs w:val="18"/>
              </w:rPr>
              <w:t>5%</w:t>
            </w:r>
            <w:r>
              <w:rPr>
                <w:color w:val="000000"/>
                <w:spacing w:val="0"/>
                <w:w w:val="100"/>
                <w:position w:val="0"/>
              </w:rPr>
              <w:t>以上股东权 益变动的提示性公告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关于公司本次交易摊薄当期每股收益的影响及填补回报安排的公告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关于召集</w:t>
            </w:r>
            <w:r>
              <w:rPr>
                <w:color w:val="000000"/>
                <w:spacing w:val="0"/>
                <w:w w:val="100"/>
                <w:position w:val="0"/>
                <w:sz w:val="18"/>
                <w:szCs w:val="18"/>
              </w:rPr>
              <w:t>2016</w:t>
            </w:r>
            <w:r>
              <w:rPr>
                <w:color w:val="000000"/>
                <w:spacing w:val="0"/>
                <w:w w:val="100"/>
                <w:position w:val="0"/>
              </w:rPr>
              <w:t>年第一次临时股东大会的通知公告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股价异动公告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关于股票交易异常波动的公告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关于公司证券事务代表辞职的公告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股价异动公告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关于收到《中国证监会行政许可申请补正通知书》的公告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关于收到《中国证监会行政许可申请受理通知书》的公告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一般风险提示公告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第三届董事会第十五次会议决议公告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第三届监事会第十三次会议决议公告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sz w:val="18"/>
                <w:szCs w:val="18"/>
              </w:rPr>
              <w:t>5%</w:t>
            </w:r>
            <w:r>
              <w:rPr>
                <w:color w:val="000000"/>
                <w:spacing w:val="0"/>
                <w:w w:val="100"/>
                <w:position w:val="0"/>
              </w:rPr>
              <w:t>以上股东部分股份解除质押的公告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590"/>
        <w:gridCol w:w="1267"/>
        <w:gridCol w:w="5813"/>
        <w:gridCol w:w="17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sz w:val="18"/>
                <w:szCs w:val="18"/>
              </w:rPr>
              <w:t>5%</w:t>
            </w:r>
            <w:r>
              <w:rPr>
                <w:color w:val="000000"/>
                <w:spacing w:val="0"/>
                <w:w w:val="100"/>
                <w:position w:val="0"/>
              </w:rPr>
              <w:t>以上股东减持计划的提示性公告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关于收到《中国证监会行政许可项目审查一次反馈意见通知书》的公告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年半年度报告摘要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第三届董事会第十七次会议决议公告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第三届监事会第十五次会议决议公告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关于变更财务顾问主办人的公告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关于公司副总经理去世的公告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第三届董事会第十八次会议决议公告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第三届监事会第十六次会议决议公告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关于中国证监会上市公司并购重组审核委员会审核公司重大资产重组事 项的停牌公告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关于重大资产重组事项获得中国证监会并购重组委审核有条件通过暨公 司股票复牌的公告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第三届董事会第十九次会议决议公告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第三届监事会第十七次会议决议公告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color w:val="000000"/>
                <w:spacing w:val="0"/>
                <w:w w:val="100"/>
                <w:position w:val="0"/>
                <w:sz w:val="18"/>
                <w:szCs w:val="18"/>
              </w:rPr>
              <w:t>5%</w:t>
            </w:r>
            <w:r>
              <w:rPr>
                <w:color w:val="000000"/>
                <w:spacing w:val="0"/>
                <w:w w:val="100"/>
                <w:position w:val="0"/>
              </w:rPr>
              <w:t>以上股东短线交易的公告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color w:val="000000"/>
                <w:spacing w:val="0"/>
                <w:w w:val="100"/>
                <w:position w:val="0"/>
                <w:sz w:val="18"/>
                <w:szCs w:val="18"/>
              </w:rPr>
              <w:t>5%</w:t>
            </w:r>
            <w:r>
              <w:rPr>
                <w:color w:val="000000"/>
                <w:spacing w:val="0"/>
                <w:w w:val="100"/>
                <w:position w:val="0"/>
              </w:rPr>
              <w:t>以上股东短线交易的更正公告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年第三季度报告正文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关于公司高管收到安徽证监局《行政监管措施决定书》的公告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第三届监事会第十九次会议决议公告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关于续聘会计师事务所的公告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第三届董事会第二十二次会议决议公告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关于董事、监事、总经理辞职的公告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关于董事长辞职的公告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关于召集</w:t>
            </w:r>
            <w:r>
              <w:rPr>
                <w:color w:val="000000"/>
                <w:spacing w:val="0"/>
                <w:w w:val="100"/>
                <w:position w:val="0"/>
                <w:sz w:val="18"/>
                <w:szCs w:val="18"/>
              </w:rPr>
              <w:t>2016</w:t>
            </w:r>
            <w:r>
              <w:rPr>
                <w:color w:val="000000"/>
                <w:spacing w:val="0"/>
                <w:w w:val="100"/>
                <w:position w:val="0"/>
              </w:rPr>
              <w:t>年第二次临时股东大会的通知公告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关于公司重大资产置换及发行股份购买资产并募集配套资金暨关联交易 之重大资产重组事项获得中国证券监督管理委员会核准的公告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关于重大资产置换及发行股份购买资产并募集配套资金暨关联交易报告 书修订说明的公告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关于第三届董事会第二十二次会议决议补充公告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第三届监事会第二十次会议决议补充公告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关于股东进行股份质押式回购交易公告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第三届董事会第二十三次会议决议公告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590"/>
        <w:gridCol w:w="1267"/>
        <w:gridCol w:w="5813"/>
        <w:gridCol w:w="170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第三届监事会第二十一次会议决议公告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color w:val="000000"/>
                <w:spacing w:val="0"/>
                <w:w w:val="100"/>
                <w:position w:val="0"/>
                <w:sz w:val="18"/>
                <w:szCs w:val="18"/>
              </w:rPr>
              <w:t>2016</w:t>
            </w:r>
            <w:r>
              <w:rPr>
                <w:color w:val="000000"/>
                <w:spacing w:val="0"/>
                <w:w w:val="100"/>
                <w:position w:val="0"/>
              </w:rPr>
              <w:t>年第二次临时股东大会调整并新增临时提案暨股东大会补充 通知的公告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关于聘任会计师事务所的公告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第三届董事会第二十四次会议决议公告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关于拟收购子公司深圳顺丰泰森控股（集团）有限公司公开发行公司债 券及其他债务融资产品的公告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color w:val="000000"/>
                <w:spacing w:val="0"/>
                <w:w w:val="100"/>
                <w:position w:val="0"/>
                <w:sz w:val="18"/>
                <w:szCs w:val="18"/>
              </w:rPr>
              <w:t>2016</w:t>
            </w:r>
            <w:r>
              <w:rPr>
                <w:color w:val="000000"/>
                <w:spacing w:val="0"/>
                <w:w w:val="100"/>
                <w:position w:val="0"/>
              </w:rPr>
              <w:t>年第二次临时股东大会新增临时提案暨股东大会补充通知的 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关于拟变更</w:t>
            </w:r>
            <w:r>
              <w:rPr>
                <w:color w:val="000000"/>
                <w:spacing w:val="0"/>
                <w:w w:val="100"/>
                <w:position w:val="0"/>
                <w:sz w:val="18"/>
                <w:szCs w:val="18"/>
              </w:rPr>
              <w:t>2016</w:t>
            </w:r>
            <w:r>
              <w:rPr>
                <w:color w:val="000000"/>
                <w:spacing w:val="0"/>
                <w:w w:val="100"/>
                <w:position w:val="0"/>
              </w:rPr>
              <w:t>年审计机构事宜的说明公告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6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关于重大资产置换及发行股份购买资产并募集配套资金暨关联交易之标 的资产过户完成情况的公告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关于选举产生第四届监事会职工代表监事的公告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年第二次临时股东大会决议公告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年度日常关联交易预计公告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sz w:val="18"/>
                <w:szCs w:val="18"/>
              </w:rPr>
              <w:t>2017</w:t>
            </w:r>
            <w:r>
              <w:rPr>
                <w:color w:val="000000"/>
                <w:spacing w:val="0"/>
                <w:w w:val="100"/>
                <w:position w:val="0"/>
              </w:rPr>
              <w:t>年对外担保额度预计的公告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关于使用自有资金开展委托理财业务的公告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关于高级管理人员变更的公告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关于变更办公地址与投资者联系方式的公告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8"/>
                <w:szCs w:val="18"/>
              </w:rPr>
              <w:t>2017</w:t>
            </w:r>
            <w:r>
              <w:rPr>
                <w:color w:val="000000"/>
                <w:spacing w:val="0"/>
                <w:w w:val="100"/>
                <w:position w:val="0"/>
              </w:rPr>
              <w:t>年第一次临时股东大会的通知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关于监事辞职的公告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bl>
    <w:p>
      <w:pPr>
        <w:widowControl w:val="0"/>
        <w:spacing w:after="599" w:line="1" w:lineRule="exact"/>
      </w:pPr>
    </w:p>
    <w:p>
      <w:pPr>
        <w:pStyle w:val="Style27"/>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二十、公司子公司重大事项</w:t>
      </w:r>
      <w:bookmarkEnd w:id="335"/>
      <w:bookmarkEnd w:id="336"/>
      <w:bookmarkEnd w:id="337"/>
    </w:p>
    <w:p>
      <w:pPr>
        <w:pStyle w:val="Style11"/>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338" w:name="bookmark338"/>
      <w:bookmarkStart w:id="339" w:name="bookmark339"/>
      <w:bookmarkStart w:id="340" w:name="bookmark340"/>
      <w:r>
        <w:rPr>
          <w:color w:val="000000"/>
          <w:spacing w:val="0"/>
          <w:w w:val="100"/>
          <w:position w:val="0"/>
        </w:rPr>
        <w:t>第六节股份变动及股东情况</w:t>
      </w:r>
      <w:bookmarkEnd w:id="338"/>
      <w:bookmarkEnd w:id="339"/>
      <w:bookmarkEnd w:id="340"/>
    </w:p>
    <w:p>
      <w:pPr>
        <w:pStyle w:val="Style27"/>
        <w:keepNext/>
        <w:keepLines/>
        <w:widowControl w:val="0"/>
        <w:shd w:val="clear" w:color="auto" w:fill="auto"/>
        <w:bidi w:val="0"/>
        <w:spacing w:before="0" w:after="360" w:line="240" w:lineRule="auto"/>
        <w:ind w:left="0" w:right="0" w:firstLine="0"/>
        <w:jc w:val="both"/>
      </w:pPr>
      <w:bookmarkStart w:id="341" w:name="bookmark341"/>
      <w:bookmarkStart w:id="342" w:name="bookmark342"/>
      <w:bookmarkStart w:id="343" w:name="bookmark343"/>
      <w:bookmarkStart w:id="344" w:name="bookmark344"/>
      <w:bookmarkStart w:id="345" w:name="bookmark345"/>
      <w:r>
        <w:rPr>
          <w:color w:val="000000"/>
          <w:spacing w:val="0"/>
          <w:w w:val="100"/>
          <w:position w:val="0"/>
          <w:sz w:val="24"/>
          <w:szCs w:val="24"/>
        </w:rPr>
        <w:t>一</w:t>
      </w:r>
      <w:bookmarkEnd w:id="344"/>
      <w:r>
        <w:rPr>
          <w:color w:val="000000"/>
          <w:spacing w:val="0"/>
          <w:w w:val="100"/>
          <w:position w:val="0"/>
          <w:sz w:val="24"/>
          <w:szCs w:val="24"/>
        </w:rPr>
        <w:t>、股份变动情况</w:t>
      </w:r>
      <w:bookmarkEnd w:id="342"/>
      <w:bookmarkEnd w:id="343"/>
      <w:bookmarkEnd w:id="345"/>
      <w:bookmarkEnd w:id="341"/>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、股份变动情况</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53"/>
        <w:gridCol w:w="989"/>
        <w:gridCol w:w="854"/>
        <w:gridCol w:w="706"/>
        <w:gridCol w:w="571"/>
        <w:gridCol w:w="989"/>
        <w:gridCol w:w="850"/>
        <w:gridCol w:w="994"/>
        <w:gridCol w:w="994"/>
        <w:gridCol w:w="72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55,691,349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50,187,450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45,237,231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100,928,580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55,691,349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50,187,450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45,237,231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100,928,580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55,691,349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50,187,450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45,237,231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100,928,580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61,054,821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66,558,720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71,508,939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132,563,760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61,054,821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66,558,720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71,508,939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132,563,760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116,746,170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116,746,170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116,746,170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233,492,340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79" w:line="1" w:lineRule="exact"/>
      </w:pPr>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rPr>
        <w:t>股份变动的原因</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上表为本公司前身鼎泰新材</w:t>
      </w:r>
      <w:r>
        <w:rPr>
          <w:color w:val="000000"/>
          <w:spacing w:val="0"/>
          <w:w w:val="100"/>
          <w:position w:val="0"/>
          <w:sz w:val="18"/>
          <w:szCs w:val="18"/>
        </w:rPr>
        <w:t>2016</w:t>
      </w:r>
      <w:r>
        <w:rPr>
          <w:color w:val="000000"/>
          <w:spacing w:val="0"/>
          <w:w w:val="100"/>
          <w:position w:val="0"/>
        </w:rPr>
        <w:t>年的股份变动情况。报告期内鼎泰新材实施</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年度权益分派方案，以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总股本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股为基数，向本鼎泰新材的全体股东每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股，转增股本后本公司前 身鼎泰新材总股本变更为</w:t>
      </w:r>
      <w:r>
        <w:rPr>
          <w:rFonts w:ascii="Times New Roman" w:eastAsia="Times New Roman" w:hAnsi="Times New Roman" w:cs="Times New Roman"/>
          <w:color w:val="000000"/>
          <w:spacing w:val="0"/>
          <w:w w:val="100"/>
          <w:position w:val="0"/>
          <w:sz w:val="18"/>
          <w:szCs w:val="18"/>
        </w:rPr>
        <w:t>233,492,340</w:t>
      </w:r>
      <w:r>
        <w:rPr>
          <w:color w:val="000000"/>
          <w:spacing w:val="0"/>
          <w:w w:val="100"/>
          <w:position w:val="0"/>
        </w:rPr>
        <w:t>股。</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根据重大资产重组的安排，本公司前身鼎泰新材向泰森控股原股东发行了每股面值人民币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元的普通股，计</w:t>
      </w:r>
      <w:r>
        <w:rPr>
          <w:rFonts w:ascii="Times New Roman" w:eastAsia="Times New Roman" w:hAnsi="Times New Roman" w:cs="Times New Roman"/>
          <w:color w:val="000000"/>
          <w:spacing w:val="0"/>
          <w:w w:val="100"/>
          <w:position w:val="0"/>
          <w:sz w:val="18"/>
          <w:szCs w:val="18"/>
        </w:rPr>
        <w:t>3,950,185,873</w:t>
      </w:r>
      <w:r>
        <w:rPr>
          <w:color w:val="000000"/>
          <w:spacing w:val="0"/>
          <w:w w:val="100"/>
          <w:position w:val="0"/>
        </w:rPr>
        <w:t>股。 该等新股于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日在中国证券登记结算有限责任公司深圳分公司办理了登记手续，并于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日正式上市。由 于上表仅反映截至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日的股份变动情况，因此未能体现该等新增股份。</w:t>
      </w:r>
    </w:p>
    <w:p>
      <w:pPr>
        <w:pStyle w:val="Style11"/>
        <w:keepNext w:val="0"/>
        <w:keepLines w:val="0"/>
        <w:widowControl w:val="0"/>
        <w:shd w:val="clear" w:color="auto" w:fill="auto"/>
        <w:bidi w:val="0"/>
        <w:spacing w:before="0" w:after="300" w:line="467" w:lineRule="exact"/>
        <w:ind w:left="0" w:right="0" w:firstLine="0"/>
        <w:jc w:val="both"/>
      </w:pPr>
      <w:r>
        <w:rPr>
          <w:color w:val="000000"/>
          <w:spacing w:val="0"/>
          <w:w w:val="100"/>
          <w:position w:val="0"/>
        </w:rPr>
        <w:t>股份变动的批准情况</w:t>
      </w:r>
    </w:p>
    <w:p>
      <w:pPr>
        <w:pStyle w:val="Style11"/>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240" w:line="467" w:lineRule="exact"/>
        <w:ind w:left="0" w:right="0" w:firstLine="0"/>
        <w:jc w:val="both"/>
      </w:pPr>
      <w:r>
        <w:rPr>
          <w:color w:val="000000"/>
          <w:spacing w:val="0"/>
          <w:w w:val="100"/>
          <w:position w:val="0"/>
        </w:rPr>
        <w:t>本公司前身鼎泰新材于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年度利润预案的议案》，以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股为基数，向本公司前身鼎泰新材全体股东每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元（含税），共派发现金 红利</w:t>
      </w:r>
      <w:r>
        <w:rPr>
          <w:rFonts w:ascii="Times New Roman" w:eastAsia="Times New Roman" w:hAnsi="Times New Roman" w:cs="Times New Roman"/>
          <w:color w:val="000000"/>
          <w:spacing w:val="0"/>
          <w:w w:val="100"/>
          <w:position w:val="0"/>
          <w:sz w:val="18"/>
          <w:szCs w:val="18"/>
        </w:rPr>
        <w:t>16,344,463.80</w:t>
      </w:r>
      <w:r>
        <w:rPr>
          <w:color w:val="000000"/>
          <w:spacing w:val="0"/>
          <w:w w:val="100"/>
          <w:position w:val="0"/>
        </w:rPr>
        <w:t>元（含税）；同时以本公司前身鼎泰新材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股为基数，向本公司前身鼎泰 新材全体股东每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w:t>
      </w:r>
    </w:p>
    <w:p>
      <w:pPr>
        <w:pStyle w:val="Style11"/>
        <w:keepNext w:val="0"/>
        <w:keepLines w:val="0"/>
        <w:widowControl w:val="0"/>
        <w:shd w:val="clear" w:color="auto" w:fill="auto"/>
        <w:bidi w:val="0"/>
        <w:spacing w:before="0" w:after="280" w:line="470" w:lineRule="exact"/>
        <w:ind w:left="0" w:right="0" w:firstLine="0"/>
        <w:jc w:val="both"/>
      </w:pPr>
      <w:r>
        <w:rPr>
          <w:color w:val="000000"/>
          <w:spacing w:val="0"/>
          <w:w w:val="100"/>
          <w:position w:val="0"/>
        </w:rPr>
        <w:t>股份变动的过户情况</w:t>
      </w:r>
    </w:p>
    <w:p>
      <w:pPr>
        <w:pStyle w:val="Style11"/>
        <w:keepNext w:val="0"/>
        <w:keepLines w:val="0"/>
        <w:widowControl w:val="0"/>
        <w:shd w:val="clear" w:color="auto" w:fill="auto"/>
        <w:bidi w:val="0"/>
        <w:spacing w:before="0" w:after="28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280" w:line="470"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1"/>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820" w:line="480" w:lineRule="exact"/>
        <w:ind w:left="0" w:right="0" w:firstLine="0"/>
        <w:jc w:val="both"/>
      </w:pPr>
      <w:r>
        <w:rPr>
          <w:color w:val="000000"/>
          <w:spacing w:val="0"/>
          <w:w w:val="100"/>
          <w:position w:val="0"/>
        </w:rPr>
        <w:t>报告期内，本公司前身鼎泰新材增加股本</w:t>
      </w:r>
      <w:r>
        <w:rPr>
          <w:rFonts w:ascii="Times New Roman" w:eastAsia="Times New Roman" w:hAnsi="Times New Roman" w:cs="Times New Roman"/>
          <w:color w:val="000000"/>
          <w:spacing w:val="0"/>
          <w:w w:val="100"/>
          <w:position w:val="0"/>
          <w:sz w:val="18"/>
          <w:szCs w:val="18"/>
        </w:rPr>
        <w:t>116,746,170</w:t>
      </w:r>
      <w:r>
        <w:rPr>
          <w:color w:val="000000"/>
          <w:spacing w:val="0"/>
          <w:w w:val="100"/>
          <w:position w:val="0"/>
        </w:rPr>
        <w:t>股，对本期基本每股收益和稀释每股收益、归属于公司普通股股东的每 股净资产有所摊薄。</w:t>
      </w:r>
    </w:p>
    <w:p>
      <w:pPr>
        <w:pStyle w:val="Style1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公司认为必要或证券监管机构要求披露的其他内容</w:t>
      </w:r>
    </w:p>
    <w:p>
      <w:pPr>
        <w:pStyle w:val="Style1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日，公司正式取得中国证券监督管理委员会证监许可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rPr>
        <w:t>号文《关于核准马鞍山鼎泰稀土新材料 股份有限公司重大资产重组及向深圳明德控股发展有限公司等发行股份购买资产并募集配套资金的批复》，本次重组交易进入 实施阶段。根据经批准的重大资产置换及发行股份购买资产方案，泰森控股于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日完成股东变更工商登记。根据 《重大资产置换及发行股份购买资产协议》约定，置入资产完成工商变更登记之日即为置入资产的交割日。根据签订的资产 交割确认函，本公司前身鼎泰新材确认自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置入资产所涉及的各项权利、义务、收益及风险转 移予上市公司。</w:t>
      </w:r>
    </w:p>
    <w:p>
      <w:pPr>
        <w:pStyle w:val="Style11"/>
        <w:keepNext w:val="0"/>
        <w:keepLines w:val="0"/>
        <w:widowControl w:val="0"/>
        <w:shd w:val="clear" w:color="auto" w:fill="auto"/>
        <w:bidi w:val="0"/>
        <w:spacing w:before="0" w:after="0" w:line="469" w:lineRule="exact"/>
        <w:ind w:left="0" w:right="0"/>
        <w:jc w:val="both"/>
      </w:pPr>
      <w:r>
        <w:rPr>
          <w:color w:val="000000"/>
          <w:spacing w:val="0"/>
          <w:w w:val="100"/>
          <w:position w:val="0"/>
        </w:rPr>
        <w:t>经普华永道中天会计师事务所（特殊普通合伙）审验并出具普华永道中天验资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1757</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日止，泰森控股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股权已转移予上市公司，根据《重大资产置换及发行股份购买资产协议》和证监会有关批复，本公 司前身鼎泰新材将向泰森控股全体股东发行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股股份。上市公司本次控股合并前的股本为人民币</w:t>
      </w:r>
      <w:r>
        <w:rPr>
          <w:rFonts w:ascii="Times New Roman" w:eastAsia="Times New Roman" w:hAnsi="Times New Roman" w:cs="Times New Roman"/>
          <w:color w:val="000000"/>
          <w:spacing w:val="0"/>
          <w:w w:val="100"/>
          <w:position w:val="0"/>
          <w:sz w:val="18"/>
          <w:szCs w:val="18"/>
        </w:rPr>
        <w:t>233,492,340</w:t>
      </w:r>
      <w:r>
        <w:rPr>
          <w:color w:val="000000"/>
          <w:spacing w:val="0"/>
          <w:w w:val="100"/>
          <w:position w:val="0"/>
        </w:rPr>
        <w:t>元，本次控股合 并后股本为人民币</w:t>
      </w:r>
      <w:r>
        <w:rPr>
          <w:rFonts w:ascii="Times New Roman" w:eastAsia="Times New Roman" w:hAnsi="Times New Roman" w:cs="Times New Roman"/>
          <w:color w:val="000000"/>
          <w:spacing w:val="0"/>
          <w:w w:val="100"/>
          <w:position w:val="0"/>
          <w:sz w:val="18"/>
          <w:szCs w:val="18"/>
        </w:rPr>
        <w:t>4,183,678,213</w:t>
      </w:r>
      <w:r>
        <w:rPr>
          <w:color w:val="000000"/>
          <w:spacing w:val="0"/>
          <w:w w:val="100"/>
          <w:position w:val="0"/>
        </w:rPr>
        <w:t>元，代表每股人民币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元的普通股</w:t>
      </w:r>
      <w:r>
        <w:rPr>
          <w:rFonts w:ascii="Times New Roman" w:eastAsia="Times New Roman" w:hAnsi="Times New Roman" w:cs="Times New Roman"/>
          <w:color w:val="000000"/>
          <w:spacing w:val="0"/>
          <w:w w:val="100"/>
          <w:position w:val="0"/>
          <w:sz w:val="18"/>
          <w:szCs w:val="18"/>
        </w:rPr>
        <w:t>4,183,678,213</w:t>
      </w:r>
      <w:r>
        <w:rPr>
          <w:color w:val="000000"/>
          <w:spacing w:val="0"/>
          <w:w w:val="100"/>
          <w:position w:val="0"/>
        </w:rPr>
        <w:t>股”。因此，截至本报告期末，上市公司合并资 产负债表的股本账面数变更为</w:t>
      </w:r>
      <w:r>
        <w:rPr>
          <w:rFonts w:ascii="Times New Roman" w:eastAsia="Times New Roman" w:hAnsi="Times New Roman" w:cs="Times New Roman"/>
          <w:color w:val="000000"/>
          <w:spacing w:val="0"/>
          <w:w w:val="100"/>
          <w:position w:val="0"/>
          <w:sz w:val="18"/>
          <w:szCs w:val="18"/>
        </w:rPr>
        <w:t>4,183,678,213</w:t>
      </w:r>
      <w:r>
        <w:rPr>
          <w:color w:val="000000"/>
          <w:spacing w:val="0"/>
          <w:w w:val="100"/>
          <w:position w:val="0"/>
        </w:rPr>
        <w:t>元。</w:t>
      </w:r>
    </w:p>
    <w:p>
      <w:pPr>
        <w:pStyle w:val="Style11"/>
        <w:keepNext w:val="0"/>
        <w:keepLines w:val="0"/>
        <w:widowControl w:val="0"/>
        <w:shd w:val="clear" w:color="auto" w:fill="auto"/>
        <w:bidi w:val="0"/>
        <w:spacing w:before="0" w:after="0" w:line="470"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日，公司前身鼎泰新材召开了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次临时股东大会，审议并改选了新一届董事会。鼎泰新材 控股股东于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日变更为明德控股，实质控制人变更为王卫，公司与实际控制人之间的产权及控制关系的方框图 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、公司实际控制人情况”。</w:t>
      </w:r>
    </w:p>
    <w:p>
      <w:pPr>
        <w:pStyle w:val="Style11"/>
        <w:keepNext w:val="0"/>
        <w:keepLines w:val="0"/>
        <w:widowControl w:val="0"/>
        <w:shd w:val="clear" w:color="auto" w:fill="auto"/>
        <w:bidi w:val="0"/>
        <w:spacing w:before="0" w:after="280" w:line="470"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日，鼎泰新材在中国证券登记结算有限责任公司深圳分公司办理了 </w:t>
      </w:r>
      <w:r>
        <w:rPr>
          <w:rFonts w:ascii="Times New Roman" w:eastAsia="Times New Roman" w:hAnsi="Times New Roman" w:cs="Times New Roman"/>
          <w:color w:val="000000"/>
          <w:spacing w:val="0"/>
          <w:w w:val="100"/>
          <w:position w:val="0"/>
          <w:sz w:val="18"/>
          <w:szCs w:val="18"/>
        </w:rPr>
        <w:t>39.5</w:t>
      </w:r>
      <w:r>
        <w:rPr>
          <w:color w:val="000000"/>
          <w:spacing w:val="0"/>
          <w:w w:val="100"/>
          <w:position w:val="0"/>
        </w:rPr>
        <w:t xml:space="preserve">亿股新增股份的登记手续。于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日，本公司前身鼎泰新材发布《重大资产置换及发行股份购买资产并募集配套资金暨关联交易之实施情况暨 新增股份上市公告书》公告。于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日，以上新股正式上市。</w:t>
      </w:r>
      <w:r>
        <w:br w:type="page"/>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p>
    <w:p>
      <w:pPr>
        <w:pStyle w:val="Style11"/>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下表为本公司前身鼎泰新材限售股份变动情况:</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32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40,171,627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48,334,061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75,123,254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日，首发后限售 股解限后基于高 管身份锁定 </w:t>
            </w:r>
            <w:r>
              <w:rPr>
                <w:rFonts w:ascii="Times New Roman" w:eastAsia="Times New Roman" w:hAnsi="Times New Roman" w:cs="Times New Roman"/>
                <w:color w:val="000000"/>
                <w:spacing w:val="0"/>
                <w:w w:val="100"/>
                <w:position w:val="0"/>
                <w:sz w:val="18"/>
                <w:szCs w:val="18"/>
              </w:rPr>
              <w:t xml:space="preserve">10,772,434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 xml:space="preserve">日，因公司实施 公积金转增股本 增加限售股 </w:t>
            </w:r>
            <w:r>
              <w:rPr>
                <w:rFonts w:ascii="Times New Roman" w:eastAsia="Times New Roman" w:hAnsi="Times New Roman" w:cs="Times New Roman"/>
                <w:color w:val="000000"/>
                <w:spacing w:val="0"/>
                <w:w w:val="100"/>
                <w:position w:val="0"/>
                <w:sz w:val="18"/>
                <w:szCs w:val="18"/>
              </w:rPr>
              <w:t xml:space="preserve">37,561,627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 限 </w:t>
            </w:r>
            <w:r>
              <w:rPr>
                <w:rFonts w:ascii="Times New Roman" w:eastAsia="Times New Roman" w:hAnsi="Times New Roman" w:cs="Times New Roman"/>
                <w:color w:val="000000"/>
                <w:spacing w:val="0"/>
                <w:w w:val="100"/>
                <w:position w:val="0"/>
                <w:sz w:val="18"/>
                <w:szCs w:val="18"/>
              </w:rPr>
              <w:t xml:space="preserve">2610000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日，首发后限售 股解限 </w:t>
            </w:r>
            <w:r>
              <w:rPr>
                <w:rFonts w:ascii="Times New Roman" w:eastAsia="Times New Roman" w:hAnsi="Times New Roman" w:cs="Times New Roman"/>
                <w:color w:val="000000"/>
                <w:spacing w:val="0"/>
                <w:w w:val="100"/>
                <w:position w:val="0"/>
                <w:sz w:val="18"/>
                <w:szCs w:val="18"/>
              </w:rPr>
              <w:t xml:space="preserve">10,772,434 </w:t>
            </w:r>
            <w:r>
              <w:rPr>
                <w:color w:val="000000"/>
                <w:spacing w:val="0"/>
                <w:w w:val="100"/>
                <w:position w:val="0"/>
              </w:rPr>
              <w:t>股</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6,725,514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3,555,970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日，首发后限售 股解限后基于高 管身份锁定 </w:t>
            </w:r>
            <w:r>
              <w:rPr>
                <w:rFonts w:ascii="Times New Roman" w:eastAsia="Times New Roman" w:hAnsi="Times New Roman" w:cs="Times New Roman"/>
                <w:color w:val="000000"/>
                <w:spacing w:val="0"/>
                <w:w w:val="100"/>
                <w:position w:val="0"/>
                <w:sz w:val="18"/>
                <w:szCs w:val="18"/>
              </w:rPr>
              <w:t xml:space="preserve">2,228,470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 xml:space="preserve">日，因公司实施 公积金转增股本 增加限售股 </w:t>
            </w:r>
            <w:r>
              <w:rPr>
                <w:rFonts w:ascii="Times New Roman" w:eastAsia="Times New Roman" w:hAnsi="Times New Roman" w:cs="Times New Roman"/>
                <w:color w:val="000000"/>
                <w:spacing w:val="0"/>
                <w:w w:val="100"/>
                <w:position w:val="0"/>
                <w:sz w:val="18"/>
                <w:szCs w:val="18"/>
              </w:rPr>
              <w:t xml:space="preserve">5,398,014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 限 </w:t>
            </w:r>
            <w:r>
              <w:rPr>
                <w:rFonts w:ascii="Times New Roman" w:eastAsia="Times New Roman" w:hAnsi="Times New Roman" w:cs="Times New Roman"/>
                <w:color w:val="000000"/>
                <w:spacing w:val="0"/>
                <w:w w:val="100"/>
                <w:position w:val="0"/>
                <w:sz w:val="18"/>
                <w:szCs w:val="18"/>
              </w:rPr>
              <w:t xml:space="preserve">1327500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2,228,470 </w:t>
            </w:r>
            <w:r>
              <w:rPr>
                <w:color w:val="000000"/>
                <w:spacing w:val="0"/>
                <w:w w:val="100"/>
                <w:position w:val="0"/>
              </w:rPr>
              <w:t>股</w:t>
            </w:r>
          </w:p>
        </w:tc>
      </w:tr>
      <w:tr>
        <w:trPr>
          <w:trHeight w:val="38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2,448,964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1,428,644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2,961,922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日 因增持股份增加 高管锁定股 </w:t>
            </w:r>
            <w:r>
              <w:rPr>
                <w:rFonts w:ascii="Times New Roman" w:eastAsia="Times New Roman" w:hAnsi="Times New Roman" w:cs="Times New Roman"/>
                <w:color w:val="000000"/>
                <w:spacing w:val="0"/>
                <w:w w:val="100"/>
                <w:position w:val="0"/>
                <w:sz w:val="18"/>
                <w:szCs w:val="18"/>
              </w:rPr>
              <w:t xml:space="preserve">2,325 </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日因增 持股份增加高管 锁定股</w:t>
            </w:r>
            <w:r>
              <w:rPr>
                <w:rFonts w:ascii="Times New Roman" w:eastAsia="Times New Roman" w:hAnsi="Times New Roman" w:cs="Times New Roman"/>
                <w:color w:val="000000"/>
                <w:spacing w:val="0"/>
                <w:w w:val="100"/>
                <w:position w:val="0"/>
                <w:sz w:val="18"/>
                <w:szCs w:val="18"/>
              </w:rPr>
              <w:t>29625</w:t>
            </w:r>
            <w:r>
              <w:rPr>
                <w:color w:val="000000"/>
                <w:spacing w:val="0"/>
                <w:w w:val="100"/>
                <w:position w:val="0"/>
                <w:sz w:val="17"/>
                <w:szCs w:val="17"/>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日，首发后限售 股解限后基于高 管身份锁定 </w:t>
            </w:r>
            <w:r>
              <w:rPr>
                <w:rFonts w:ascii="Times New Roman" w:eastAsia="Times New Roman" w:hAnsi="Times New Roman" w:cs="Times New Roman"/>
                <w:color w:val="000000"/>
                <w:spacing w:val="0"/>
                <w:w w:val="100"/>
                <w:position w:val="0"/>
                <w:sz w:val="18"/>
                <w:szCs w:val="18"/>
              </w:rPr>
              <w:t xml:space="preserve">938,851 </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 限 </w:t>
            </w:r>
            <w:r>
              <w:rPr>
                <w:rFonts w:ascii="Times New Roman" w:eastAsia="Times New Roman" w:hAnsi="Times New Roman" w:cs="Times New Roman"/>
                <w:color w:val="000000"/>
                <w:spacing w:val="0"/>
                <w:w w:val="100"/>
                <w:position w:val="0"/>
                <w:sz w:val="18"/>
                <w:szCs w:val="18"/>
              </w:rPr>
              <w:t xml:space="preserve">408323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1,020,321 </w:t>
            </w:r>
            <w:r>
              <w:rPr>
                <w:color w:val="000000"/>
                <w:spacing w:val="0"/>
                <w:w w:val="100"/>
                <w:position w:val="0"/>
              </w:rPr>
              <w:t>股</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 公司实施公积金 转增股本增加限 售股</w:t>
            </w:r>
            <w:r>
              <w:rPr>
                <w:rFonts w:ascii="Times New Roman" w:eastAsia="Times New Roman" w:hAnsi="Times New Roman" w:cs="Times New Roman"/>
                <w:color w:val="000000"/>
                <w:spacing w:val="0"/>
                <w:w w:val="100"/>
                <w:position w:val="0"/>
                <w:sz w:val="18"/>
                <w:szCs w:val="18"/>
              </w:rPr>
              <w:t>1,991,121</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日，首发后限售 股解限后基于高 管身份锁定 </w:t>
            </w:r>
            <w:r>
              <w:rPr>
                <w:rFonts w:ascii="Times New Roman" w:eastAsia="Times New Roman" w:hAnsi="Times New Roman" w:cs="Times New Roman"/>
                <w:color w:val="000000"/>
                <w:spacing w:val="0"/>
                <w:w w:val="100"/>
                <w:position w:val="0"/>
                <w:sz w:val="18"/>
                <w:szCs w:val="18"/>
              </w:rPr>
              <w:t xml:space="preserve">867,511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 公司实施公积金 转增股本增加限 售股</w:t>
            </w:r>
            <w:r>
              <w:rPr>
                <w:rFonts w:ascii="Times New Roman" w:eastAsia="Times New Roman" w:hAnsi="Times New Roman" w:cs="Times New Roman"/>
                <w:color w:val="000000"/>
                <w:spacing w:val="0"/>
                <w:w w:val="100"/>
                <w:position w:val="0"/>
                <w:sz w:val="18"/>
                <w:szCs w:val="18"/>
              </w:rPr>
              <w:t>1,828,534</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 限 </w:t>
            </w:r>
            <w:r>
              <w:rPr>
                <w:rFonts w:ascii="Times New Roman" w:eastAsia="Times New Roman" w:hAnsi="Times New Roman" w:cs="Times New Roman"/>
                <w:color w:val="000000"/>
                <w:spacing w:val="0"/>
                <w:w w:val="100"/>
                <w:position w:val="0"/>
                <w:sz w:val="18"/>
                <w:szCs w:val="18"/>
              </w:rPr>
              <w:t xml:space="preserve">457134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867,511 </w:t>
            </w:r>
            <w:r>
              <w:rPr>
                <w:color w:val="000000"/>
                <w:spacing w:val="0"/>
                <w:w w:val="100"/>
                <w:position w:val="0"/>
              </w:rPr>
              <w:t>股</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日，首发后限售 股解限后基于高 管身份锁定</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510,160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日，因 公司实施公积金 转增股本增加限 售股 </w:t>
            </w:r>
            <w:r>
              <w:rPr>
                <w:rFonts w:ascii="Times New Roman" w:eastAsia="Times New Roman" w:hAnsi="Times New Roman" w:cs="Times New Roman"/>
                <w:color w:val="000000"/>
                <w:spacing w:val="0"/>
                <w:w w:val="100"/>
                <w:position w:val="0"/>
                <w:sz w:val="18"/>
                <w:szCs w:val="18"/>
              </w:rPr>
              <w:t xml:space="preserve">1,244,185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日，因去世离 任增加高管锁定 股</w:t>
            </w:r>
            <w:r>
              <w:rPr>
                <w:rFonts w:ascii="Times New Roman" w:eastAsia="Times New Roman" w:hAnsi="Times New Roman" w:cs="Times New Roman"/>
                <w:color w:val="000000"/>
                <w:spacing w:val="0"/>
                <w:w w:val="100"/>
                <w:position w:val="0"/>
                <w:sz w:val="18"/>
                <w:szCs w:val="18"/>
              </w:rPr>
              <w:t>829458</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 限 </w:t>
            </w:r>
            <w:r>
              <w:rPr>
                <w:rFonts w:ascii="Times New Roman" w:eastAsia="Times New Roman" w:hAnsi="Times New Roman" w:cs="Times New Roman"/>
                <w:color w:val="000000"/>
                <w:spacing w:val="0"/>
                <w:w w:val="100"/>
                <w:position w:val="0"/>
                <w:sz w:val="18"/>
                <w:szCs w:val="18"/>
              </w:rPr>
              <w:t xml:space="preserve">306096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510,160 </w:t>
            </w:r>
            <w:r>
              <w:rPr>
                <w:color w:val="000000"/>
                <w:spacing w:val="0"/>
                <w:w w:val="100"/>
                <w:position w:val="0"/>
              </w:rPr>
              <w:t>股</w:t>
            </w:r>
          </w:p>
        </w:tc>
      </w:tr>
      <w:tr>
        <w:trPr>
          <w:trHeight w:val="28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日，首发后限售 股解限后基于高 管身份锁定 </w:t>
            </w:r>
            <w:r>
              <w:rPr>
                <w:rFonts w:ascii="Times New Roman" w:eastAsia="Times New Roman" w:hAnsi="Times New Roman" w:cs="Times New Roman"/>
                <w:color w:val="000000"/>
                <w:spacing w:val="0"/>
                <w:w w:val="100"/>
                <w:position w:val="0"/>
                <w:sz w:val="18"/>
                <w:szCs w:val="18"/>
              </w:rPr>
              <w:t xml:space="preserve">255,080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 公司实施公积金 转增股本增加限 售股</w:t>
            </w:r>
            <w:r>
              <w:rPr>
                <w:rFonts w:ascii="Times New Roman" w:eastAsia="Times New Roman" w:hAnsi="Times New Roman" w:cs="Times New Roman"/>
                <w:color w:val="000000"/>
                <w:spacing w:val="0"/>
                <w:w w:val="100"/>
                <w:position w:val="0"/>
                <w:sz w:val="18"/>
                <w:szCs w:val="18"/>
              </w:rPr>
              <w:t>692,989</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 限 </w:t>
            </w:r>
            <w:r>
              <w:rPr>
                <w:rFonts w:ascii="Times New Roman" w:eastAsia="Times New Roman" w:hAnsi="Times New Roman" w:cs="Times New Roman"/>
                <w:color w:val="000000"/>
                <w:spacing w:val="0"/>
                <w:w w:val="100"/>
                <w:position w:val="0"/>
                <w:sz w:val="18"/>
                <w:szCs w:val="18"/>
              </w:rPr>
              <w:t xml:space="preserve">180000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255,080 </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日，因公司实施 公积金转增股本 增加限售股</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477,530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159,176 </w:t>
            </w:r>
            <w:r>
              <w:rPr>
                <w:color w:val="000000"/>
                <w:spacing w:val="0"/>
                <w:w w:val="100"/>
                <w:position w:val="0"/>
              </w:rPr>
              <w:t>股</w:t>
            </w: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1,154,322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日，因公司实施 公积金转增股本</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高管锁定股按上 年末持股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增加限售股</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612,300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日离职, 增加高管锁定股 </w:t>
            </w:r>
            <w:r>
              <w:rPr>
                <w:rFonts w:ascii="Times New Roman" w:eastAsia="Times New Roman" w:hAnsi="Times New Roman" w:cs="Times New Roman"/>
                <w:color w:val="000000"/>
                <w:spacing w:val="0"/>
                <w:w w:val="100"/>
                <w:position w:val="0"/>
                <w:sz w:val="18"/>
                <w:szCs w:val="18"/>
              </w:rPr>
              <w:t xml:space="preserve">134802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限 </w:t>
            </w:r>
            <w:r>
              <w:rPr>
                <w:rFonts w:ascii="Times New Roman" w:eastAsia="Times New Roman" w:hAnsi="Times New Roman" w:cs="Times New Roman"/>
                <w:color w:val="000000"/>
                <w:spacing w:val="0"/>
                <w:w w:val="100"/>
                <w:position w:val="0"/>
                <w:sz w:val="18"/>
                <w:szCs w:val="18"/>
              </w:rPr>
              <w:t xml:space="preserve">2550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日，离 职半年后高管锁 定股解锁 </w:t>
            </w:r>
            <w:r>
              <w:rPr>
                <w:rFonts w:ascii="Times New Roman" w:eastAsia="Times New Roman" w:hAnsi="Times New Roman" w:cs="Times New Roman"/>
                <w:color w:val="000000"/>
                <w:spacing w:val="0"/>
                <w:w w:val="100"/>
                <w:position w:val="0"/>
                <w:sz w:val="18"/>
                <w:szCs w:val="18"/>
              </w:rPr>
              <w:t xml:space="preserve">205,080 </w:t>
            </w:r>
            <w:r>
              <w:rPr>
                <w:color w:val="000000"/>
                <w:spacing w:val="0"/>
                <w:w w:val="100"/>
                <w:position w:val="0"/>
              </w:rPr>
              <w:t>股</w:t>
            </w:r>
          </w:p>
        </w:tc>
      </w:tr>
      <w:tr>
        <w:trPr>
          <w:trHeight w:val="50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因增持股份增加 高管锁定股</w:t>
            </w:r>
            <w:r>
              <w:rPr>
                <w:rFonts w:ascii="Times New Roman" w:eastAsia="Times New Roman" w:hAnsi="Times New Roman" w:cs="Times New Roman"/>
                <w:color w:val="000000"/>
                <w:spacing w:val="0"/>
                <w:w w:val="100"/>
                <w:position w:val="0"/>
                <w:sz w:val="18"/>
                <w:szCs w:val="18"/>
              </w:rPr>
              <w:t xml:space="preserve">2250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日，首发后限 售股解限后基于 高管身份锁定 </w:t>
            </w:r>
            <w:r>
              <w:rPr>
                <w:rFonts w:ascii="Times New Roman" w:eastAsia="Times New Roman" w:hAnsi="Times New Roman" w:cs="Times New Roman"/>
                <w:color w:val="000000"/>
                <w:spacing w:val="0"/>
                <w:w w:val="100"/>
                <w:position w:val="0"/>
                <w:sz w:val="18"/>
                <w:szCs w:val="18"/>
              </w:rPr>
              <w:t xml:space="preserve">45,000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离职，增加高管 锁定股</w:t>
            </w:r>
            <w:r>
              <w:rPr>
                <w:rFonts w:ascii="Times New Roman" w:eastAsia="Times New Roman" w:hAnsi="Times New Roman" w:cs="Times New Roman"/>
                <w:color w:val="000000"/>
                <w:spacing w:val="0"/>
                <w:w w:val="100"/>
                <w:position w:val="0"/>
                <w:sz w:val="18"/>
                <w:szCs w:val="18"/>
              </w:rPr>
              <w:t>51375</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 xml:space="preserve">日，因公司实施 公积金转增股本 增加限售股 </w:t>
            </w:r>
            <w:r>
              <w:rPr>
                <w:rFonts w:ascii="Times New Roman" w:eastAsia="Times New Roman" w:hAnsi="Times New Roman" w:cs="Times New Roman"/>
                <w:color w:val="000000"/>
                <w:spacing w:val="0"/>
                <w:w w:val="100"/>
                <w:position w:val="0"/>
                <w:sz w:val="18"/>
                <w:szCs w:val="18"/>
              </w:rPr>
              <w:t xml:space="preserve">692,989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高管锁定股法定 解锁</w:t>
            </w:r>
            <w:r>
              <w:rPr>
                <w:rFonts w:ascii="Times New Roman" w:eastAsia="Times New Roman" w:hAnsi="Times New Roman" w:cs="Times New Roman"/>
                <w:color w:val="000000"/>
                <w:spacing w:val="0"/>
                <w:w w:val="100"/>
                <w:position w:val="0"/>
                <w:sz w:val="18"/>
                <w:szCs w:val="18"/>
              </w:rPr>
              <w:t>16875</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 xml:space="preserve">45,000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日，离职半年 后高管锁定股解 锁</w:t>
            </w:r>
            <w:r>
              <w:rPr>
                <w:rFonts w:ascii="Times New Roman" w:eastAsia="Times New Roman" w:hAnsi="Times New Roman" w:cs="Times New Roman"/>
                <w:color w:val="000000"/>
                <w:spacing w:val="0"/>
                <w:w w:val="100"/>
                <w:position w:val="0"/>
                <w:sz w:val="18"/>
                <w:szCs w:val="18"/>
              </w:rPr>
              <w:t>205500</w:t>
            </w:r>
            <w:r>
              <w:rPr>
                <w:color w:val="000000"/>
                <w:spacing w:val="0"/>
                <w:w w:val="100"/>
                <w:position w:val="0"/>
              </w:rPr>
              <w:t>股</w:t>
            </w: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因增持股份增加 高管锁定股</w:t>
            </w:r>
            <w:r>
              <w:rPr>
                <w:rFonts w:ascii="Times New Roman" w:eastAsia="Times New Roman" w:hAnsi="Times New Roman" w:cs="Times New Roman"/>
                <w:color w:val="000000"/>
                <w:spacing w:val="0"/>
                <w:w w:val="100"/>
                <w:position w:val="0"/>
                <w:sz w:val="18"/>
                <w:szCs w:val="18"/>
              </w:rPr>
              <w:t xml:space="preserve">1425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日，首发后限 售股解限后基于 高管身份锁定 </w:t>
            </w:r>
            <w:r>
              <w:rPr>
                <w:rFonts w:ascii="Times New Roman" w:eastAsia="Times New Roman" w:hAnsi="Times New Roman" w:cs="Times New Roman"/>
                <w:color w:val="000000"/>
                <w:spacing w:val="0"/>
                <w:w w:val="100"/>
                <w:position w:val="0"/>
                <w:sz w:val="18"/>
                <w:szCs w:val="18"/>
              </w:rPr>
              <w:t xml:space="preserve">41,400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 公司实施公积金 转增股本增加限 售股</w:t>
            </w:r>
            <w:r>
              <w:rPr>
                <w:rFonts w:ascii="Times New Roman" w:eastAsia="Times New Roman" w:hAnsi="Times New Roman" w:cs="Times New Roman"/>
                <w:color w:val="000000"/>
                <w:spacing w:val="0"/>
                <w:w w:val="100"/>
                <w:position w:val="0"/>
                <w:sz w:val="18"/>
                <w:szCs w:val="18"/>
              </w:rPr>
              <w:t>87,825</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高管锁定股法定 解锁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w:t>
            </w:r>
          </w:p>
          <w:p>
            <w:pPr>
              <w:pStyle w:val="Style23"/>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股</w:t>
            </w:r>
          </w:p>
        </w:tc>
      </w:tr>
      <w:tr>
        <w:trPr>
          <w:trHeight w:val="31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因增持股份增加 高管锁定股</w:t>
            </w:r>
            <w:r>
              <w:rPr>
                <w:rFonts w:ascii="Times New Roman" w:eastAsia="Times New Roman" w:hAnsi="Times New Roman" w:cs="Times New Roman"/>
                <w:color w:val="000000"/>
                <w:spacing w:val="0"/>
                <w:w w:val="100"/>
                <w:position w:val="0"/>
                <w:sz w:val="18"/>
                <w:szCs w:val="18"/>
              </w:rPr>
              <w:t xml:space="preserve">1425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日，首发后限 售股解限后基于 高管身份锁定 </w:t>
            </w:r>
            <w:r>
              <w:rPr>
                <w:rFonts w:ascii="Times New Roman" w:eastAsia="Times New Roman" w:hAnsi="Times New Roman" w:cs="Times New Roman"/>
                <w:color w:val="000000"/>
                <w:spacing w:val="0"/>
                <w:w w:val="100"/>
                <w:position w:val="0"/>
                <w:sz w:val="18"/>
                <w:szCs w:val="18"/>
              </w:rPr>
              <w:t xml:space="preserve">41,400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 公司实施公积金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高管锁定股法定 解锁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w:t>
            </w:r>
          </w:p>
          <w:p>
            <w:pPr>
              <w:pStyle w:val="Style23"/>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日，首发后限售 股解限</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股</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转增股本增加限 售股</w:t>
            </w:r>
            <w:r>
              <w:rPr>
                <w:rFonts w:ascii="Times New Roman" w:eastAsia="Times New Roman" w:hAnsi="Times New Roman" w:cs="Times New Roman"/>
                <w:color w:val="000000"/>
                <w:spacing w:val="0"/>
                <w:w w:val="100"/>
                <w:position w:val="0"/>
                <w:sz w:val="18"/>
                <w:szCs w:val="18"/>
              </w:rPr>
              <w:t>87,825</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66,940,441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100,928,580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tabs>
          <w:tab w:pos="517"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二</w:t>
      </w:r>
      <w:bookmarkEnd w:id="348"/>
      <w:r>
        <w:rPr>
          <w:color w:val="000000"/>
          <w:spacing w:val="0"/>
          <w:w w:val="100"/>
          <w:position w:val="0"/>
          <w:sz w:val="24"/>
          <w:szCs w:val="24"/>
        </w:rPr>
        <w:t>、</w:t>
        <w:tab/>
        <w:t>证券发行与上市情况</w:t>
      </w:r>
      <w:bookmarkEnd w:id="346"/>
      <w:bookmarkEnd w:id="347"/>
      <w:bookmarkEnd w:id="349"/>
    </w:p>
    <w:p>
      <w:pPr>
        <w:pStyle w:val="Style33"/>
        <w:keepNext w:val="0"/>
        <w:keepLines w:val="0"/>
        <w:widowControl w:val="0"/>
        <w:shd w:val="clear" w:color="auto" w:fill="auto"/>
        <w:tabs>
          <w:tab w:pos="381" w:val="left"/>
        </w:tabs>
        <w:bidi w:val="0"/>
        <w:spacing w:before="0" w:after="360" w:line="240" w:lineRule="auto"/>
        <w:ind w:left="0" w:right="0" w:firstLine="0"/>
        <w:jc w:val="left"/>
      </w:pPr>
      <w:bookmarkStart w:id="350" w:name="bookmark350"/>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报告期内证券发行（不含优先股）情况</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81" w:val="left"/>
        </w:tabs>
        <w:bidi w:val="0"/>
        <w:spacing w:before="0" w:after="360" w:line="240" w:lineRule="auto"/>
        <w:ind w:left="0" w:right="0" w:firstLine="0"/>
        <w:jc w:val="left"/>
      </w:pPr>
      <w:bookmarkStart w:id="351" w:name="bookmark351"/>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公司股份总数及股东结构的变动、公司资产和负债结构的变动情况说明</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81" w:val="left"/>
        </w:tabs>
        <w:bidi w:val="0"/>
        <w:spacing w:before="0" w:after="360" w:line="240" w:lineRule="auto"/>
        <w:ind w:left="0" w:right="0" w:firstLine="0"/>
        <w:jc w:val="left"/>
      </w:pPr>
      <w:bookmarkStart w:id="352" w:name="bookmark352"/>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现存的内部职工股情况</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sz w:val="24"/>
          <w:szCs w:val="24"/>
        </w:rPr>
        <w:t>三</w:t>
      </w:r>
      <w:bookmarkEnd w:id="355"/>
      <w:r>
        <w:rPr>
          <w:color w:val="000000"/>
          <w:spacing w:val="0"/>
          <w:w w:val="100"/>
          <w:position w:val="0"/>
          <w:sz w:val="24"/>
          <w:szCs w:val="24"/>
        </w:rPr>
        <w:t>、</w:t>
        <w:tab/>
        <w:t>股东和实际控制人情况</w:t>
      </w:r>
      <w:bookmarkEnd w:id="353"/>
      <w:bookmarkEnd w:id="354"/>
      <w:bookmarkEnd w:id="356"/>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74"/>
        <w:gridCol w:w="922"/>
        <w:gridCol w:w="490"/>
        <w:gridCol w:w="763"/>
        <w:gridCol w:w="1066"/>
        <w:gridCol w:w="960"/>
        <w:gridCol w:w="307"/>
        <w:gridCol w:w="686"/>
        <w:gridCol w:w="514"/>
        <w:gridCol w:w="480"/>
        <w:gridCol w:w="710"/>
        <w:gridCol w:w="1210"/>
      </w:tblGrid>
      <w:tr>
        <w:trPr>
          <w:trHeight w:val="196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30,796</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73,262</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权恢复的优先</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股股东总数</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（如有）（参见</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5"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100,164,338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50,082,169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75,123,254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10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中科汇通（深圳） 股权投资基金有 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1,691,415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5,797,352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10,796,028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5,309,656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2,697,428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3,982,242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4,766,643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2,328,598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3,657,068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4,686,200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2,343,100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411"/>
        <w:gridCol w:w="787"/>
        <w:gridCol w:w="1008"/>
        <w:gridCol w:w="994"/>
        <w:gridCol w:w="994"/>
        <w:gridCol w:w="206"/>
        <w:gridCol w:w="787"/>
        <w:gridCol w:w="562"/>
        <w:gridCol w:w="144"/>
        <w:gridCol w:w="121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叶玉莲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3,317,828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3,317,828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招商银行股份有 限公司一汇添富 医疗服务灵活配 置混合型证券投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3,149,861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3,149,861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1,582,672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刘冀鲁先生与刘凌云女士系父女关系，属于一致行动人；未知其他股东之间是否存在 关联关系，是否属于一致行动人。</w:t>
            </w:r>
          </w:p>
        </w:tc>
      </w:tr>
      <w:tr>
        <w:trPr>
          <w:trHeight w:val="398"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刘冀鲁</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25,041,084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25,041,084</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中科汇通（深圳）股权投资基金有限 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14,456,200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4,686,200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4,686,200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叶玉莲</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4,000,007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4,000,007</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招商银行股份有限公司一汇添富医 疗服务灵活配置混合型证券投资基 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3,149,861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3,149,861</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刘凌云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2,198,676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2,198,676</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梁晏</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1,413,399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1,413,399</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宫为平</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1,327,414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1,327,414</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黄学春</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1,109,575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1,109,575</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王孝安</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1339"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刘冀鲁先生与刘凌云女士系父女关系，属于一致行动人；未知其他股东之间是否存在 关联关系，是否属于一致行动人。</w:t>
            </w:r>
          </w:p>
        </w:tc>
      </w:tr>
      <w:tr>
        <w:trPr>
          <w:trHeight w:val="725"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1"/>
        <w:keepNext w:val="0"/>
        <w:keepLines w:val="0"/>
        <w:widowControl w:val="0"/>
        <w:shd w:val="clear" w:color="auto" w:fill="auto"/>
        <w:bidi w:val="0"/>
        <w:spacing w:before="0" w:after="580" w:line="468" w:lineRule="exact"/>
        <w:ind w:left="0" w:right="0" w:firstLine="0"/>
        <w:jc w:val="left"/>
      </w:pPr>
      <w:r>
        <w:rPr>
          <w:color w:val="000000"/>
          <w:spacing w:val="0"/>
          <w:w w:val="100"/>
          <w:position w:val="0"/>
        </w:rPr>
        <w:t>上表为本公司前身鼎泰新材</w:t>
      </w:r>
      <w:r>
        <w:rPr>
          <w:color w:val="000000"/>
          <w:spacing w:val="0"/>
          <w:w w:val="100"/>
          <w:position w:val="0"/>
          <w:sz w:val="18"/>
          <w:szCs w:val="18"/>
        </w:rPr>
        <w:t>2016</w:t>
      </w:r>
      <w:r>
        <w:rPr>
          <w:color w:val="000000"/>
          <w:spacing w:val="0"/>
          <w:w w:val="100"/>
          <w:position w:val="0"/>
        </w:rPr>
        <w:t>年的股份变动情况。根据重大资产重组的安排，本公司前身鼎泰新材向泰森控股原股东发行 了每股面值人民币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元的普通股，计</w:t>
      </w:r>
      <w:r>
        <w:rPr>
          <w:rFonts w:ascii="Times New Roman" w:eastAsia="Times New Roman" w:hAnsi="Times New Roman" w:cs="Times New Roman"/>
          <w:color w:val="000000"/>
          <w:spacing w:val="0"/>
          <w:w w:val="100"/>
          <w:position w:val="0"/>
          <w:sz w:val="18"/>
          <w:szCs w:val="18"/>
        </w:rPr>
        <w:t>3,950,185,873</w:t>
      </w:r>
      <w:r>
        <w:rPr>
          <w:color w:val="000000"/>
          <w:spacing w:val="0"/>
          <w:w w:val="100"/>
          <w:position w:val="0"/>
        </w:rPr>
        <w:t>股。该等新股于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日在中国证券登记结算有限责任公司深圳分公 司办理了登记手续，并于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日正式上市。鼎泰新材控股股东于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日变更为明德控股，实质控制人变更为 王卫，公司与实际控制人之间的产权及控制关系的方框图详见“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、公司实际控制人情况”。由于上表仅反映截至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日的股东持股情况，因此未能体现该等新增股份及新增股份后的股东持股情况。</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备注：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val="0"/>
        <w:keepLines w:val="0"/>
        <w:widowControl w:val="0"/>
        <w:shd w:val="clear" w:color="auto" w:fill="auto"/>
        <w:bidi w:val="0"/>
        <w:spacing w:before="0" w:after="7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、公司控股股东情况</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深圳明德控股发展有限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27939606-4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国际货运代理；经济技 术咨询，技术信息咨询； 以特许经营方式从事商 业活动；经营进出口业 务（法律、行政法规、 国务院决定禁止的项目 除外，限制的项目须取 得许可后方可经营）；投 资兴办实业（具体项目 另行申报）。</w:t>
            </w:r>
          </w:p>
        </w:tc>
      </w:tr>
      <w:tr>
        <w:trPr>
          <w:trHeight w:val="103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深圳明德控股发展有限公司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bookmarkStart w:id="357" w:name="bookmark357"/>
      <w:r>
        <w:rPr>
          <w:rFonts w:ascii="Times New Roman" w:eastAsia="Times New Roman" w:hAnsi="Times New Roman" w:cs="Times New Roman"/>
          <w:color w:val="000000"/>
          <w:spacing w:val="0"/>
          <w:w w:val="100"/>
          <w:position w:val="0"/>
        </w:rPr>
        <w:t>3</w:t>
      </w:r>
      <w:bookmarkEnd w:id="357"/>
      <w:r>
        <w:rPr>
          <w:color w:val="000000"/>
          <w:spacing w:val="0"/>
          <w:w w:val="100"/>
          <w:position w:val="0"/>
        </w:rPr>
        <w:t>、公司实际控制人情况</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王卫先生，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年出生，中国国籍，顺丰创始人及实际控制人。现任本公司董 事长兼总经理。</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widowControl w:val="0"/>
        <w:spacing w:after="439" w:line="1" w:lineRule="exact"/>
      </w:pP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127250" cy="187769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pic:blipFill>
                  <pic:spPr>
                    <a:xfrm>
                      <a:ext cx="2127250" cy="1877695"/>
                    </a:xfrm>
                    <a:prstGeom prst="rect"/>
                  </pic:spPr>
                </pic:pic>
              </a:graphicData>
            </a:graphic>
          </wp:inline>
        </w:drawing>
      </w:r>
    </w:p>
    <w:p>
      <w:pPr>
        <w:widowControl w:val="0"/>
        <w:spacing w:after="319" w:line="1" w:lineRule="exact"/>
      </w:pP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358" w:name="bookmark358"/>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359" w:name="bookmark359"/>
      <w:r>
        <w:rPr>
          <w:rFonts w:ascii="Times New Roman" w:eastAsia="Times New Roman" w:hAnsi="Times New Roman" w:cs="Times New Roman"/>
          <w:color w:val="000000"/>
          <w:spacing w:val="0"/>
          <w:w w:val="100"/>
          <w:position w:val="0"/>
        </w:rPr>
        <w:t>5</w:t>
      </w:r>
      <w:bookmarkEnd w:id="359"/>
      <w:r>
        <w:rPr>
          <w:color w:val="000000"/>
          <w:spacing w:val="0"/>
          <w:w w:val="100"/>
          <w:position w:val="0"/>
        </w:rPr>
        <w:t>、</w:t>
        <w:tab/>
        <w:t>控股股东、实际控制人、重组方及其他承诺主体股份限制减持情况</w:t>
      </w:r>
    </w:p>
    <w:p>
      <w:pPr>
        <w:pStyle w:val="Style1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3" behindDoc="0" locked="0" layoutInCell="1" allowOverlap="1">
                <wp:simplePos x="0" y="0"/>
                <wp:positionH relativeFrom="page">
                  <wp:posOffset>2710180</wp:posOffset>
                </wp:positionH>
                <wp:positionV relativeFrom="paragraph">
                  <wp:posOffset>0</wp:posOffset>
                </wp:positionV>
                <wp:extent cx="2170430" cy="243840"/>
                <wp:wrapTopAndBottom/>
                <wp:docPr id="33" name="Shape 3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208" w:name="bookmark208"/>
                            <w:bookmarkStart w:id="209" w:name="bookmark209"/>
                            <w:bookmarkStart w:id="210" w:name="bookmark210"/>
                            <w:r>
                              <w:rPr>
                                <w:color w:val="000000"/>
                                <w:spacing w:val="0"/>
                                <w:w w:val="100"/>
                                <w:position w:val="0"/>
                              </w:rPr>
                              <w:t>第七节优先股相关情况</w:t>
                            </w:r>
                            <w:bookmarkEnd w:id="208"/>
                            <w:bookmarkEnd w:id="209"/>
                            <w:bookmarkEnd w:id="210"/>
                          </w:p>
                        </w:txbxContent>
                      </wps:txbx>
                      <wps:bodyPr wrap="none" lIns="0" tIns="0" rIns="0" bIns="0">
                        <a:noAutoFit/>
                      </wps:bodyPr>
                    </wps:wsp>
                  </a:graphicData>
                </a:graphic>
              </wp:anchor>
            </w:drawing>
          </mc:Choice>
          <mc:Fallback>
            <w:pict>
              <v:shape id="_x0000_s1059" type="#_x0000_t202" style="position:absolute;margin-left:213.40000000000001pt;margin-top:0;width:170.90000000000001pt;height:19.199999999999999pt;z-index:-125829370;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208" w:name="bookmark208"/>
                      <w:bookmarkStart w:id="209" w:name="bookmark209"/>
                      <w:bookmarkStart w:id="210" w:name="bookmark210"/>
                      <w:r>
                        <w:rPr>
                          <w:color w:val="000000"/>
                          <w:spacing w:val="0"/>
                          <w:w w:val="100"/>
                          <w:position w:val="0"/>
                        </w:rPr>
                        <w:t>第七节优先股相关情况</w:t>
                      </w:r>
                      <w:bookmarkEnd w:id="208"/>
                      <w:bookmarkEnd w:id="209"/>
                      <w:bookmarkEnd w:id="210"/>
                    </w:p>
                  </w:txbxContent>
                </v:textbox>
                <w10:wrap type="topAndBottom" anchorx="page"/>
              </v:shape>
            </w:pict>
          </mc:Fallback>
        </mc:AlternateContent>
      </w:r>
    </w:p>
    <w:p>
      <w:pPr>
        <w:pStyle w:val="Style11"/>
        <w:keepNext w:val="0"/>
        <w:keepLines w:val="0"/>
        <w:widowControl w:val="0"/>
        <w:shd w:val="clear" w:color="auto" w:fill="auto"/>
        <w:bidi w:val="0"/>
        <w:spacing w:before="0" w:line="240" w:lineRule="auto"/>
        <w:ind w:left="0" w:right="0" w:firstLine="0"/>
        <w:jc w:val="left"/>
      </w:pPr>
      <w:bookmarkStart w:id="360" w:name="bookmark36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36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361" w:name="bookmark361"/>
      <w:bookmarkStart w:id="362" w:name="bookmark362"/>
      <w:bookmarkStart w:id="363" w:name="bookmark363"/>
      <w:r>
        <w:rPr>
          <w:color w:val="000000"/>
          <w:spacing w:val="0"/>
          <w:w w:val="100"/>
          <w:position w:val="0"/>
        </w:rPr>
        <w:t>第八节董事、监事、高级管理人员和员工情况</w:t>
      </w:r>
      <w:bookmarkEnd w:id="361"/>
      <w:bookmarkEnd w:id="362"/>
      <w:bookmarkEnd w:id="363"/>
    </w:p>
    <w:p>
      <w:pPr>
        <w:pStyle w:val="Style27"/>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bookmarkStart w:id="367" w:name="bookmark367"/>
      <w:bookmarkStart w:id="368" w:name="bookmark368"/>
      <w:r>
        <w:rPr>
          <w:color w:val="000000"/>
          <w:spacing w:val="0"/>
          <w:w w:val="100"/>
          <w:position w:val="0"/>
          <w:sz w:val="24"/>
          <w:szCs w:val="24"/>
        </w:rPr>
        <w:t>一</w:t>
      </w:r>
      <w:bookmarkEnd w:id="367"/>
      <w:r>
        <w:rPr>
          <w:color w:val="000000"/>
          <w:spacing w:val="0"/>
          <w:w w:val="100"/>
          <w:position w:val="0"/>
          <w:sz w:val="24"/>
          <w:szCs w:val="24"/>
        </w:rPr>
        <w:t>、董事、监事和高级管理人员持股变动</w:t>
      </w:r>
      <w:bookmarkEnd w:id="365"/>
      <w:bookmarkEnd w:id="366"/>
      <w:bookmarkEnd w:id="368"/>
      <w:bookmarkEnd w:id="364"/>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 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 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4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伍玮婷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董事、</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财务负责</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人、</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杜浩洋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 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陈启明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离任董事</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50,241,98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184,326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离任总经</w:t>
            </w:r>
          </w:p>
          <w:p>
            <w:pPr>
              <w:pStyle w:val="Style23"/>
              <w:keepNext w:val="0"/>
              <w:keepLines w:val="0"/>
              <w:widowControl w:val="0"/>
              <w:shd w:val="clear" w:color="auto" w:fill="auto"/>
              <w:bidi w:val="0"/>
              <w:spacing w:before="0" w:after="180" w:line="240" w:lineRule="auto"/>
              <w:ind w:left="0" w:right="0" w:firstLine="0"/>
              <w:jc w:val="both"/>
            </w:pPr>
            <w:r>
              <w:rPr>
                <w:color w:val="000000"/>
                <w:spacing w:val="0"/>
                <w:w w:val="100"/>
                <w:position w:val="0"/>
              </w:rPr>
              <w:t>理、</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离任监事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7,298,352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副总经</w:t>
            </w:r>
          </w:p>
          <w:p>
            <w:pPr>
              <w:pStyle w:val="Style23"/>
              <w:keepNext w:val="0"/>
              <w:keepLines w:val="0"/>
              <w:widowControl w:val="0"/>
              <w:shd w:val="clear" w:color="auto" w:fill="auto"/>
              <w:bidi w:val="0"/>
              <w:spacing w:before="0" w:after="60" w:line="317" w:lineRule="exact"/>
              <w:ind w:left="0" w:right="0" w:firstLine="0"/>
              <w:jc w:val="both"/>
            </w:pPr>
            <w:r>
              <w:rPr>
                <w:color w:val="000000"/>
                <w:spacing w:val="0"/>
                <w:w w:val="100"/>
                <w:position w:val="0"/>
              </w:rPr>
              <w:t>理、</w:t>
            </w:r>
          </w:p>
          <w:p>
            <w:pPr>
              <w:pStyle w:val="Style23"/>
              <w:keepNext w:val="0"/>
              <w:keepLines w:val="0"/>
              <w:widowControl w:val="0"/>
              <w:shd w:val="clear" w:color="auto" w:fill="auto"/>
              <w:bidi w:val="0"/>
              <w:spacing w:before="0" w:after="80" w:line="317" w:lineRule="exact"/>
              <w:ind w:left="0" w:right="0" w:firstLine="0"/>
              <w:jc w:val="both"/>
            </w:pPr>
            <w:r>
              <w:rPr>
                <w:color w:val="000000"/>
                <w:spacing w:val="0"/>
                <w:w w:val="100"/>
                <w:position w:val="0"/>
              </w:rPr>
              <w:t>董事会秘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齐跃进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5,309,656</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副总经</w:t>
            </w:r>
          </w:p>
          <w:p>
            <w:pPr>
              <w:pStyle w:val="Style23"/>
              <w:keepNext w:val="0"/>
              <w:keepLines w:val="0"/>
              <w:widowControl w:val="0"/>
              <w:shd w:val="clear" w:color="auto" w:fill="auto"/>
              <w:bidi w:val="0"/>
              <w:spacing w:before="0" w:after="60" w:line="317" w:lineRule="exact"/>
              <w:ind w:left="0" w:right="0" w:firstLine="0"/>
              <w:jc w:val="left"/>
            </w:pPr>
            <w:r>
              <w:rPr>
                <w:color w:val="000000"/>
                <w:spacing w:val="0"/>
                <w:w w:val="100"/>
                <w:position w:val="0"/>
              </w:rPr>
              <w:t>理、</w:t>
            </w:r>
          </w:p>
          <w:p>
            <w:pPr>
              <w:pStyle w:val="Style23"/>
              <w:keepNext w:val="0"/>
              <w:keepLines w:val="0"/>
              <w:widowControl w:val="0"/>
              <w:shd w:val="clear" w:color="auto" w:fill="auto"/>
              <w:bidi w:val="0"/>
              <w:spacing w:before="0" w:after="80" w:line="317"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4,847,243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3,317,828</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923,986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940,286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1,615,272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679,701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679,701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1,359,402</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117,100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66,576,43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131,378,1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二</w:t>
      </w:r>
      <w:bookmarkEnd w:id="371"/>
      <w:r>
        <w:rPr>
          <w:color w:val="000000"/>
          <w:spacing w:val="0"/>
          <w:w w:val="100"/>
          <w:position w:val="0"/>
          <w:sz w:val="24"/>
          <w:szCs w:val="24"/>
        </w:rPr>
        <w:t>、公司董事、监事、高级管理人员变动情况</w:t>
      </w:r>
      <w:bookmarkEnd w:id="369"/>
      <w:bookmarkEnd w:id="370"/>
      <w:bookmarkEnd w:id="372"/>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日，公司召开了第三届董事会第十次会 议，审议通过了《关于免去陆江副总经理职务的议案》， 因陆江与公司所签订的劳动合同已经到期，并不再续 签，其已不能正常履行副总经理职责，公司董事会一 致审议通过免去陆江公司副总经理职务。</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袁福祥先生因个人原因，从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日起辞去副 总经理职务。辞职后，袁福祥先生不再担任公司任何 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唐成宽因病去世。</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因公司实施重大资产重组，董事会换届，刘冀鲁先生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日起不再担任董事长职务。自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日起，刘冀鲁先生担任公司监事一职。</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因公司实施重大资产重组，董事会换届，赵颖坤先生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日起不再担任董事职务。离任后， 赵颖坤先生不再担任公司任何职务。</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因公司实施重大资产重组，董事会换届，胡卫红女士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日起不再担任董事职务。离任后， 胡卫红女士不再担任公司任何职务。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因公司实施重大资产重组，董事会换届，陈炬先生自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日起不再担任董事职务。离任后，陈 炬先生不再担任公司任何职务。</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因公司实施重大资产重组，董事会换届，吴韬先生自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日起不再担任董事职务。离任后，吴 韬先生不再担任公司任何职务。</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因公司实施重大资产重组，董事会换届，王景先生自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日起不再担任董事职务。离任后，王 景先生不再担任公司任何职务。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因公司实施重大资产重组，监事会换届，戴卫星先生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日起不再担任监事职务。离任后， 戴卫星先生不再担任公司任何职务。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齐跃进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因公司实施重大资产重组，监事会换届，齐跃进先生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日起不再担任监事职务。离任后， 齐跃进先生不再担任公司任何职务。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因公司实施重大资产重组，监事会换届，刘钊先生自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日起不再担任监事职务。离任后，刘 钊先生不再担任公司任何职务。</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因公司实施重大资产重组，监事会换届，刘凌云女士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日起不再担任总经理职务。自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日起，刘凌云女士担任公司监事一职。</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日，刘凌云女士辞去监事职务。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因公司实施重大资产重组，宫为平先生自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日起不再担任副总经理职务。离任后，宫为平先 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因公司实施重大资产重组，黄学春先生自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日起不再担任副总经理职务。离任后，黄学春先 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因公司实施重大资产重组，吴翠华女士自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日起不再担任副总经理职务。离任后，吴翠华女 士不再担任公司任何职务。</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因公司实施重大资产重组，章大林先生自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日起不再担任副总经理职务。离任后，章大林先 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因公司实施重大资产重组，史志民先生自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日起不再担任副总经理职务。离任后，史志民先 生不再担任公司任何职务。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因公司实施重大资产重组，张彦女士自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日起不再担任副总经理职务。离任后，张彦女士不 再担任公司任何职务。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年第二次临时股东大会决议、第四届董 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日起，王卫 先生担任公司董事长、总经理职务。</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年第二次临时股东大会决议、第四届董 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日起，林哲 莹先生担任公司董事、副总经理职务。</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日起，张懿宸先生担任公司董事职务。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日起，张锐先生担任公司董事职务。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日起，刘澄伟先生担任公司董事职务。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年第二次临时股东大会决议、第四届董 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日起，罗世 礼先生担任公司董事、副总经理职务。</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伍玮婷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董事、财务负责 人、副总经理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年第二次临时股东大会决议、第四届董 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日起，伍玮 婷女士担任公司董事、副总经理、财务负责人职务。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杜浩洋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年第二次临时股东大会决议、第四届董 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日起，杜浩 洋先生担任公司董事、副总经理职务。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日起，周忠惠先生担任公司独立董事职务。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日起，周永健先生担任公司独立董事职务。</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日起，金李先生担任公司独立董事职务。</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陈启明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年职工代表大会决议，自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日起，陈启明先生担任公司监事职务。根据第四届 监事会第一次会议决议，陈启明先生被选举为监事会 主席。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年职工代表大会决议，自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日起，陈启明先生担任公司监事职务。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日起，官力先生担任公司监事职务。</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根据公司第四届董事会第一次会议决议，自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日起，李胜先生担任公司副总经理职务。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根据公司第四届董事会第一次会议决议，自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日起，许志君先生担任公司副总经理职务。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根据公司第四届董事会第一次会议决议，自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日起，梁翔先生担任公司副总经理职务。</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根据公司第四届董事会第一次会议决议，自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日起，甘玲女士担任公司副总经理、董事会秘书 职务。</w:t>
            </w:r>
          </w:p>
        </w:tc>
      </w:tr>
    </w:tbl>
    <w:p>
      <w:pPr>
        <w:pStyle w:val="Style27"/>
        <w:keepNext/>
        <w:keepLines/>
        <w:widowControl w:val="0"/>
        <w:shd w:val="clear" w:color="auto" w:fill="auto"/>
        <w:bidi w:val="0"/>
        <w:spacing w:before="0" w:after="1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三</w:t>
      </w:r>
      <w:bookmarkEnd w:id="375"/>
      <w:r>
        <w:rPr>
          <w:color w:val="000000"/>
          <w:spacing w:val="0"/>
          <w:w w:val="100"/>
          <w:position w:val="0"/>
          <w:sz w:val="24"/>
          <w:szCs w:val="24"/>
        </w:rPr>
        <w:t>、任职情况</w:t>
      </w:r>
      <w:bookmarkEnd w:id="373"/>
      <w:bookmarkEnd w:id="374"/>
      <w:bookmarkEnd w:id="376"/>
    </w:p>
    <w:p>
      <w:pPr>
        <w:pStyle w:val="Style11"/>
        <w:keepNext w:val="0"/>
        <w:keepLines w:val="0"/>
        <w:widowControl w:val="0"/>
        <w:shd w:val="clear" w:color="auto" w:fill="auto"/>
        <w:bidi w:val="0"/>
        <w:spacing w:before="0" w:after="460" w:line="46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1"/>
        <w:keepNext w:val="0"/>
        <w:keepLines w:val="0"/>
        <w:widowControl w:val="0"/>
        <w:shd w:val="clear" w:color="auto" w:fill="auto"/>
        <w:bidi w:val="0"/>
        <w:spacing w:before="0" w:after="0" w:line="467" w:lineRule="exact"/>
        <w:ind w:left="0" w:right="0" w:firstLine="0"/>
        <w:jc w:val="left"/>
      </w:pPr>
      <w:r>
        <w:rPr>
          <w:color w:val="000000"/>
          <w:spacing w:val="0"/>
          <w:w w:val="100"/>
          <w:position w:val="0"/>
        </w:rPr>
        <w:t>董事长</w:t>
      </w:r>
    </w:p>
    <w:p>
      <w:pPr>
        <w:pStyle w:val="Style11"/>
        <w:keepNext w:val="0"/>
        <w:keepLines w:val="0"/>
        <w:widowControl w:val="0"/>
        <w:shd w:val="clear" w:color="auto" w:fill="auto"/>
        <w:bidi w:val="0"/>
        <w:spacing w:before="0" w:after="460" w:line="467" w:lineRule="exact"/>
        <w:ind w:left="0" w:right="0" w:firstLine="0"/>
        <w:jc w:val="left"/>
      </w:pPr>
      <w:r>
        <w:rPr>
          <w:color w:val="000000"/>
          <w:spacing w:val="0"/>
          <w:w w:val="100"/>
          <w:position w:val="0"/>
        </w:rPr>
        <w:t>王卫先生，</w:t>
      </w:r>
      <w:r>
        <w:rPr>
          <w:color w:val="000000"/>
          <w:spacing w:val="0"/>
          <w:w w:val="100"/>
          <w:position w:val="0"/>
          <w:sz w:val="18"/>
          <w:szCs w:val="18"/>
        </w:rPr>
        <w:t>1970</w:t>
      </w:r>
      <w:r>
        <w:rPr>
          <w:color w:val="000000"/>
          <w:spacing w:val="0"/>
          <w:w w:val="100"/>
          <w:position w:val="0"/>
        </w:rPr>
        <w:t>年出生，中国国籍，顺丰创始人及实际控制人。自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日起任本公司董事长兼总经理。</w:t>
      </w:r>
    </w:p>
    <w:p>
      <w:pPr>
        <w:pStyle w:val="Style11"/>
        <w:keepNext w:val="0"/>
        <w:keepLines w:val="0"/>
        <w:widowControl w:val="0"/>
        <w:shd w:val="clear" w:color="auto" w:fill="auto"/>
        <w:bidi w:val="0"/>
        <w:spacing w:before="0" w:after="0" w:line="472" w:lineRule="exact"/>
        <w:ind w:left="0" w:right="0" w:firstLine="0"/>
        <w:jc w:val="left"/>
      </w:pPr>
      <w:r>
        <w:rPr>
          <w:color w:val="000000"/>
          <w:spacing w:val="0"/>
          <w:w w:val="100"/>
          <w:position w:val="0"/>
        </w:rPr>
        <w:t>董事</w:t>
      </w:r>
    </w:p>
    <w:p>
      <w:pPr>
        <w:pStyle w:val="Style11"/>
        <w:keepNext w:val="0"/>
        <w:keepLines w:val="0"/>
        <w:widowControl w:val="0"/>
        <w:shd w:val="clear" w:color="auto" w:fill="auto"/>
        <w:bidi w:val="0"/>
        <w:spacing w:before="0" w:after="460" w:line="472" w:lineRule="exact"/>
        <w:ind w:left="0" w:right="0" w:firstLine="0"/>
        <w:jc w:val="both"/>
      </w:pPr>
      <w:r>
        <w:rPr>
          <w:color w:val="000000"/>
          <w:spacing w:val="0"/>
          <w:w w:val="100"/>
          <w:position w:val="0"/>
        </w:rPr>
        <w:t>林哲莹先生，</w:t>
      </w:r>
      <w:r>
        <w:rPr>
          <w:color w:val="000000"/>
          <w:spacing w:val="0"/>
          <w:w w:val="100"/>
          <w:position w:val="0"/>
          <w:sz w:val="18"/>
          <w:szCs w:val="18"/>
        </w:rPr>
        <w:t>1964</w:t>
      </w:r>
      <w:r>
        <w:rPr>
          <w:color w:val="000000"/>
          <w:spacing w:val="0"/>
          <w:w w:val="100"/>
          <w:position w:val="0"/>
        </w:rPr>
        <w:t>年出生，中国国籍，毕业于法国雷恩商学院，工商管理学博士。</w:t>
      </w:r>
      <w:r>
        <w:rPr>
          <w:color w:val="000000"/>
          <w:spacing w:val="0"/>
          <w:w w:val="100"/>
          <w:position w:val="0"/>
          <w:sz w:val="18"/>
          <w:szCs w:val="18"/>
        </w:rPr>
        <w:t>1987</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年任商务部干部，</w:t>
      </w:r>
      <w:r>
        <w:rPr>
          <w:color w:val="000000"/>
          <w:spacing w:val="0"/>
          <w:w w:val="100"/>
          <w:position w:val="0"/>
          <w:sz w:val="18"/>
          <w:szCs w:val="18"/>
        </w:rPr>
        <w:t>2011</w:t>
      </w:r>
      <w:r>
        <w:rPr>
          <w:color w:val="000000"/>
          <w:spacing w:val="0"/>
          <w:w w:val="100"/>
          <w:position w:val="0"/>
        </w:rPr>
        <w:t xml:space="preserve">年至 </w:t>
      </w:r>
      <w:r>
        <w:rPr>
          <w:color w:val="000000"/>
          <w:spacing w:val="0"/>
          <w:w w:val="100"/>
          <w:position w:val="0"/>
          <w:sz w:val="18"/>
          <w:szCs w:val="18"/>
        </w:rPr>
        <w:t>2014</w:t>
      </w:r>
      <w:r>
        <w:rPr>
          <w:color w:val="000000"/>
          <w:spacing w:val="0"/>
          <w:w w:val="100"/>
          <w:position w:val="0"/>
        </w:rPr>
        <w:t>年任汉科环境科技集团执行董事，</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年任中青基业集团有限公司执行董事，</w:t>
      </w:r>
      <w:r>
        <w:rPr>
          <w:color w:val="000000"/>
          <w:spacing w:val="0"/>
          <w:w w:val="100"/>
          <w:position w:val="0"/>
          <w:sz w:val="18"/>
          <w:szCs w:val="18"/>
        </w:rPr>
        <w:t>2011</w:t>
      </w:r>
      <w:r>
        <w:rPr>
          <w:color w:val="000000"/>
          <w:spacing w:val="0"/>
          <w:w w:val="100"/>
          <w:position w:val="0"/>
        </w:rPr>
        <w:t>年至今任古玉资本管理有限 公司执行董事，</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年任深圳顺丰泰森控股（集团）有限公司副董事长。自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日起，任本公司董事兼副 总经理。</w:t>
      </w:r>
    </w:p>
    <w:p>
      <w:pPr>
        <w:pStyle w:val="Style11"/>
        <w:keepNext w:val="0"/>
        <w:keepLines w:val="0"/>
        <w:widowControl w:val="0"/>
        <w:shd w:val="clear" w:color="auto" w:fill="auto"/>
        <w:bidi w:val="0"/>
        <w:spacing w:before="0" w:after="460" w:line="467" w:lineRule="exact"/>
        <w:ind w:left="0" w:right="0" w:firstLine="0"/>
        <w:jc w:val="both"/>
      </w:pPr>
      <w:r>
        <w:rPr>
          <w:color w:val="000000"/>
          <w:spacing w:val="0"/>
          <w:w w:val="100"/>
          <w:position w:val="0"/>
        </w:rPr>
        <w:t>张懿宸先生，</w:t>
      </w:r>
      <w:r>
        <w:rPr>
          <w:color w:val="000000"/>
          <w:spacing w:val="0"/>
          <w:w w:val="100"/>
          <w:position w:val="0"/>
          <w:sz w:val="18"/>
          <w:szCs w:val="18"/>
        </w:rPr>
        <w:t>1963</w:t>
      </w:r>
      <w:r>
        <w:rPr>
          <w:color w:val="000000"/>
          <w:spacing w:val="0"/>
          <w:w w:val="100"/>
          <w:position w:val="0"/>
        </w:rPr>
        <w:t>年出生，中国香港特别行政区永久性居民，毕业于美国麻省理工学院，计算机科学学士。</w:t>
      </w:r>
      <w:r>
        <w:rPr>
          <w:color w:val="000000"/>
          <w:spacing w:val="0"/>
          <w:w w:val="100"/>
          <w:position w:val="0"/>
          <w:sz w:val="18"/>
          <w:szCs w:val="18"/>
        </w:rPr>
        <w:t>1987</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 历任格林威治资本市场公司、东京银行纽约分部证券自营交易业务负责人、美林证券大中华区债券资本市场主管，</w:t>
      </w:r>
      <w:r>
        <w:rPr>
          <w:color w:val="000000"/>
          <w:spacing w:val="0"/>
          <w:w w:val="100"/>
          <w:position w:val="0"/>
          <w:sz w:val="18"/>
          <w:szCs w:val="18"/>
        </w:rPr>
        <w:t>2000</w:t>
      </w:r>
      <w:r>
        <w:rPr>
          <w:color w:val="000000"/>
          <w:spacing w:val="0"/>
          <w:w w:val="100"/>
          <w:position w:val="0"/>
        </w:rPr>
        <w:t xml:space="preserve">年至 </w:t>
      </w:r>
      <w:r>
        <w:rPr>
          <w:color w:val="000000"/>
          <w:spacing w:val="0"/>
          <w:w w:val="100"/>
          <w:position w:val="0"/>
          <w:sz w:val="18"/>
          <w:szCs w:val="18"/>
        </w:rPr>
        <w:t>2002</w:t>
      </w:r>
      <w:r>
        <w:rPr>
          <w:color w:val="000000"/>
          <w:spacing w:val="0"/>
          <w:w w:val="100"/>
          <w:position w:val="0"/>
        </w:rPr>
        <w:t>年任中信泰富执行董事及中信泰富信息科技公司总裁，</w:t>
      </w:r>
      <w:r>
        <w:rPr>
          <w:color w:val="000000"/>
          <w:spacing w:val="0"/>
          <w:w w:val="100"/>
          <w:position w:val="0"/>
          <w:sz w:val="18"/>
          <w:szCs w:val="18"/>
        </w:rPr>
        <w:t>2002</w:t>
      </w:r>
      <w:r>
        <w:rPr>
          <w:color w:val="000000"/>
          <w:spacing w:val="0"/>
          <w:w w:val="100"/>
          <w:position w:val="0"/>
        </w:rPr>
        <w:t>年参与创建中信资本控股，目前担任中信资本控股董事长兼 首席执行官，</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年任深圳顺丰泰森控股（集团）有限公司董事。自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日起任本公司董事。</w:t>
      </w:r>
    </w:p>
    <w:p>
      <w:pPr>
        <w:pStyle w:val="Style11"/>
        <w:keepNext w:val="0"/>
        <w:keepLines w:val="0"/>
        <w:widowControl w:val="0"/>
        <w:shd w:val="clear" w:color="auto" w:fill="auto"/>
        <w:bidi w:val="0"/>
        <w:spacing w:before="0" w:after="460" w:line="466" w:lineRule="exact"/>
        <w:ind w:left="0" w:right="0" w:firstLine="0"/>
        <w:jc w:val="both"/>
      </w:pPr>
      <w:r>
        <w:rPr>
          <w:color w:val="000000"/>
          <w:spacing w:val="0"/>
          <w:w w:val="100"/>
          <w:position w:val="0"/>
        </w:rPr>
        <w:t>张锐先生，</w:t>
      </w:r>
      <w:r>
        <w:rPr>
          <w:color w:val="000000"/>
          <w:spacing w:val="0"/>
          <w:w w:val="100"/>
          <w:position w:val="0"/>
          <w:sz w:val="18"/>
          <w:szCs w:val="18"/>
        </w:rPr>
        <w:t>1965</w:t>
      </w:r>
      <w:r>
        <w:rPr>
          <w:color w:val="000000"/>
          <w:spacing w:val="0"/>
          <w:w w:val="100"/>
          <w:position w:val="0"/>
        </w:rPr>
        <w:t>年出生，中国国籍，毕业于上海财经大学，高级工商管理硕士，会计师。</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年历任招商局集团有 限公司产权管理部副总经理、总经理、部长，综合交通部</w:t>
      </w:r>
      <w:r>
        <w:rPr>
          <w:color w:val="000000"/>
          <w:spacing w:val="0"/>
          <w:w w:val="100"/>
          <w:position w:val="0"/>
          <w:sz w:val="18"/>
          <w:szCs w:val="18"/>
        </w:rPr>
        <w:t>/</w:t>
      </w:r>
      <w:r>
        <w:rPr>
          <w:color w:val="000000"/>
          <w:spacing w:val="0"/>
          <w:w w:val="100"/>
          <w:position w:val="0"/>
        </w:rPr>
        <w:t>海外业务部部长，</w:t>
      </w:r>
      <w:r>
        <w:rPr>
          <w:color w:val="000000"/>
          <w:spacing w:val="0"/>
          <w:w w:val="100"/>
          <w:position w:val="0"/>
          <w:sz w:val="18"/>
          <w:szCs w:val="18"/>
        </w:rPr>
        <w:t>2016</w:t>
      </w:r>
      <w:r>
        <w:rPr>
          <w:color w:val="000000"/>
          <w:spacing w:val="0"/>
          <w:w w:val="100"/>
          <w:position w:val="0"/>
        </w:rPr>
        <w:t xml:space="preserve">年至今任招商局物流集团有限公司总经理， </w:t>
      </w:r>
      <w:r>
        <w:rPr>
          <w:color w:val="000000"/>
          <w:spacing w:val="0"/>
          <w:w w:val="100"/>
          <w:position w:val="0"/>
          <w:sz w:val="18"/>
          <w:szCs w:val="18"/>
        </w:rPr>
        <w:t>2016</w:t>
      </w:r>
      <w:r>
        <w:rPr>
          <w:color w:val="000000"/>
          <w:spacing w:val="0"/>
          <w:w w:val="100"/>
          <w:position w:val="0"/>
        </w:rPr>
        <w:t>年任深圳顺丰泰森控股（集团）有限公司董事。自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日起任本公司董事。</w:t>
      </w:r>
    </w:p>
    <w:p>
      <w:pPr>
        <w:pStyle w:val="Style11"/>
        <w:keepNext w:val="0"/>
        <w:keepLines w:val="0"/>
        <w:widowControl w:val="0"/>
        <w:shd w:val="clear" w:color="auto" w:fill="auto"/>
        <w:bidi w:val="0"/>
        <w:spacing w:before="0" w:after="460" w:line="467" w:lineRule="exact"/>
        <w:ind w:left="0" w:right="0" w:firstLine="0"/>
        <w:jc w:val="both"/>
      </w:pPr>
      <w:r>
        <w:rPr>
          <w:color w:val="000000"/>
          <w:spacing w:val="0"/>
          <w:w w:val="100"/>
          <w:position w:val="0"/>
        </w:rPr>
        <w:t>刘澄伟先生，</w:t>
      </w:r>
      <w:r>
        <w:rPr>
          <w:color w:val="000000"/>
          <w:spacing w:val="0"/>
          <w:w w:val="100"/>
          <w:position w:val="0"/>
          <w:sz w:val="18"/>
          <w:szCs w:val="18"/>
        </w:rPr>
        <w:t>1970</w:t>
      </w:r>
      <w:r>
        <w:rPr>
          <w:color w:val="000000"/>
          <w:spacing w:val="0"/>
          <w:w w:val="100"/>
          <w:position w:val="0"/>
        </w:rPr>
        <w:t>年出生，中国国籍，毕业于苏州大学，金融学硕士，经济师、律师。</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年任苏州创业集团有限 公司副总裁，</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年任苏州工业园区社保公积金管理中心主任，</w:t>
      </w:r>
      <w:r>
        <w:rPr>
          <w:color w:val="000000"/>
          <w:spacing w:val="0"/>
          <w:w w:val="100"/>
          <w:position w:val="0"/>
          <w:sz w:val="18"/>
          <w:szCs w:val="18"/>
        </w:rPr>
        <w:t>2012</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年兼任苏州工业园区劳动和社会保障 局副局长，</w:t>
      </w:r>
      <w:r>
        <w:rPr>
          <w:color w:val="000000"/>
          <w:spacing w:val="0"/>
          <w:w w:val="100"/>
          <w:position w:val="0"/>
          <w:sz w:val="18"/>
          <w:szCs w:val="18"/>
        </w:rPr>
        <w:t>2016</w:t>
      </w:r>
      <w:r>
        <w:rPr>
          <w:color w:val="000000"/>
          <w:spacing w:val="0"/>
          <w:w w:val="100"/>
          <w:position w:val="0"/>
        </w:rPr>
        <w:t>年至今任苏州元禾控股股份有限公司副董事长兼总裁，</w:t>
      </w:r>
      <w:r>
        <w:rPr>
          <w:color w:val="000000"/>
          <w:spacing w:val="0"/>
          <w:w w:val="100"/>
          <w:position w:val="0"/>
          <w:sz w:val="18"/>
          <w:szCs w:val="18"/>
        </w:rPr>
        <w:t>2016</w:t>
      </w:r>
      <w:r>
        <w:rPr>
          <w:color w:val="000000"/>
          <w:spacing w:val="0"/>
          <w:w w:val="100"/>
          <w:position w:val="0"/>
        </w:rPr>
        <w:t>年任深圳顺丰泰森控股（集团）有限公司董事。 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日起任本公司董事。</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罗世礼先生，</w:t>
      </w:r>
      <w:r>
        <w:rPr>
          <w:color w:val="000000"/>
          <w:spacing w:val="0"/>
          <w:w w:val="100"/>
          <w:position w:val="0"/>
          <w:sz w:val="18"/>
          <w:szCs w:val="18"/>
        </w:rPr>
        <w:t>1962</w:t>
      </w:r>
      <w:r>
        <w:rPr>
          <w:color w:val="000000"/>
          <w:spacing w:val="0"/>
          <w:w w:val="100"/>
          <w:position w:val="0"/>
        </w:rPr>
        <w:t>年出生，中国香港特别行政区永久性居民。</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月任平安保险（集团）有限公司集团副总 经理兼首席信息执行官，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年任深圳顺丰泰森控股（集团）有限公司副总裁兼集团首席信息执行官。自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日起任本公司董事兼副总经理。</w:t>
      </w:r>
    </w:p>
    <w:p>
      <w:pPr>
        <w:pStyle w:val="Style11"/>
        <w:keepNext w:val="0"/>
        <w:keepLines w:val="0"/>
        <w:widowControl w:val="0"/>
        <w:shd w:val="clear" w:color="auto" w:fill="auto"/>
        <w:bidi w:val="0"/>
        <w:spacing w:before="0" w:after="0" w:line="478" w:lineRule="exact"/>
        <w:ind w:left="0" w:right="0" w:firstLine="0"/>
        <w:jc w:val="both"/>
      </w:pPr>
      <w:r>
        <w:rPr>
          <w:color w:val="000000"/>
          <w:spacing w:val="0"/>
          <w:w w:val="100"/>
          <w:position w:val="0"/>
        </w:rPr>
        <w:t>杜浩洋先生，</w:t>
      </w:r>
      <w:r>
        <w:rPr>
          <w:color w:val="000000"/>
          <w:spacing w:val="0"/>
          <w:w w:val="100"/>
          <w:position w:val="0"/>
          <w:sz w:val="18"/>
          <w:szCs w:val="18"/>
        </w:rPr>
        <w:t>1971</w:t>
      </w:r>
      <w:r>
        <w:rPr>
          <w:color w:val="000000"/>
          <w:spacing w:val="0"/>
          <w:w w:val="100"/>
          <w:position w:val="0"/>
        </w:rPr>
        <w:t>年出生，中国国籍，厦门大学经济学院国际贸易硕士、北京大学</w:t>
      </w:r>
      <w:r>
        <w:rPr>
          <w:color w:val="000000"/>
          <w:spacing w:val="0"/>
          <w:w w:val="100"/>
          <w:position w:val="0"/>
          <w:sz w:val="18"/>
          <w:szCs w:val="18"/>
        </w:rPr>
        <w:t>EMBA,</w:t>
      </w:r>
      <w:r>
        <w:rPr>
          <w:color w:val="000000"/>
          <w:spacing w:val="0"/>
          <w:w w:val="100"/>
          <w:position w:val="0"/>
        </w:rPr>
        <w:t>律师、高级物流师。</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 xml:space="preserve">2004 </w:t>
      </w:r>
      <w:r>
        <w:rPr>
          <w:color w:val="000000"/>
          <w:spacing w:val="0"/>
          <w:w w:val="100"/>
          <w:position w:val="0"/>
        </w:rPr>
        <w:t>年任国家商务部外资司主任科员</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年任香港贸易发展局中国商务顾问</w:t>
      </w:r>
      <w:r>
        <w:rPr>
          <w:color w:val="000000"/>
          <w:spacing w:val="0"/>
          <w:w w:val="100"/>
          <w:position w:val="0"/>
          <w:sz w:val="18"/>
          <w:szCs w:val="18"/>
        </w:rPr>
        <w:t>，2004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年历任顺丰山东区总经理、 深圳区总经理、总裁办及企业发展办负责人、集团副总裁兼顺丰速运华东经营本部总裁、集团高级副总裁、集团首席运营官。</w:t>
      </w:r>
    </w:p>
    <w:p>
      <w:pPr>
        <w:pStyle w:val="Style11"/>
        <w:keepNext w:val="0"/>
        <w:keepLines w:val="0"/>
        <w:widowControl w:val="0"/>
        <w:shd w:val="clear" w:color="auto" w:fill="auto"/>
        <w:bidi w:val="0"/>
        <w:spacing w:before="0" w:after="460" w:line="478" w:lineRule="exact"/>
        <w:ind w:left="0" w:right="0" w:firstLine="0"/>
        <w:jc w:val="both"/>
      </w:pP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年任顺丰控股董事、</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年任深圳顺丰泰森控股（集团）有限公司副总经理。自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 本公司董事兼副总经理。</w:t>
      </w:r>
    </w:p>
    <w:p>
      <w:pPr>
        <w:pStyle w:val="Style11"/>
        <w:keepNext w:val="0"/>
        <w:keepLines w:val="0"/>
        <w:widowControl w:val="0"/>
        <w:shd w:val="clear" w:color="auto" w:fill="auto"/>
        <w:bidi w:val="0"/>
        <w:spacing w:before="0" w:after="460" w:line="469" w:lineRule="exact"/>
        <w:ind w:left="0" w:right="0" w:firstLine="0"/>
        <w:jc w:val="both"/>
      </w:pPr>
      <w:r>
        <w:rPr>
          <w:color w:val="000000"/>
          <w:spacing w:val="0"/>
          <w:w w:val="100"/>
          <w:position w:val="0"/>
        </w:rPr>
        <w:t>伍玮婷女士，</w:t>
      </w:r>
      <w:r>
        <w:rPr>
          <w:color w:val="000000"/>
          <w:spacing w:val="0"/>
          <w:w w:val="100"/>
          <w:position w:val="0"/>
          <w:sz w:val="18"/>
          <w:szCs w:val="18"/>
        </w:rPr>
        <w:t>1971</w:t>
      </w:r>
      <w:r>
        <w:rPr>
          <w:color w:val="000000"/>
          <w:spacing w:val="0"/>
          <w:w w:val="100"/>
          <w:position w:val="0"/>
        </w:rPr>
        <w:t>年出生，中国香港特别行政区永久性居民，毕业于澳大利亚悉尼新南威尔士大学，会计及信息系统学学士， 澳大利亚注册会计师。</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年任毕马威会计师事务所（香港）总监，</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年任顺丰控股财务本部总裁。</w:t>
      </w:r>
      <w:r>
        <w:rPr>
          <w:color w:val="000000"/>
          <w:spacing w:val="0"/>
          <w:w w:val="100"/>
          <w:position w:val="0"/>
          <w:sz w:val="18"/>
          <w:szCs w:val="18"/>
        </w:rPr>
        <w:t xml:space="preserve">2013 </w:t>
      </w:r>
      <w:r>
        <w:rPr>
          <w:color w:val="000000"/>
          <w:spacing w:val="0"/>
          <w:w w:val="100"/>
          <w:position w:val="0"/>
        </w:rPr>
        <w:t>年至今任顺丰控股董事、</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年任深圳顺丰泰森控股（集团）有限公司财务总监。自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日起任本公司董 事、副总经理兼财务负责人。</w:t>
      </w:r>
    </w:p>
    <w:p>
      <w:pPr>
        <w:pStyle w:val="Style11"/>
        <w:keepNext w:val="0"/>
        <w:keepLines w:val="0"/>
        <w:widowControl w:val="0"/>
        <w:shd w:val="clear" w:color="auto" w:fill="auto"/>
        <w:bidi w:val="0"/>
        <w:spacing w:before="0" w:after="460" w:line="467" w:lineRule="exact"/>
        <w:ind w:left="0" w:right="0" w:firstLine="0"/>
        <w:jc w:val="both"/>
      </w:pPr>
      <w:r>
        <w:rPr>
          <w:color w:val="000000"/>
          <w:spacing w:val="0"/>
          <w:w w:val="100"/>
          <w:position w:val="0"/>
        </w:rPr>
        <w:t>周忠惠先生，</w:t>
      </w:r>
      <w:r>
        <w:rPr>
          <w:color w:val="000000"/>
          <w:spacing w:val="0"/>
          <w:w w:val="100"/>
          <w:position w:val="0"/>
          <w:sz w:val="18"/>
          <w:szCs w:val="18"/>
        </w:rPr>
        <w:t>1947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日出生，研究生学历、博士学位，拥有中国注册会计师资格。中国总会计师协会常务理事、中国评 估师协会咨询委员会委员。目前周先生担任于上证所上市的中国太平洋保险（集团）股份有限公司（证券代码：</w:t>
      </w:r>
      <w:r>
        <w:rPr>
          <w:color w:val="000000"/>
          <w:spacing w:val="0"/>
          <w:w w:val="100"/>
          <w:position w:val="0"/>
          <w:sz w:val="18"/>
          <w:szCs w:val="18"/>
        </w:rPr>
        <w:t>601601）</w:t>
      </w:r>
      <w:r>
        <w:rPr>
          <w:color w:val="000000"/>
          <w:spacing w:val="0"/>
          <w:w w:val="100"/>
          <w:position w:val="0"/>
        </w:rPr>
        <w:t>独 立非执行董事，吉祥航空股份有限公司（证券代码</w:t>
      </w:r>
      <w:r>
        <w:rPr>
          <w:color w:val="000000"/>
          <w:spacing w:val="0"/>
          <w:w w:val="100"/>
          <w:position w:val="0"/>
          <w:sz w:val="18"/>
          <w:szCs w:val="18"/>
        </w:rPr>
        <w:t>:603885）</w:t>
      </w:r>
      <w:r>
        <w:rPr>
          <w:color w:val="000000"/>
          <w:spacing w:val="0"/>
          <w:w w:val="100"/>
          <w:position w:val="0"/>
        </w:rPr>
        <w:t>独立非执行董事，香港联交所上市的上海复旦张江生物医药股份 有限公司（证券代码</w:t>
      </w:r>
      <w:r>
        <w:rPr>
          <w:color w:val="000000"/>
          <w:spacing w:val="0"/>
          <w:w w:val="100"/>
          <w:position w:val="0"/>
          <w:sz w:val="18"/>
          <w:szCs w:val="18"/>
        </w:rPr>
        <w:t>：01349）</w:t>
      </w:r>
      <w:r>
        <w:rPr>
          <w:color w:val="000000"/>
          <w:spacing w:val="0"/>
          <w:w w:val="100"/>
          <w:position w:val="0"/>
        </w:rPr>
        <w:t>独立非执行董事。周先生曾任上海财经大学会计系讲师、副教授、教授，香港鑫隆有限公司财 务总监，普华永道中天会计师事务所总经理、主任会计师，普华永道会计师事务所资深合伙人、高级顾问，证监会首席会计 师，证监会国际顾问委员会委员，中国注册会计师协会审计准则委员会委员，于上证所上市的百视通新媒体股份有限公司（证 券代码</w:t>
      </w:r>
      <w:r>
        <w:rPr>
          <w:color w:val="000000"/>
          <w:spacing w:val="0"/>
          <w:w w:val="100"/>
          <w:position w:val="0"/>
          <w:sz w:val="18"/>
          <w:szCs w:val="18"/>
        </w:rPr>
        <w:t>:600637）</w:t>
      </w:r>
      <w:r>
        <w:rPr>
          <w:color w:val="000000"/>
          <w:spacing w:val="0"/>
          <w:w w:val="100"/>
          <w:position w:val="0"/>
        </w:rPr>
        <w:t>独立非执行董事。周先生自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日起任本公司独立董事。</w:t>
      </w:r>
    </w:p>
    <w:p>
      <w:pPr>
        <w:pStyle w:val="Style11"/>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周永健先生，</w:t>
      </w:r>
      <w:r>
        <w:rPr>
          <w:color w:val="000000"/>
          <w:spacing w:val="0"/>
          <w:w w:val="100"/>
          <w:position w:val="0"/>
          <w:sz w:val="18"/>
          <w:szCs w:val="18"/>
        </w:rPr>
        <w:t>1950</w:t>
      </w:r>
      <w:r>
        <w:rPr>
          <w:color w:val="000000"/>
          <w:spacing w:val="0"/>
          <w:w w:val="100"/>
          <w:position w:val="0"/>
        </w:rPr>
        <w:t>年出生，中国香港，为香港和英格兰及威尔士认可的职业律师。周先生于香港担任职业律师超逾</w:t>
      </w:r>
      <w:r>
        <w:rPr>
          <w:color w:val="000000"/>
          <w:spacing w:val="0"/>
          <w:w w:val="100"/>
          <w:position w:val="0"/>
          <w:sz w:val="18"/>
          <w:szCs w:val="18"/>
        </w:rPr>
        <w:t>34</w:t>
      </w:r>
      <w:r>
        <w:rPr>
          <w:color w:val="000000"/>
          <w:spacing w:val="0"/>
          <w:w w:val="100"/>
          <w:position w:val="0"/>
        </w:rPr>
        <w:t>年，现 为观韬律师事务所（香港）之高级顾问及全球主席。他是中国委托公证人协会会员及华南国际经济贸易仲裁委员会（深圳国 际仲裁院）仲裁员。周先生现为香港赛马会董事局副主席，香港铁路有限公司的独立非执行董事及信星鞋业集团有限公司的 非执行董事。他曾任亚洲联合基建控股有限公司（前称中国城建集团股份有限公司）的非执行董事（直至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 福田实业（集团）有限公司的独立非执行董事（直至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日）、于</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年间为香港律师会会长，亦为香港证 监会程序覆检委员会前任主席，中国人民政治协商会议全国委员会委员。于</w:t>
      </w:r>
      <w:r>
        <w:rPr>
          <w:color w:val="000000"/>
          <w:spacing w:val="0"/>
          <w:w w:val="100"/>
          <w:position w:val="0"/>
          <w:sz w:val="18"/>
          <w:szCs w:val="18"/>
        </w:rPr>
        <w:t>1998</w:t>
      </w:r>
      <w:r>
        <w:rPr>
          <w:color w:val="000000"/>
          <w:spacing w:val="0"/>
          <w:w w:val="100"/>
          <w:position w:val="0"/>
        </w:rPr>
        <w:t>年，周先生获委任为太平绅士，并于</w:t>
      </w:r>
      <w:r>
        <w:rPr>
          <w:color w:val="000000"/>
          <w:spacing w:val="0"/>
          <w:w w:val="100"/>
          <w:position w:val="0"/>
          <w:sz w:val="18"/>
          <w:szCs w:val="18"/>
        </w:rPr>
        <w:t>2003</w:t>
      </w:r>
      <w:r>
        <w:rPr>
          <w:color w:val="000000"/>
          <w:spacing w:val="0"/>
          <w:w w:val="100"/>
          <w:position w:val="0"/>
        </w:rPr>
        <w:t>年 获颁银紫荆星章。自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日起任本公司独立董事。</w:t>
      </w:r>
    </w:p>
    <w:p>
      <w:pPr>
        <w:pStyle w:val="Style11"/>
        <w:keepNext w:val="0"/>
        <w:keepLines w:val="0"/>
        <w:widowControl w:val="0"/>
        <w:shd w:val="clear" w:color="auto" w:fill="auto"/>
        <w:bidi w:val="0"/>
        <w:spacing w:before="0" w:after="460" w:line="470" w:lineRule="exact"/>
        <w:ind w:left="0" w:right="0" w:firstLine="0"/>
        <w:jc w:val="both"/>
      </w:pPr>
      <w:r>
        <w:rPr>
          <w:color w:val="000000"/>
          <w:spacing w:val="0"/>
          <w:w w:val="100"/>
          <w:position w:val="0"/>
        </w:rPr>
        <w:t>金李先生，</w:t>
      </w:r>
      <w:r>
        <w:rPr>
          <w:color w:val="000000"/>
          <w:spacing w:val="0"/>
          <w:w w:val="100"/>
          <w:position w:val="0"/>
          <w:sz w:val="18"/>
          <w:szCs w:val="18"/>
        </w:rPr>
        <w:t>1970</w:t>
      </w:r>
      <w:r>
        <w:rPr>
          <w:color w:val="000000"/>
          <w:spacing w:val="0"/>
          <w:w w:val="100"/>
          <w:position w:val="0"/>
        </w:rPr>
        <w:t>年出生，中国国籍，</w:t>
      </w:r>
      <w:r>
        <w:rPr>
          <w:color w:val="000000"/>
          <w:spacing w:val="0"/>
          <w:w w:val="100"/>
          <w:position w:val="0"/>
          <w:sz w:val="18"/>
          <w:szCs w:val="18"/>
        </w:rPr>
        <w:t>2001</w:t>
      </w:r>
      <w:r>
        <w:rPr>
          <w:color w:val="000000"/>
          <w:spacing w:val="0"/>
          <w:w w:val="100"/>
          <w:position w:val="0"/>
        </w:rPr>
        <w:t>年获得麻省理工学院博士学位。</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5</w:t>
      </w:r>
      <w:r>
        <w:rPr>
          <w:color w:val="000000"/>
          <w:spacing w:val="0"/>
          <w:w w:val="100"/>
          <w:position w:val="0"/>
        </w:rPr>
        <w:t>月就职复旦大学任国际金融系 教员，</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月任哈佛商学院金融学助理教授，</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月任哈佛商学院金融学副教授，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月至今任北京大学光华管理学院金融系讲席教授、牛津大学金融学终身教职正教授。自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日起任本公司独立董事。</w:t>
      </w:r>
    </w:p>
    <w:p>
      <w:pPr>
        <w:pStyle w:val="Style11"/>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叶迪奇先生，</w:t>
      </w:r>
      <w:r>
        <w:rPr>
          <w:color w:val="000000"/>
          <w:spacing w:val="0"/>
          <w:w w:val="100"/>
          <w:position w:val="0"/>
          <w:sz w:val="18"/>
          <w:szCs w:val="18"/>
        </w:rPr>
        <w:t>1948</w:t>
      </w:r>
      <w:r>
        <w:rPr>
          <w:color w:val="000000"/>
          <w:spacing w:val="0"/>
          <w:w w:val="100"/>
          <w:position w:val="0"/>
        </w:rPr>
        <w:t>年出生，硕士，中国香港，现任中国平安保险（集团）股份有限公司、新鸿基地产发展有限公司、南华集 团控股有限公司（原“南华（中国）有限公司”）及</w:t>
      </w:r>
      <w:r>
        <w:rPr>
          <w:color w:val="000000"/>
          <w:spacing w:val="0"/>
          <w:w w:val="100"/>
          <w:position w:val="0"/>
          <w:sz w:val="18"/>
          <w:szCs w:val="18"/>
        </w:rPr>
        <w:t>DSG International （Thailand） PLC</w:t>
      </w:r>
      <w:r>
        <w:rPr>
          <w:color w:val="000000"/>
          <w:spacing w:val="0"/>
          <w:w w:val="100"/>
          <w:position w:val="0"/>
        </w:rPr>
        <w:t xml:space="preserve">之独立非执行董事。叶迪奇先生于 </w:t>
      </w:r>
      <w:r>
        <w:rPr>
          <w:color w:val="000000"/>
          <w:spacing w:val="0"/>
          <w:w w:val="100"/>
          <w:position w:val="0"/>
          <w:sz w:val="18"/>
          <w:szCs w:val="18"/>
        </w:rPr>
        <w:t>1965</w:t>
      </w:r>
      <w:r>
        <w:rPr>
          <w:color w:val="000000"/>
          <w:spacing w:val="0"/>
          <w:w w:val="100"/>
          <w:position w:val="0"/>
        </w:rPr>
        <w:t>年加入香港上海汇丰银行有限公司（“汇丰银行”</w:t>
      </w:r>
      <w:r>
        <w:rPr>
          <w:color w:val="000000"/>
          <w:spacing w:val="0"/>
          <w:w w:val="100"/>
          <w:position w:val="0"/>
          <w:sz w:val="18"/>
          <w:szCs w:val="18"/>
        </w:rPr>
        <w:t>）</w:t>
      </w:r>
      <w:r>
        <w:rPr>
          <w:color w:val="000000"/>
          <w:spacing w:val="0"/>
          <w:w w:val="100"/>
          <w:position w:val="0"/>
        </w:rPr>
        <w:t>，于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月出任汇丰银行中国区业务总裁，于</w:t>
      </w:r>
      <w:r>
        <w:rPr>
          <w:color w:val="000000"/>
          <w:spacing w:val="0"/>
          <w:w w:val="100"/>
          <w:position w:val="0"/>
          <w:sz w:val="18"/>
          <w:szCs w:val="18"/>
        </w:rPr>
        <w:t xml:space="preserve">2005 </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月出任汇丰银行总经理；于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月出任交通银行股份有限公司总行副行长。此外，叶迪奇先 生亦曾服务于包括香港航空咨询委员会、香港艺术发展局和香港城区重建局在内之多个咨询委员会，现任联合国儿童基金会 香港委员会名誉委员。叶迪奇先生获香港大学工商管理硕士学位，是伦敦银行特许协会会员，并获香港财务策划师学会颁授 注册理财策划师（</w:t>
      </w:r>
      <w:r>
        <w:rPr>
          <w:color w:val="000000"/>
          <w:spacing w:val="0"/>
          <w:w w:val="100"/>
          <w:position w:val="0"/>
          <w:sz w:val="18"/>
          <w:szCs w:val="18"/>
        </w:rPr>
        <w:t>CFP</w:t>
      </w:r>
      <w:r>
        <w:rPr>
          <w:color w:val="000000"/>
          <w:spacing w:val="0"/>
          <w:w w:val="100"/>
          <w:position w:val="0"/>
          <w:sz w:val="18"/>
          <w:szCs w:val="18"/>
        </w:rPr>
        <w:t>）</w:t>
      </w:r>
      <w:r>
        <w:rPr>
          <w:color w:val="000000"/>
          <w:spacing w:val="0"/>
          <w:w w:val="100"/>
          <w:position w:val="0"/>
        </w:rPr>
        <w:t>资格及香港银行学会颁授专业财富管理师</w:t>
      </w:r>
      <w:r>
        <w:rPr>
          <w:color w:val="000000"/>
          <w:spacing w:val="0"/>
          <w:w w:val="100"/>
          <w:position w:val="0"/>
          <w:sz w:val="18"/>
          <w:szCs w:val="18"/>
        </w:rPr>
        <w:t>（</w:t>
      </w:r>
      <w:r>
        <w:rPr>
          <w:color w:val="000000"/>
          <w:spacing w:val="0"/>
          <w:w w:val="100"/>
          <w:position w:val="0"/>
          <w:sz w:val="18"/>
          <w:szCs w:val="18"/>
        </w:rPr>
        <w:t>CFMP</w:t>
      </w:r>
      <w:r>
        <w:rPr>
          <w:color w:val="000000"/>
          <w:spacing w:val="0"/>
          <w:w w:val="100"/>
          <w:position w:val="0"/>
          <w:sz w:val="18"/>
          <w:szCs w:val="18"/>
        </w:rPr>
        <w:t>）</w:t>
      </w:r>
      <w:r>
        <w:rPr>
          <w:color w:val="000000"/>
          <w:spacing w:val="0"/>
          <w:w w:val="100"/>
          <w:position w:val="0"/>
        </w:rPr>
        <w:t>资格。叶迪奇先生于</w:t>
      </w:r>
      <w:r>
        <w:rPr>
          <w:color w:val="000000"/>
          <w:spacing w:val="0"/>
          <w:w w:val="100"/>
          <w:position w:val="0"/>
          <w:sz w:val="18"/>
          <w:szCs w:val="18"/>
        </w:rPr>
        <w:t>2003</w:t>
      </w:r>
      <w:r>
        <w:rPr>
          <w:color w:val="000000"/>
          <w:spacing w:val="0"/>
          <w:w w:val="100"/>
          <w:position w:val="0"/>
        </w:rPr>
        <w:t>年获颁铜紫莉星章。自</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日起任本公司独立董事。</w:t>
      </w:r>
    </w:p>
    <w:p>
      <w:pPr>
        <w:pStyle w:val="Style11"/>
        <w:keepNext w:val="0"/>
        <w:keepLines w:val="0"/>
        <w:widowControl w:val="0"/>
        <w:shd w:val="clear" w:color="auto" w:fill="auto"/>
        <w:bidi w:val="0"/>
        <w:spacing w:before="0" w:after="460" w:line="468" w:lineRule="exact"/>
        <w:ind w:left="0" w:right="0" w:firstLine="0"/>
        <w:jc w:val="both"/>
      </w:pPr>
      <w:r>
        <w:rPr>
          <w:color w:val="000000"/>
          <w:spacing w:val="0"/>
          <w:w w:val="100"/>
          <w:position w:val="0"/>
        </w:rPr>
        <w:t>监事会</w:t>
      </w:r>
    </w:p>
    <w:p>
      <w:pPr>
        <w:pStyle w:val="Style11"/>
        <w:keepNext w:val="0"/>
        <w:keepLines w:val="0"/>
        <w:widowControl w:val="0"/>
        <w:shd w:val="clear" w:color="auto" w:fill="auto"/>
        <w:bidi w:val="0"/>
        <w:spacing w:before="0" w:after="460" w:line="468" w:lineRule="exact"/>
        <w:ind w:left="0" w:right="0" w:firstLine="0"/>
        <w:jc w:val="both"/>
      </w:pPr>
      <w:r>
        <w:rPr>
          <w:color w:val="000000"/>
          <w:spacing w:val="0"/>
          <w:w w:val="100"/>
          <w:position w:val="0"/>
        </w:rPr>
        <w:t>监事会主席</w:t>
      </w:r>
    </w:p>
    <w:p>
      <w:pPr>
        <w:pStyle w:val="Style11"/>
        <w:keepNext w:val="0"/>
        <w:keepLines w:val="0"/>
        <w:widowControl w:val="0"/>
        <w:shd w:val="clear" w:color="auto" w:fill="auto"/>
        <w:bidi w:val="0"/>
        <w:spacing w:before="0" w:after="460" w:line="467" w:lineRule="exact"/>
        <w:ind w:left="0" w:right="0" w:firstLine="0"/>
        <w:jc w:val="both"/>
      </w:pPr>
      <w:r>
        <w:rPr>
          <w:color w:val="000000"/>
          <w:spacing w:val="0"/>
          <w:w w:val="100"/>
          <w:position w:val="0"/>
        </w:rPr>
        <w:t>陈启明先生，</w:t>
      </w:r>
      <w:r>
        <w:rPr>
          <w:color w:val="000000"/>
          <w:spacing w:val="0"/>
          <w:w w:val="100"/>
          <w:position w:val="0"/>
          <w:sz w:val="18"/>
          <w:szCs w:val="18"/>
        </w:rPr>
        <w:t>1966</w:t>
      </w:r>
      <w:r>
        <w:rPr>
          <w:color w:val="000000"/>
          <w:spacing w:val="0"/>
          <w:w w:val="100"/>
          <w:position w:val="0"/>
        </w:rPr>
        <w:t>年出生，中国国籍，毕业于西南师范大学中文系，文学学士，</w:t>
      </w:r>
      <w:r>
        <w:rPr>
          <w:color w:val="000000"/>
          <w:spacing w:val="0"/>
          <w:w w:val="100"/>
          <w:position w:val="0"/>
          <w:sz w:val="18"/>
          <w:szCs w:val="18"/>
        </w:rPr>
        <w:t>2002</w:t>
      </w:r>
      <w:r>
        <w:rPr>
          <w:color w:val="000000"/>
          <w:spacing w:val="0"/>
          <w:w w:val="100"/>
          <w:position w:val="0"/>
        </w:rPr>
        <w:t>年结业于北京大学远程</w:t>
      </w:r>
      <w:r>
        <w:rPr>
          <w:color w:val="000000"/>
          <w:spacing w:val="0"/>
          <w:w w:val="100"/>
          <w:position w:val="0"/>
          <w:sz w:val="18"/>
          <w:szCs w:val="18"/>
        </w:rPr>
        <w:t>MBA,</w:t>
      </w:r>
      <w:r>
        <w:rPr>
          <w:color w:val="000000"/>
          <w:spacing w:val="0"/>
          <w:w w:val="100"/>
          <w:position w:val="0"/>
        </w:rPr>
        <w:t xml:space="preserve">经济师职称。 </w:t>
      </w:r>
      <w:r>
        <w:rPr>
          <w:color w:val="000000"/>
          <w:spacing w:val="0"/>
          <w:w w:val="100"/>
          <w:position w:val="0"/>
          <w:sz w:val="18"/>
          <w:szCs w:val="18"/>
        </w:rPr>
        <w:t>1991</w:t>
      </w:r>
      <w:r>
        <w:rPr>
          <w:color w:val="000000"/>
          <w:spacing w:val="0"/>
          <w:w w:val="100"/>
          <w:position w:val="0"/>
        </w:rPr>
        <w:t>年至</w:t>
      </w:r>
      <w:r>
        <w:rPr>
          <w:color w:val="000000"/>
          <w:spacing w:val="0"/>
          <w:w w:val="100"/>
          <w:position w:val="0"/>
          <w:sz w:val="18"/>
          <w:szCs w:val="18"/>
        </w:rPr>
        <w:t>1995</w:t>
      </w:r>
      <w:r>
        <w:rPr>
          <w:color w:val="000000"/>
          <w:spacing w:val="0"/>
          <w:w w:val="100"/>
          <w:position w:val="0"/>
        </w:rPr>
        <w:t>年任中国振华集团公司教育干事，</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1997</w:t>
      </w:r>
      <w:r>
        <w:rPr>
          <w:color w:val="000000"/>
          <w:spacing w:val="0"/>
          <w:w w:val="100"/>
          <w:position w:val="0"/>
        </w:rPr>
        <w:t>年任富士康企业集团华南干部培训中心教务副课长，</w:t>
      </w:r>
      <w:r>
        <w:rPr>
          <w:color w:val="000000"/>
          <w:spacing w:val="0"/>
          <w:w w:val="100"/>
          <w:position w:val="0"/>
          <w:sz w:val="18"/>
          <w:szCs w:val="18"/>
        </w:rPr>
        <w:t>1997</w:t>
      </w:r>
      <w:r>
        <w:rPr>
          <w:color w:val="000000"/>
          <w:spacing w:val="0"/>
          <w:w w:val="100"/>
          <w:position w:val="0"/>
        </w:rPr>
        <w:t xml:space="preserve">年至 </w:t>
      </w:r>
      <w:r>
        <w:rPr>
          <w:color w:val="000000"/>
          <w:spacing w:val="0"/>
          <w:w w:val="100"/>
          <w:position w:val="0"/>
          <w:sz w:val="18"/>
          <w:szCs w:val="18"/>
        </w:rPr>
        <w:t>2003</w:t>
      </w:r>
      <w:r>
        <w:rPr>
          <w:color w:val="000000"/>
          <w:spacing w:val="0"/>
          <w:w w:val="100"/>
          <w:position w:val="0"/>
        </w:rPr>
        <w:t>年任康佳集团康佳学院培训主任、副院长，</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年任三一重工培训中心培训总监，</w:t>
      </w:r>
      <w:r>
        <w:rPr>
          <w:color w:val="000000"/>
          <w:spacing w:val="0"/>
          <w:w w:val="100"/>
          <w:position w:val="0"/>
          <w:sz w:val="18"/>
          <w:szCs w:val="18"/>
        </w:rPr>
        <w:t>2004</w:t>
      </w:r>
      <w:r>
        <w:rPr>
          <w:color w:val="000000"/>
          <w:spacing w:val="0"/>
          <w:w w:val="100"/>
          <w:position w:val="0"/>
        </w:rPr>
        <w:t>年至</w:t>
      </w:r>
      <w:r>
        <w:rPr>
          <w:color w:val="000000"/>
          <w:spacing w:val="0"/>
          <w:w w:val="100"/>
          <w:position w:val="0"/>
          <w:sz w:val="18"/>
          <w:szCs w:val="18"/>
        </w:rPr>
        <w:t>2016</w:t>
      </w:r>
      <w:r>
        <w:rPr>
          <w:color w:val="000000"/>
          <w:spacing w:val="0"/>
          <w:w w:val="100"/>
          <w:position w:val="0"/>
        </w:rPr>
        <w:t xml:space="preserve">年历任深圳顺 丰泰森控股（集团）有限公司培训处培训总监、湖北区总经理、集团副总裁兼顺丰大学执行校长、人力资源本部总裁等。自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日起任本公司职工代表监事及监事会主席。</w:t>
      </w:r>
    </w:p>
    <w:p>
      <w:pPr>
        <w:pStyle w:val="Style11"/>
        <w:keepNext w:val="0"/>
        <w:keepLines w:val="0"/>
        <w:widowControl w:val="0"/>
        <w:shd w:val="clear" w:color="auto" w:fill="auto"/>
        <w:bidi w:val="0"/>
        <w:spacing w:before="0" w:after="460" w:line="468" w:lineRule="exact"/>
        <w:ind w:left="0" w:right="0" w:firstLine="0"/>
        <w:jc w:val="both"/>
      </w:pPr>
      <w:r>
        <w:rPr>
          <w:color w:val="000000"/>
          <w:spacing w:val="0"/>
          <w:w w:val="100"/>
          <w:position w:val="0"/>
        </w:rPr>
        <w:t>监事</w:t>
      </w:r>
    </w:p>
    <w:p>
      <w:pPr>
        <w:pStyle w:val="Style11"/>
        <w:keepNext w:val="0"/>
        <w:keepLines w:val="0"/>
        <w:widowControl w:val="0"/>
        <w:shd w:val="clear" w:color="auto" w:fill="auto"/>
        <w:bidi w:val="0"/>
        <w:spacing w:before="0" w:after="460" w:line="474" w:lineRule="exact"/>
        <w:ind w:left="0" w:right="0" w:firstLine="0"/>
        <w:jc w:val="both"/>
      </w:pPr>
      <w:r>
        <w:rPr>
          <w:color w:val="000000"/>
          <w:spacing w:val="0"/>
          <w:w w:val="100"/>
          <w:position w:val="0"/>
        </w:rPr>
        <w:t>桑利先生，</w:t>
      </w:r>
      <w:r>
        <w:rPr>
          <w:color w:val="000000"/>
          <w:spacing w:val="0"/>
          <w:w w:val="100"/>
          <w:position w:val="0"/>
          <w:sz w:val="18"/>
          <w:szCs w:val="18"/>
        </w:rPr>
        <w:t>1972</w:t>
      </w:r>
      <w:r>
        <w:rPr>
          <w:color w:val="000000"/>
          <w:spacing w:val="0"/>
          <w:w w:val="100"/>
          <w:position w:val="0"/>
        </w:rPr>
        <w:t>年出生，中国国籍，毕业于厦门大学，工商管理专业硕士，</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年任湖南顺丰速运有限公司地区总 经理，</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年任广州顺丰速运有限公司地区总经理，</w:t>
      </w:r>
      <w:r>
        <w:rPr>
          <w:color w:val="000000"/>
          <w:spacing w:val="0"/>
          <w:w w:val="100"/>
          <w:position w:val="0"/>
          <w:sz w:val="18"/>
          <w:szCs w:val="18"/>
        </w:rPr>
        <w:t>2010</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年任深圳顺丰泰森控股（集团）有限公司综合本 部总裁。</w:t>
      </w:r>
      <w:r>
        <w:rPr>
          <w:color w:val="000000"/>
          <w:spacing w:val="0"/>
          <w:w w:val="100"/>
          <w:position w:val="0"/>
          <w:sz w:val="18"/>
          <w:szCs w:val="18"/>
        </w:rPr>
        <w:t>2014</w:t>
      </w:r>
      <w:r>
        <w:rPr>
          <w:color w:val="000000"/>
          <w:spacing w:val="0"/>
          <w:w w:val="100"/>
          <w:position w:val="0"/>
        </w:rPr>
        <w:t>年至今任深圳顺丰泰森控股（集团）有限公司电商产业园事业部副总裁、总裁办负责人。自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 任本公司职工代表监事。</w:t>
      </w:r>
    </w:p>
    <w:p>
      <w:pPr>
        <w:pStyle w:val="Style11"/>
        <w:keepNext w:val="0"/>
        <w:keepLines w:val="0"/>
        <w:widowControl w:val="0"/>
        <w:shd w:val="clear" w:color="auto" w:fill="auto"/>
        <w:bidi w:val="0"/>
        <w:spacing w:before="0" w:after="460" w:line="475" w:lineRule="exact"/>
        <w:ind w:left="0" w:right="0" w:firstLine="0"/>
        <w:jc w:val="both"/>
      </w:pPr>
      <w:r>
        <w:rPr>
          <w:color w:val="000000"/>
          <w:spacing w:val="0"/>
          <w:w w:val="100"/>
          <w:position w:val="0"/>
        </w:rPr>
        <w:t>官力先生，</w:t>
      </w:r>
      <w:r>
        <w:rPr>
          <w:color w:val="000000"/>
          <w:spacing w:val="0"/>
          <w:w w:val="100"/>
          <w:position w:val="0"/>
          <w:sz w:val="18"/>
          <w:szCs w:val="18"/>
        </w:rPr>
        <w:t>1979</w:t>
      </w:r>
      <w:r>
        <w:rPr>
          <w:color w:val="000000"/>
          <w:spacing w:val="0"/>
          <w:w w:val="100"/>
          <w:position w:val="0"/>
        </w:rPr>
        <w:t>年出生，中国国籍，毕业于新加坡国立大学，高性能计算机工程系统专业硕士。</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年任新加坡综 合决策系统咨询有限公司咨询顾问，</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年任北京经纬弈德科技有限公司咨询顾问，</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2015</w:t>
      </w:r>
      <w:r>
        <w:rPr>
          <w:color w:val="000000"/>
          <w:spacing w:val="0"/>
          <w:w w:val="100"/>
          <w:position w:val="0"/>
        </w:rPr>
        <w:t xml:space="preserve">年历任顺丰控股 </w:t>
      </w:r>
      <w:r>
        <w:rPr>
          <w:color w:val="000000"/>
          <w:spacing w:val="0"/>
          <w:w w:val="100"/>
          <w:position w:val="0"/>
        </w:rPr>
        <w:t>企业发展办公室战略规划高级经理、企业发展总监、战略管理组副总裁、创新管理副总裁。</w:t>
      </w:r>
      <w:r>
        <w:rPr>
          <w:color w:val="000000"/>
          <w:spacing w:val="0"/>
          <w:w w:val="100"/>
          <w:position w:val="0"/>
          <w:sz w:val="18"/>
          <w:szCs w:val="18"/>
        </w:rPr>
        <w:t>2015</w:t>
      </w:r>
      <w:r>
        <w:rPr>
          <w:color w:val="000000"/>
          <w:spacing w:val="0"/>
          <w:w w:val="100"/>
          <w:position w:val="0"/>
        </w:rPr>
        <w:t>年至今任深圳顺丰泰森控股 （集团）有限公司变革管理部负责人。自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日起任本公司非职工代表监事。</w:t>
      </w:r>
    </w:p>
    <w:p>
      <w:pPr>
        <w:pStyle w:val="Style11"/>
        <w:keepNext w:val="0"/>
        <w:keepLines w:val="0"/>
        <w:widowControl w:val="0"/>
        <w:shd w:val="clear" w:color="auto" w:fill="auto"/>
        <w:bidi w:val="0"/>
        <w:spacing w:before="0" w:after="460" w:line="468" w:lineRule="exact"/>
        <w:ind w:left="0" w:right="0" w:firstLine="0"/>
        <w:jc w:val="left"/>
      </w:pPr>
      <w:r>
        <w:rPr>
          <w:color w:val="000000"/>
          <w:spacing w:val="0"/>
          <w:w w:val="100"/>
          <w:position w:val="0"/>
        </w:rPr>
        <w:t>杨涛先生，</w:t>
      </w:r>
      <w:r>
        <w:rPr>
          <w:color w:val="000000"/>
          <w:spacing w:val="0"/>
          <w:w w:val="100"/>
          <w:position w:val="0"/>
          <w:sz w:val="18"/>
          <w:szCs w:val="18"/>
        </w:rPr>
        <w:t>1970</w:t>
      </w:r>
      <w:r>
        <w:rPr>
          <w:color w:val="000000"/>
          <w:spacing w:val="0"/>
          <w:w w:val="100"/>
          <w:position w:val="0"/>
        </w:rPr>
        <w:t>年出生，中国国籍，无境外永久居留权，大专学历。</w:t>
      </w:r>
      <w:r>
        <w:rPr>
          <w:color w:val="000000"/>
          <w:spacing w:val="0"/>
          <w:w w:val="100"/>
          <w:position w:val="0"/>
          <w:sz w:val="18"/>
          <w:szCs w:val="18"/>
        </w:rPr>
        <w:t>2004</w:t>
      </w:r>
      <w:r>
        <w:rPr>
          <w:color w:val="000000"/>
          <w:spacing w:val="0"/>
          <w:w w:val="100"/>
          <w:position w:val="0"/>
        </w:rPr>
        <w:t>年至今历任深圳顺丰泰森控股（集团）有限公司财 务高级经理、区域总经理、财务总监、审计监察总监、华中大区总裁，现任深圳顺丰泰森控股（集团）有限公司副总裁、产 业园运营中心负责人。自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日起任本公司非职工代表监事。</w:t>
      </w:r>
    </w:p>
    <w:p>
      <w:pPr>
        <w:pStyle w:val="Style11"/>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刘冀鲁先生，</w:t>
      </w:r>
      <w:r>
        <w:rPr>
          <w:color w:val="000000"/>
          <w:spacing w:val="0"/>
          <w:w w:val="100"/>
          <w:position w:val="0"/>
          <w:sz w:val="18"/>
          <w:szCs w:val="18"/>
        </w:rPr>
        <w:t>1947</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月出生，中国国籍，中共党员，大学学历，工程师，安徽省优秀民营企业家，马鞍山市老科协副会长， 安徽省冶金协会副会长，马鞍山市企业家联合会副会长，马鞍山工经联常务副会长，当涂县人大代表。历任马鞍山市鼎泰金 属制品公司总经理，马鞍山市鼎泰科技有限责任公司董事长兼总经理，马鞍山鼎泰稀土新材料股份有限公司董事长、总经理、 党委书记。自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日起任本公司非职工代表监事。</w:t>
      </w:r>
    </w:p>
    <w:p>
      <w:pPr>
        <w:pStyle w:val="Style11"/>
        <w:keepNext w:val="0"/>
        <w:keepLines w:val="0"/>
        <w:widowControl w:val="0"/>
        <w:shd w:val="clear" w:color="auto" w:fill="auto"/>
        <w:bidi w:val="0"/>
        <w:spacing w:before="0" w:after="460" w:line="468" w:lineRule="exact"/>
        <w:ind w:left="0" w:right="0" w:firstLine="0"/>
        <w:jc w:val="left"/>
      </w:pPr>
      <w:r>
        <w:rPr>
          <w:color w:val="000000"/>
          <w:spacing w:val="0"/>
          <w:w w:val="100"/>
          <w:position w:val="0"/>
        </w:rPr>
        <w:t>高级管理层</w:t>
      </w:r>
    </w:p>
    <w:p>
      <w:pPr>
        <w:pStyle w:val="Style11"/>
        <w:keepNext w:val="0"/>
        <w:keepLines w:val="0"/>
        <w:widowControl w:val="0"/>
        <w:shd w:val="clear" w:color="auto" w:fill="auto"/>
        <w:bidi w:val="0"/>
        <w:spacing w:before="0" w:after="460" w:line="468" w:lineRule="exact"/>
        <w:ind w:left="0" w:right="0" w:firstLine="0"/>
        <w:jc w:val="left"/>
      </w:pPr>
      <w:r>
        <w:rPr>
          <w:color w:val="000000"/>
          <w:spacing w:val="0"/>
          <w:w w:val="100"/>
          <w:position w:val="0"/>
        </w:rPr>
        <w:t>王卫先生、林哲莹先生、杜浩洋先生、罗世礼先生、伍玮婷女士工作经历及任职、兼职情况请见“董事会”部分。</w:t>
      </w:r>
    </w:p>
    <w:p>
      <w:pPr>
        <w:pStyle w:val="Style11"/>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李胜先生，</w:t>
      </w:r>
      <w:r>
        <w:rPr>
          <w:color w:val="000000"/>
          <w:spacing w:val="0"/>
          <w:w w:val="100"/>
          <w:position w:val="0"/>
          <w:sz w:val="18"/>
          <w:szCs w:val="18"/>
        </w:rPr>
        <w:t>1966</w:t>
      </w:r>
      <w:r>
        <w:rPr>
          <w:color w:val="000000"/>
          <w:spacing w:val="0"/>
          <w:w w:val="100"/>
          <w:position w:val="0"/>
        </w:rPr>
        <w:t>年出生，中国国籍，毕业于四川师范大学，法学学士。</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年任沃尔玛中国高管，</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 历任深圳顺丰泰森控股（集团）有限公司审计监察部负责人、湖北区总经理、华中本部总裁、华西本部总裁。</w:t>
      </w:r>
      <w:r>
        <w:rPr>
          <w:color w:val="000000"/>
          <w:spacing w:val="0"/>
          <w:w w:val="100"/>
          <w:position w:val="0"/>
          <w:sz w:val="18"/>
          <w:szCs w:val="18"/>
        </w:rPr>
        <w:t>2013</w:t>
      </w:r>
      <w:r>
        <w:rPr>
          <w:color w:val="000000"/>
          <w:spacing w:val="0"/>
          <w:w w:val="100"/>
          <w:position w:val="0"/>
        </w:rPr>
        <w:t>年至今任 顺丰航空负责人。</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年任顺丰控股董事、</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年任深圳顺丰泰森控股（集团）有限公司副总经理。自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日起任本公司副总经理。</w:t>
      </w:r>
    </w:p>
    <w:p>
      <w:pPr>
        <w:pStyle w:val="Style11"/>
        <w:keepNext w:val="0"/>
        <w:keepLines w:val="0"/>
        <w:widowControl w:val="0"/>
        <w:shd w:val="clear" w:color="auto" w:fill="auto"/>
        <w:bidi w:val="0"/>
        <w:spacing w:before="0" w:after="460" w:line="467" w:lineRule="exact"/>
        <w:ind w:left="0" w:right="0" w:firstLine="0"/>
        <w:jc w:val="left"/>
      </w:pPr>
      <w:r>
        <w:rPr>
          <w:color w:val="000000"/>
          <w:spacing w:val="0"/>
          <w:w w:val="100"/>
          <w:position w:val="0"/>
        </w:rPr>
        <w:t>许志君先生，</w:t>
      </w:r>
      <w:r>
        <w:rPr>
          <w:color w:val="000000"/>
          <w:spacing w:val="0"/>
          <w:w w:val="100"/>
          <w:position w:val="0"/>
          <w:sz w:val="18"/>
          <w:szCs w:val="18"/>
        </w:rPr>
        <w:t>1976</w:t>
      </w:r>
      <w:r>
        <w:rPr>
          <w:color w:val="000000"/>
          <w:spacing w:val="0"/>
          <w:w w:val="100"/>
          <w:position w:val="0"/>
        </w:rPr>
        <w:t>年出生，中国国籍，毕业于新加坡国立大学，物流管理专业硕士学位。</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年任</w:t>
      </w:r>
      <w:r>
        <w:rPr>
          <w:color w:val="000000"/>
          <w:spacing w:val="0"/>
          <w:w w:val="100"/>
          <w:position w:val="0"/>
          <w:sz w:val="18"/>
          <w:szCs w:val="18"/>
        </w:rPr>
        <w:t>IDSC</w:t>
      </w:r>
      <w:r>
        <w:rPr>
          <w:color w:val="000000"/>
          <w:spacing w:val="0"/>
          <w:w w:val="100"/>
          <w:position w:val="0"/>
        </w:rPr>
        <w:t>公司企业咨 询顾问，</w:t>
      </w:r>
      <w:r>
        <w:rPr>
          <w:color w:val="000000"/>
          <w:spacing w:val="0"/>
          <w:w w:val="100"/>
          <w:position w:val="0"/>
          <w:sz w:val="18"/>
          <w:szCs w:val="18"/>
        </w:rPr>
        <w:t>2004</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年历任深圳顺丰泰森控股（集团）有限公司规划总经理、战略规划总监、企业发展总监、营运本部总 裁、集团副总裁兼大营运负责人。</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年任深圳顺丰泰森控股（集团）有限公司副总经理、助理首席营运官、速运 事业群首席运营官。自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日起任本公司副总经理。</w:t>
      </w:r>
    </w:p>
    <w:p>
      <w:pPr>
        <w:pStyle w:val="Style11"/>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梁翔先生，</w:t>
      </w:r>
      <w:r>
        <w:rPr>
          <w:color w:val="000000"/>
          <w:spacing w:val="0"/>
          <w:w w:val="100"/>
          <w:position w:val="0"/>
          <w:sz w:val="18"/>
          <w:szCs w:val="18"/>
        </w:rPr>
        <w:t>1965</w:t>
      </w:r>
      <w:r>
        <w:rPr>
          <w:color w:val="000000"/>
          <w:spacing w:val="0"/>
          <w:w w:val="100"/>
          <w:position w:val="0"/>
        </w:rPr>
        <w:t>年出生，中国香港特别行政区永久性居民，毕业于美国加州大学伯克利分校，软件工程专业学士学位。</w:t>
      </w:r>
      <w:r>
        <w:rPr>
          <w:color w:val="000000"/>
          <w:spacing w:val="0"/>
          <w:w w:val="100"/>
          <w:position w:val="0"/>
          <w:sz w:val="18"/>
          <w:szCs w:val="18"/>
        </w:rPr>
        <w:t xml:space="preserve">1990 </w:t>
      </w:r>
      <w:r>
        <w:rPr>
          <w:color w:val="000000"/>
          <w:spacing w:val="0"/>
          <w:w w:val="100"/>
          <w:position w:val="0"/>
        </w:rPr>
        <w:t>年至</w:t>
      </w:r>
      <w:r>
        <w:rPr>
          <w:color w:val="000000"/>
          <w:spacing w:val="0"/>
          <w:w w:val="100"/>
          <w:position w:val="0"/>
          <w:sz w:val="18"/>
          <w:szCs w:val="18"/>
        </w:rPr>
        <w:t>1993</w:t>
      </w:r>
      <w:r>
        <w:rPr>
          <w:color w:val="000000"/>
          <w:spacing w:val="0"/>
          <w:w w:val="100"/>
          <w:position w:val="0"/>
        </w:rPr>
        <w:t>年任普华永道会计师事务所咨询部顾问，</w:t>
      </w: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1994</w:t>
      </w:r>
      <w:r>
        <w:rPr>
          <w:color w:val="000000"/>
          <w:spacing w:val="0"/>
          <w:w w:val="100"/>
          <w:position w:val="0"/>
        </w:rPr>
        <w:t>年任惠嘉证券分析员，</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1997</w:t>
      </w:r>
      <w:r>
        <w:rPr>
          <w:color w:val="000000"/>
          <w:spacing w:val="0"/>
          <w:w w:val="100"/>
          <w:position w:val="0"/>
        </w:rPr>
        <w:t>年任霸菱证券（亚洲） 有限公司高级分析师，</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年任摩根士丹利（亚洲）有限公司证券分析部副总裁，</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年任瑞士信贷（亚 洲）有限公司执行董事兼中国股票分析部主管，</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年任摩根士丹利（亚洲）有限公司私人理财部副总裁，</w:t>
      </w:r>
      <w:r>
        <w:rPr>
          <w:color w:val="000000"/>
          <w:spacing w:val="0"/>
          <w:w w:val="100"/>
          <w:position w:val="0"/>
          <w:sz w:val="18"/>
          <w:szCs w:val="18"/>
        </w:rPr>
        <w:t>2004</w:t>
      </w:r>
      <w:r>
        <w:rPr>
          <w:color w:val="000000"/>
          <w:spacing w:val="0"/>
          <w:w w:val="100"/>
          <w:position w:val="0"/>
        </w:rPr>
        <w:t xml:space="preserve">年 </w:t>
      </w:r>
      <w:r>
        <w:rPr>
          <w:color w:val="000000"/>
          <w:spacing w:val="0"/>
          <w:w w:val="100"/>
          <w:position w:val="0"/>
        </w:rPr>
        <w:t>至</w:t>
      </w:r>
      <w:r>
        <w:rPr>
          <w:color w:val="000000"/>
          <w:spacing w:val="0"/>
          <w:w w:val="100"/>
          <w:position w:val="0"/>
          <w:sz w:val="18"/>
          <w:szCs w:val="18"/>
        </w:rPr>
        <w:t>2015</w:t>
      </w:r>
      <w:r>
        <w:rPr>
          <w:color w:val="000000"/>
          <w:spacing w:val="0"/>
          <w:w w:val="100"/>
          <w:position w:val="0"/>
        </w:rPr>
        <w:t>年至今历任摩根士丹利（亚洲）有限公司投资银行部副总裁、执行董事、董事总经理，亚太区投资银行副主席。</w:t>
      </w:r>
      <w:r>
        <w:rPr>
          <w:color w:val="000000"/>
          <w:spacing w:val="0"/>
          <w:w w:val="100"/>
          <w:position w:val="0"/>
          <w:sz w:val="18"/>
          <w:szCs w:val="18"/>
        </w:rPr>
        <w:t xml:space="preserve">2015 </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年任深圳顺丰泰森控股（集团）有限公司副总经理。自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日起任本公司副总经理。</w:t>
      </w:r>
    </w:p>
    <w:p>
      <w:pPr>
        <w:pStyle w:val="Style11"/>
        <w:keepNext w:val="0"/>
        <w:keepLines w:val="0"/>
        <w:widowControl w:val="0"/>
        <w:shd w:val="clear" w:color="auto" w:fill="auto"/>
        <w:bidi w:val="0"/>
        <w:spacing w:before="0" w:after="80" w:line="469" w:lineRule="exact"/>
        <w:ind w:left="0" w:right="0" w:firstLine="0"/>
        <w:jc w:val="both"/>
      </w:pPr>
      <w:r>
        <w:rPr>
          <w:color w:val="000000"/>
          <w:spacing w:val="0"/>
          <w:w w:val="100"/>
          <w:position w:val="0"/>
        </w:rPr>
        <w:t>甘玲女士，</w:t>
      </w:r>
      <w:r>
        <w:rPr>
          <w:color w:val="000000"/>
          <w:spacing w:val="0"/>
          <w:w w:val="100"/>
          <w:position w:val="0"/>
          <w:sz w:val="18"/>
          <w:szCs w:val="18"/>
        </w:rPr>
        <w:t>1974</w:t>
      </w:r>
      <w:r>
        <w:rPr>
          <w:color w:val="000000"/>
          <w:spacing w:val="0"/>
          <w:w w:val="100"/>
          <w:position w:val="0"/>
        </w:rPr>
        <w:t>年出生，中国国籍，无境外永久居留权，毕业于美国德州大学奥斯丁分校，工商管理硕士学位</w:t>
      </w:r>
      <w:r>
        <w:rPr>
          <w:color w:val="000000"/>
          <w:spacing w:val="0"/>
          <w:w w:val="100"/>
          <w:position w:val="0"/>
          <w:vertAlign w:val="subscript"/>
        </w:rPr>
        <w:t>o</w:t>
      </w:r>
      <w:r>
        <w:rPr>
          <w:color w:val="000000"/>
          <w:spacing w:val="0"/>
          <w:w w:val="100"/>
          <w:position w:val="0"/>
        </w:rPr>
        <w:t xml:space="preserve"> </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 xml:space="preserve">2010 </w:t>
      </w:r>
      <w:r>
        <w:rPr>
          <w:color w:val="000000"/>
          <w:spacing w:val="0"/>
          <w:w w:val="100"/>
          <w:position w:val="0"/>
        </w:rPr>
        <w:t>年任老虎基金系列寇图基金分析师，</w:t>
      </w:r>
      <w:r>
        <w:rPr>
          <w:color w:val="000000"/>
          <w:spacing w:val="0"/>
          <w:w w:val="100"/>
          <w:position w:val="0"/>
          <w:sz w:val="18"/>
          <w:szCs w:val="18"/>
        </w:rPr>
        <w:t>2010</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年任茂业国际控股有限公司副总经理，</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年任重庆医药（集团） 股份有限公司董事、成商集团股份有限公司董事、渤海物流控股股份有限公司董事。</w:t>
      </w:r>
      <w:r>
        <w:rPr>
          <w:color w:val="000000"/>
          <w:spacing w:val="0"/>
          <w:w w:val="100"/>
          <w:position w:val="0"/>
          <w:sz w:val="18"/>
          <w:szCs w:val="18"/>
        </w:rPr>
        <w:t>2016</w:t>
      </w:r>
      <w:r>
        <w:rPr>
          <w:color w:val="000000"/>
          <w:spacing w:val="0"/>
          <w:w w:val="100"/>
          <w:position w:val="0"/>
        </w:rPr>
        <w:t>年至今任深圳顺丰泰森控股（集团） 有限公司董事会秘书，自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日起任本公司副总经理兼董事会秘书。</w:t>
      </w:r>
    </w:p>
    <w:p>
      <w:pPr>
        <w:pStyle w:val="Style11"/>
        <w:keepNext w:val="0"/>
        <w:keepLines w:val="0"/>
        <w:widowControl w:val="0"/>
        <w:shd w:val="clear" w:color="auto" w:fill="auto"/>
        <w:bidi w:val="0"/>
        <w:spacing w:before="0" w:after="80" w:line="346" w:lineRule="exact"/>
        <w:ind w:left="0" w:right="0" w:firstLine="0"/>
        <w:jc w:val="both"/>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560"/>
        <w:gridCol w:w="1421"/>
        <w:gridCol w:w="1070"/>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是否领取报 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深圳明德控股发展有限公司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深圳市顺商投资有限公司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执行（常务）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深圳市顺丰电子商务有限公司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北京顺丰电子商务有限公司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深圳市顺丰商业有限公司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杜浩洋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伍玮婷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顺丰控股集团商贸有限公司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梅州市顺丰商业有限公司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茂名市顺意丰商业有限公司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阳江市顺丰商贸有限公司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湛江市顺啸丰商贸有限公司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揭阳市顺丰商业有限公司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潮州市顺丰商贸有限公司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韶关市顺意丰商贸有限公司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桑利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金华市顺丰商业有限公司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24"/>
        <w:gridCol w:w="3230"/>
        <w:gridCol w:w="1080"/>
        <w:gridCol w:w="1560"/>
        <w:gridCol w:w="1421"/>
        <w:gridCol w:w="107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衢州市顺意丰商贸有限公司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苏州工业园区顺衡顺商贸有限公司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内蒙古顺丰商贸有限公司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新疆顺意丰商贸有限公司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海南省顺丰商业有限公司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陕西顺意丰商贸有限公司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贵州顺意丰商贸有限公司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甘肃顺丰商业有限公司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清远市顺啸丰商贸有限公司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马鞍山市顺泰稀土新材料有限公司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11"/>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483"/>
        <w:gridCol w:w="1104"/>
        <w:gridCol w:w="1387"/>
      </w:tblGrid>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w:t>
            </w:r>
          </w:p>
        </w:tc>
        <w:tc>
          <w:tcPr>
            <w:tcBorders>
              <w:left w:val="single" w:sz="4"/>
              <w:righ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深圳市丰巢科技有限公司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珠海随变科技有限公司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深圳中顺易金融服务有限公司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深圳）科技发展有限责任公司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古玉资本管理有限公司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北京新越方德投资管理有限公司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深圳中顺易金融服务有限公司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上海牵趣网络科技有限公司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北京数字绿土科技有限公司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深圳）科技发展有限责任公司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上海格灵信息科技有限公司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深圳市丰巢科技有限公司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苏州古玉股权投资管理有限公司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苏州瑞璜股权投资管理合伙企业（有限合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苏州风铃股权投资管理合伙企业（普通合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古玉投资管理（北京）有限公司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Best Castle Limited</w:t>
            </w:r>
            <w:r>
              <w:rPr>
                <w:color w:val="000000"/>
                <w:spacing w:val="0"/>
                <w:w w:val="100"/>
                <w:position w:val="0"/>
              </w:rPr>
              <w:t>佳堡有限公司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42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w:t>
              <w:tab/>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2015B</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GP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 Caesar GP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CCAIM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CCHL Management Holding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CCP Holdings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CCVP （HK）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CCVP Advisory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CMC Football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CCVP GP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China Universal Leasing Company Limited </w:t>
            </w:r>
            <w:r>
              <w:rPr>
                <w:color w:val="000000"/>
                <w:spacing w:val="0"/>
                <w:w w:val="100"/>
                <w:position w:val="0"/>
              </w:rPr>
              <w:t>中国环球租赁有限公司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Venture Capital and Private Equity</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Association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Business Advisory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CITIC Capital Agriculture Investment Management Limited</w:t>
            </w:r>
            <w:r>
              <w:rPr>
                <w:color w:val="000000"/>
                <w:spacing w:val="0"/>
                <w:w w:val="100"/>
                <w:position w:val="0"/>
              </w:rPr>
              <w:t>中信资本农业产业 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Asset Management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Champ Full Investments</w:t>
            </w:r>
          </w:p>
          <w:p>
            <w:pPr>
              <w:pStyle w:val="Style23"/>
              <w:keepNext w:val="0"/>
              <w:keepLines w:val="0"/>
              <w:widowControl w:val="0"/>
              <w:shd w:val="clear" w:color="auto" w:fill="auto"/>
              <w:tabs>
                <w:tab w:pos="73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tab/>
            </w:r>
            <w:r>
              <w:rPr>
                <w:color w:val="000000"/>
                <w:spacing w:val="0"/>
                <w:w w:val="100"/>
                <w:position w:val="0"/>
              </w:rPr>
              <w:t>（中信资本卓涛投资有限公司）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China Mezzanine Fund</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CITIC Capital Construction Machinery Investments Limited </w:t>
            </w:r>
            <w:r>
              <w:rPr>
                <w:color w:val="000000"/>
                <w:spacing w:val="0"/>
                <w:w w:val="100"/>
                <w:position w:val="0"/>
              </w:rPr>
              <w:t>（中信资本工程机械 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Excel Wisdom GP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CITIC Capital Finance Limited </w:t>
            </w:r>
            <w:r>
              <w:rPr>
                <w:color w:val="000000"/>
                <w:spacing w:val="0"/>
                <w:w w:val="100"/>
                <w:position w:val="0"/>
              </w:rPr>
              <w:t>（中信资本 融资有限公司）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Financial Holding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（中信资本金融控股有限公司）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Global Services Holdings</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Guaranty Investments Ltd.</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（中信资本担保投资有限公司）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CITIC Capital Hoisting Machinery Investments Limited </w:t>
            </w:r>
            <w:r>
              <w:rPr>
                <w:color w:val="000000"/>
                <w:spacing w:val="0"/>
                <w:w w:val="100"/>
                <w:position w:val="0"/>
              </w:rPr>
              <w:t>（中信资本起重机械投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CITIC Capital Holdings Limited </w:t>
            </w:r>
            <w:r>
              <w:rPr>
                <w:color w:val="000000"/>
                <w:spacing w:val="0"/>
                <w:w w:val="100"/>
                <w:position w:val="0"/>
              </w:rPr>
              <w:t>（中信资 本控股有限公司）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Iceland Investment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Investment Consulting</w:t>
            </w:r>
          </w:p>
          <w:p>
            <w:pPr>
              <w:pStyle w:val="Style23"/>
              <w:keepNext w:val="0"/>
              <w:keepLines w:val="0"/>
              <w:widowControl w:val="0"/>
              <w:shd w:val="clear" w:color="auto" w:fill="auto"/>
              <w:tabs>
                <w:tab w:pos="74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tab/>
            </w:r>
            <w:r>
              <w:rPr>
                <w:color w:val="000000"/>
                <w:spacing w:val="0"/>
                <w:w w:val="100"/>
                <w:position w:val="0"/>
              </w:rPr>
              <w:t>（中信资本投资咨询有限公司）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Investment Holdings Limited</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（中信资本（中国）投资有限公司）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Investment Services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CITIC Capital MB （HK） Limited </w:t>
            </w:r>
            <w:r>
              <w:rPr>
                <w:color w:val="000000"/>
                <w:spacing w:val="0"/>
                <w:w w:val="100"/>
                <w:position w:val="0"/>
              </w:rPr>
              <w:t>（中信资 本商机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MB Investment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Ming Kang Healthcare</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Partners Group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Partners Holdings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Partners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Silk Road GP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Special Investment Holdings</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Kazyna GP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Kazyna Investment Advisor （Hong</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Kazyna Manager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CKIF CITIC Capital Carry GP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Committee of Mainland Oversea Returnees in Hong Kong Limited </w:t>
            </w:r>
            <w:r>
              <w:rPr>
                <w:color w:val="000000"/>
                <w:spacing w:val="0"/>
                <w:w w:val="100"/>
                <w:position w:val="0"/>
              </w:rPr>
              <w:t>（在港海归会有限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CP Management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Dalton Foundation Limited </w:t>
            </w:r>
            <w:r>
              <w:rPr>
                <w:color w:val="000000"/>
                <w:spacing w:val="0"/>
                <w:w w:val="100"/>
                <w:position w:val="0"/>
              </w:rPr>
              <w:t>（道尔顿基金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Excel Wisdom Holding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F amous Gain International Limited </w:t>
            </w:r>
            <w:r>
              <w:rPr>
                <w:color w:val="000000"/>
                <w:spacing w:val="0"/>
                <w:w w:val="100"/>
                <w:position w:val="0"/>
              </w:rPr>
              <w:t>（锦资 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Fazio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Fuwa Heavy Industry Co.,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Harbin Pharmaceutical Group Holding Company Ltd.</w:t>
            </w:r>
            <w:r>
              <w:rPr>
                <w:color w:val="000000"/>
                <w:spacing w:val="0"/>
                <w:w w:val="100"/>
                <w:position w:val="0"/>
              </w:rPr>
              <w:t>（哈药集团有限公司）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Harvest Ocean （Cayman）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Ming Kang Healthcare Investment Limited</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（铭康投资有限公司）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Multifield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Mutual Glory International Limited </w:t>
            </w:r>
            <w:r>
              <w:rPr>
                <w:color w:val="000000"/>
                <w:spacing w:val="0"/>
                <w:w w:val="100"/>
                <w:position w:val="0"/>
              </w:rPr>
              <w:t>（采佳 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Peace Investment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Perfect Business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Perfect Move Investments Limited </w:t>
            </w:r>
            <w:r>
              <w:rPr>
                <w:color w:val="000000"/>
                <w:spacing w:val="0"/>
                <w:w w:val="100"/>
                <w:position w:val="0"/>
              </w:rPr>
              <w:t>（程安投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Pioneer Way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Prosper Glory Investments Limited </w:t>
            </w:r>
            <w:r>
              <w:rPr>
                <w:color w:val="000000"/>
                <w:spacing w:val="0"/>
                <w:w w:val="100"/>
                <w:position w:val="0"/>
              </w:rPr>
              <w:t>（兴耀投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Seagull Holdings Cayman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Sina Corporation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Skipper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Goal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 Success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Super Sun Profits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Treasure Land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Universal Medical Financial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Technical Advisory Services Company Limited </w:t>
            </w:r>
            <w:r>
              <w:rPr>
                <w:color w:val="000000"/>
                <w:spacing w:val="0"/>
                <w:w w:val="100"/>
                <w:position w:val="0"/>
              </w:rPr>
              <w:t>（环 球医疗金融与技术咨询服务有限公司）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Wisdom Investments （Hong Kong） Limited </w:t>
            </w:r>
            <w:r>
              <w:rPr>
                <w:color w:val="000000"/>
                <w:spacing w:val="0"/>
                <w:w w:val="100"/>
                <w:position w:val="0"/>
              </w:rPr>
              <w:t>（融智投资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World Profit International Capital Limited</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（汇盈国际资本有限公司）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本源投资顾问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张懿宸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哈尔滨国企重组管理顾问有限公司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Harbin Management Advisory Limited</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CITIC Capital (Shanghai) Consulting Company Limited</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开信创业投资管理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开信创业投资有限公司</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CDB-CITIC</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Capital Investment Co., Ltd.</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上海斯特福德置业有限公司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上海信铭投资咨询有限公司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中信丰悦（大连）有限公司</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CITIC Full Joy</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Dalian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Co., Ltd.</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中信资本（天津）股权投资合伙企业（有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中信资本（天津）投资管理合伙企业（有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中信资本（中国）投资有限公司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中信资本文化旅游（成都）股份有限公司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Fast Food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RCIF Asset Management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RCIF Partners GP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神华集团有限责任公司</w:t>
            </w:r>
            <w:r>
              <w:rPr>
                <w:rFonts w:ascii="Times New Roman" w:eastAsia="Times New Roman" w:hAnsi="Times New Roman" w:cs="Times New Roman"/>
                <w:color w:val="000000"/>
                <w:spacing w:val="0"/>
                <w:w w:val="100"/>
                <w:position w:val="0"/>
                <w:sz w:val="18"/>
                <w:szCs w:val="18"/>
              </w:rPr>
              <w:t>Shenhua Group</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中信资本股权投资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CITIC Capital Equity Investment (Tianjin)</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ASSESS INVESTMENT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商顺供应链管理（中国）有限公司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招商局物流集团有限公司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深圳市恒路物流股份有限公司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招商局物流集团（天津）有限公司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招商局物流集团陕西有限公司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招商局中白商贸物流股份有限公司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招商局中白投资咨询（深圳）有限公司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招商局新丝路物流供应链有限公司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招商美冷（香港）控股有限公司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招商美冷物流（香港）有限公司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苏州元禾控股股份有限公司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总裁、副董事 长、法定代表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董事长、总经 理、法定代表</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苏州工业园区沙湖金融服务有限公司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凯风创业投资有限公司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执行董事、总 经理、法定代 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苏州工业园区原点创业投资有限公司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执行董事、总 经理、法定代 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元禾股权投资基金管理有限公司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董事长、总经 理、法定代表</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国开开元股权投资基金管理有限公司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华芯投资管理有限责任公司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苏州工业园区元禾辰坤股权投资基金管 理中心（有限合伙）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苏州工业园区元禾原点创业投资管理有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董事长、法定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苏州工业园区元禾重元股权投资基金管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董事长、法定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苏州元禾凯风创业投资管理有限公司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董事长、法定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华亿创业投资管理（苏州）有限公司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苏州工业园区国创创业投资有限公司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董事、总经 理、法定代表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苏州元风创业投资有限公司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董事长、法定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苏州德睿亨风创业投资有限公司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董事长、法定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霍尔果斯凯风进取创业投资有限公司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国创元禾创业基金（有限合伙）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伙人委派代</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苏州工业园区重元顺风股权投资管理中 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苏州工业园区元禾顺风股权投资企业（有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苏州工业园区元禾重元并购股权投资基 金合伙企业（有限合伙）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苏州工业园区重元齐家股权投资企业（有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苏州工业园区重元并购股权投资管理中 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苏州工业园区元禾秉胜股权投资基金合 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苏州工业园区国创元禾二期创业投资有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英菲尼迪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中新创业投资企业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联合管理委 员会委员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苏州禾文投资管理有限公司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董事长、法定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苏州禾文投资合伙企业（有限合伙）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华人文化有限责任公司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CMC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华圆管理咨询（香港）有限公司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元禾管理咨询（香港）有限公司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苏州工业园区元禾重元优云股权投资管 理中心（有限合伙）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苏州工业园区元禾重元优云创业投资企 业（有限合伙）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佐理科技咨询（深圳）有限公司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Jolokia Partner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Jolokia Holding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杜浩洋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顺丰公益基金会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伍玮婷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顺丰公益基金会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上海吉祥航空股份有限公司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中国太平洋保险（集团）股份有限公司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上海复旦张江生物医药股份有限公司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观韬律师事务所（香港）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高级顾问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信星鞋集团有限公司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香港铁路有限公司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叶迪奇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中国平安保险（集团）股份有限公司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叶迪奇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南华集团控股有限公司（原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南华（中国） 有限公司</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叶迪奇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新鸿基地产发展有限公司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叶迪奇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DSG International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Thailand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陈启明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广东省顺丰慈善基金会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顺丰公益基金会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顺丰公益基金会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顺丰公益基金会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Sunrise Capital Feeder Fund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Kaipa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4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sz w:val="24"/>
          <w:szCs w:val="24"/>
        </w:rPr>
        <w:t>四</w:t>
      </w:r>
      <w:bookmarkEnd w:id="379"/>
      <w:r>
        <w:rPr>
          <w:color w:val="000000"/>
          <w:spacing w:val="0"/>
          <w:w w:val="100"/>
          <w:position w:val="0"/>
          <w:sz w:val="24"/>
          <w:szCs w:val="24"/>
        </w:rPr>
        <w:t>、董事、监事、高级管理人员报酬情况</w:t>
      </w:r>
      <w:bookmarkEnd w:id="377"/>
      <w:bookmarkEnd w:id="378"/>
      <w:bookmarkEnd w:id="380"/>
    </w:p>
    <w:p>
      <w:pPr>
        <w:pStyle w:val="Style11"/>
        <w:keepNext w:val="0"/>
        <w:keepLines w:val="0"/>
        <w:widowControl w:val="0"/>
        <w:shd w:val="clear" w:color="auto" w:fill="auto"/>
        <w:bidi w:val="0"/>
        <w:spacing w:before="0" w:after="400" w:line="240" w:lineRule="auto"/>
        <w:ind w:left="0" w:right="0" w:firstLine="0"/>
        <w:jc w:val="left"/>
      </w:pPr>
      <w:r>
        <w:rPr>
          <w:color w:val="000000"/>
          <w:spacing w:val="0"/>
          <w:w w:val="100"/>
          <w:position w:val="0"/>
        </w:rPr>
        <w:t>董事、监事、高级管理人员报酬的决策程序、确定依据、实际支付情况</w:t>
      </w:r>
      <w:r>
        <w:br w:type="page"/>
      </w:r>
    </w:p>
    <w:p>
      <w:pPr>
        <w:pStyle w:val="Style11"/>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公司董事会薪酬与考核委员会研究制订公司董事、监事和高级管理人员的薪酬政策、方案，股东大会审议董事、监事薪 酬，董事会审议高级管理人员薪酬，公司人力资源部、财务部配合董事会薪酬与考核委员会进行公司董事、高级管理人员薪 酬方案的具体实施。</w:t>
      </w:r>
    </w:p>
    <w:p>
      <w:pPr>
        <w:pStyle w:val="Style11"/>
        <w:keepNext w:val="0"/>
        <w:keepLines w:val="0"/>
        <w:widowControl w:val="0"/>
        <w:shd w:val="clear" w:color="auto" w:fill="auto"/>
        <w:bidi w:val="0"/>
        <w:spacing w:before="0" w:after="740" w:line="469" w:lineRule="exact"/>
        <w:ind w:left="0" w:right="0" w:firstLine="320"/>
        <w:jc w:val="left"/>
      </w:pPr>
      <w:r>
        <w:rPr>
          <w:color w:val="000000"/>
          <w:spacing w:val="0"/>
          <w:w w:val="100"/>
          <w:position w:val="0"/>
        </w:rPr>
        <w:t>根据公司内部董事、内部监事与高级管理人员所承担的责任、风险、压力等，确定不同的基本年薪标准，基本年薪不浮 动，按月发放。外部董事、独立董事、外部监事津贴数额由公司股东大会审议决定。</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公司报告期内董事、监事和高级管理人员在上市公司领取报酬情况:</w:t>
      </w:r>
    </w:p>
    <w:p>
      <w:pPr>
        <w:pStyle w:val="Style29"/>
        <w:keepNext w:val="0"/>
        <w:keepLines w:val="0"/>
        <w:widowControl w:val="0"/>
        <w:shd w:val="clear" w:color="auto" w:fill="auto"/>
        <w:bidi w:val="0"/>
        <w:spacing w:before="0" w:after="0" w:line="240" w:lineRule="auto"/>
        <w:ind w:left="8645"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刘冀鲁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离任董事长、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齐跃进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离任总经理、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宫为平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黄学春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唐成宽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袁福祥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章大林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史志民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张懿宸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刘澄伟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杜浩洋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伍玮婷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董事、副总经理、 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陈启明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19" w:line="1" w:lineRule="exact"/>
      </w:pPr>
    </w:p>
    <w:p>
      <w:pPr>
        <w:pStyle w:val="Style11"/>
        <w:keepNext w:val="0"/>
        <w:keepLines w:val="0"/>
        <w:widowControl w:val="0"/>
        <w:shd w:val="clear" w:color="auto" w:fill="auto"/>
        <w:bidi w:val="0"/>
        <w:spacing w:before="0" w:after="280" w:line="473" w:lineRule="exact"/>
        <w:ind w:left="0" w:right="0" w:firstLine="36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月，公司重大资产重组实施完毕，并于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日完成董事、监事和高级管理人员的换届工作。报 告期内，新聘任的董事、监事和高级管理人员（王卫、林哲莹、张懿宸、张懿宸、张锐、刘澄伟、罗世礼、杜浩洋、伍玮婷、、 周忠惠、周永健、金李、陈启明、桑利、官力、李胜、许志君、梁翔、甘玲）未在上市公司领取报酬。其中，王卫、林哲莹、 罗世礼、杜浩洋、伍玮婷、陈启明、桑利、官力、李胜、许志君、梁翔、甘玲报告期内在泰森控股任职所领取的报酬情况如 下表：</w:t>
      </w:r>
    </w:p>
    <w:p>
      <w:pPr>
        <w:pStyle w:val="Style29"/>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获得的税前报酬 总额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林哲莹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罗世礼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杜浩洋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伍玮婷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董事、副总经理、 财务负责人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陈启明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桑利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2,462.65</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五</w:t>
      </w:r>
      <w:bookmarkEnd w:id="383"/>
      <w:r>
        <w:rPr>
          <w:color w:val="000000"/>
          <w:spacing w:val="0"/>
          <w:w w:val="100"/>
          <w:position w:val="0"/>
          <w:sz w:val="24"/>
          <w:szCs w:val="24"/>
        </w:rPr>
        <w:t>、公司员工情况</w:t>
      </w:r>
      <w:bookmarkEnd w:id="381"/>
      <w:bookmarkEnd w:id="382"/>
      <w:bookmarkEnd w:id="384"/>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124,405</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85,594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15,434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23,377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124,405</w:t>
            </w:r>
          </w:p>
        </w:tc>
      </w:tr>
      <w:tr>
        <w:trPr>
          <w:trHeight w:val="39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16,448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29,010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高中冲专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67,327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10,386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124,405</w:t>
            </w:r>
          </w:p>
        </w:tc>
      </w:tr>
    </w:tbl>
    <w:p>
      <w:pPr>
        <w:pStyle w:val="Style33"/>
        <w:keepNext w:val="0"/>
        <w:keepLines w:val="0"/>
        <w:widowControl w:val="0"/>
        <w:shd w:val="clear" w:color="auto" w:fill="auto"/>
        <w:tabs>
          <w:tab w:pos="368" w:val="left"/>
        </w:tabs>
        <w:bidi w:val="0"/>
        <w:spacing w:before="0" w:after="200" w:line="240" w:lineRule="auto"/>
        <w:ind w:left="0" w:right="0" w:firstLine="0"/>
        <w:jc w:val="both"/>
      </w:pPr>
      <w:bookmarkStart w:id="385" w:name="bookmark385"/>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薪酬政策</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rPr>
        <w:t>顺丰秉承高绩效高回报的薪酬理念，对于高业绩、高价值贡献的员工，集团提供多元化的薪酬激励路径，给予员工认可 和激励，确保公司持续发展的内在动力。</w:t>
      </w:r>
    </w:p>
    <w:p>
      <w:pPr>
        <w:pStyle w:val="Style11"/>
        <w:keepNext w:val="0"/>
        <w:keepLines w:val="0"/>
        <w:widowControl w:val="0"/>
        <w:shd w:val="clear" w:color="auto" w:fill="auto"/>
        <w:bidi w:val="0"/>
        <w:spacing w:before="0" w:line="466" w:lineRule="exact"/>
        <w:ind w:left="0" w:right="0"/>
        <w:jc w:val="both"/>
      </w:pPr>
      <w:r>
        <w:rPr>
          <w:color w:val="000000"/>
          <w:spacing w:val="0"/>
          <w:w w:val="100"/>
          <w:position w:val="0"/>
        </w:rPr>
        <w:t>在薪酬水平上，公司以岗定薪，基于岗位价值，科学设置薪酬差距。通过定期的内外部薪酬水平对标分析，考虑市场薪 酬给付水平，确定公司薪酬水平定位，保持公司薪酬竞争力。</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在员工激励上，公司通过多元化、业绩导向的短期激励和长期激励政策，吸引和保留核心人才，提升员工全面薪酬竞争 力，驱动各业务的经营业绩达成。</w:t>
      </w:r>
    </w:p>
    <w:p>
      <w:pPr>
        <w:pStyle w:val="Style11"/>
        <w:keepNext w:val="0"/>
        <w:keepLines w:val="0"/>
        <w:widowControl w:val="0"/>
        <w:shd w:val="clear" w:color="auto" w:fill="auto"/>
        <w:bidi w:val="0"/>
        <w:spacing w:before="0" w:after="540" w:line="470" w:lineRule="exact"/>
        <w:ind w:left="0" w:right="0"/>
        <w:jc w:val="both"/>
      </w:pPr>
      <w:r>
        <w:rPr>
          <w:color w:val="000000"/>
          <w:spacing w:val="0"/>
          <w:w w:val="100"/>
          <w:position w:val="0"/>
        </w:rPr>
        <w:t>薪酬总额根据各组织的业务经营情况和战略定位，公平分配资源，助力公司业务经营。</w:t>
      </w:r>
    </w:p>
    <w:p>
      <w:pPr>
        <w:pStyle w:val="Style33"/>
        <w:keepNext w:val="0"/>
        <w:keepLines w:val="0"/>
        <w:widowControl w:val="0"/>
        <w:shd w:val="clear" w:color="auto" w:fill="auto"/>
        <w:tabs>
          <w:tab w:pos="368" w:val="left"/>
        </w:tabs>
        <w:bidi w:val="0"/>
        <w:spacing w:before="0" w:after="260" w:line="240" w:lineRule="auto"/>
        <w:ind w:left="0" w:right="0" w:firstLine="0"/>
        <w:jc w:val="both"/>
      </w:pPr>
      <w:bookmarkStart w:id="386" w:name="bookmark386"/>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培训计划</w:t>
      </w:r>
    </w:p>
    <w:p>
      <w:pPr>
        <w:pStyle w:val="Style11"/>
        <w:keepNext w:val="0"/>
        <w:keepLines w:val="0"/>
        <w:widowControl w:val="0"/>
        <w:shd w:val="clear" w:color="auto" w:fill="auto"/>
        <w:bidi w:val="0"/>
        <w:spacing w:before="0" w:line="470" w:lineRule="exact"/>
        <w:ind w:left="0" w:right="0"/>
        <w:jc w:val="both"/>
      </w:pPr>
      <w:r>
        <w:rPr>
          <w:color w:val="000000"/>
          <w:spacing w:val="0"/>
          <w:w w:val="100"/>
          <w:position w:val="0"/>
        </w:rPr>
        <w:t>顺丰快速发展过程中，一直追求与员工的共同成长。为保证员工培养工作在各组织落实到位，公司建立了自上而下、权 责明晰的培训组织体系，保证各项培训工作有专人负责且贯彻落实到位。</w:t>
      </w:r>
    </w:p>
    <w:p>
      <w:pPr>
        <w:pStyle w:val="Style11"/>
        <w:keepNext w:val="0"/>
        <w:keepLines w:val="0"/>
        <w:widowControl w:val="0"/>
        <w:shd w:val="clear" w:color="auto" w:fill="auto"/>
        <w:tabs>
          <w:tab w:pos="963" w:val="left"/>
        </w:tabs>
        <w:bidi w:val="0"/>
        <w:spacing w:before="0" w:line="470" w:lineRule="exact"/>
        <w:ind w:left="0" w:right="0"/>
        <w:jc w:val="both"/>
      </w:pPr>
      <w:bookmarkStart w:id="387" w:name="bookmark387"/>
      <w:r>
        <w:rPr>
          <w:color w:val="000000"/>
          <w:spacing w:val="0"/>
          <w:w w:val="100"/>
          <w:position w:val="0"/>
        </w:rPr>
        <w:t>（</w:t>
      </w:r>
      <w:bookmarkEnd w:id="387"/>
      <w:r>
        <w:rPr>
          <w:color w:val="000000"/>
          <w:spacing w:val="0"/>
          <w:w w:val="100"/>
          <w:position w:val="0"/>
        </w:rPr>
        <w:t>一）</w:t>
        <w:tab/>
        <w:t>顺丰大学：培训规划和标准体系的构建者，负责公司整体的培训“规划、研究、标准、协调”。同时兼具顺丰集 团人才培养基地职能，专注公司培训资源和培训平台的建设与关健人才培养项目设计、实施。</w:t>
      </w:r>
    </w:p>
    <w:p>
      <w:pPr>
        <w:pStyle w:val="Style11"/>
        <w:keepNext w:val="0"/>
        <w:keepLines w:val="0"/>
        <w:widowControl w:val="0"/>
        <w:shd w:val="clear" w:color="auto" w:fill="auto"/>
        <w:tabs>
          <w:tab w:pos="973" w:val="left"/>
        </w:tabs>
        <w:bidi w:val="0"/>
        <w:spacing w:before="0" w:line="466" w:lineRule="exact"/>
        <w:ind w:left="0" w:right="0"/>
        <w:jc w:val="both"/>
      </w:pPr>
      <w:bookmarkStart w:id="388" w:name="bookmark388"/>
      <w:r>
        <w:rPr>
          <w:color w:val="000000"/>
          <w:spacing w:val="0"/>
          <w:w w:val="100"/>
          <w:position w:val="0"/>
        </w:rPr>
        <w:t>（</w:t>
      </w:r>
      <w:bookmarkEnd w:id="388"/>
      <w:r>
        <w:rPr>
          <w:color w:val="000000"/>
          <w:spacing w:val="0"/>
          <w:w w:val="100"/>
          <w:position w:val="0"/>
        </w:rPr>
        <w:t>二）</w:t>
        <w:tab/>
        <w:t>各级人力资源部学习发展组织：负责各组织员工培训管理，是业务部门培训需求挖掘者、解决方案提供者及培训 管理工作实施者，专注各组织业务领域的日常经营培训管理工作。</w:t>
      </w:r>
    </w:p>
    <w:p>
      <w:pPr>
        <w:pStyle w:val="Style11"/>
        <w:keepNext w:val="0"/>
        <w:keepLines w:val="0"/>
        <w:widowControl w:val="0"/>
        <w:shd w:val="clear" w:color="auto" w:fill="auto"/>
        <w:tabs>
          <w:tab w:pos="977" w:val="left"/>
        </w:tabs>
        <w:bidi w:val="0"/>
        <w:spacing w:before="0" w:line="466" w:lineRule="exact"/>
        <w:ind w:left="0" w:right="0"/>
        <w:jc w:val="both"/>
      </w:pPr>
      <w:bookmarkStart w:id="389" w:name="bookmark389"/>
      <w:r>
        <w:rPr>
          <w:color w:val="000000"/>
          <w:spacing w:val="0"/>
          <w:w w:val="100"/>
          <w:position w:val="0"/>
        </w:rPr>
        <w:t>（</w:t>
      </w:r>
      <w:bookmarkEnd w:id="389"/>
      <w:r>
        <w:rPr>
          <w:color w:val="000000"/>
          <w:spacing w:val="0"/>
          <w:w w:val="100"/>
          <w:position w:val="0"/>
        </w:rPr>
        <w:t>三）</w:t>
        <w:tab/>
        <w:t>各级管理人员：是其下属员工的能力培养责任人，充分发挥“保驾护航”的作用，将下属培养纳入到日常工作中， 为公司输出人才。</w:t>
      </w:r>
    </w:p>
    <w:p>
      <w:pPr>
        <w:pStyle w:val="Style11"/>
        <w:keepNext w:val="0"/>
        <w:keepLines w:val="0"/>
        <w:widowControl w:val="0"/>
        <w:shd w:val="clear" w:color="auto" w:fill="auto"/>
        <w:bidi w:val="0"/>
        <w:spacing w:before="0" w:line="470" w:lineRule="exact"/>
        <w:ind w:left="0" w:right="0" w:firstLine="560"/>
        <w:jc w:val="both"/>
      </w:pPr>
      <w:r>
        <w:rPr>
          <w:color w:val="000000"/>
          <w:spacing w:val="0"/>
          <w:w w:val="100"/>
          <w:position w:val="0"/>
        </w:rPr>
        <w:t>从培养体系来看，公司培训工作通过管理者培养、在职员工培养、新员工培养以及学习平台构建四个方面全面提升员 工的能力与素质，同时持续夯实互联网学习平台软硬件建设，教学软硬件场地、设施投入。</w:t>
      </w:r>
    </w:p>
    <w:p>
      <w:pPr>
        <w:pStyle w:val="Style11"/>
        <w:keepNext w:val="0"/>
        <w:keepLines w:val="0"/>
        <w:widowControl w:val="0"/>
        <w:shd w:val="clear" w:color="auto" w:fill="auto"/>
        <w:tabs>
          <w:tab w:pos="977" w:val="left"/>
        </w:tabs>
        <w:bidi w:val="0"/>
        <w:spacing w:before="0" w:line="466" w:lineRule="exact"/>
        <w:ind w:left="0" w:right="0"/>
        <w:jc w:val="both"/>
      </w:pPr>
      <w:bookmarkStart w:id="390" w:name="bookmark390"/>
      <w:r>
        <w:rPr>
          <w:color w:val="000000"/>
          <w:spacing w:val="0"/>
          <w:w w:val="100"/>
          <w:position w:val="0"/>
        </w:rPr>
        <w:t>（</w:t>
      </w:r>
      <w:bookmarkEnd w:id="390"/>
      <w:r>
        <w:rPr>
          <w:color w:val="000000"/>
          <w:spacing w:val="0"/>
          <w:w w:val="100"/>
          <w:position w:val="0"/>
        </w:rPr>
        <w:t>一）</w:t>
        <w:tab/>
        <w:t>管理者培养：为公司管理者开展定制化培养项目，提供前沿、专业、多元的跨界分享及精品公开课学习平台，帮 助管理者创变思维，提升领导力，从而助推公司战略转型，支持业务经营；</w:t>
      </w:r>
    </w:p>
    <w:p>
      <w:pPr>
        <w:pStyle w:val="Style11"/>
        <w:keepNext w:val="0"/>
        <w:keepLines w:val="0"/>
        <w:widowControl w:val="0"/>
        <w:shd w:val="clear" w:color="auto" w:fill="auto"/>
        <w:tabs>
          <w:tab w:pos="977" w:val="left"/>
        </w:tabs>
        <w:bidi w:val="0"/>
        <w:spacing w:before="0" w:line="475" w:lineRule="exact"/>
        <w:ind w:left="0" w:right="0"/>
        <w:jc w:val="both"/>
      </w:pPr>
      <w:bookmarkStart w:id="391" w:name="bookmark391"/>
      <w:r>
        <w:rPr>
          <w:color w:val="000000"/>
          <w:spacing w:val="0"/>
          <w:w w:val="100"/>
          <w:position w:val="0"/>
        </w:rPr>
        <w:t>（</w:t>
      </w:r>
      <w:bookmarkEnd w:id="391"/>
      <w:r>
        <w:rPr>
          <w:color w:val="000000"/>
          <w:spacing w:val="0"/>
          <w:w w:val="100"/>
          <w:position w:val="0"/>
        </w:rPr>
        <w:t>二）</w:t>
        <w:tab/>
        <w:t>在职员工培养：为公司中基层职工开展定制化专业力培养项目，提供职场通用能力精品公开课学习平台，帮助员 工在专业领域内不断精进，同时全面提升职场通用能力，更好地完成工作任务；</w:t>
      </w:r>
    </w:p>
    <w:p>
      <w:pPr>
        <w:pStyle w:val="Style11"/>
        <w:keepNext w:val="0"/>
        <w:keepLines w:val="0"/>
        <w:widowControl w:val="0"/>
        <w:shd w:val="clear" w:color="auto" w:fill="auto"/>
        <w:tabs>
          <w:tab w:pos="977" w:val="left"/>
        </w:tabs>
        <w:bidi w:val="0"/>
        <w:spacing w:before="0" w:line="470" w:lineRule="exact"/>
        <w:ind w:left="0" w:right="0"/>
        <w:jc w:val="both"/>
      </w:pPr>
      <w:bookmarkStart w:id="392" w:name="bookmark392"/>
      <w:r>
        <w:rPr>
          <w:color w:val="000000"/>
          <w:spacing w:val="0"/>
          <w:w w:val="100"/>
          <w:position w:val="0"/>
        </w:rPr>
        <w:t>（</w:t>
      </w:r>
      <w:bookmarkEnd w:id="392"/>
      <w:r>
        <w:rPr>
          <w:color w:val="000000"/>
          <w:spacing w:val="0"/>
          <w:w w:val="100"/>
          <w:position w:val="0"/>
        </w:rPr>
        <w:t>三）</w:t>
        <w:tab/>
        <w:t>新员工培养：通过定期轮训方式开展社招新员工培养，加速新员工融入与价值贡献；通过专项培养项目，针对校 招大学生展开入职集训、文化融入，助力大学生职业化蜕变，快速成长。</w:t>
      </w:r>
    </w:p>
    <w:p>
      <w:pPr>
        <w:pStyle w:val="Style11"/>
        <w:keepNext w:val="0"/>
        <w:keepLines w:val="0"/>
        <w:widowControl w:val="0"/>
        <w:shd w:val="clear" w:color="auto" w:fill="auto"/>
        <w:bidi w:val="0"/>
        <w:spacing w:before="0" w:after="480" w:line="480" w:lineRule="exact"/>
        <w:ind w:left="0" w:right="0"/>
        <w:jc w:val="left"/>
      </w:pPr>
      <w:bookmarkStart w:id="393" w:name="bookmark393"/>
      <w:r>
        <w:rPr>
          <w:color w:val="000000"/>
          <w:spacing w:val="0"/>
          <w:w w:val="100"/>
          <w:position w:val="0"/>
        </w:rPr>
        <w:t>（</w:t>
      </w:r>
      <w:bookmarkEnd w:id="393"/>
      <w:r>
        <w:rPr>
          <w:color w:val="000000"/>
          <w:spacing w:val="0"/>
          <w:w w:val="100"/>
          <w:position w:val="0"/>
        </w:rPr>
        <w:t>四）学习平台构建：建设</w:t>
      </w:r>
      <w:r>
        <w:rPr>
          <w:color w:val="000000"/>
          <w:spacing w:val="0"/>
          <w:w w:val="100"/>
          <w:position w:val="0"/>
          <w:sz w:val="18"/>
          <w:szCs w:val="18"/>
        </w:rPr>
        <w:t>PC</w:t>
      </w:r>
      <w:r>
        <w:rPr>
          <w:color w:val="000000"/>
          <w:spacing w:val="0"/>
          <w:w w:val="100"/>
          <w:position w:val="0"/>
        </w:rPr>
        <w:t>和移动互联网集知识管理、培训管理、课程管理、案例管理两端一体的学习平台，为全公 司员工提供一个学习、分享、交流的完整生态体系。</w:t>
      </w:r>
    </w:p>
    <w:p>
      <w:pPr>
        <w:pStyle w:val="Style33"/>
        <w:keepNext w:val="0"/>
        <w:keepLines w:val="0"/>
        <w:widowControl w:val="0"/>
        <w:shd w:val="clear" w:color="auto" w:fill="auto"/>
        <w:bidi w:val="0"/>
        <w:spacing w:before="0" w:after="380" w:line="240" w:lineRule="auto"/>
        <w:ind w:left="0" w:right="0" w:firstLine="0"/>
        <w:jc w:val="left"/>
      </w:pPr>
      <w:bookmarkStart w:id="394" w:name="bookmark394"/>
      <w:r>
        <w:rPr>
          <w:rFonts w:ascii="Times New Roman" w:eastAsia="Times New Roman" w:hAnsi="Times New Roman" w:cs="Times New Roman"/>
          <w:color w:val="000000"/>
          <w:spacing w:val="0"/>
          <w:w w:val="100"/>
          <w:position w:val="0"/>
        </w:rPr>
        <w:t>4</w:t>
      </w:r>
      <w:bookmarkEnd w:id="394"/>
      <w:r>
        <w:rPr>
          <w:color w:val="000000"/>
          <w:spacing w:val="0"/>
          <w:w w:val="100"/>
          <w:position w:val="0"/>
        </w:rPr>
        <w:t>、劳务外包情况</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87" w:right="1077" w:bottom="1316" w:left="939" w:header="0" w:footer="3" w:gutter="0"/>
          <w:cols w:space="720"/>
          <w:noEndnote/>
          <w:rtlGutter w:val="0"/>
          <w:docGrid w:linePitch="360"/>
        </w:sectPr>
      </w:pPr>
      <w:r>
        <w:rPr>
          <w:color w:val="000000"/>
          <w:spacing w:val="0"/>
          <w:w w:val="100"/>
          <w:position w:val="0"/>
        </w:rPr>
        <w:t>公司报告期内不存在劳务外包数量较大的情况。</w:t>
      </w:r>
    </w:p>
    <w:p>
      <w:pPr>
        <w:pStyle w:val="Style8"/>
        <w:keepNext/>
        <w:keepLines/>
        <w:widowControl w:val="0"/>
        <w:shd w:val="clear" w:color="auto" w:fill="auto"/>
        <w:bidi w:val="0"/>
        <w:spacing w:before="320" w:after="960" w:line="240" w:lineRule="auto"/>
        <w:ind w:left="0" w:right="0" w:firstLine="0"/>
        <w:jc w:val="center"/>
      </w:pPr>
      <w:bookmarkStart w:id="395" w:name="bookmark395"/>
      <w:bookmarkStart w:id="396" w:name="bookmark396"/>
      <w:bookmarkStart w:id="397" w:name="bookmark397"/>
      <w:r>
        <w:rPr>
          <w:color w:val="000000"/>
          <w:spacing w:val="0"/>
          <w:w w:val="100"/>
          <w:position w:val="0"/>
        </w:rPr>
        <w:t>第九节公司治理</w:t>
      </w:r>
      <w:bookmarkEnd w:id="395"/>
      <w:bookmarkEnd w:id="396"/>
      <w:bookmarkEnd w:id="397"/>
    </w:p>
    <w:p>
      <w:pPr>
        <w:pStyle w:val="Style27"/>
        <w:keepNext/>
        <w:keepLines/>
        <w:widowControl w:val="0"/>
        <w:shd w:val="clear" w:color="auto" w:fill="auto"/>
        <w:bidi w:val="0"/>
        <w:spacing w:before="0" w:after="180" w:line="240" w:lineRule="auto"/>
        <w:ind w:left="0" w:right="0" w:firstLine="640"/>
        <w:jc w:val="both"/>
      </w:pPr>
      <w:bookmarkStart w:id="398" w:name="bookmark398"/>
      <w:bookmarkStart w:id="399" w:name="bookmark399"/>
      <w:bookmarkStart w:id="400" w:name="bookmark400"/>
      <w:bookmarkStart w:id="401" w:name="bookmark401"/>
      <w:bookmarkStart w:id="402" w:name="bookmark402"/>
      <w:r>
        <w:rPr>
          <w:color w:val="000000"/>
          <w:spacing w:val="0"/>
          <w:w w:val="100"/>
          <w:position w:val="0"/>
          <w:sz w:val="24"/>
          <w:szCs w:val="24"/>
        </w:rPr>
        <w:t>一</w:t>
      </w:r>
      <w:bookmarkEnd w:id="401"/>
      <w:r>
        <w:rPr>
          <w:color w:val="000000"/>
          <w:spacing w:val="0"/>
          <w:w w:val="100"/>
          <w:position w:val="0"/>
          <w:sz w:val="24"/>
          <w:szCs w:val="24"/>
        </w:rPr>
        <w:t>、公司治理的基本状况</w:t>
      </w:r>
      <w:bookmarkEnd w:id="399"/>
      <w:bookmarkEnd w:id="400"/>
      <w:bookmarkEnd w:id="402"/>
      <w:bookmarkEnd w:id="398"/>
    </w:p>
    <w:p>
      <w:pPr>
        <w:pStyle w:val="Style11"/>
        <w:keepNext w:val="0"/>
        <w:keepLines w:val="0"/>
        <w:widowControl w:val="0"/>
        <w:shd w:val="clear" w:color="auto" w:fill="auto"/>
        <w:bidi w:val="0"/>
        <w:spacing w:before="0" w:after="0" w:line="350" w:lineRule="exact"/>
        <w:ind w:left="640" w:right="0" w:firstLine="360"/>
        <w:jc w:val="both"/>
      </w:pPr>
      <w:r>
        <w:rPr>
          <w:color w:val="000000"/>
          <w:spacing w:val="0"/>
          <w:w w:val="100"/>
          <w:position w:val="0"/>
        </w:rPr>
        <w:t>公司严格按照《公司法》、《证券法》、《上市公司治理准则》、《深圳证券交易所股票上市规则》、《中小 企业板上市公司规范运作指引》和中国证监会及深圳证券交易所颁布的其他相关法律法规的要求，制定《公司章程》 及其他内部控制规章制度，完善公司内部法人治理结构，健全内部管理制度，规范公司行为。公司的治理结构符合 中国证监会关于上市公司治理的相关规范性文件。</w:t>
      </w:r>
    </w:p>
    <w:p>
      <w:pPr>
        <w:pStyle w:val="Style11"/>
        <w:keepNext w:val="0"/>
        <w:keepLines w:val="0"/>
        <w:widowControl w:val="0"/>
        <w:shd w:val="clear" w:color="auto" w:fill="auto"/>
        <w:tabs>
          <w:tab w:pos="1303" w:val="left"/>
        </w:tabs>
        <w:bidi w:val="0"/>
        <w:spacing w:before="0" w:after="0" w:line="350" w:lineRule="exact"/>
        <w:ind w:left="0" w:right="0" w:firstLine="1000"/>
        <w:jc w:val="both"/>
      </w:pPr>
      <w:bookmarkStart w:id="403" w:name="bookmark403"/>
      <w:r>
        <w:rPr>
          <w:color w:val="000000"/>
          <w:spacing w:val="0"/>
          <w:w w:val="100"/>
          <w:position w:val="0"/>
          <w:sz w:val="18"/>
          <w:szCs w:val="18"/>
        </w:rPr>
        <w:t>1</w:t>
      </w:r>
      <w:bookmarkEnd w:id="403"/>
      <w:r>
        <w:rPr>
          <w:color w:val="000000"/>
          <w:spacing w:val="0"/>
          <w:w w:val="100"/>
          <w:position w:val="0"/>
        </w:rPr>
        <w:t>、</w:t>
        <w:tab/>
        <w:t>关于股东与股东大会</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 xml:space="preserve">报告期内，公司严格按照《证券法》、《公司法》等法律法规的要求及公司制定的《股东大会议事规则》，规 范股东大会召集、召开、表决程序，切实保证中小股东的权益，平等对待所有投资者，使他们能够充分行使自己的 权利。聘请律师列席股东大会并对股东大会的召开和表决程序出具法律意见书，充分尊重和维护全体股东的合法权 </w:t>
      </w:r>
      <w:r>
        <w:rPr>
          <w:color w:val="000000"/>
          <w:spacing w:val="0"/>
          <w:w w:val="100"/>
          <w:position w:val="0"/>
          <w:u w:val="single"/>
        </w:rPr>
        <w:t>益</w:t>
      </w:r>
      <w:r>
        <w:rPr>
          <w:color w:val="000000"/>
          <w:spacing w:val="0"/>
          <w:w w:val="100"/>
          <w:position w:val="0"/>
        </w:rPr>
        <w:t>。</w:t>
      </w:r>
    </w:p>
    <w:p>
      <w:pPr>
        <w:pStyle w:val="Style11"/>
        <w:keepNext w:val="0"/>
        <w:keepLines w:val="0"/>
        <w:widowControl w:val="0"/>
        <w:shd w:val="clear" w:color="auto" w:fill="auto"/>
        <w:tabs>
          <w:tab w:pos="1313" w:val="left"/>
        </w:tabs>
        <w:bidi w:val="0"/>
        <w:spacing w:before="0" w:after="0" w:line="350" w:lineRule="exact"/>
        <w:ind w:left="0" w:right="0" w:firstLine="1000"/>
        <w:jc w:val="both"/>
      </w:pPr>
      <w:bookmarkStart w:id="404" w:name="bookmark404"/>
      <w:r>
        <w:rPr>
          <w:color w:val="000000"/>
          <w:spacing w:val="0"/>
          <w:w w:val="100"/>
          <w:position w:val="0"/>
          <w:sz w:val="18"/>
          <w:szCs w:val="18"/>
        </w:rPr>
        <w:t>2</w:t>
      </w:r>
      <w:bookmarkEnd w:id="404"/>
      <w:r>
        <w:rPr>
          <w:color w:val="000000"/>
          <w:spacing w:val="0"/>
          <w:w w:val="100"/>
          <w:position w:val="0"/>
        </w:rPr>
        <w:t>、</w:t>
        <w:tab/>
        <w:t>关于控股股东与公司</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公司控股股东严格根据《上市公司治理准则》、《深圳证券交易所股票上市规则》、《公司章程》规范股东行 为，通过股东大会行使股东权利，未发生超越股东大会及董事会而直接或间接干预公司经营与决策的行为。</w:t>
      </w:r>
    </w:p>
    <w:p>
      <w:pPr>
        <w:pStyle w:val="Style11"/>
        <w:keepNext w:val="0"/>
        <w:keepLines w:val="0"/>
        <w:widowControl w:val="0"/>
        <w:shd w:val="clear" w:color="auto" w:fill="auto"/>
        <w:tabs>
          <w:tab w:pos="1313" w:val="left"/>
        </w:tabs>
        <w:bidi w:val="0"/>
        <w:spacing w:before="0" w:after="0" w:line="350" w:lineRule="exact"/>
        <w:ind w:left="0" w:right="0" w:firstLine="1000"/>
        <w:jc w:val="both"/>
      </w:pPr>
      <w:bookmarkStart w:id="405" w:name="bookmark405"/>
      <w:r>
        <w:rPr>
          <w:color w:val="000000"/>
          <w:spacing w:val="0"/>
          <w:w w:val="100"/>
          <w:position w:val="0"/>
          <w:sz w:val="18"/>
          <w:szCs w:val="18"/>
        </w:rPr>
        <w:t>3</w:t>
      </w:r>
      <w:bookmarkEnd w:id="405"/>
      <w:r>
        <w:rPr>
          <w:color w:val="000000"/>
          <w:spacing w:val="0"/>
          <w:w w:val="100"/>
          <w:position w:val="0"/>
        </w:rPr>
        <w:t>、</w:t>
        <w:tab/>
        <w:t>关于董事与董事会</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公司严格按照《公司法》、《公司章程》及《上市公司股东大会规范性意见》等相关法律法规选举产生董事人 选，董事会人数及人员构成符合法律法规的要求。</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公司董事会严格按照《公司章程》、《独立董事工作制度》及《董事会议事规则》、《深圳交易所中小企业板 块上市公司董事行为指引》等相关规定召集召开董事会，各董事认真出席董事会，认真审议各项议案，履行职责， 勤勉尽责。独立董事独立履行职责，维护公司整体利益，对重要及重大事项发表独立意见。</w:t>
      </w:r>
    </w:p>
    <w:p>
      <w:pPr>
        <w:pStyle w:val="Style11"/>
        <w:keepNext w:val="0"/>
        <w:keepLines w:val="0"/>
        <w:widowControl w:val="0"/>
        <w:shd w:val="clear" w:color="auto" w:fill="auto"/>
        <w:tabs>
          <w:tab w:pos="1317" w:val="left"/>
        </w:tabs>
        <w:bidi w:val="0"/>
        <w:spacing w:before="0" w:after="0" w:line="350" w:lineRule="exact"/>
        <w:ind w:left="0" w:right="0" w:firstLine="1000"/>
        <w:jc w:val="both"/>
      </w:pPr>
      <w:bookmarkStart w:id="406" w:name="bookmark406"/>
      <w:r>
        <w:rPr>
          <w:color w:val="000000"/>
          <w:spacing w:val="0"/>
          <w:w w:val="100"/>
          <w:position w:val="0"/>
          <w:sz w:val="18"/>
          <w:szCs w:val="18"/>
        </w:rPr>
        <w:t>4</w:t>
      </w:r>
      <w:bookmarkEnd w:id="406"/>
      <w:r>
        <w:rPr>
          <w:color w:val="000000"/>
          <w:spacing w:val="0"/>
          <w:w w:val="100"/>
          <w:position w:val="0"/>
        </w:rPr>
        <w:t>、</w:t>
        <w:tab/>
        <w:t>关于监事与监事会</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公司严格按照《公司法》、《公司章程》及《上市公司股东大会规范意见》等相关法律法规选举产生监事人选， 监事会人数及人员构成符合法律法规的要求。公司监事会严格按照《公司章程》及《监事会议事规则》等相关规定 召集召开监事会，各监事认真出席监事会，认真履行职责，对公司重大事项、关联交易、财务状况等进行监督并发 表意见。</w:t>
      </w:r>
    </w:p>
    <w:p>
      <w:pPr>
        <w:pStyle w:val="Style11"/>
        <w:keepNext w:val="0"/>
        <w:keepLines w:val="0"/>
        <w:widowControl w:val="0"/>
        <w:shd w:val="clear" w:color="auto" w:fill="auto"/>
        <w:tabs>
          <w:tab w:pos="1317" w:val="left"/>
        </w:tabs>
        <w:bidi w:val="0"/>
        <w:spacing w:before="0" w:after="0" w:line="350" w:lineRule="exact"/>
        <w:ind w:left="0" w:right="0" w:firstLine="1000"/>
        <w:jc w:val="both"/>
      </w:pPr>
      <w:bookmarkStart w:id="407" w:name="bookmark407"/>
      <w:r>
        <w:rPr>
          <w:color w:val="000000"/>
          <w:spacing w:val="0"/>
          <w:w w:val="100"/>
          <w:position w:val="0"/>
          <w:sz w:val="18"/>
          <w:szCs w:val="18"/>
        </w:rPr>
        <w:t>5</w:t>
      </w:r>
      <w:bookmarkEnd w:id="407"/>
      <w:r>
        <w:rPr>
          <w:color w:val="000000"/>
          <w:spacing w:val="0"/>
          <w:w w:val="100"/>
          <w:position w:val="0"/>
        </w:rPr>
        <w:t>、</w:t>
        <w:tab/>
        <w:t>关于信息披露与透明度</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公司根据《公司章程》、《深圳证券交易所股票上市规则》和中国证监会及深圳证券交易所的相关法律法规的 要求，认真履行信息披露义务。公司上市后指定《证券时报》、《上海证券报》、《中国证券报》和“巨潮资讯网” 为公司信息披露的报纸和网站，真实、准确、及时地披露公司信息，确保公司所有股东公平地获得公司相关信息。</w:t>
      </w:r>
    </w:p>
    <w:p>
      <w:pPr>
        <w:pStyle w:val="Style11"/>
        <w:keepNext w:val="0"/>
        <w:keepLines w:val="0"/>
        <w:widowControl w:val="0"/>
        <w:shd w:val="clear" w:color="auto" w:fill="auto"/>
        <w:tabs>
          <w:tab w:pos="1317" w:val="left"/>
        </w:tabs>
        <w:bidi w:val="0"/>
        <w:spacing w:before="0" w:after="0" w:line="350" w:lineRule="exact"/>
        <w:ind w:left="0" w:right="0" w:firstLine="1000"/>
        <w:jc w:val="both"/>
      </w:pPr>
      <w:bookmarkStart w:id="408" w:name="bookmark408"/>
      <w:r>
        <w:rPr>
          <w:color w:val="000000"/>
          <w:spacing w:val="0"/>
          <w:w w:val="100"/>
          <w:position w:val="0"/>
          <w:sz w:val="18"/>
          <w:szCs w:val="18"/>
        </w:rPr>
        <w:t>6</w:t>
      </w:r>
      <w:bookmarkEnd w:id="408"/>
      <w:r>
        <w:rPr>
          <w:color w:val="000000"/>
          <w:spacing w:val="0"/>
          <w:w w:val="100"/>
          <w:position w:val="0"/>
        </w:rPr>
        <w:t>、</w:t>
        <w:tab/>
        <w:t>关于投资者关系管理</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报告期内，公司严格按照有关法律法规及《深圳证券交易所股票上市规则》履行信息披露，以确保公司所有股 东以平等的机会获得信息；此外，公司指定董事会秘书为投资者关系管理负责人，组织实施投资者关系的日常管理 工作，通过电话、邮件、互动易等形式及时解答投资者问题；指定证券事务部为专门的投资者关系管理机构，加强 与投资者的沟通，充分保证了广大投资者的知情权。</w:t>
      </w:r>
    </w:p>
    <w:p>
      <w:pPr>
        <w:pStyle w:val="Style11"/>
        <w:keepNext w:val="0"/>
        <w:keepLines w:val="0"/>
        <w:widowControl w:val="0"/>
        <w:shd w:val="clear" w:color="auto" w:fill="auto"/>
        <w:tabs>
          <w:tab w:pos="1317" w:val="left"/>
        </w:tabs>
        <w:bidi w:val="0"/>
        <w:spacing w:before="0" w:after="0" w:line="350" w:lineRule="exact"/>
        <w:ind w:left="0" w:right="0" w:firstLine="1000"/>
        <w:jc w:val="both"/>
      </w:pPr>
      <w:bookmarkStart w:id="409" w:name="bookmark409"/>
      <w:r>
        <w:rPr>
          <w:color w:val="000000"/>
          <w:spacing w:val="0"/>
          <w:w w:val="100"/>
          <w:position w:val="0"/>
          <w:sz w:val="18"/>
          <w:szCs w:val="18"/>
        </w:rPr>
        <w:t>7</w:t>
      </w:r>
      <w:bookmarkEnd w:id="409"/>
      <w:r>
        <w:rPr>
          <w:color w:val="000000"/>
          <w:spacing w:val="0"/>
          <w:w w:val="100"/>
          <w:position w:val="0"/>
        </w:rPr>
        <w:t>、</w:t>
        <w:tab/>
        <w:t>绩效评价与激励</w:t>
      </w:r>
    </w:p>
    <w:p>
      <w:pPr>
        <w:pStyle w:val="Style11"/>
        <w:keepNext w:val="0"/>
        <w:keepLines w:val="0"/>
        <w:widowControl w:val="0"/>
        <w:shd w:val="clear" w:color="auto" w:fill="auto"/>
        <w:bidi w:val="0"/>
        <w:spacing w:before="0" w:after="0" w:line="350" w:lineRule="exact"/>
        <w:ind w:left="640" w:right="0" w:firstLine="440"/>
        <w:jc w:val="both"/>
      </w:pPr>
      <w:r>
        <w:rPr>
          <w:color w:val="000000"/>
          <w:spacing w:val="0"/>
          <w:w w:val="100"/>
          <w:position w:val="0"/>
        </w:rPr>
        <w:t>通过绩效考核，有效地达到了公司对每位员工的综合评价，进一步了解每一位员工的工作能力与专长，从而有 效地调整合适岗位，达到绩效考核的目标；公司正逐步完善绩效考评机制，公司高级管理人员和中层管理人员的薪</w:t>
      </w:r>
    </w:p>
    <w:p>
      <w:pPr>
        <w:pStyle w:val="Style11"/>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酬与公司经营业绩指标挂钩。</w:t>
      </w:r>
    </w:p>
    <w:p>
      <w:pPr>
        <w:pStyle w:val="Style11"/>
        <w:keepNext w:val="0"/>
        <w:keepLines w:val="0"/>
        <w:widowControl w:val="0"/>
        <w:shd w:val="clear" w:color="auto" w:fill="auto"/>
        <w:bidi w:val="0"/>
        <w:spacing w:before="0" w:after="0" w:line="240" w:lineRule="auto"/>
        <w:ind w:left="0" w:right="0" w:firstLine="1000"/>
        <w:jc w:val="left"/>
      </w:pPr>
      <w:bookmarkStart w:id="410" w:name="bookmark410"/>
      <w:r>
        <w:rPr>
          <w:color w:val="000000"/>
          <w:spacing w:val="0"/>
          <w:w w:val="100"/>
          <w:position w:val="0"/>
          <w:sz w:val="18"/>
          <w:szCs w:val="18"/>
        </w:rPr>
        <w:t>8</w:t>
      </w:r>
      <w:bookmarkEnd w:id="410"/>
      <w:r>
        <w:rPr>
          <w:color w:val="000000"/>
          <w:spacing w:val="0"/>
          <w:w w:val="100"/>
          <w:position w:val="0"/>
        </w:rPr>
        <w:t>、关于相关利益者</w:t>
      </w:r>
    </w:p>
    <w:p>
      <w:pPr>
        <w:pStyle w:val="Style11"/>
        <w:keepNext w:val="0"/>
        <w:keepLines w:val="0"/>
        <w:widowControl w:val="0"/>
        <w:shd w:val="clear" w:color="auto" w:fill="auto"/>
        <w:bidi w:val="0"/>
        <w:spacing w:before="0" w:after="0" w:line="348" w:lineRule="exact"/>
        <w:ind w:left="620" w:right="0" w:firstLine="460"/>
        <w:jc w:val="left"/>
      </w:pPr>
      <w:r>
        <w:rPr>
          <w:color w:val="000000"/>
          <w:spacing w:val="0"/>
          <w:w w:val="100"/>
          <w:position w:val="0"/>
        </w:rPr>
        <w:t>公司能够充分尊重和维护相关利益者的合法权益，实现股东、员工、社会等各方面利益的协调平衡，共同推动 公司持续、健康的发展。公司将在治理方面继续加大力度，不断完善公司法人治理结构，继续做好信息披露工作， 以增强公司透明度，加强投资者关系管理，保护中小投资者利益。</w:t>
      </w:r>
    </w:p>
    <w:p>
      <w:pPr>
        <w:pStyle w:val="Style11"/>
        <w:keepNext w:val="0"/>
        <w:keepLines w:val="0"/>
        <w:widowControl w:val="0"/>
        <w:shd w:val="clear" w:color="auto" w:fill="auto"/>
        <w:bidi w:val="0"/>
        <w:spacing w:before="0" w:after="0" w:line="394" w:lineRule="exact"/>
        <w:ind w:left="620" w:right="0" w:firstLine="2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11"/>
        <w:keepNext w:val="0"/>
        <w:keepLines w:val="0"/>
        <w:widowControl w:val="0"/>
        <w:shd w:val="clear" w:color="auto" w:fill="auto"/>
        <w:bidi w:val="0"/>
        <w:spacing w:before="0" w:after="440" w:line="394" w:lineRule="exact"/>
        <w:ind w:left="620" w:right="0" w:firstLine="2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1137" w:val="left"/>
        </w:tabs>
        <w:bidi w:val="0"/>
        <w:spacing w:before="0" w:after="160" w:line="240" w:lineRule="auto"/>
        <w:ind w:left="0" w:right="0" w:firstLine="620"/>
        <w:jc w:val="both"/>
      </w:pPr>
      <w:bookmarkStart w:id="411" w:name="bookmark411"/>
      <w:bookmarkStart w:id="412" w:name="bookmark412"/>
      <w:bookmarkStart w:id="413" w:name="bookmark413"/>
      <w:bookmarkStart w:id="414" w:name="bookmark414"/>
      <w:r>
        <w:rPr>
          <w:color w:val="000000"/>
          <w:spacing w:val="0"/>
          <w:w w:val="100"/>
          <w:position w:val="0"/>
          <w:sz w:val="24"/>
          <w:szCs w:val="24"/>
        </w:rPr>
        <w:t>二</w:t>
      </w:r>
      <w:bookmarkEnd w:id="413"/>
      <w:r>
        <w:rPr>
          <w:color w:val="000000"/>
          <w:spacing w:val="0"/>
          <w:w w:val="100"/>
          <w:position w:val="0"/>
          <w:sz w:val="24"/>
          <w:szCs w:val="24"/>
        </w:rPr>
        <w:t>、</w:t>
        <w:tab/>
        <w:t>公司相对于控股股东在业务、人员、资产、机构、财务等方面的独立情况</w:t>
      </w:r>
      <w:bookmarkEnd w:id="411"/>
      <w:bookmarkEnd w:id="412"/>
      <w:bookmarkEnd w:id="414"/>
    </w:p>
    <w:p>
      <w:pPr>
        <w:pStyle w:val="Style11"/>
        <w:keepNext w:val="0"/>
        <w:keepLines w:val="0"/>
        <w:widowControl w:val="0"/>
        <w:shd w:val="clear" w:color="auto" w:fill="auto"/>
        <w:bidi w:val="0"/>
        <w:spacing w:before="0" w:after="440" w:line="353" w:lineRule="exact"/>
        <w:ind w:left="620" w:right="0"/>
        <w:jc w:val="left"/>
      </w:pPr>
      <w:r>
        <w:rPr>
          <w:color w:val="000000"/>
          <w:spacing w:val="0"/>
          <w:w w:val="100"/>
          <w:position w:val="0"/>
        </w:rPr>
        <w:t>公司自成立以来，严格按照《公司法》、《证券法》等有关法律、法规和《公司章程》的要求规范运作，建立、 健全了公司法人治理结构。公司与控股股东做到了在业务、人员、资产、机构和财务上的完全独立，具有独立完整 的业务及自主经营能力。</w:t>
      </w:r>
    </w:p>
    <w:p>
      <w:pPr>
        <w:pStyle w:val="Style27"/>
        <w:keepNext/>
        <w:keepLines/>
        <w:widowControl w:val="0"/>
        <w:shd w:val="clear" w:color="auto" w:fill="auto"/>
        <w:tabs>
          <w:tab w:pos="1142" w:val="left"/>
        </w:tabs>
        <w:bidi w:val="0"/>
        <w:spacing w:before="0" w:line="240" w:lineRule="auto"/>
        <w:ind w:left="0" w:right="0" w:firstLine="620"/>
        <w:jc w:val="left"/>
      </w:pPr>
      <w:bookmarkStart w:id="415" w:name="bookmark415"/>
      <w:bookmarkStart w:id="416" w:name="bookmark416"/>
      <w:bookmarkStart w:id="417" w:name="bookmark417"/>
      <w:bookmarkStart w:id="418" w:name="bookmark418"/>
      <w:r>
        <w:rPr>
          <w:color w:val="000000"/>
          <w:spacing w:val="0"/>
          <w:w w:val="100"/>
          <w:position w:val="0"/>
          <w:sz w:val="24"/>
          <w:szCs w:val="24"/>
        </w:rPr>
        <w:t>三</w:t>
      </w:r>
      <w:bookmarkEnd w:id="417"/>
      <w:r>
        <w:rPr>
          <w:color w:val="000000"/>
          <w:spacing w:val="0"/>
          <w:w w:val="100"/>
          <w:position w:val="0"/>
          <w:sz w:val="24"/>
          <w:szCs w:val="24"/>
        </w:rPr>
        <w:t>、</w:t>
        <w:tab/>
        <w:t>同业竞争情况</w:t>
      </w:r>
      <w:bookmarkEnd w:id="415"/>
      <w:bookmarkEnd w:id="416"/>
      <w:bookmarkEnd w:id="418"/>
    </w:p>
    <w:p>
      <w:pPr>
        <w:pStyle w:val="Style11"/>
        <w:keepNext w:val="0"/>
        <w:keepLines w:val="0"/>
        <w:widowControl w:val="0"/>
        <w:shd w:val="clear" w:color="auto" w:fill="auto"/>
        <w:bidi w:val="0"/>
        <w:spacing w:before="0" w:after="160" w:line="41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620"/>
        <w:jc w:val="left"/>
      </w:pPr>
      <w:bookmarkStart w:id="419" w:name="bookmark419"/>
      <w:bookmarkStart w:id="420" w:name="bookmark420"/>
      <w:bookmarkStart w:id="421" w:name="bookmark421"/>
      <w:bookmarkStart w:id="422" w:name="bookmark422"/>
      <w:r>
        <w:rPr>
          <w:color w:val="000000"/>
          <w:spacing w:val="0"/>
          <w:w w:val="100"/>
          <w:position w:val="0"/>
          <w:sz w:val="24"/>
          <w:szCs w:val="24"/>
        </w:rPr>
        <w:t>四</w:t>
      </w:r>
      <w:bookmarkEnd w:id="421"/>
      <w:r>
        <w:rPr>
          <w:color w:val="000000"/>
          <w:spacing w:val="0"/>
          <w:w w:val="100"/>
          <w:position w:val="0"/>
          <w:sz w:val="24"/>
          <w:szCs w:val="24"/>
        </w:rPr>
        <w:t>、报告期内召开的年度股东大会和临时股东大会的有关情况</w:t>
      </w:r>
      <w:bookmarkEnd w:id="419"/>
      <w:bookmarkEnd w:id="420"/>
      <w:bookmarkEnd w:id="422"/>
    </w:p>
    <w:p>
      <w:pPr>
        <w:pStyle w:val="Style33"/>
        <w:keepNext w:val="0"/>
        <w:keepLines w:val="0"/>
        <w:widowControl w:val="0"/>
        <w:shd w:val="clear" w:color="auto" w:fill="auto"/>
        <w:bidi w:val="0"/>
        <w:spacing w:before="0" w:after="320" w:line="240" w:lineRule="auto"/>
        <w:ind w:left="0" w:right="0" w:firstLine="620"/>
        <w:jc w:val="left"/>
      </w:pPr>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下表为报告期内本公司前身鼎泰新材股东大会情况：</w:t>
      </w:r>
    </w:p>
    <w:tbl>
      <w:tblPr>
        <w:tblOverlap w:val="never"/>
        <w:jc w:val="center"/>
        <w:tblLayout w:type="fixed"/>
      </w:tblPr>
      <w:tblGrid>
        <w:gridCol w:w="1603"/>
        <w:gridCol w:w="1378"/>
        <w:gridCol w:w="1560"/>
        <w:gridCol w:w="1560"/>
        <w:gridCol w:w="1560"/>
        <w:gridCol w:w="1286"/>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投资者参与比例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披露索引</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r>
        <w:trPr>
          <w:trHeight w:val="7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bl>
    <w:p>
      <w:pPr>
        <w:widowControl w:val="0"/>
        <w:spacing w:after="319" w:line="1" w:lineRule="exact"/>
      </w:pPr>
    </w:p>
    <w:p>
      <w:pPr>
        <w:pStyle w:val="Style33"/>
        <w:keepNext w:val="0"/>
        <w:keepLines w:val="0"/>
        <w:widowControl w:val="0"/>
        <w:shd w:val="clear" w:color="auto" w:fill="auto"/>
        <w:bidi w:val="0"/>
        <w:spacing w:before="0" w:after="320" w:line="240" w:lineRule="auto"/>
        <w:ind w:left="0" w:right="0" w:firstLine="620"/>
        <w:jc w:val="left"/>
      </w:pPr>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p>
    <w:p>
      <w:pPr>
        <w:pStyle w:val="Style11"/>
        <w:keepNext w:val="0"/>
        <w:keepLines w:val="0"/>
        <w:widowControl w:val="0"/>
        <w:shd w:val="clear" w:color="auto" w:fill="auto"/>
        <w:bidi w:val="0"/>
        <w:spacing w:before="0" w:after="32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620"/>
        <w:jc w:val="left"/>
      </w:pPr>
      <w:bookmarkStart w:id="423" w:name="bookmark423"/>
      <w:bookmarkStart w:id="424" w:name="bookmark424"/>
      <w:bookmarkStart w:id="425" w:name="bookmark425"/>
      <w:bookmarkStart w:id="426" w:name="bookmark426"/>
      <w:r>
        <w:rPr>
          <w:color w:val="000000"/>
          <w:spacing w:val="0"/>
          <w:w w:val="100"/>
          <w:position w:val="0"/>
          <w:sz w:val="24"/>
          <w:szCs w:val="24"/>
        </w:rPr>
        <w:t>五</w:t>
      </w:r>
      <w:bookmarkEnd w:id="425"/>
      <w:r>
        <w:rPr>
          <w:color w:val="000000"/>
          <w:spacing w:val="0"/>
          <w:w w:val="100"/>
          <w:position w:val="0"/>
          <w:sz w:val="24"/>
          <w:szCs w:val="24"/>
        </w:rPr>
        <w:t>、报告期内独立董事履行职责的情况</w:t>
      </w:r>
      <w:bookmarkEnd w:id="423"/>
      <w:bookmarkEnd w:id="424"/>
      <w:bookmarkEnd w:id="426"/>
    </w:p>
    <w:p>
      <w:pPr>
        <w:pStyle w:val="Style33"/>
        <w:keepNext w:val="0"/>
        <w:keepLines w:val="0"/>
        <w:widowControl w:val="0"/>
        <w:shd w:val="clear" w:color="auto" w:fill="auto"/>
        <w:bidi w:val="0"/>
        <w:spacing w:before="0" w:after="320" w:line="240" w:lineRule="auto"/>
        <w:ind w:left="0" w:right="0" w:firstLine="620"/>
        <w:jc w:val="left"/>
      </w:pPr>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p>
    <w:tbl>
      <w:tblPr>
        <w:tblOverlap w:val="never"/>
        <w:jc w:val="center"/>
        <w:tblLayout w:type="fixed"/>
      </w:tblPr>
      <w:tblGrid>
        <w:gridCol w:w="1632"/>
        <w:gridCol w:w="1320"/>
        <w:gridCol w:w="1325"/>
        <w:gridCol w:w="1325"/>
        <w:gridCol w:w="1210"/>
        <w:gridCol w:w="1133"/>
        <w:gridCol w:w="1003"/>
      </w:tblGrid>
      <w:tr>
        <w:trPr>
          <w:trHeight w:val="331"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8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是否连续两 次未亲自参 加会议</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tbl>
      <w:tblPr>
        <w:tblOverlap w:val="never"/>
        <w:jc w:val="center"/>
        <w:tblLayout w:type="fixed"/>
      </w:tblPr>
      <w:tblGrid>
        <w:gridCol w:w="1632"/>
        <w:gridCol w:w="1320"/>
        <w:gridCol w:w="1325"/>
        <w:gridCol w:w="1325"/>
        <w:gridCol w:w="1210"/>
        <w:gridCol w:w="1133"/>
        <w:gridCol w:w="100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周忠惠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331"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3"/>
        <w:keepNext w:val="0"/>
        <w:keepLines w:val="0"/>
        <w:widowControl w:val="0"/>
        <w:shd w:val="clear" w:color="auto" w:fill="auto"/>
        <w:tabs>
          <w:tab w:pos="998" w:val="left"/>
        </w:tabs>
        <w:bidi w:val="0"/>
        <w:spacing w:before="0" w:after="320" w:line="240" w:lineRule="auto"/>
        <w:ind w:left="0" w:right="0" w:firstLine="620"/>
        <w:jc w:val="left"/>
      </w:pPr>
      <w:bookmarkStart w:id="427" w:name="bookmark427"/>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独立董事对公司有关事项提出异议的情况</w:t>
      </w:r>
    </w:p>
    <w:p>
      <w:pPr>
        <w:pStyle w:val="Style11"/>
        <w:keepNext w:val="0"/>
        <w:keepLines w:val="0"/>
        <w:widowControl w:val="0"/>
        <w:shd w:val="clear" w:color="auto" w:fill="auto"/>
        <w:bidi w:val="0"/>
        <w:spacing w:before="0" w:after="60" w:line="240" w:lineRule="auto"/>
        <w:ind w:left="0" w:right="0" w:firstLine="620"/>
        <w:jc w:val="left"/>
      </w:pPr>
      <w:r>
        <w:rPr>
          <w:color w:val="000000"/>
          <w:spacing w:val="0"/>
          <w:w w:val="100"/>
          <w:position w:val="0"/>
        </w:rPr>
        <w:t>独立董事对公司有关事项是否提出异议</w:t>
      </w:r>
    </w:p>
    <w:p>
      <w:pPr>
        <w:pStyle w:val="Style11"/>
        <w:keepNext w:val="0"/>
        <w:keepLines w:val="0"/>
        <w:widowControl w:val="0"/>
        <w:shd w:val="clear" w:color="auto" w:fill="auto"/>
        <w:bidi w:val="0"/>
        <w:spacing w:before="0" w:after="60" w:line="240" w:lineRule="auto"/>
        <w:ind w:left="0" w:right="0" w:firstLine="62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11"/>
        <w:keepNext w:val="0"/>
        <w:keepLines w:val="0"/>
        <w:widowControl w:val="0"/>
        <w:shd w:val="clear" w:color="auto" w:fill="auto"/>
        <w:bidi w:val="0"/>
        <w:spacing w:before="0" w:after="320" w:line="240" w:lineRule="auto"/>
        <w:ind w:left="0" w:right="0" w:firstLine="620"/>
        <w:jc w:val="left"/>
      </w:pPr>
      <w:r>
        <w:rPr>
          <w:color w:val="000000"/>
          <w:spacing w:val="0"/>
          <w:w w:val="100"/>
          <w:position w:val="0"/>
        </w:rPr>
        <w:t>报告期内独立董事对公司有关事项未提出异议。</w:t>
      </w:r>
    </w:p>
    <w:p>
      <w:pPr>
        <w:pStyle w:val="Style33"/>
        <w:keepNext w:val="0"/>
        <w:keepLines w:val="0"/>
        <w:widowControl w:val="0"/>
        <w:shd w:val="clear" w:color="auto" w:fill="auto"/>
        <w:tabs>
          <w:tab w:pos="998" w:val="left"/>
        </w:tabs>
        <w:bidi w:val="0"/>
        <w:spacing w:before="0" w:after="320" w:line="240" w:lineRule="auto"/>
        <w:ind w:left="0" w:right="0" w:firstLine="620"/>
        <w:jc w:val="both"/>
      </w:pPr>
      <w:bookmarkStart w:id="428" w:name="bookmark428"/>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独立董事履行职责的其他说明</w:t>
      </w:r>
    </w:p>
    <w:p>
      <w:pPr>
        <w:pStyle w:val="Style11"/>
        <w:keepNext w:val="0"/>
        <w:keepLines w:val="0"/>
        <w:widowControl w:val="0"/>
        <w:shd w:val="clear" w:color="auto" w:fill="auto"/>
        <w:bidi w:val="0"/>
        <w:spacing w:before="0" w:after="60" w:line="240" w:lineRule="auto"/>
        <w:ind w:left="0" w:right="0" w:firstLine="620"/>
        <w:jc w:val="both"/>
      </w:pPr>
      <w:r>
        <w:rPr>
          <w:color w:val="000000"/>
          <w:spacing w:val="0"/>
          <w:w w:val="100"/>
          <w:position w:val="0"/>
        </w:rPr>
        <w:t>独立董事对公司有关建议是否被采纳</w:t>
      </w:r>
    </w:p>
    <w:p>
      <w:pPr>
        <w:pStyle w:val="Style11"/>
        <w:keepNext w:val="0"/>
        <w:keepLines w:val="0"/>
        <w:widowControl w:val="0"/>
        <w:shd w:val="clear" w:color="auto" w:fill="auto"/>
        <w:bidi w:val="0"/>
        <w:spacing w:before="0" w:after="60" w:line="24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独立董事对公司有关建议被采纳或未被采纳的说明</w:t>
      </w:r>
    </w:p>
    <w:p>
      <w:pPr>
        <w:pStyle w:val="Style11"/>
        <w:keepNext w:val="0"/>
        <w:keepLines w:val="0"/>
        <w:widowControl w:val="0"/>
        <w:shd w:val="clear" w:color="auto" w:fill="auto"/>
        <w:bidi w:val="0"/>
        <w:spacing w:before="0" w:after="0" w:line="350" w:lineRule="exact"/>
        <w:ind w:left="620" w:right="0"/>
        <w:jc w:val="both"/>
      </w:pPr>
      <w:r>
        <w:rPr>
          <w:color w:val="000000"/>
          <w:spacing w:val="0"/>
          <w:w w:val="100"/>
          <w:position w:val="0"/>
        </w:rPr>
        <w:t>报告期内，公司独立董事能够认真行使职权，履行独立董事的职责，对董事会会议的各项议题进行了认真审议， 并积极发表意见和看法，为董事会的规范运作和科学决策起到促进作用。公司独立董事以其丰富的专业经验，对公 司的发展战略及规范运作等方面提出了许多指导性意见与合理化建议。</w:t>
      </w:r>
    </w:p>
    <w:p>
      <w:pPr>
        <w:pStyle w:val="Style11"/>
        <w:keepNext w:val="0"/>
        <w:keepLines w:val="0"/>
        <w:widowControl w:val="0"/>
        <w:shd w:val="clear" w:color="auto" w:fill="auto"/>
        <w:bidi w:val="0"/>
        <w:spacing w:before="0" w:after="660" w:line="350" w:lineRule="exact"/>
        <w:ind w:left="620" w:right="0"/>
        <w:jc w:val="both"/>
      </w:pPr>
      <w:r>
        <w:rPr>
          <w:color w:val="000000"/>
          <w:spacing w:val="0"/>
          <w:w w:val="100"/>
          <w:position w:val="0"/>
        </w:rPr>
        <w:t>报告期内，公司独立董事对董事会审议的重大事项均发表了谨慎、客观的独立意见，内容详见与本报告同日刊 登于巨潮资讯网的《</w:t>
      </w:r>
      <w:r>
        <w:rPr>
          <w:color w:val="000000"/>
          <w:spacing w:val="0"/>
          <w:w w:val="100"/>
          <w:position w:val="0"/>
          <w:sz w:val="18"/>
          <w:szCs w:val="18"/>
        </w:rPr>
        <w:t>2016</w:t>
      </w:r>
      <w:r>
        <w:rPr>
          <w:color w:val="000000"/>
          <w:spacing w:val="0"/>
          <w:w w:val="100"/>
          <w:position w:val="0"/>
        </w:rPr>
        <w:t>年度独立董事述职报告》。</w:t>
      </w:r>
    </w:p>
    <w:p>
      <w:pPr>
        <w:pStyle w:val="Style27"/>
        <w:keepNext/>
        <w:keepLines/>
        <w:widowControl w:val="0"/>
        <w:shd w:val="clear" w:color="auto" w:fill="auto"/>
        <w:bidi w:val="0"/>
        <w:spacing w:before="0" w:after="160" w:line="240" w:lineRule="auto"/>
        <w:ind w:left="0" w:right="0" w:firstLine="620"/>
        <w:jc w:val="both"/>
      </w:pPr>
      <w:bookmarkStart w:id="429" w:name="bookmark429"/>
      <w:bookmarkStart w:id="430" w:name="bookmark430"/>
      <w:bookmarkStart w:id="431" w:name="bookmark431"/>
      <w:bookmarkStart w:id="432" w:name="bookmark432"/>
      <w:r>
        <w:rPr>
          <w:color w:val="000000"/>
          <w:spacing w:val="0"/>
          <w:w w:val="100"/>
          <w:position w:val="0"/>
          <w:sz w:val="24"/>
          <w:szCs w:val="24"/>
        </w:rPr>
        <w:t>六</w:t>
      </w:r>
      <w:bookmarkEnd w:id="431"/>
      <w:r>
        <w:rPr>
          <w:color w:val="000000"/>
          <w:spacing w:val="0"/>
          <w:w w:val="100"/>
          <w:position w:val="0"/>
          <w:sz w:val="24"/>
          <w:szCs w:val="24"/>
        </w:rPr>
        <w:t>、董事会下设专门委员会在报告期内履行职责情况</w:t>
      </w:r>
      <w:bookmarkEnd w:id="429"/>
      <w:bookmarkEnd w:id="430"/>
      <w:bookmarkEnd w:id="432"/>
    </w:p>
    <w:p>
      <w:pPr>
        <w:pStyle w:val="Style11"/>
        <w:keepNext w:val="0"/>
        <w:keepLines w:val="0"/>
        <w:widowControl w:val="0"/>
        <w:shd w:val="clear" w:color="auto" w:fill="auto"/>
        <w:bidi w:val="0"/>
        <w:spacing w:before="0" w:after="0" w:line="350" w:lineRule="exact"/>
        <w:ind w:left="0" w:right="0" w:firstLine="1000"/>
        <w:jc w:val="left"/>
      </w:pPr>
      <w:r>
        <w:rPr>
          <w:color w:val="000000"/>
          <w:spacing w:val="0"/>
          <w:w w:val="100"/>
          <w:position w:val="0"/>
        </w:rPr>
        <w:t>公司董事会下设战略、提名、审计、薪酬与考核四个专门委员会。</w:t>
      </w:r>
    </w:p>
    <w:p>
      <w:pPr>
        <w:pStyle w:val="Style11"/>
        <w:keepNext w:val="0"/>
        <w:keepLines w:val="0"/>
        <w:widowControl w:val="0"/>
        <w:shd w:val="clear" w:color="auto" w:fill="auto"/>
        <w:tabs>
          <w:tab w:pos="1334" w:val="left"/>
        </w:tabs>
        <w:bidi w:val="0"/>
        <w:spacing w:before="0" w:after="0" w:line="350" w:lineRule="exact"/>
        <w:ind w:left="0" w:right="0" w:firstLine="1000"/>
        <w:jc w:val="left"/>
      </w:pPr>
      <w:bookmarkStart w:id="433" w:name="bookmark433"/>
      <w:r>
        <w:rPr>
          <w:color w:val="000000"/>
          <w:spacing w:val="0"/>
          <w:w w:val="100"/>
          <w:position w:val="0"/>
          <w:sz w:val="18"/>
          <w:szCs w:val="18"/>
        </w:rPr>
        <w:t>1</w:t>
      </w:r>
      <w:bookmarkEnd w:id="433"/>
      <w:r>
        <w:rPr>
          <w:color w:val="000000"/>
          <w:spacing w:val="0"/>
          <w:w w:val="100"/>
          <w:position w:val="0"/>
        </w:rPr>
        <w:t>、</w:t>
        <w:tab/>
        <w:t>董事会战略委员会履职情况</w:t>
      </w:r>
    </w:p>
    <w:p>
      <w:pPr>
        <w:pStyle w:val="Style11"/>
        <w:keepNext w:val="0"/>
        <w:keepLines w:val="0"/>
        <w:widowControl w:val="0"/>
        <w:shd w:val="clear" w:color="auto" w:fill="auto"/>
        <w:bidi w:val="0"/>
        <w:spacing w:before="0" w:after="0" w:line="350" w:lineRule="exact"/>
        <w:ind w:left="620" w:right="0"/>
        <w:jc w:val="both"/>
      </w:pPr>
      <w:r>
        <w:rPr>
          <w:color w:val="000000"/>
          <w:spacing w:val="0"/>
          <w:w w:val="100"/>
          <w:position w:val="0"/>
        </w:rPr>
        <w:t>报告期内，董事会战略委员会结合国内外经济形势和公司所处行业的特点，对公司经营现状、发展前景、所处 行业的风险和机遇进行了深入地分析，制定了适合公司情况和发展的规划和战略，为公司发展战略的实施提出了宝 贵的建议，保证了公司发展规划和战略决策的科学性，为公司持续、稳健发展提供了战略层面的支持。</w:t>
      </w:r>
    </w:p>
    <w:p>
      <w:pPr>
        <w:pStyle w:val="Style11"/>
        <w:keepNext w:val="0"/>
        <w:keepLines w:val="0"/>
        <w:widowControl w:val="0"/>
        <w:shd w:val="clear" w:color="auto" w:fill="auto"/>
        <w:tabs>
          <w:tab w:pos="1344" w:val="left"/>
        </w:tabs>
        <w:bidi w:val="0"/>
        <w:spacing w:before="0" w:after="0" w:line="350" w:lineRule="exact"/>
        <w:ind w:left="0" w:right="0" w:firstLine="1000"/>
        <w:jc w:val="both"/>
      </w:pPr>
      <w:bookmarkStart w:id="434" w:name="bookmark434"/>
      <w:r>
        <w:rPr>
          <w:color w:val="000000"/>
          <w:spacing w:val="0"/>
          <w:w w:val="100"/>
          <w:position w:val="0"/>
          <w:sz w:val="18"/>
          <w:szCs w:val="18"/>
        </w:rPr>
        <w:t>2</w:t>
      </w:r>
      <w:bookmarkEnd w:id="434"/>
      <w:r>
        <w:rPr>
          <w:color w:val="000000"/>
          <w:spacing w:val="0"/>
          <w:w w:val="100"/>
          <w:position w:val="0"/>
        </w:rPr>
        <w:t>、</w:t>
        <w:tab/>
        <w:t>董事会提名委员会履职情况</w:t>
      </w:r>
    </w:p>
    <w:p>
      <w:pPr>
        <w:pStyle w:val="Style11"/>
        <w:keepNext w:val="0"/>
        <w:keepLines w:val="0"/>
        <w:widowControl w:val="0"/>
        <w:shd w:val="clear" w:color="auto" w:fill="auto"/>
        <w:bidi w:val="0"/>
        <w:spacing w:before="0" w:after="0" w:line="350" w:lineRule="exact"/>
        <w:ind w:left="620" w:right="0"/>
        <w:jc w:val="both"/>
      </w:pPr>
      <w:r>
        <w:rPr>
          <w:color w:val="000000"/>
          <w:spacing w:val="0"/>
          <w:w w:val="100"/>
          <w:position w:val="0"/>
        </w:rPr>
        <w:t>报告期内，公司董事会提名委员会按照相关规定履行职责，对公司董事、高级管理人员的任职资格等事项进行 了深入的讨论论证，积极参与公司董事及高级管理人员的推荐及选举工作。</w:t>
      </w:r>
    </w:p>
    <w:p>
      <w:pPr>
        <w:pStyle w:val="Style11"/>
        <w:keepNext w:val="0"/>
        <w:keepLines w:val="0"/>
        <w:widowControl w:val="0"/>
        <w:shd w:val="clear" w:color="auto" w:fill="auto"/>
        <w:tabs>
          <w:tab w:pos="1344" w:val="left"/>
        </w:tabs>
        <w:bidi w:val="0"/>
        <w:spacing w:before="0" w:after="0" w:line="350" w:lineRule="exact"/>
        <w:ind w:left="0" w:right="0" w:firstLine="1000"/>
        <w:jc w:val="both"/>
      </w:pPr>
      <w:bookmarkStart w:id="435" w:name="bookmark435"/>
      <w:r>
        <w:rPr>
          <w:color w:val="000000"/>
          <w:spacing w:val="0"/>
          <w:w w:val="100"/>
          <w:position w:val="0"/>
          <w:sz w:val="18"/>
          <w:szCs w:val="18"/>
        </w:rPr>
        <w:t>3</w:t>
      </w:r>
      <w:bookmarkEnd w:id="435"/>
      <w:r>
        <w:rPr>
          <w:color w:val="000000"/>
          <w:spacing w:val="0"/>
          <w:w w:val="100"/>
          <w:position w:val="0"/>
        </w:rPr>
        <w:t>、</w:t>
        <w:tab/>
        <w:t>董事会审计委员会履职情况</w:t>
      </w:r>
    </w:p>
    <w:p>
      <w:pPr>
        <w:pStyle w:val="Style11"/>
        <w:keepNext w:val="0"/>
        <w:keepLines w:val="0"/>
        <w:widowControl w:val="0"/>
        <w:shd w:val="clear" w:color="auto" w:fill="auto"/>
        <w:bidi w:val="0"/>
        <w:spacing w:before="0" w:after="0" w:line="350" w:lineRule="exact"/>
        <w:ind w:left="620" w:right="0"/>
        <w:jc w:val="both"/>
      </w:pPr>
      <w:r>
        <w:rPr>
          <w:color w:val="000000"/>
          <w:spacing w:val="0"/>
          <w:w w:val="100"/>
          <w:position w:val="0"/>
        </w:rPr>
        <w:t>报告期内，公司董事会审计委员会按照相关规定履行职责，详细了解公司财务状况和经营情况，审议了公司的 定期报告、内审部门日常审计、专项审计工作，审查了公司内部控制制度的制定及执行情况，对公司财务状况和经 营情况实施了有效的指导和监督。</w:t>
      </w:r>
    </w:p>
    <w:p>
      <w:pPr>
        <w:pStyle w:val="Style11"/>
        <w:keepNext w:val="0"/>
        <w:keepLines w:val="0"/>
        <w:widowControl w:val="0"/>
        <w:shd w:val="clear" w:color="auto" w:fill="auto"/>
        <w:tabs>
          <w:tab w:pos="1349" w:val="left"/>
        </w:tabs>
        <w:bidi w:val="0"/>
        <w:spacing w:before="0" w:after="0" w:line="350" w:lineRule="exact"/>
        <w:ind w:left="0" w:right="0" w:firstLine="1000"/>
        <w:jc w:val="left"/>
      </w:pPr>
      <w:bookmarkStart w:id="436" w:name="bookmark436"/>
      <w:r>
        <w:rPr>
          <w:color w:val="000000"/>
          <w:spacing w:val="0"/>
          <w:w w:val="100"/>
          <w:position w:val="0"/>
          <w:sz w:val="18"/>
          <w:szCs w:val="18"/>
        </w:rPr>
        <w:t>4</w:t>
      </w:r>
      <w:bookmarkEnd w:id="436"/>
      <w:r>
        <w:rPr>
          <w:color w:val="000000"/>
          <w:spacing w:val="0"/>
          <w:w w:val="100"/>
          <w:position w:val="0"/>
        </w:rPr>
        <w:t>、</w:t>
        <w:tab/>
        <w:t>董事会薪酬与考核委员会履职情况</w:t>
      </w:r>
    </w:p>
    <w:p>
      <w:pPr>
        <w:pStyle w:val="Style11"/>
        <w:keepNext w:val="0"/>
        <w:keepLines w:val="0"/>
        <w:widowControl w:val="0"/>
        <w:shd w:val="clear" w:color="auto" w:fill="auto"/>
        <w:bidi w:val="0"/>
        <w:spacing w:before="0" w:after="120" w:line="350" w:lineRule="exact"/>
        <w:ind w:left="620" w:right="0"/>
        <w:jc w:val="both"/>
      </w:pPr>
      <w:r>
        <w:rPr>
          <w:color w:val="000000"/>
          <w:spacing w:val="0"/>
          <w:w w:val="100"/>
          <w:position w:val="0"/>
        </w:rPr>
        <w:t>报告期内，董事会薪酬与考核委员会对公司董事、高级管理人员的薪资、津贴等发放制度及标准进行了审议与 核查，认为符合公司发展的实际情况，符合公司董事会和股东大会的决议内容。</w:t>
      </w:r>
    </w:p>
    <w:p>
      <w:pPr>
        <w:pStyle w:val="Style27"/>
        <w:keepNext/>
        <w:keepLines/>
        <w:widowControl w:val="0"/>
        <w:shd w:val="clear" w:color="auto" w:fill="auto"/>
        <w:tabs>
          <w:tab w:pos="1142" w:val="left"/>
        </w:tabs>
        <w:bidi w:val="0"/>
        <w:spacing w:before="0" w:line="240" w:lineRule="auto"/>
        <w:ind w:left="0" w:right="0" w:firstLine="620"/>
        <w:jc w:val="both"/>
      </w:pPr>
      <w:bookmarkStart w:id="437" w:name="bookmark437"/>
      <w:bookmarkStart w:id="438" w:name="bookmark438"/>
      <w:bookmarkStart w:id="439" w:name="bookmark439"/>
      <w:bookmarkStart w:id="440" w:name="bookmark440"/>
      <w:r>
        <w:rPr>
          <w:color w:val="000000"/>
          <w:spacing w:val="0"/>
          <w:w w:val="100"/>
          <w:position w:val="0"/>
          <w:sz w:val="24"/>
          <w:szCs w:val="24"/>
        </w:rPr>
        <w:t>七</w:t>
      </w:r>
      <w:bookmarkEnd w:id="439"/>
      <w:r>
        <w:rPr>
          <w:color w:val="000000"/>
          <w:spacing w:val="0"/>
          <w:w w:val="100"/>
          <w:position w:val="0"/>
          <w:sz w:val="24"/>
          <w:szCs w:val="24"/>
        </w:rPr>
        <w:t>、</w:t>
        <w:tab/>
        <w:t>监事会工作情况</w:t>
      </w:r>
      <w:bookmarkEnd w:id="437"/>
      <w:bookmarkEnd w:id="438"/>
      <w:bookmarkEnd w:id="440"/>
    </w:p>
    <w:p>
      <w:pPr>
        <w:pStyle w:val="Style11"/>
        <w:keepNext w:val="0"/>
        <w:keepLines w:val="0"/>
        <w:widowControl w:val="0"/>
        <w:shd w:val="clear" w:color="auto" w:fill="auto"/>
        <w:bidi w:val="0"/>
        <w:spacing w:before="0" w:after="60" w:line="240" w:lineRule="auto"/>
        <w:ind w:left="0" w:right="0" w:firstLine="620"/>
        <w:jc w:val="both"/>
      </w:pPr>
      <w:r>
        <w:rPr>
          <w:color w:val="000000"/>
          <w:spacing w:val="0"/>
          <w:w w:val="100"/>
          <w:position w:val="0"/>
        </w:rPr>
        <w:t>监事会在报告期内的监督活动中发现公司是否存在风险</w:t>
      </w:r>
    </w:p>
    <w:p>
      <w:pPr>
        <w:pStyle w:val="Style11"/>
        <w:keepNext w:val="0"/>
        <w:keepLines w:val="0"/>
        <w:widowControl w:val="0"/>
        <w:shd w:val="clear" w:color="auto" w:fill="auto"/>
        <w:bidi w:val="0"/>
        <w:spacing w:before="0" w:after="60" w:line="240" w:lineRule="auto"/>
        <w:ind w:left="0" w:right="0" w:firstLine="620"/>
        <w:jc w:val="both"/>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11"/>
        <w:keepNext w:val="0"/>
        <w:keepLines w:val="0"/>
        <w:widowControl w:val="0"/>
        <w:shd w:val="clear" w:color="auto" w:fill="auto"/>
        <w:bidi w:val="0"/>
        <w:spacing w:before="0" w:after="320" w:line="240" w:lineRule="auto"/>
        <w:ind w:left="0" w:right="0" w:firstLine="620"/>
        <w:jc w:val="both"/>
      </w:pPr>
      <w:r>
        <w:rPr>
          <w:color w:val="000000"/>
          <w:spacing w:val="0"/>
          <w:w w:val="100"/>
          <w:position w:val="0"/>
        </w:rPr>
        <w:t>监事会对报告期内的监督事项无异议。</w:t>
      </w:r>
    </w:p>
    <w:p>
      <w:pPr>
        <w:pStyle w:val="Style27"/>
        <w:keepNext/>
        <w:keepLines/>
        <w:widowControl w:val="0"/>
        <w:shd w:val="clear" w:color="auto" w:fill="auto"/>
        <w:tabs>
          <w:tab w:pos="1142" w:val="left"/>
        </w:tabs>
        <w:bidi w:val="0"/>
        <w:spacing w:before="0" w:after="180" w:line="240" w:lineRule="auto"/>
        <w:ind w:left="0" w:right="0" w:firstLine="620"/>
        <w:jc w:val="both"/>
      </w:pPr>
      <w:bookmarkStart w:id="441" w:name="bookmark441"/>
      <w:bookmarkStart w:id="442" w:name="bookmark442"/>
      <w:bookmarkStart w:id="443" w:name="bookmark443"/>
      <w:bookmarkStart w:id="444" w:name="bookmark444"/>
      <w:r>
        <w:rPr>
          <w:color w:val="000000"/>
          <w:spacing w:val="0"/>
          <w:w w:val="100"/>
          <w:position w:val="0"/>
          <w:sz w:val="24"/>
          <w:szCs w:val="24"/>
        </w:rPr>
        <w:t>八</w:t>
      </w:r>
      <w:bookmarkEnd w:id="443"/>
      <w:r>
        <w:rPr>
          <w:color w:val="000000"/>
          <w:spacing w:val="0"/>
          <w:w w:val="100"/>
          <w:position w:val="0"/>
          <w:sz w:val="24"/>
          <w:szCs w:val="24"/>
        </w:rPr>
        <w:t>、</w:t>
        <w:tab/>
        <w:t>高级管理人员的考评及激励情况</w:t>
      </w:r>
      <w:bookmarkEnd w:id="441"/>
      <w:bookmarkEnd w:id="442"/>
      <w:bookmarkEnd w:id="444"/>
    </w:p>
    <w:p>
      <w:pPr>
        <w:pStyle w:val="Style11"/>
        <w:keepNext w:val="0"/>
        <w:keepLines w:val="0"/>
        <w:widowControl w:val="0"/>
        <w:shd w:val="clear" w:color="auto" w:fill="auto"/>
        <w:bidi w:val="0"/>
        <w:spacing w:before="0" w:after="440" w:line="348" w:lineRule="exact"/>
        <w:ind w:left="620" w:right="0"/>
        <w:jc w:val="both"/>
      </w:pPr>
      <w:r>
        <w:rPr>
          <w:color w:val="000000"/>
          <w:spacing w:val="0"/>
          <w:w w:val="100"/>
          <w:position w:val="0"/>
        </w:rPr>
        <w:t>公司董事会设立了薪酬与考核委员会，公司高级管理人员直接对董事会负责，接受董事会的考核，实行责权统 一的激励机制。公司的激励机制符合公司现状及相关法律、法规及《公司章程》的规定，充分增强了公司管理团队 和核心技术人员对公司的归属感，有效的将股东利益、公司利益和员工利益结合在一起。</w:t>
      </w:r>
    </w:p>
    <w:p>
      <w:pPr>
        <w:pStyle w:val="Style27"/>
        <w:keepNext/>
        <w:keepLines/>
        <w:widowControl w:val="0"/>
        <w:shd w:val="clear" w:color="auto" w:fill="auto"/>
        <w:tabs>
          <w:tab w:pos="1142" w:val="left"/>
        </w:tabs>
        <w:bidi w:val="0"/>
        <w:spacing w:before="0" w:line="240" w:lineRule="auto"/>
        <w:ind w:left="0" w:right="0" w:firstLine="620"/>
        <w:jc w:val="both"/>
      </w:pPr>
      <w:bookmarkStart w:id="445" w:name="bookmark445"/>
      <w:bookmarkStart w:id="446" w:name="bookmark446"/>
      <w:bookmarkStart w:id="447" w:name="bookmark447"/>
      <w:bookmarkStart w:id="448" w:name="bookmark448"/>
      <w:r>
        <w:rPr>
          <w:color w:val="000000"/>
          <w:spacing w:val="0"/>
          <w:w w:val="100"/>
          <w:position w:val="0"/>
          <w:sz w:val="24"/>
          <w:szCs w:val="24"/>
        </w:rPr>
        <w:t>九</w:t>
      </w:r>
      <w:bookmarkEnd w:id="447"/>
      <w:r>
        <w:rPr>
          <w:color w:val="000000"/>
          <w:spacing w:val="0"/>
          <w:w w:val="100"/>
          <w:position w:val="0"/>
          <w:sz w:val="24"/>
          <w:szCs w:val="24"/>
        </w:rPr>
        <w:t>、</w:t>
        <w:tab/>
        <w:t>内部控制评价报告</w:t>
      </w:r>
      <w:bookmarkEnd w:id="445"/>
      <w:bookmarkEnd w:id="446"/>
      <w:bookmarkEnd w:id="448"/>
    </w:p>
    <w:p>
      <w:pPr>
        <w:pStyle w:val="Style33"/>
        <w:keepNext w:val="0"/>
        <w:keepLines w:val="0"/>
        <w:widowControl w:val="0"/>
        <w:shd w:val="clear" w:color="auto" w:fill="auto"/>
        <w:bidi w:val="0"/>
        <w:spacing w:before="0" w:after="180" w:line="240" w:lineRule="auto"/>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p>
    <w:p>
      <w:pPr>
        <w:pStyle w:val="Style11"/>
        <w:keepNext w:val="0"/>
        <w:keepLines w:val="0"/>
        <w:widowControl w:val="0"/>
        <w:shd w:val="clear" w:color="auto" w:fill="auto"/>
        <w:bidi w:val="0"/>
        <w:spacing w:before="0" w:after="320" w:line="348" w:lineRule="exact"/>
        <w:ind w:left="0" w:right="0" w:firstLine="62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20" w:line="240" w:lineRule="auto"/>
        <w:ind w:left="0" w:right="0" w:firstLine="620"/>
        <w:jc w:val="both"/>
      </w:pPr>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p>
    <w:tbl>
      <w:tblPr>
        <w:tblOverlap w:val="never"/>
        <w:jc w:val="center"/>
        <w:tblLayout w:type="fixed"/>
      </w:tblPr>
      <w:tblGrid>
        <w:gridCol w:w="3202"/>
        <w:gridCol w:w="3322"/>
        <w:gridCol w:w="2563"/>
      </w:tblGrid>
      <w:tr>
        <w:trPr>
          <w:trHeight w:val="33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55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r>
      <w:tr>
        <w:trPr>
          <w:trHeight w:val="55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5"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326"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90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33" w:lineRule="exact"/>
              <w:ind w:left="0" w:right="0" w:firstLine="0"/>
              <w:jc w:val="both"/>
            </w:pPr>
            <w:r>
              <w:rPr>
                <w:color w:val="000000"/>
                <w:spacing w:val="0"/>
                <w:w w:val="100"/>
                <w:position w:val="0"/>
              </w:rPr>
              <w:t>重大缺陷：单独或连同其他缺陷导致不能 及时防止或发现并纠正财务报告重大错 报、漏报。出现下列情形的，认定为重大 缺陷：董事、监事和高级管理人员舞弊； 更正已公布的财务报告；注册会计师发现 当期财务报告存在重大错报，而内部控制 在运行过程中未能发现该错报；审计委员 会和内部审计机构对内部控制的监督无 效。</w:t>
            </w:r>
          </w:p>
          <w:p>
            <w:pPr>
              <w:pStyle w:val="Style23"/>
              <w:keepNext w:val="0"/>
              <w:keepLines w:val="0"/>
              <w:widowControl w:val="0"/>
              <w:shd w:val="clear" w:color="auto" w:fill="auto"/>
              <w:bidi w:val="0"/>
              <w:spacing w:before="0" w:after="40" w:line="232" w:lineRule="exact"/>
              <w:ind w:left="0" w:right="0" w:firstLine="0"/>
              <w:jc w:val="both"/>
            </w:pPr>
            <w:r>
              <w:rPr>
                <w:color w:val="000000"/>
                <w:spacing w:val="0"/>
                <w:w w:val="100"/>
                <w:position w:val="0"/>
              </w:rPr>
              <w:t>重要缺陷：单独或连同其他缺陷导致不能 及时防止或发现并纠正财务报告中虽未达 到和超过重要性水平，但仍应引起董事会 和管理层重视的错报、漏报。</w:t>
            </w:r>
          </w:p>
          <w:p>
            <w:pPr>
              <w:pStyle w:val="Style23"/>
              <w:keepNext w:val="0"/>
              <w:keepLines w:val="0"/>
              <w:widowControl w:val="0"/>
              <w:shd w:val="clear" w:color="auto" w:fill="auto"/>
              <w:bidi w:val="0"/>
              <w:spacing w:before="0" w:after="40" w:line="230" w:lineRule="exact"/>
              <w:ind w:left="0" w:right="0" w:firstLine="0"/>
              <w:jc w:val="both"/>
            </w:pPr>
            <w:r>
              <w:rPr>
                <w:color w:val="000000"/>
                <w:spacing w:val="0"/>
                <w:w w:val="100"/>
                <w:position w:val="0"/>
              </w:rPr>
              <w:t>一般缺陷：未构成重大缺陷、重要缺陷标 准的其他内部控制缺陷。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重大缺陷：单独或连同其他缺陷 对公司造成重大损失或产生重 大负面影响的，出现以下情形认 定为重大缺陷：公司决策程序不 科学；违犯国家法律、法规；媒 体负面新闻频现；重要业务缺乏 制度控制或制度系统性。</w:t>
            </w:r>
          </w:p>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重要缺陷：单独或连同其他缺陷 导致不能及时防止可能造成公 司损失或产生负面影响，虽未达 到或超过重要性水平，但仍应引 起董事会和管理层重视的一个 或多个内部控制缺陷的组合。</w:t>
            </w:r>
          </w:p>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一般缺陷：未构成重大缺陷、重 要缺陷标准的其他内部控制缺 陷。</w:t>
            </w:r>
          </w:p>
        </w:tc>
      </w:tr>
      <w:tr>
        <w:trPr>
          <w:trHeight w:val="2246"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32" w:lineRule="exact"/>
              <w:ind w:left="0" w:right="0" w:firstLine="0"/>
              <w:jc w:val="both"/>
            </w:pPr>
            <w:r>
              <w:rPr>
                <w:color w:val="000000"/>
                <w:spacing w:val="0"/>
                <w:w w:val="100"/>
                <w:position w:val="0"/>
              </w:rPr>
              <w:t>重大缺陷：可能导致财务报告错报、漏报 的影响金额占公司当年合并财务报表税前 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）的一项或多项控制 缺陷的组合。</w:t>
            </w:r>
          </w:p>
          <w:p>
            <w:pPr>
              <w:pStyle w:val="Style23"/>
              <w:keepNext w:val="0"/>
              <w:keepLines w:val="0"/>
              <w:widowControl w:val="0"/>
              <w:shd w:val="clear" w:color="auto" w:fill="auto"/>
              <w:bidi w:val="0"/>
              <w:spacing w:before="0" w:after="40" w:line="234" w:lineRule="exact"/>
              <w:ind w:left="0" w:right="0" w:firstLine="0"/>
              <w:jc w:val="both"/>
            </w:pPr>
            <w:r>
              <w:rPr>
                <w:color w:val="000000"/>
                <w:spacing w:val="0"/>
                <w:w w:val="100"/>
                <w:position w:val="0"/>
              </w:rPr>
              <w:t>重要缺陷：可能导致财务报告错报、漏报 的影响金额占公司当年合并财务报表税前 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）的一项或多项控 制缺陷的组合。</w:t>
            </w:r>
          </w:p>
          <w:p>
            <w:pPr>
              <w:pStyle w:val="Style23"/>
              <w:keepNext w:val="0"/>
              <w:keepLines w:val="0"/>
              <w:widowControl w:val="0"/>
              <w:shd w:val="clear" w:color="auto" w:fill="auto"/>
              <w:bidi w:val="0"/>
              <w:spacing w:before="0" w:after="40" w:line="233" w:lineRule="exact"/>
              <w:ind w:left="0" w:right="0" w:firstLine="0"/>
              <w:jc w:val="both"/>
            </w:pPr>
            <w:r>
              <w:rPr>
                <w:color w:val="000000"/>
                <w:spacing w:val="0"/>
                <w:w w:val="100"/>
                <w:position w:val="0"/>
              </w:rPr>
              <w:t>一般缺陷：可能导致财务报告错报、漏报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32" w:lineRule="exact"/>
              <w:ind w:left="0" w:right="0" w:firstLine="0"/>
              <w:jc w:val="both"/>
            </w:pPr>
            <w:r>
              <w:rPr>
                <w:color w:val="000000"/>
                <w:spacing w:val="0"/>
                <w:w w:val="100"/>
                <w:position w:val="0"/>
              </w:rPr>
              <w:t>重大缺陷：可能造成损失的影响 金额达到公司当年合并财务报 表税前利润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 一项或多项控制缺陷的组合。</w:t>
            </w:r>
          </w:p>
          <w:p>
            <w:pPr>
              <w:pStyle w:val="Style23"/>
              <w:keepNext w:val="0"/>
              <w:keepLines w:val="0"/>
              <w:widowControl w:val="0"/>
              <w:shd w:val="clear" w:color="auto" w:fill="auto"/>
              <w:bidi w:val="0"/>
              <w:spacing w:before="0" w:after="40" w:line="234" w:lineRule="exact"/>
              <w:ind w:left="0" w:right="0" w:firstLine="0"/>
              <w:jc w:val="both"/>
            </w:pPr>
            <w:r>
              <w:rPr>
                <w:color w:val="000000"/>
                <w:spacing w:val="0"/>
                <w:w w:val="100"/>
                <w:position w:val="0"/>
              </w:rPr>
              <w:t>重要缺陷：可能造成损失的影响 金额占公司当年合并财务报表 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 一项或多项控制缺陷的组合。</w:t>
            </w:r>
          </w:p>
          <w:p>
            <w:pPr>
              <w:pStyle w:val="Style23"/>
              <w:keepNext w:val="0"/>
              <w:keepLines w:val="0"/>
              <w:widowControl w:val="0"/>
              <w:shd w:val="clear" w:color="auto" w:fill="auto"/>
              <w:bidi w:val="0"/>
              <w:spacing w:before="0" w:after="40" w:line="233" w:lineRule="exact"/>
              <w:ind w:left="0" w:right="0" w:firstLine="0"/>
              <w:jc w:val="both"/>
            </w:pPr>
            <w:r>
              <w:rPr>
                <w:color w:val="000000"/>
                <w:spacing w:val="0"/>
                <w:w w:val="100"/>
                <w:position w:val="0"/>
              </w:rPr>
              <w:t>一般缺陷：可能造成损失的影响</w:t>
            </w:r>
          </w:p>
        </w:tc>
      </w:tr>
    </w:tbl>
    <w:p>
      <w:pPr>
        <w:spacing w:lineRule="exact" w:line="1"/>
        <w:rPr>
          <w:sz w:val="2"/>
          <w:szCs w:val="2"/>
        </w:rPr>
      </w:pPr>
      <w:r>
        <w:br w:type="page"/>
      </w:r>
    </w:p>
    <w:tbl>
      <w:tblPr>
        <w:tblOverlap w:val="never"/>
        <w:jc w:val="center"/>
        <w:tblLayout w:type="fixed"/>
      </w:tblPr>
      <w:tblGrid>
        <w:gridCol w:w="3202"/>
        <w:gridCol w:w="3322"/>
        <w:gridCol w:w="2563"/>
      </w:tblGrid>
      <w:tr>
        <w:trPr>
          <w:trHeight w:val="75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的影响金额占公司当年合并财务报表税前 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以下的一项或多项控制缺陷的组 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金额占公司当年合并财务报表 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以下的一项或多项 控制缺陷的组合。</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6"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620"/>
        <w:jc w:val="left"/>
      </w:pPr>
      <w:bookmarkStart w:id="449" w:name="bookmark449"/>
      <w:bookmarkStart w:id="450" w:name="bookmark450"/>
      <w:bookmarkStart w:id="451" w:name="bookmark451"/>
      <w:r>
        <w:rPr>
          <w:color w:val="000000"/>
          <w:spacing w:val="0"/>
          <w:w w:val="100"/>
          <w:position w:val="0"/>
          <w:sz w:val="24"/>
          <w:szCs w:val="24"/>
        </w:rPr>
        <w:t>十、内部控制审计报告或鉴证报告</w:t>
      </w:r>
      <w:bookmarkEnd w:id="449"/>
      <w:bookmarkEnd w:id="450"/>
      <w:bookmarkEnd w:id="451"/>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418"/>
      </w:tblGrid>
      <w:tr>
        <w:trPr>
          <w:trHeight w:val="326"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557"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jc w:val="both"/>
            </w:pPr>
            <w:r>
              <w:rPr>
                <w:color w:val="000000"/>
                <w:spacing w:val="0"/>
                <w:w w:val="100"/>
                <w:position w:val="0"/>
              </w:rPr>
              <w:t>我们认为，贵公司于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 的财务报告内部控制。</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会计师事务所是否出具非标准意见的内部控制审计报告 </w:t>
      </w: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0" w:line="269" w:lineRule="exact"/>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136" w:right="1052" w:bottom="1165" w:left="1052"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8"/>
        <w:keepNext/>
        <w:keepLines/>
        <w:widowControl w:val="0"/>
        <w:shd w:val="clear" w:color="auto" w:fill="auto"/>
        <w:bidi w:val="0"/>
        <w:spacing w:before="0" w:after="880" w:line="240" w:lineRule="auto"/>
        <w:ind w:left="0" w:right="0" w:firstLine="0"/>
        <w:jc w:val="center"/>
      </w:pPr>
      <w:bookmarkStart w:id="452" w:name="bookmark452"/>
      <w:bookmarkStart w:id="453" w:name="bookmark453"/>
      <w:bookmarkStart w:id="454" w:name="bookmark454"/>
      <w:r>
        <w:rPr>
          <w:color w:val="000000"/>
          <w:spacing w:val="0"/>
          <w:w w:val="100"/>
          <w:position w:val="0"/>
        </w:rPr>
        <w:t>第十节公司债券相关情况</w:t>
      </w:r>
      <w:bookmarkEnd w:id="452"/>
      <w:bookmarkEnd w:id="453"/>
      <w:bookmarkEnd w:id="454"/>
    </w:p>
    <w:p>
      <w:pPr>
        <w:pStyle w:val="Style11"/>
        <w:keepNext w:val="0"/>
        <w:keepLines w:val="0"/>
        <w:widowControl w:val="0"/>
        <w:shd w:val="clear" w:color="auto" w:fill="auto"/>
        <w:bidi w:val="0"/>
        <w:spacing w:before="0" w:after="880" w:line="278" w:lineRule="exact"/>
        <w:ind w:left="620" w:right="0" w:firstLine="20"/>
        <w:jc w:val="left"/>
      </w:pPr>
      <w:bookmarkStart w:id="455" w:name="bookmark455"/>
      <w:bookmarkStart w:id="456" w:name="bookmark456"/>
      <w:r>
        <w:rPr>
          <w:color w:val="000000"/>
          <w:spacing w:val="0"/>
          <w:w w:val="100"/>
          <w:position w:val="0"/>
        </w:rPr>
        <w:t>公司是否存在公开发行并在证券交易所上市，且在年度报告批准报出日未到期或到期未能全额兑付的公司债券 否</w:t>
      </w:r>
      <w:bookmarkEnd w:id="455"/>
      <w:bookmarkEnd w:id="456"/>
    </w:p>
    <w:p>
      <w:pPr>
        <w:pStyle w:val="Style8"/>
        <w:keepNext/>
        <w:keepLines/>
        <w:widowControl w:val="0"/>
        <w:shd w:val="clear" w:color="auto" w:fill="auto"/>
        <w:bidi w:val="0"/>
        <w:spacing w:before="0" w:after="920" w:line="240" w:lineRule="auto"/>
        <w:ind w:left="0" w:right="0" w:firstLine="0"/>
        <w:jc w:val="center"/>
      </w:pPr>
      <w:bookmarkStart w:id="457" w:name="bookmark457"/>
      <w:bookmarkStart w:id="458" w:name="bookmark458"/>
      <w:bookmarkStart w:id="459" w:name="bookmark459"/>
      <w:r>
        <w:rPr>
          <w:color w:val="000000"/>
          <w:spacing w:val="0"/>
          <w:w w:val="100"/>
          <w:position w:val="0"/>
        </w:rPr>
        <w:t>第十一节财务报告</w:t>
      </w:r>
      <w:bookmarkEnd w:id="457"/>
      <w:bookmarkEnd w:id="458"/>
      <w:bookmarkEnd w:id="459"/>
    </w:p>
    <w:tbl>
      <w:tblPr>
        <w:tblOverlap w:val="never"/>
        <w:jc w:val="center"/>
        <w:tblLayout w:type="fixed"/>
      </w:tblPr>
      <w:tblGrid>
        <w:gridCol w:w="4258"/>
        <w:gridCol w:w="4123"/>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10061</w:t>
            </w:r>
            <w:r>
              <w:rPr>
                <w:color w:val="000000"/>
                <w:spacing w:val="0"/>
                <w:w w:val="100"/>
                <w:position w:val="0"/>
              </w:rPr>
              <w:t>号</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林崇云、华军</w:t>
            </w:r>
          </w:p>
        </w:tc>
      </w:tr>
    </w:tbl>
    <w:p>
      <w:pPr>
        <w:sectPr>
          <w:footnotePr>
            <w:pos w:val="pageBottom"/>
            <w:numFmt w:val="decimal"/>
            <w:numRestart w:val="continuous"/>
          </w:footnotePr>
          <w:pgSz w:w="11900" w:h="16840"/>
          <w:pgMar w:top="2374" w:right="1052" w:bottom="2374" w:left="1052" w:header="0" w:footer="3" w:gutter="0"/>
          <w:cols w:space="720"/>
          <w:noEndnote/>
          <w:rtlGutter w:val="0"/>
          <w:docGrid w:linePitch="360"/>
        </w:sectPr>
      </w:pPr>
    </w:p>
    <w:p>
      <w:pPr>
        <w:pStyle w:val="Style27"/>
        <w:keepNext/>
        <w:keepLines/>
        <w:widowControl w:val="0"/>
        <w:shd w:val="clear" w:color="auto" w:fill="auto"/>
        <w:bidi w:val="0"/>
        <w:spacing w:before="0" w:after="680" w:line="240" w:lineRule="auto"/>
        <w:ind w:left="0" w:right="0" w:firstLine="0"/>
        <w:jc w:val="center"/>
      </w:pPr>
      <w:bookmarkStart w:id="460" w:name="bookmark460"/>
      <w:bookmarkStart w:id="461" w:name="bookmark461"/>
      <w:bookmarkStart w:id="462" w:name="bookmark462"/>
      <w:r>
        <w:rPr>
          <w:color w:val="000000"/>
          <w:spacing w:val="0"/>
          <w:w w:val="100"/>
          <w:position w:val="0"/>
          <w:sz w:val="24"/>
          <w:szCs w:val="24"/>
        </w:rPr>
        <w:t>审计报告</w:t>
      </w:r>
      <w:bookmarkEnd w:id="460"/>
      <w:bookmarkEnd w:id="461"/>
      <w:bookmarkEnd w:id="462"/>
    </w:p>
    <w:p>
      <w:pPr>
        <w:pStyle w:val="Style33"/>
        <w:keepNext w:val="0"/>
        <w:keepLines w:val="0"/>
        <w:widowControl w:val="0"/>
        <w:shd w:val="clear" w:color="auto" w:fill="auto"/>
        <w:bidi w:val="0"/>
        <w:spacing w:before="0" w:after="100" w:line="240" w:lineRule="auto"/>
        <w:ind w:left="0" w:right="0" w:firstLine="0"/>
        <w:jc w:val="right"/>
        <w:rPr>
          <w:sz w:val="22"/>
          <w:szCs w:val="22"/>
        </w:rPr>
      </w:pPr>
      <w:r>
        <w:rPr>
          <w:b w:val="0"/>
          <w:bCs w:val="0"/>
          <w:color w:val="000000"/>
          <w:spacing w:val="0"/>
          <w:w w:val="100"/>
          <w:position w:val="0"/>
          <w:sz w:val="22"/>
          <w:szCs w:val="22"/>
        </w:rPr>
        <w:t>普华永道中天审字</w:t>
      </w:r>
      <w:r>
        <w:rPr>
          <w:color w:val="000000"/>
          <w:spacing w:val="0"/>
          <w:w w:val="100"/>
          <w:position w:val="0"/>
          <w:sz w:val="22"/>
          <w:szCs w:val="22"/>
        </w:rPr>
        <w:t>（2017）</w:t>
      </w:r>
      <w:r>
        <w:rPr>
          <w:b w:val="0"/>
          <w:bCs w:val="0"/>
          <w:color w:val="000000"/>
          <w:spacing w:val="0"/>
          <w:w w:val="100"/>
          <w:position w:val="0"/>
          <w:sz w:val="22"/>
          <w:szCs w:val="22"/>
        </w:rPr>
        <w:t>第</w:t>
      </w:r>
      <w:r>
        <w:rPr>
          <w:color w:val="000000"/>
          <w:spacing w:val="0"/>
          <w:w w:val="100"/>
          <w:position w:val="0"/>
          <w:sz w:val="22"/>
          <w:szCs w:val="22"/>
        </w:rPr>
        <w:t>10061</w:t>
      </w:r>
      <w:r>
        <w:rPr>
          <w:b w:val="0"/>
          <w:bCs w:val="0"/>
          <w:color w:val="000000"/>
          <w:spacing w:val="0"/>
          <w:w w:val="100"/>
          <w:position w:val="0"/>
          <w:sz w:val="22"/>
          <w:szCs w:val="22"/>
        </w:rPr>
        <w:t>号</w:t>
      </w:r>
    </w:p>
    <w:p>
      <w:pPr>
        <w:pStyle w:val="Style33"/>
        <w:keepNext w:val="0"/>
        <w:keepLines w:val="0"/>
        <w:widowControl w:val="0"/>
        <w:shd w:val="clear" w:color="auto" w:fill="auto"/>
        <w:bidi w:val="0"/>
        <w:spacing w:before="0" w:after="920" w:line="240" w:lineRule="auto"/>
        <w:ind w:left="0" w:right="0" w:firstLine="0"/>
        <w:jc w:val="right"/>
      </w:pPr>
      <w:r>
        <w:rPr>
          <w:rFonts w:ascii="Georgia" w:eastAsia="Georgia" w:hAnsi="Georgia" w:cs="Georgia"/>
          <w:b w:val="0"/>
          <w:bCs w:val="0"/>
          <w:color w:val="000000"/>
          <w:spacing w:val="0"/>
          <w:w w:val="100"/>
          <w:position w:val="0"/>
        </w:rPr>
        <w:t>（</w:t>
      </w:r>
      <w:r>
        <w:rPr>
          <w:b w:val="0"/>
          <w:bCs w:val="0"/>
          <w:color w:val="000000"/>
          <w:spacing w:val="0"/>
          <w:w w:val="100"/>
          <w:position w:val="0"/>
          <w:sz w:val="19"/>
          <w:szCs w:val="19"/>
        </w:rPr>
        <w:t>第一页，共二页</w:t>
      </w:r>
      <w:r>
        <w:rPr>
          <w:rFonts w:ascii="Georgia" w:eastAsia="Georgia" w:hAnsi="Georgia" w:cs="Georgia"/>
          <w:b w:val="0"/>
          <w:bCs w:val="0"/>
          <w:color w:val="000000"/>
          <w:spacing w:val="0"/>
          <w:w w:val="100"/>
          <w:position w:val="0"/>
        </w:rPr>
        <w:t>）</w:t>
      </w:r>
    </w:p>
    <w:p>
      <w:pPr>
        <w:pStyle w:val="Style33"/>
        <w:keepNext w:val="0"/>
        <w:keepLines w:val="0"/>
        <w:widowControl w:val="0"/>
        <w:shd w:val="clear" w:color="auto" w:fill="auto"/>
        <w:bidi w:val="0"/>
        <w:spacing w:before="0" w:after="300" w:line="329" w:lineRule="exact"/>
        <w:ind w:left="0" w:right="0" w:firstLine="0"/>
        <w:jc w:val="both"/>
        <w:rPr>
          <w:sz w:val="22"/>
          <w:szCs w:val="22"/>
        </w:rPr>
      </w:pPr>
      <w:r>
        <w:rPr>
          <w:b w:val="0"/>
          <w:bCs w:val="0"/>
          <w:color w:val="000000"/>
          <w:spacing w:val="0"/>
          <w:w w:val="100"/>
          <w:position w:val="0"/>
          <w:sz w:val="22"/>
          <w:szCs w:val="22"/>
        </w:rPr>
        <w:t>顺丰控股股份有限公司全体股东：</w:t>
      </w:r>
    </w:p>
    <w:p>
      <w:pPr>
        <w:pStyle w:val="Style33"/>
        <w:keepNext w:val="0"/>
        <w:keepLines w:val="0"/>
        <w:widowControl w:val="0"/>
        <w:shd w:val="clear" w:color="auto" w:fill="auto"/>
        <w:bidi w:val="0"/>
        <w:spacing w:before="0" w:after="300" w:line="319" w:lineRule="exact"/>
        <w:ind w:left="0" w:right="0" w:firstLine="0"/>
        <w:jc w:val="both"/>
        <w:rPr>
          <w:sz w:val="22"/>
          <w:szCs w:val="22"/>
        </w:rPr>
      </w:pPr>
      <w:r>
        <w:rPr>
          <w:b w:val="0"/>
          <w:bCs w:val="0"/>
          <w:color w:val="000000"/>
          <w:spacing w:val="0"/>
          <w:w w:val="100"/>
          <w:position w:val="0"/>
          <w:sz w:val="22"/>
          <w:szCs w:val="22"/>
        </w:rPr>
        <w:t>我们审计了后附的顺丰控股股份有限公司</w:t>
      </w:r>
      <w:r>
        <w:rPr>
          <w:color w:val="000000"/>
          <w:spacing w:val="0"/>
          <w:w w:val="100"/>
          <w:position w:val="0"/>
          <w:sz w:val="22"/>
          <w:szCs w:val="22"/>
        </w:rPr>
        <w:t>（</w:t>
      </w:r>
      <w:r>
        <w:rPr>
          <w:b w:val="0"/>
          <w:bCs w:val="0"/>
          <w:color w:val="000000"/>
          <w:spacing w:val="0"/>
          <w:w w:val="100"/>
          <w:position w:val="0"/>
          <w:sz w:val="22"/>
          <w:szCs w:val="22"/>
        </w:rPr>
        <w:t>以下简称“顺丰控股”</w:t>
      </w:r>
      <w:r>
        <w:rPr>
          <w:color w:val="000000"/>
          <w:spacing w:val="0"/>
          <w:w w:val="100"/>
          <w:position w:val="0"/>
          <w:sz w:val="22"/>
          <w:szCs w:val="22"/>
        </w:rPr>
        <w:t>）</w:t>
      </w:r>
      <w:r>
        <w:rPr>
          <w:b w:val="0"/>
          <w:bCs w:val="0"/>
          <w:color w:val="000000"/>
          <w:spacing w:val="0"/>
          <w:w w:val="100"/>
          <w:position w:val="0"/>
          <w:sz w:val="22"/>
          <w:szCs w:val="22"/>
        </w:rPr>
        <w:t>的财务报表，包括</w:t>
      </w:r>
      <w:r>
        <w:rPr>
          <w:color w:val="000000"/>
          <w:spacing w:val="0"/>
          <w:w w:val="100"/>
          <w:position w:val="0"/>
          <w:sz w:val="22"/>
          <w:szCs w:val="22"/>
        </w:rPr>
        <w:t xml:space="preserve">2016 </w:t>
      </w:r>
      <w:r>
        <w:rPr>
          <w:b w:val="0"/>
          <w:bCs w:val="0"/>
          <w:color w:val="000000"/>
          <w:spacing w:val="0"/>
          <w:w w:val="100"/>
          <w:position w:val="0"/>
          <w:sz w:val="22"/>
          <w:szCs w:val="22"/>
        </w:rPr>
        <w:t>年</w:t>
      </w:r>
      <w:r>
        <w:rPr>
          <w:color w:val="000000"/>
          <w:spacing w:val="0"/>
          <w:w w:val="100"/>
          <w:position w:val="0"/>
          <w:sz w:val="22"/>
          <w:szCs w:val="22"/>
        </w:rPr>
        <w:t>12</w:t>
      </w:r>
      <w:r>
        <w:rPr>
          <w:b w:val="0"/>
          <w:bCs w:val="0"/>
          <w:color w:val="000000"/>
          <w:spacing w:val="0"/>
          <w:w w:val="100"/>
          <w:position w:val="0"/>
          <w:sz w:val="22"/>
          <w:szCs w:val="22"/>
        </w:rPr>
        <w:t>月</w:t>
      </w:r>
      <w:r>
        <w:rPr>
          <w:color w:val="000000"/>
          <w:spacing w:val="0"/>
          <w:w w:val="100"/>
          <w:position w:val="0"/>
          <w:sz w:val="22"/>
          <w:szCs w:val="22"/>
        </w:rPr>
        <w:t>31</w:t>
      </w:r>
      <w:r>
        <w:rPr>
          <w:b w:val="0"/>
          <w:bCs w:val="0"/>
          <w:color w:val="000000"/>
          <w:spacing w:val="0"/>
          <w:w w:val="100"/>
          <w:position w:val="0"/>
          <w:sz w:val="22"/>
          <w:szCs w:val="22"/>
        </w:rPr>
        <w:t>日的合并及公司资产负债表，</w:t>
      </w:r>
      <w:r>
        <w:rPr>
          <w:color w:val="000000"/>
          <w:spacing w:val="0"/>
          <w:w w:val="100"/>
          <w:position w:val="0"/>
          <w:sz w:val="22"/>
          <w:szCs w:val="22"/>
        </w:rPr>
        <w:t>2016</w:t>
      </w:r>
      <w:r>
        <w:rPr>
          <w:b w:val="0"/>
          <w:bCs w:val="0"/>
          <w:color w:val="000000"/>
          <w:spacing w:val="0"/>
          <w:w w:val="100"/>
          <w:position w:val="0"/>
          <w:sz w:val="22"/>
          <w:szCs w:val="22"/>
        </w:rPr>
        <w:t>年度的合并及公司利润表、合并及公司股东 权益变动表和合并及公司现金流量表以及财务报表附注。</w:t>
      </w:r>
    </w:p>
    <w:p>
      <w:pPr>
        <w:pStyle w:val="Style33"/>
        <w:keepNext w:val="0"/>
        <w:keepLines w:val="0"/>
        <w:widowControl w:val="0"/>
        <w:shd w:val="clear" w:color="auto" w:fill="auto"/>
        <w:tabs>
          <w:tab w:pos="521" w:val="left"/>
        </w:tabs>
        <w:bidi w:val="0"/>
        <w:spacing w:before="0" w:after="300" w:line="329" w:lineRule="exact"/>
        <w:ind w:left="0" w:right="0" w:firstLine="0"/>
        <w:jc w:val="both"/>
        <w:rPr>
          <w:sz w:val="22"/>
          <w:szCs w:val="22"/>
        </w:rPr>
      </w:pPr>
      <w:bookmarkStart w:id="463" w:name="bookmark463"/>
      <w:r>
        <w:rPr>
          <w:b w:val="0"/>
          <w:bCs w:val="0"/>
          <w:color w:val="000000"/>
          <w:spacing w:val="0"/>
          <w:w w:val="100"/>
          <w:position w:val="0"/>
          <w:sz w:val="22"/>
          <w:szCs w:val="22"/>
        </w:rPr>
        <w:t>一</w:t>
      </w:r>
      <w:bookmarkEnd w:id="463"/>
      <w:r>
        <w:rPr>
          <w:b w:val="0"/>
          <w:bCs w:val="0"/>
          <w:color w:val="000000"/>
          <w:spacing w:val="0"/>
          <w:w w:val="100"/>
          <w:position w:val="0"/>
          <w:sz w:val="22"/>
          <w:szCs w:val="22"/>
        </w:rPr>
        <w:t>、</w:t>
        <w:tab/>
        <w:t>管理层对财务报表的责任</w:t>
      </w:r>
    </w:p>
    <w:p>
      <w:pPr>
        <w:pStyle w:val="Style33"/>
        <w:keepNext w:val="0"/>
        <w:keepLines w:val="0"/>
        <w:widowControl w:val="0"/>
        <w:shd w:val="clear" w:color="auto" w:fill="auto"/>
        <w:bidi w:val="0"/>
        <w:spacing w:before="0" w:after="300" w:line="329" w:lineRule="exact"/>
        <w:ind w:left="0" w:right="0" w:firstLine="0"/>
        <w:jc w:val="both"/>
        <w:rPr>
          <w:sz w:val="22"/>
          <w:szCs w:val="22"/>
        </w:rPr>
      </w:pPr>
      <w:r>
        <w:rPr>
          <w:b w:val="0"/>
          <w:bCs w:val="0"/>
          <w:color w:val="000000"/>
          <w:spacing w:val="0"/>
          <w:w w:val="100"/>
          <w:position w:val="0"/>
          <w:sz w:val="22"/>
          <w:szCs w:val="22"/>
        </w:rPr>
        <w:t>编制和公允列报财务报表是顺丰控股管理层的责任。这种责任包括：</w:t>
      </w:r>
    </w:p>
    <w:p>
      <w:pPr>
        <w:pStyle w:val="Style33"/>
        <w:keepNext w:val="0"/>
        <w:keepLines w:val="0"/>
        <w:widowControl w:val="0"/>
        <w:shd w:val="clear" w:color="auto" w:fill="auto"/>
        <w:tabs>
          <w:tab w:pos="521" w:val="left"/>
        </w:tabs>
        <w:bidi w:val="0"/>
        <w:spacing w:before="0" w:after="0" w:line="329" w:lineRule="exact"/>
        <w:ind w:left="0" w:right="0" w:firstLine="0"/>
        <w:jc w:val="both"/>
        <w:rPr>
          <w:sz w:val="22"/>
          <w:szCs w:val="22"/>
        </w:rPr>
      </w:pPr>
      <w:bookmarkStart w:id="464" w:name="bookmark464"/>
      <w:r>
        <w:rPr>
          <w:color w:val="000000"/>
          <w:spacing w:val="0"/>
          <w:w w:val="100"/>
          <w:position w:val="0"/>
          <w:sz w:val="22"/>
          <w:szCs w:val="22"/>
        </w:rPr>
        <w:t>（</w:t>
      </w:r>
      <w:bookmarkEnd w:id="464"/>
      <w:r>
        <w:rPr>
          <w:color w:val="000000"/>
          <w:spacing w:val="0"/>
          <w:w w:val="100"/>
          <w:position w:val="0"/>
          <w:sz w:val="22"/>
          <w:szCs w:val="22"/>
        </w:rPr>
        <w:t>1）</w:t>
        <w:tab/>
      </w:r>
      <w:r>
        <w:rPr>
          <w:b w:val="0"/>
          <w:bCs w:val="0"/>
          <w:color w:val="000000"/>
          <w:spacing w:val="0"/>
          <w:w w:val="100"/>
          <w:position w:val="0"/>
          <w:sz w:val="22"/>
          <w:szCs w:val="22"/>
        </w:rPr>
        <w:t>按照企业会计准则的规定编制财务报表，并使其实现公允反映；</w:t>
      </w:r>
    </w:p>
    <w:p>
      <w:pPr>
        <w:pStyle w:val="Style33"/>
        <w:keepNext w:val="0"/>
        <w:keepLines w:val="0"/>
        <w:widowControl w:val="0"/>
        <w:shd w:val="clear" w:color="auto" w:fill="auto"/>
        <w:tabs>
          <w:tab w:pos="521" w:val="left"/>
        </w:tabs>
        <w:bidi w:val="0"/>
        <w:spacing w:before="0" w:after="300" w:line="336" w:lineRule="exact"/>
        <w:ind w:left="580" w:right="0" w:hanging="580"/>
        <w:jc w:val="both"/>
        <w:rPr>
          <w:sz w:val="22"/>
          <w:szCs w:val="22"/>
        </w:rPr>
      </w:pPr>
      <w:bookmarkStart w:id="465" w:name="bookmark465"/>
      <w:r>
        <w:rPr>
          <w:color w:val="000000"/>
          <w:spacing w:val="0"/>
          <w:w w:val="100"/>
          <w:position w:val="0"/>
          <w:sz w:val="22"/>
          <w:szCs w:val="22"/>
        </w:rPr>
        <w:t>（</w:t>
      </w:r>
      <w:bookmarkEnd w:id="465"/>
      <w:r>
        <w:rPr>
          <w:color w:val="000000"/>
          <w:spacing w:val="0"/>
          <w:w w:val="100"/>
          <w:position w:val="0"/>
          <w:sz w:val="22"/>
          <w:szCs w:val="22"/>
        </w:rPr>
        <w:t>2）</w:t>
        <w:tab/>
      </w:r>
      <w:r>
        <w:rPr>
          <w:b w:val="0"/>
          <w:bCs w:val="0"/>
          <w:color w:val="000000"/>
          <w:spacing w:val="0"/>
          <w:w w:val="100"/>
          <w:position w:val="0"/>
          <w:sz w:val="22"/>
          <w:szCs w:val="22"/>
        </w:rPr>
        <w:t>设计、执行和维护必要的内部控制，以使财务报表不存在由于舞弊或错误导致的重大 错报。</w:t>
      </w:r>
    </w:p>
    <w:p>
      <w:pPr>
        <w:pStyle w:val="Style33"/>
        <w:keepNext w:val="0"/>
        <w:keepLines w:val="0"/>
        <w:widowControl w:val="0"/>
        <w:shd w:val="clear" w:color="auto" w:fill="auto"/>
        <w:tabs>
          <w:tab w:pos="521" w:val="left"/>
        </w:tabs>
        <w:bidi w:val="0"/>
        <w:spacing w:before="0" w:after="300" w:line="329" w:lineRule="exact"/>
        <w:ind w:left="0" w:right="0" w:firstLine="0"/>
        <w:jc w:val="both"/>
        <w:rPr>
          <w:sz w:val="22"/>
          <w:szCs w:val="22"/>
        </w:rPr>
      </w:pPr>
      <w:bookmarkStart w:id="466" w:name="bookmark466"/>
      <w:r>
        <w:rPr>
          <w:b w:val="0"/>
          <w:bCs w:val="0"/>
          <w:color w:val="000000"/>
          <w:spacing w:val="0"/>
          <w:w w:val="100"/>
          <w:position w:val="0"/>
          <w:sz w:val="22"/>
          <w:szCs w:val="22"/>
        </w:rPr>
        <w:t>二</w:t>
      </w:r>
      <w:bookmarkEnd w:id="466"/>
      <w:r>
        <w:rPr>
          <w:b w:val="0"/>
          <w:bCs w:val="0"/>
          <w:color w:val="000000"/>
          <w:spacing w:val="0"/>
          <w:w w:val="100"/>
          <w:position w:val="0"/>
          <w:sz w:val="22"/>
          <w:szCs w:val="22"/>
        </w:rPr>
        <w:t>、</w:t>
        <w:tab/>
        <w:t>注册会计师的责任</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我们的责任是在执行审计工作的基础上对财务报表发表审计意见。我们按照中国注册会计师 审计准则的规定执行了审计工作。中国注册会计师审计准则要求我们遵守中国注册会计师职 业道德守则，计划和执行审计工作以对财务报表是否不存在重大错报获取合理保证。</w:t>
      </w:r>
    </w:p>
    <w:p>
      <w:pPr>
        <w:pStyle w:val="Style33"/>
        <w:keepNext w:val="0"/>
        <w:keepLines w:val="0"/>
        <w:widowControl w:val="0"/>
        <w:shd w:val="clear" w:color="auto" w:fill="auto"/>
        <w:bidi w:val="0"/>
        <w:spacing w:before="0" w:after="300" w:line="329" w:lineRule="exact"/>
        <w:ind w:left="0" w:right="0" w:firstLine="0"/>
        <w:jc w:val="both"/>
        <w:rPr>
          <w:sz w:val="22"/>
          <w:szCs w:val="22"/>
        </w:rPr>
      </w:pPr>
      <w:r>
        <w:rPr>
          <w:b w:val="0"/>
          <w:bCs w:val="0"/>
          <w:color w:val="000000"/>
          <w:spacing w:val="0"/>
          <w:w w:val="100"/>
          <w:position w:val="0"/>
          <w:sz w:val="22"/>
          <w:szCs w:val="22"/>
        </w:rPr>
        <w:t>审计工作涉及实施审计程序，以获取有关财务报表金额和披露的审计证据。选择的审计程序 取决于注册会计师的判断，包括对由于舞弊或错误导致的财务报表重大错报风险的评估。在 进行风险评估时，注册会计师考虑与财务报表编制和公允列报相关的内部控制，以设计恰当 的审计程序。审计工作还包括评价管理层选用会计政策的恰当性和作出会计估计的合理性, 以及评价财务报表的总体列报。</w:t>
      </w:r>
    </w:p>
    <w:p>
      <w:pPr>
        <w:pStyle w:val="Style33"/>
        <w:keepNext w:val="0"/>
        <w:keepLines w:val="0"/>
        <w:widowControl w:val="0"/>
        <w:shd w:val="clear" w:color="auto" w:fill="auto"/>
        <w:bidi w:val="0"/>
        <w:spacing w:before="0" w:after="300" w:line="329" w:lineRule="exact"/>
        <w:ind w:left="0" w:right="0" w:firstLine="0"/>
        <w:jc w:val="both"/>
        <w:rPr>
          <w:sz w:val="22"/>
          <w:szCs w:val="22"/>
        </w:rPr>
        <w:sectPr>
          <w:footnotePr>
            <w:pos w:val="pageBottom"/>
            <w:numFmt w:val="decimal"/>
            <w:numRestart w:val="continuous"/>
          </w:footnotePr>
          <w:pgSz w:w="11900" w:h="16840"/>
          <w:pgMar w:top="1971" w:right="507" w:bottom="1971" w:left="1755" w:header="0" w:footer="3" w:gutter="0"/>
          <w:cols w:space="720"/>
          <w:noEndnote/>
          <w:rtlGutter w:val="0"/>
          <w:docGrid w:linePitch="360"/>
        </w:sectPr>
      </w:pPr>
      <w:r>
        <w:rPr>
          <w:b w:val="0"/>
          <w:bCs w:val="0"/>
          <w:color w:val="000000"/>
          <w:spacing w:val="0"/>
          <w:w w:val="100"/>
          <w:position w:val="0"/>
          <w:sz w:val="22"/>
          <w:szCs w:val="22"/>
        </w:rPr>
        <w:t>我们相信，我们获取的审计证据是充分、适当的，为发表审计意见提供了基础。</w:t>
      </w:r>
    </w:p>
    <w:p>
      <w:pPr>
        <w:pStyle w:val="Style33"/>
        <w:keepNext w:val="0"/>
        <w:keepLines w:val="0"/>
        <w:widowControl w:val="0"/>
        <w:shd w:val="clear" w:color="auto" w:fill="auto"/>
        <w:bidi w:val="0"/>
        <w:spacing w:before="0" w:after="100" w:line="240" w:lineRule="auto"/>
        <w:ind w:left="0" w:right="500" w:firstLine="0"/>
        <w:jc w:val="right"/>
        <w:rPr>
          <w:sz w:val="22"/>
          <w:szCs w:val="22"/>
        </w:rPr>
      </w:pPr>
      <w:r>
        <w:rPr>
          <w:b w:val="0"/>
          <w:bCs w:val="0"/>
          <w:color w:val="000000"/>
          <w:spacing w:val="0"/>
          <w:w w:val="100"/>
          <w:position w:val="0"/>
          <w:sz w:val="22"/>
          <w:szCs w:val="22"/>
        </w:rPr>
        <w:t>普华永道中天审字</w:t>
      </w:r>
      <w:r>
        <w:rPr>
          <w:color w:val="000000"/>
          <w:spacing w:val="0"/>
          <w:w w:val="100"/>
          <w:position w:val="0"/>
          <w:sz w:val="22"/>
          <w:szCs w:val="22"/>
        </w:rPr>
        <w:t>（2017）</w:t>
      </w:r>
      <w:r>
        <w:rPr>
          <w:b w:val="0"/>
          <w:bCs w:val="0"/>
          <w:color w:val="000000"/>
          <w:spacing w:val="0"/>
          <w:w w:val="100"/>
          <w:position w:val="0"/>
          <w:sz w:val="22"/>
          <w:szCs w:val="22"/>
        </w:rPr>
        <w:t>第</w:t>
      </w:r>
      <w:r>
        <w:rPr>
          <w:color w:val="000000"/>
          <w:spacing w:val="0"/>
          <w:w w:val="100"/>
          <w:position w:val="0"/>
          <w:sz w:val="22"/>
          <w:szCs w:val="22"/>
        </w:rPr>
        <w:t>10061</w:t>
      </w:r>
      <w:r>
        <w:rPr>
          <w:b w:val="0"/>
          <w:bCs w:val="0"/>
          <w:color w:val="000000"/>
          <w:spacing w:val="0"/>
          <w:w w:val="100"/>
          <w:position w:val="0"/>
          <w:sz w:val="22"/>
          <w:szCs w:val="22"/>
        </w:rPr>
        <w:t>号</w:t>
      </w:r>
    </w:p>
    <w:p>
      <w:pPr>
        <w:pStyle w:val="Style33"/>
        <w:keepNext w:val="0"/>
        <w:keepLines w:val="0"/>
        <w:widowControl w:val="0"/>
        <w:shd w:val="clear" w:color="auto" w:fill="auto"/>
        <w:bidi w:val="0"/>
        <w:spacing w:before="0" w:after="360" w:line="240" w:lineRule="auto"/>
        <w:ind w:left="0" w:right="0" w:firstLine="0"/>
        <w:jc w:val="right"/>
      </w:pPr>
      <w:r>
        <w:rPr>
          <w:rFonts w:ascii="Georgia" w:eastAsia="Georgia" w:hAnsi="Georgia" w:cs="Georgia"/>
          <w:b w:val="0"/>
          <w:bCs w:val="0"/>
          <w:color w:val="000000"/>
          <w:spacing w:val="0"/>
          <w:w w:val="100"/>
          <w:position w:val="0"/>
        </w:rPr>
        <w:t>（</w:t>
      </w:r>
      <w:r>
        <w:rPr>
          <w:b w:val="0"/>
          <w:bCs w:val="0"/>
          <w:color w:val="000000"/>
          <w:spacing w:val="0"/>
          <w:w w:val="100"/>
          <w:position w:val="0"/>
          <w:sz w:val="19"/>
          <w:szCs w:val="19"/>
        </w:rPr>
        <w:t>第二页，共二页</w:t>
      </w:r>
      <w:r>
        <w:rPr>
          <w:rFonts w:ascii="Georgia" w:eastAsia="Georgia" w:hAnsi="Georgia" w:cs="Georgia"/>
          <w:b w:val="0"/>
          <w:bCs w:val="0"/>
          <w:color w:val="000000"/>
          <w:spacing w:val="0"/>
          <w:w w:val="100"/>
          <w:position w:val="0"/>
        </w:rPr>
        <w:t>）</w:t>
      </w:r>
    </w:p>
    <w:p>
      <w:pPr>
        <w:pStyle w:val="Style33"/>
        <w:keepNext w:val="0"/>
        <w:keepLines w:val="0"/>
        <w:widowControl w:val="0"/>
        <w:shd w:val="clear" w:color="auto" w:fill="auto"/>
        <w:bidi w:val="0"/>
        <w:spacing w:before="0" w:after="300" w:line="240" w:lineRule="auto"/>
        <w:ind w:left="0" w:right="0" w:firstLine="0"/>
        <w:jc w:val="left"/>
        <w:rPr>
          <w:sz w:val="22"/>
          <w:szCs w:val="22"/>
        </w:rPr>
      </w:pPr>
      <w:bookmarkStart w:id="467" w:name="bookmark467"/>
      <w:r>
        <w:rPr>
          <w:b w:val="0"/>
          <w:bCs w:val="0"/>
          <w:color w:val="000000"/>
          <w:spacing w:val="0"/>
          <w:w w:val="100"/>
          <w:position w:val="0"/>
          <w:sz w:val="22"/>
          <w:szCs w:val="22"/>
        </w:rPr>
        <w:t>三</w:t>
      </w:r>
      <w:bookmarkEnd w:id="467"/>
      <w:r>
        <w:rPr>
          <w:b w:val="0"/>
          <w:bCs w:val="0"/>
          <w:color w:val="000000"/>
          <w:spacing w:val="0"/>
          <w:w w:val="100"/>
          <w:position w:val="0"/>
          <w:sz w:val="22"/>
          <w:szCs w:val="22"/>
        </w:rPr>
        <w:t>、审计意见</w:t>
      </w:r>
    </w:p>
    <w:p>
      <w:pPr>
        <w:pStyle w:val="Style33"/>
        <w:keepNext w:val="0"/>
        <w:keepLines w:val="0"/>
        <w:widowControl w:val="0"/>
        <w:shd w:val="clear" w:color="auto" w:fill="auto"/>
        <w:bidi w:val="0"/>
        <w:spacing w:before="0" w:after="0" w:line="324" w:lineRule="exact"/>
        <w:ind w:left="0" w:right="0" w:firstLine="0"/>
        <w:jc w:val="left"/>
        <w:rPr>
          <w:sz w:val="22"/>
          <w:szCs w:val="22"/>
        </w:rPr>
      </w:pPr>
      <w:r>
        <w:rPr>
          <w:b w:val="0"/>
          <w:bCs w:val="0"/>
          <w:color w:val="000000"/>
          <w:spacing w:val="0"/>
          <w:w w:val="100"/>
          <w:position w:val="0"/>
          <w:sz w:val="22"/>
          <w:szCs w:val="22"/>
        </w:rPr>
        <w:t>我们认为，上述顺丰控股的财务报表在所有重大方面按照企业会计准则的规定编制，公允 反映了顺丰控股</w:t>
      </w:r>
      <w:r>
        <w:rPr>
          <w:color w:val="000000"/>
          <w:spacing w:val="0"/>
          <w:w w:val="100"/>
          <w:position w:val="0"/>
          <w:sz w:val="22"/>
          <w:szCs w:val="22"/>
        </w:rPr>
        <w:t>2016</w:t>
      </w:r>
      <w:r>
        <w:rPr>
          <w:b w:val="0"/>
          <w:bCs w:val="0"/>
          <w:color w:val="000000"/>
          <w:spacing w:val="0"/>
          <w:w w:val="100"/>
          <w:position w:val="0"/>
          <w:sz w:val="22"/>
          <w:szCs w:val="22"/>
        </w:rPr>
        <w:t>年</w:t>
      </w:r>
      <w:r>
        <w:rPr>
          <w:color w:val="000000"/>
          <w:spacing w:val="0"/>
          <w:w w:val="100"/>
          <w:position w:val="0"/>
          <w:sz w:val="22"/>
          <w:szCs w:val="22"/>
        </w:rPr>
        <w:t>12</w:t>
      </w:r>
      <w:r>
        <w:rPr>
          <w:b w:val="0"/>
          <w:bCs w:val="0"/>
          <w:color w:val="000000"/>
          <w:spacing w:val="0"/>
          <w:w w:val="100"/>
          <w:position w:val="0"/>
          <w:sz w:val="22"/>
          <w:szCs w:val="22"/>
        </w:rPr>
        <w:t>月</w:t>
      </w:r>
      <w:r>
        <w:rPr>
          <w:color w:val="000000"/>
          <w:spacing w:val="0"/>
          <w:w w:val="100"/>
          <w:position w:val="0"/>
          <w:sz w:val="22"/>
          <w:szCs w:val="22"/>
        </w:rPr>
        <w:t>31</w:t>
      </w:r>
      <w:r>
        <w:rPr>
          <w:b w:val="0"/>
          <w:bCs w:val="0"/>
          <w:color w:val="000000"/>
          <w:spacing w:val="0"/>
          <w:w w:val="100"/>
          <w:position w:val="0"/>
          <w:sz w:val="22"/>
          <w:szCs w:val="22"/>
        </w:rPr>
        <w:t>日的合并及公司财务状况以及</w:t>
      </w:r>
      <w:r>
        <w:rPr>
          <w:color w:val="000000"/>
          <w:spacing w:val="0"/>
          <w:w w:val="100"/>
          <w:position w:val="0"/>
          <w:sz w:val="22"/>
          <w:szCs w:val="22"/>
        </w:rPr>
        <w:t>2016</w:t>
      </w:r>
      <w:r>
        <w:rPr>
          <w:b w:val="0"/>
          <w:bCs w:val="0"/>
          <w:color w:val="000000"/>
          <w:spacing w:val="0"/>
          <w:w w:val="100"/>
          <w:position w:val="0"/>
          <w:sz w:val="22"/>
          <w:szCs w:val="22"/>
        </w:rPr>
        <w:t>年度的合并及公司经 营成果和现金流量。</w:t>
      </w:r>
    </w:p>
    <w:p>
      <w:pPr>
        <w:widowControl w:val="0"/>
        <w:spacing w:line="1" w:lineRule="exact"/>
        <w:sectPr>
          <w:footnotePr>
            <w:pos w:val="pageBottom"/>
            <w:numFmt w:val="decimal"/>
            <w:numRestart w:val="continuous"/>
          </w:footnotePr>
          <w:pgSz w:w="11900" w:h="16840"/>
          <w:pgMar w:top="2451" w:right="669" w:bottom="4481" w:left="1755" w:header="0" w:footer="3" w:gutter="0"/>
          <w:cols w:space="720"/>
          <w:noEndnote/>
          <w:rtlGutter w:val="0"/>
          <w:docGrid w:linePitch="360"/>
        </w:sectPr>
      </w:pPr>
      <w:r>
        <mc:AlternateContent>
          <mc:Choice Requires="wps">
            <w:drawing>
              <wp:anchor distT="2997200" distB="0" distL="0" distR="0" simplePos="0" relativeHeight="125829385" behindDoc="0" locked="0" layoutInCell="1" allowOverlap="1">
                <wp:simplePos x="0" y="0"/>
                <wp:positionH relativeFrom="page">
                  <wp:posOffset>1114425</wp:posOffset>
                </wp:positionH>
                <wp:positionV relativeFrom="paragraph">
                  <wp:posOffset>2997200</wp:posOffset>
                </wp:positionV>
                <wp:extent cx="1969135" cy="393065"/>
                <wp:wrapTopAndBottom/>
                <wp:docPr id="45" name="Shape 45"/>
                <a:graphic xmlns:a="http://schemas.openxmlformats.org/drawingml/2006/main">
                  <a:graphicData uri="http://schemas.microsoft.com/office/word/2010/wordprocessingShape">
                    <wps:wsp>
                      <wps:cNvSpPr txBox="1"/>
                      <wps:spPr>
                        <a:xfrm>
                          <a:ext cx="1969135" cy="393065"/>
                        </a:xfrm>
                        <a:prstGeom prst="rect"/>
                        <a:noFill/>
                      </wps:spPr>
                      <wps:txbx>
                        <w:txbxContent>
                          <w:p>
                            <w:pPr>
                              <w:pStyle w:val="Style33"/>
                              <w:keepNext w:val="0"/>
                              <w:keepLines w:val="0"/>
                              <w:widowControl w:val="0"/>
                              <w:shd w:val="clear" w:color="auto" w:fill="auto"/>
                              <w:bidi w:val="0"/>
                              <w:spacing w:before="0" w:after="80" w:line="240" w:lineRule="auto"/>
                              <w:ind w:left="0" w:right="0" w:firstLine="0"/>
                              <w:jc w:val="left"/>
                              <w:rPr>
                                <w:sz w:val="22"/>
                                <w:szCs w:val="22"/>
                              </w:rPr>
                            </w:pPr>
                            <w:r>
                              <w:rPr>
                                <w:b w:val="0"/>
                                <w:bCs w:val="0"/>
                                <w:color w:val="000000"/>
                                <w:spacing w:val="0"/>
                                <w:w w:val="100"/>
                                <w:position w:val="0"/>
                                <w:sz w:val="22"/>
                                <w:szCs w:val="22"/>
                              </w:rPr>
                              <w:t>普华永道中天</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会计师事务所</w:t>
                            </w:r>
                            <w:r>
                              <w:rPr>
                                <w:color w:val="000000"/>
                                <w:spacing w:val="0"/>
                                <w:w w:val="100"/>
                                <w:position w:val="0"/>
                                <w:sz w:val="22"/>
                                <w:szCs w:val="22"/>
                              </w:rPr>
                              <w:t>（</w:t>
                            </w:r>
                            <w:r>
                              <w:rPr>
                                <w:b w:val="0"/>
                                <w:bCs w:val="0"/>
                                <w:color w:val="000000"/>
                                <w:spacing w:val="0"/>
                                <w:w w:val="100"/>
                                <w:position w:val="0"/>
                                <w:sz w:val="22"/>
                                <w:szCs w:val="22"/>
                              </w:rPr>
                              <w:t>特殊普通合伙</w:t>
                            </w:r>
                            <w:r>
                              <w:rPr>
                                <w:color w:val="000000"/>
                                <w:spacing w:val="0"/>
                                <w:w w:val="100"/>
                                <w:position w:val="0"/>
                                <w:sz w:val="22"/>
                                <w:szCs w:val="22"/>
                              </w:rPr>
                              <w:t>）</w:t>
                            </w:r>
                          </w:p>
                        </w:txbxContent>
                      </wps:txbx>
                      <wps:bodyPr lIns="0" tIns="0" rIns="0" bIns="0">
                        <a:noAutoFit/>
                      </wps:bodyPr>
                    </wps:wsp>
                  </a:graphicData>
                </a:graphic>
              </wp:anchor>
            </w:drawing>
          </mc:Choice>
          <mc:Fallback>
            <w:pict>
              <v:shape id="_x0000_s1071" type="#_x0000_t202" style="position:absolute;margin-left:87.75pt;margin-top:236.pt;width:155.05000000000001pt;height:30.949999999999999pt;z-index:-125829368;mso-wrap-distance-left:0;mso-wrap-distance-top:236.pt;mso-wrap-distance-right:0;mso-position-horizontal-relative:page" filled="f" stroked="f">
                <v:textbox inset="0,0,0,0">
                  <w:txbxContent>
                    <w:p>
                      <w:pPr>
                        <w:pStyle w:val="Style33"/>
                        <w:keepNext w:val="0"/>
                        <w:keepLines w:val="0"/>
                        <w:widowControl w:val="0"/>
                        <w:shd w:val="clear" w:color="auto" w:fill="auto"/>
                        <w:bidi w:val="0"/>
                        <w:spacing w:before="0" w:after="80" w:line="240" w:lineRule="auto"/>
                        <w:ind w:left="0" w:right="0" w:firstLine="0"/>
                        <w:jc w:val="left"/>
                        <w:rPr>
                          <w:sz w:val="22"/>
                          <w:szCs w:val="22"/>
                        </w:rPr>
                      </w:pPr>
                      <w:r>
                        <w:rPr>
                          <w:b w:val="0"/>
                          <w:bCs w:val="0"/>
                          <w:color w:val="000000"/>
                          <w:spacing w:val="0"/>
                          <w:w w:val="100"/>
                          <w:position w:val="0"/>
                          <w:sz w:val="22"/>
                          <w:szCs w:val="22"/>
                        </w:rPr>
                        <w:t>普华永道中天</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会计师事务所</w:t>
                      </w:r>
                      <w:r>
                        <w:rPr>
                          <w:color w:val="000000"/>
                          <w:spacing w:val="0"/>
                          <w:w w:val="100"/>
                          <w:position w:val="0"/>
                          <w:sz w:val="22"/>
                          <w:szCs w:val="22"/>
                        </w:rPr>
                        <w:t>（</w:t>
                      </w:r>
                      <w:r>
                        <w:rPr>
                          <w:b w:val="0"/>
                          <w:bCs w:val="0"/>
                          <w:color w:val="000000"/>
                          <w:spacing w:val="0"/>
                          <w:w w:val="100"/>
                          <w:position w:val="0"/>
                          <w:sz w:val="22"/>
                          <w:szCs w:val="22"/>
                        </w:rPr>
                        <w:t>特殊普通合伙</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2997200" distB="210185" distL="0" distR="0" simplePos="0" relativeHeight="125829387" behindDoc="0" locked="0" layoutInCell="1" allowOverlap="1">
                <wp:simplePos x="0" y="0"/>
                <wp:positionH relativeFrom="page">
                  <wp:posOffset>4573905</wp:posOffset>
                </wp:positionH>
                <wp:positionV relativeFrom="paragraph">
                  <wp:posOffset>2997200</wp:posOffset>
                </wp:positionV>
                <wp:extent cx="786130" cy="182880"/>
                <wp:wrapTopAndBottom/>
                <wp:docPr id="47" name="Shape 47"/>
                <a:graphic xmlns:a="http://schemas.openxmlformats.org/drawingml/2006/main">
                  <a:graphicData uri="http://schemas.microsoft.com/office/word/2010/wordprocessingShape">
                    <wps:wsp>
                      <wps:cNvSpPr txBox="1"/>
                      <wps:spPr>
                        <a:xfrm>
                          <a:ext cx="786130"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注册会计师</w:t>
                            </w:r>
                          </w:p>
                        </w:txbxContent>
                      </wps:txbx>
                      <wps:bodyPr wrap="none" lIns="0" tIns="0" rIns="0" bIns="0">
                        <a:noAutoFit/>
                      </wps:bodyPr>
                    </wps:wsp>
                  </a:graphicData>
                </a:graphic>
              </wp:anchor>
            </w:drawing>
          </mc:Choice>
          <mc:Fallback>
            <w:pict>
              <v:shape id="_x0000_s1073" type="#_x0000_t202" style="position:absolute;margin-left:360.15000000000003pt;margin-top:236.pt;width:61.899999999999999pt;height:14.4pt;z-index:-125829366;mso-wrap-distance-left:0;mso-wrap-distance-top:236.pt;mso-wrap-distance-right:0;mso-wrap-distance-bottom:16.55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注册会计师</w:t>
                      </w:r>
                    </w:p>
                  </w:txbxContent>
                </v:textbox>
                <w10:wrap type="topAndBottom" anchorx="page"/>
              </v:shape>
            </w:pict>
          </mc:Fallback>
        </mc:AlternateContent>
      </w:r>
    </w:p>
    <w:p>
      <w:pPr>
        <w:pStyle w:val="Style33"/>
        <w:keepNext w:val="0"/>
        <w:keepLines w:val="0"/>
        <w:widowControl w:val="0"/>
        <w:shd w:val="clear" w:color="auto" w:fill="auto"/>
        <w:bidi w:val="0"/>
        <w:spacing w:before="0" w:after="980" w:line="240" w:lineRule="auto"/>
        <w:ind w:left="0" w:right="0" w:firstLine="0"/>
        <w:jc w:val="center"/>
        <w:rPr>
          <w:sz w:val="22"/>
          <w:szCs w:val="22"/>
        </w:rPr>
      </w:pPr>
      <w:r>
        <w:rPr>
          <w:b w:val="0"/>
          <w:bCs w:val="0"/>
          <w:color w:val="000000"/>
          <w:spacing w:val="0"/>
          <w:w w:val="100"/>
          <w:position w:val="0"/>
          <w:sz w:val="22"/>
          <w:szCs w:val="22"/>
        </w:rPr>
        <w:t>林崇云</w:t>
      </w:r>
    </w:p>
    <w:p>
      <w:pPr>
        <w:pStyle w:val="Style33"/>
        <w:keepNext w:val="0"/>
        <w:keepLines w:val="0"/>
        <w:widowControl w:val="0"/>
        <w:shd w:val="clear" w:color="auto" w:fill="auto"/>
        <w:bidi w:val="0"/>
        <w:spacing w:before="0" w:after="80" w:line="240" w:lineRule="auto"/>
        <w:ind w:left="0" w:right="0" w:firstLine="0"/>
        <w:jc w:val="left"/>
        <w:rPr>
          <w:sz w:val="22"/>
          <w:szCs w:val="22"/>
        </w:rPr>
      </w:pPr>
      <w:r>
        <mc:AlternateContent>
          <mc:Choice Requires="wps">
            <w:drawing>
              <wp:anchor distT="0" distB="0" distL="76200" distR="76200" simplePos="0" relativeHeight="125829389" behindDoc="0" locked="0" layoutInCell="1" allowOverlap="1">
                <wp:simplePos x="0" y="0"/>
                <wp:positionH relativeFrom="page">
                  <wp:posOffset>4573905</wp:posOffset>
                </wp:positionH>
                <wp:positionV relativeFrom="paragraph">
                  <wp:posOffset>12700</wp:posOffset>
                </wp:positionV>
                <wp:extent cx="786130" cy="176530"/>
                <wp:wrapSquare wrapText="left"/>
                <wp:docPr id="49" name="Shape 49"/>
                <a:graphic xmlns:a="http://schemas.openxmlformats.org/drawingml/2006/main">
                  <a:graphicData uri="http://schemas.microsoft.com/office/word/2010/wordprocessingShape">
                    <wps:wsp>
                      <wps:cNvSpPr txBox="1"/>
                      <wps:spPr>
                        <a:xfrm>
                          <a:ext cx="786130" cy="1765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注册会计师</w:t>
                            </w:r>
                          </w:p>
                        </w:txbxContent>
                      </wps:txbx>
                      <wps:bodyPr wrap="none" lIns="0" tIns="0" rIns="0" bIns="0">
                        <a:noAutoFit/>
                      </wps:bodyPr>
                    </wps:wsp>
                  </a:graphicData>
                </a:graphic>
              </wp:anchor>
            </w:drawing>
          </mc:Choice>
          <mc:Fallback>
            <w:pict>
              <v:shape id="_x0000_s1075" type="#_x0000_t202" style="position:absolute;margin-left:360.15000000000003pt;margin-top:1.pt;width:61.899999999999999pt;height:13.9pt;z-index:-125829364;mso-wrap-distance-left:6.pt;mso-wrap-distance-right:6.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注册会计师</w:t>
                      </w:r>
                    </w:p>
                  </w:txbxContent>
                </v:textbox>
                <w10:wrap type="square" side="left" anchorx="page"/>
              </v:shape>
            </w:pict>
          </mc:Fallback>
        </mc:AlternateContent>
      </w:r>
      <w:r>
        <w:rPr>
          <w:b w:val="0"/>
          <w:bCs w:val="0"/>
          <w:color w:val="000000"/>
          <w:spacing w:val="0"/>
          <w:w w:val="100"/>
          <w:position w:val="0"/>
          <w:sz w:val="22"/>
          <w:szCs w:val="22"/>
        </w:rPr>
        <w:t>中国</w:t>
      </w:r>
      <w:r>
        <w:rPr>
          <w:color w:val="000000"/>
          <w:spacing w:val="0"/>
          <w:w w:val="100"/>
          <w:position w:val="0"/>
          <w:sz w:val="22"/>
          <w:szCs w:val="22"/>
        </w:rPr>
        <w:t>•</w:t>
      </w:r>
      <w:r>
        <w:rPr>
          <w:b w:val="0"/>
          <w:bCs w:val="0"/>
          <w:color w:val="000000"/>
          <w:spacing w:val="0"/>
          <w:w w:val="100"/>
          <w:position w:val="0"/>
          <w:sz w:val="22"/>
          <w:szCs w:val="22"/>
        </w:rPr>
        <w:t>上海市</w:t>
      </w:r>
    </w:p>
    <w:p>
      <w:pPr>
        <w:pStyle w:val="Style33"/>
        <w:keepNext w:val="0"/>
        <w:keepLines w:val="0"/>
        <w:widowControl w:val="0"/>
        <w:shd w:val="clear" w:color="auto" w:fill="auto"/>
        <w:bidi w:val="0"/>
        <w:spacing w:before="0" w:after="540" w:line="240" w:lineRule="auto"/>
        <w:ind w:left="0" w:right="0" w:firstLine="0"/>
        <w:jc w:val="left"/>
        <w:rPr>
          <w:sz w:val="22"/>
          <w:szCs w:val="22"/>
        </w:rPr>
      </w:pPr>
      <w:r>
        <w:rPr>
          <w:color w:val="000000"/>
          <w:spacing w:val="0"/>
          <w:w w:val="100"/>
          <w:position w:val="0"/>
          <w:sz w:val="22"/>
          <w:szCs w:val="22"/>
        </w:rPr>
        <w:t>2017</w:t>
      </w:r>
      <w:r>
        <w:rPr>
          <w:b w:val="0"/>
          <w:bCs w:val="0"/>
          <w:color w:val="000000"/>
          <w:spacing w:val="0"/>
          <w:w w:val="100"/>
          <w:position w:val="0"/>
          <w:sz w:val="22"/>
          <w:szCs w:val="22"/>
        </w:rPr>
        <w:t>年</w:t>
      </w:r>
      <w:r>
        <w:rPr>
          <w:color w:val="000000"/>
          <w:spacing w:val="0"/>
          <w:w w:val="100"/>
          <w:position w:val="0"/>
          <w:sz w:val="22"/>
          <w:szCs w:val="22"/>
        </w:rPr>
        <w:t>3</w:t>
      </w:r>
      <w:r>
        <w:rPr>
          <w:b w:val="0"/>
          <w:bCs w:val="0"/>
          <w:color w:val="000000"/>
          <w:spacing w:val="0"/>
          <w:w w:val="100"/>
          <w:position w:val="0"/>
          <w:sz w:val="22"/>
          <w:szCs w:val="22"/>
        </w:rPr>
        <w:t>月</w:t>
      </w:r>
      <w:r>
        <w:rPr>
          <w:color w:val="000000"/>
          <w:spacing w:val="0"/>
          <w:w w:val="100"/>
          <w:position w:val="0"/>
          <w:sz w:val="22"/>
          <w:szCs w:val="22"/>
        </w:rPr>
        <w:t>9</w:t>
      </w:r>
      <w:r>
        <w:rPr>
          <w:b w:val="0"/>
          <w:bCs w:val="0"/>
          <w:color w:val="000000"/>
          <w:spacing w:val="0"/>
          <w:w w:val="100"/>
          <w:position w:val="0"/>
          <w:sz w:val="22"/>
          <w:szCs w:val="22"/>
        </w:rPr>
        <w:t>日</w:t>
      </w:r>
      <w:r>
        <w:br w:type="page"/>
      </w:r>
    </w:p>
    <w:p>
      <w:pPr>
        <w:pStyle w:val="Style27"/>
        <w:keepNext/>
        <w:keepLines/>
        <w:widowControl w:val="0"/>
        <w:shd w:val="clear" w:color="auto" w:fill="auto"/>
        <w:bidi w:val="0"/>
        <w:spacing w:before="0" w:after="360" w:line="240" w:lineRule="auto"/>
        <w:ind w:left="0" w:right="0" w:firstLine="0"/>
        <w:jc w:val="left"/>
        <w:rPr>
          <w:sz w:val="22"/>
          <w:szCs w:val="22"/>
        </w:rPr>
      </w:pPr>
      <w:bookmarkStart w:id="468" w:name="bookmark468"/>
      <w:bookmarkStart w:id="469" w:name="bookmark469"/>
      <w:bookmarkStart w:id="470" w:name="bookmark470"/>
      <w:r>
        <w:rPr>
          <w:color w:val="000000"/>
          <w:spacing w:val="0"/>
          <w:w w:val="100"/>
          <w:position w:val="0"/>
          <w:sz w:val="22"/>
          <w:szCs w:val="22"/>
        </w:rPr>
        <w:t>顺丰控股股份有限公司</w:t>
      </w:r>
      <w:bookmarkEnd w:id="468"/>
      <w:bookmarkEnd w:id="469"/>
      <w:bookmarkEnd w:id="470"/>
    </w:p>
    <w:p>
      <w:pPr>
        <w:pStyle w:val="Style27"/>
        <w:keepNext/>
        <w:keepLines/>
        <w:widowControl w:val="0"/>
        <w:shd w:val="clear" w:color="auto" w:fill="auto"/>
        <w:bidi w:val="0"/>
        <w:spacing w:before="0" w:after="40" w:line="240" w:lineRule="auto"/>
        <w:ind w:left="0" w:right="0" w:firstLine="0"/>
        <w:jc w:val="left"/>
        <w:rPr>
          <w:sz w:val="22"/>
          <w:szCs w:val="22"/>
        </w:rPr>
      </w:pPr>
      <w:bookmarkStart w:id="468" w:name="bookmark468"/>
      <w:bookmarkStart w:id="469" w:name="bookmark469"/>
      <w:bookmarkStart w:id="471" w:name="bookmark471"/>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color w:val="000000"/>
          <w:spacing w:val="0"/>
          <w:w w:val="100"/>
          <w:position w:val="0"/>
          <w:sz w:val="22"/>
          <w:szCs w:val="22"/>
        </w:rPr>
        <w:t>日合并及公司资产负债表</w:t>
      </w:r>
      <w:bookmarkEnd w:id="468"/>
      <w:bookmarkEnd w:id="469"/>
      <w:bookmarkEnd w:id="471"/>
    </w:p>
    <w:p>
      <w:pPr>
        <w:pStyle w:val="Style33"/>
        <w:keepNext w:val="0"/>
        <w:keepLines w:val="0"/>
        <w:widowControl w:val="0"/>
        <w:shd w:val="clear" w:color="auto" w:fill="auto"/>
        <w:bidi w:val="0"/>
        <w:spacing w:before="0" w:after="40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b w:val="0"/>
          <w:bCs w:val="0"/>
          <w:color w:val="000000"/>
          <w:spacing w:val="0"/>
          <w:w w:val="100"/>
          <w:position w:val="0"/>
          <w:sz w:val="28"/>
          <w:szCs w:val="28"/>
        </w:rPr>
        <w:t>)</w:t>
      </w:r>
    </w:p>
    <w:tbl>
      <w:tblPr>
        <w:tblOverlap w:val="never"/>
        <w:jc w:val="center"/>
        <w:tblLayout w:type="fixed"/>
      </w:tblPr>
      <w:tblGrid>
        <w:gridCol w:w="2016"/>
        <w:gridCol w:w="1066"/>
        <w:gridCol w:w="1517"/>
        <w:gridCol w:w="1522"/>
        <w:gridCol w:w="1627"/>
        <w:gridCol w:w="1363"/>
      </w:tblGrid>
      <w:tr>
        <w:trPr>
          <w:trHeight w:val="106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b/>
                <w:bCs/>
                <w:color w:val="000000"/>
                <w:spacing w:val="0"/>
                <w:w w:val="100"/>
                <w:position w:val="0"/>
                <w:sz w:val="15"/>
                <w:szCs w:val="15"/>
              </w:rPr>
              <w:t>附注</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840"/>
              <w:jc w:val="left"/>
              <w:rPr>
                <w:sz w:val="15"/>
                <w:szCs w:val="15"/>
              </w:rPr>
            </w:pPr>
            <w:r>
              <w:rPr>
                <w:rFonts w:ascii="Arial" w:eastAsia="Arial" w:hAnsi="Arial" w:cs="Arial"/>
                <w:color w:val="000000"/>
                <w:spacing w:val="0"/>
                <w:w w:val="100"/>
                <w:position w:val="0"/>
                <w:sz w:val="15"/>
                <w:szCs w:val="15"/>
              </w:rPr>
              <w:t xml:space="preserve">2016 </w:t>
            </w:r>
            <w:r>
              <w:rPr>
                <w:color w:val="000000"/>
                <w:spacing w:val="0"/>
                <w:w w:val="100"/>
                <w:position w:val="0"/>
                <w:sz w:val="15"/>
                <w:szCs w:val="15"/>
              </w:rPr>
              <w:t>年</w:t>
            </w:r>
          </w:p>
          <w:p>
            <w:pPr>
              <w:pStyle w:val="Style23"/>
              <w:keepNext w:val="0"/>
              <w:keepLines w:val="0"/>
              <w:widowControl w:val="0"/>
              <w:shd w:val="clear" w:color="auto" w:fill="auto"/>
              <w:bidi w:val="0"/>
              <w:spacing w:before="0" w:line="240" w:lineRule="auto"/>
              <w:ind w:left="0" w:right="0" w:firstLine="620"/>
              <w:jc w:val="both"/>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line="240" w:lineRule="auto"/>
              <w:ind w:left="1060" w:right="0" w:firstLine="0"/>
              <w:jc w:val="left"/>
              <w:rPr>
                <w:sz w:val="15"/>
                <w:szCs w:val="15"/>
              </w:rPr>
            </w:pPr>
            <w:r>
              <w:rPr>
                <w:color w:val="000000"/>
                <w:spacing w:val="0"/>
                <w:w w:val="100"/>
                <w:position w:val="0"/>
                <w:sz w:val="15"/>
                <w:szCs w:val="15"/>
              </w:rPr>
              <w:t>合并</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right"/>
              <w:rPr>
                <w:sz w:val="15"/>
                <w:szCs w:val="15"/>
              </w:rPr>
            </w:pPr>
            <w:r>
              <w:rPr>
                <w:rFonts w:ascii="Arial" w:eastAsia="Arial" w:hAnsi="Arial" w:cs="Arial"/>
                <w:color w:val="000000"/>
                <w:spacing w:val="0"/>
                <w:w w:val="100"/>
                <w:position w:val="0"/>
                <w:sz w:val="15"/>
                <w:szCs w:val="15"/>
              </w:rPr>
              <w:t xml:space="preserve">2015 </w:t>
            </w:r>
            <w:r>
              <w:rPr>
                <w:color w:val="000000"/>
                <w:spacing w:val="0"/>
                <w:w w:val="100"/>
                <w:position w:val="0"/>
                <w:sz w:val="15"/>
                <w:szCs w:val="15"/>
              </w:rPr>
              <w:t>年</w:t>
            </w:r>
          </w:p>
          <w:p>
            <w:pPr>
              <w:pStyle w:val="Style23"/>
              <w:keepNext w:val="0"/>
              <w:keepLines w:val="0"/>
              <w:widowControl w:val="0"/>
              <w:shd w:val="clear" w:color="auto" w:fill="auto"/>
              <w:bidi w:val="0"/>
              <w:spacing w:before="0" w:line="240" w:lineRule="auto"/>
              <w:ind w:left="0" w:right="0" w:firstLine="0"/>
              <w:jc w:val="right"/>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line="240" w:lineRule="auto"/>
              <w:ind w:left="0" w:right="0" w:firstLine="0"/>
              <w:jc w:val="right"/>
              <w:rPr>
                <w:sz w:val="15"/>
                <w:szCs w:val="15"/>
              </w:rPr>
            </w:pPr>
            <w:r>
              <w:rPr>
                <w:color w:val="000000"/>
                <w:spacing w:val="0"/>
                <w:w w:val="100"/>
                <w:position w:val="0"/>
                <w:sz w:val="15"/>
                <w:szCs w:val="15"/>
              </w:rPr>
              <w:t>合并</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220" w:firstLine="0"/>
              <w:jc w:val="right"/>
              <w:rPr>
                <w:sz w:val="15"/>
                <w:szCs w:val="15"/>
              </w:rPr>
            </w:pPr>
            <w:r>
              <w:rPr>
                <w:rFonts w:ascii="Arial" w:eastAsia="Arial" w:hAnsi="Arial" w:cs="Arial"/>
                <w:color w:val="000000"/>
                <w:spacing w:val="0"/>
                <w:w w:val="100"/>
                <w:position w:val="0"/>
                <w:sz w:val="15"/>
                <w:szCs w:val="15"/>
              </w:rPr>
              <w:t xml:space="preserve">2016 </w:t>
            </w:r>
            <w:r>
              <w:rPr>
                <w:color w:val="000000"/>
                <w:spacing w:val="0"/>
                <w:w w:val="100"/>
                <w:position w:val="0"/>
                <w:sz w:val="15"/>
                <w:szCs w:val="15"/>
              </w:rPr>
              <w:t>年</w:t>
            </w:r>
          </w:p>
          <w:p>
            <w:pPr>
              <w:pStyle w:val="Style23"/>
              <w:keepNext w:val="0"/>
              <w:keepLines w:val="0"/>
              <w:widowControl w:val="0"/>
              <w:shd w:val="clear" w:color="auto" w:fill="auto"/>
              <w:bidi w:val="0"/>
              <w:spacing w:before="0" w:line="240" w:lineRule="auto"/>
              <w:ind w:left="0" w:right="0" w:firstLine="640"/>
              <w:jc w:val="both"/>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line="240" w:lineRule="auto"/>
              <w:ind w:left="0" w:right="220" w:firstLine="0"/>
              <w:jc w:val="right"/>
              <w:rPr>
                <w:sz w:val="15"/>
                <w:szCs w:val="15"/>
              </w:rPr>
            </w:pPr>
            <w:r>
              <w:rPr>
                <w:color w:val="000000"/>
                <w:spacing w:val="0"/>
                <w:w w:val="100"/>
                <w:position w:val="0"/>
                <w:sz w:val="15"/>
                <w:szCs w:val="15"/>
              </w:rPr>
              <w:t>公司</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5"/>
                <w:szCs w:val="15"/>
              </w:rPr>
            </w:pPr>
            <w:r>
              <w:rPr>
                <w:rFonts w:ascii="Arial" w:eastAsia="Arial" w:hAnsi="Arial" w:cs="Arial"/>
                <w:color w:val="000000"/>
                <w:spacing w:val="0"/>
                <w:w w:val="100"/>
                <w:position w:val="0"/>
                <w:sz w:val="15"/>
                <w:szCs w:val="15"/>
              </w:rPr>
              <w:t xml:space="preserve">2015 </w:t>
            </w:r>
            <w:r>
              <w:rPr>
                <w:color w:val="000000"/>
                <w:spacing w:val="0"/>
                <w:w w:val="100"/>
                <w:position w:val="0"/>
                <w:sz w:val="15"/>
                <w:szCs w:val="15"/>
              </w:rPr>
              <w:t>年</w:t>
            </w:r>
          </w:p>
          <w:p>
            <w:pPr>
              <w:pStyle w:val="Style23"/>
              <w:keepNext w:val="0"/>
              <w:keepLines w:val="0"/>
              <w:widowControl w:val="0"/>
              <w:shd w:val="clear" w:color="auto" w:fill="auto"/>
              <w:bidi w:val="0"/>
              <w:spacing w:before="0" w:after="120" w:line="240" w:lineRule="auto"/>
              <w:ind w:left="0" w:right="0" w:firstLine="0"/>
              <w:jc w:val="right"/>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公司</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6,915,508,971.95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3,620,373,346.93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60,156,545.77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92,171,132.32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以公允价值计量且其变动计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入当期损益的金融资产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33,803,417.04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369,166,423.17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4,406,697.24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3,319,778.83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63,864,782.09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4,559,911,486.72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3,992,559,043.49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161,477,605.37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预付款项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1,492,549,226.12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1,474,751,865.10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86,217,596.53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应收股利</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十七⑴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800,000,000.00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应收保理款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247,384,184.78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发放贷款及垫款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85,271,730.78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263,120,425.37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应收利息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5,241,461.07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6,118,865.05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Arial" w:eastAsia="Arial" w:hAnsi="Arial" w:cs="Arial"/>
                <w:color w:val="000000"/>
                <w:spacing w:val="0"/>
                <w:w w:val="100"/>
                <w:position w:val="0"/>
                <w:sz w:val="15"/>
                <w:szCs w:val="15"/>
              </w:rPr>
              <w:t>178,161.87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其他应收款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w:t>
            </w:r>
            <w:r>
              <w:rPr>
                <w:color w:val="000000"/>
                <w:spacing w:val="0"/>
                <w:w w:val="100"/>
                <w:position w:val="0"/>
                <w:sz w:val="15"/>
                <w:szCs w:val="15"/>
              </w:rPr>
              <w:t>十七</w:t>
            </w:r>
            <w:r>
              <w:rPr>
                <w:rFonts w:ascii="Arial" w:eastAsia="Arial" w:hAnsi="Arial" w:cs="Arial"/>
                <w:color w:val="000000"/>
                <w:spacing w:val="0"/>
                <w:w w:val="100"/>
                <w:position w:val="0"/>
                <w:sz w:val="15"/>
                <w:szCs w:val="15"/>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1,019,657,880.86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1,059,934,154.81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13,179,087.61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150,537,020.98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存货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396,013,674.76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256,097,919.05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123,661,078.50</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其他流动资产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6,820,810,214.74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7,289,661,587.29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21,333,174,761.28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18,582,487,593.87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873,335,633.38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678,107,377.66</w:t>
            </w:r>
          </w:p>
        </w:tc>
      </w:tr>
      <w:tr>
        <w:trPr>
          <w:trHeight w:val="69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可供出售金融资产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696,583,087.01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216,487,125.87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50,000.00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长期应收款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108,503,565.43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长期股权投资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(12),</w:t>
            </w:r>
            <w:r>
              <w:rPr>
                <w:color w:val="000000"/>
                <w:spacing w:val="0"/>
                <w:w w:val="100"/>
                <w:position w:val="0"/>
                <w:sz w:val="15"/>
                <w:szCs w:val="15"/>
              </w:rPr>
              <w:t>十七</w:t>
            </w:r>
            <w:r>
              <w:rPr>
                <w:rFonts w:ascii="Arial" w:eastAsia="Arial" w:hAnsi="Arial" w:cs="Arial"/>
                <w:color w:val="000000"/>
                <w:spacing w:val="0"/>
                <w:w w:val="100"/>
                <w:position w:val="0"/>
                <w:sz w:val="15"/>
                <w:szCs w:val="15"/>
              </w:rPr>
              <w:t>(3)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769,698,763.51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1,481,672,391.47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43,300,000,000.00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50,000,000.00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投资性房地产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2,148,095,293.10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150,517,735.96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固定资产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11,678,342,577.66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7,826,299,063.17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105,248,526.45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在建工程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844,498,050.62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1,638,588,258.84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Arial" w:eastAsia="Arial" w:hAnsi="Arial" w:cs="Arial"/>
                <w:color w:val="000000"/>
                <w:spacing w:val="0"/>
                <w:w w:val="100"/>
                <w:position w:val="0"/>
                <w:sz w:val="15"/>
                <w:szCs w:val="15"/>
              </w:rPr>
              <w:t>672,380.70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无形资产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4,476,298,732.57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2,286,626,063.96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19,868,098.66</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开发支出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243,316,365.57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200,140,519.51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商誉</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58,030,760.81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57,929,676.62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长期待摊费用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1,271,129,829.62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1,075,527,299.73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递延所得税资产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417,890,993.08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544,975,395.83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1,859,788.03</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其他非流动资产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197,826,373.91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546,818,622.04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9,733,730.00</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22,801,710,827.46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16,134,085,718.43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43,300,000,000.00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187,432,523.84</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资产总计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44,134,885,588.74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34,716,573,312.30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44,173,335,633.38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865,539,901.50</w:t>
            </w:r>
          </w:p>
        </w:tc>
      </w:tr>
    </w:tbl>
    <w:p>
      <w:pPr>
        <w:spacing w:lineRule="exact" w:line="1"/>
        <w:rPr>
          <w:sz w:val="2"/>
          <w:szCs w:val="2"/>
        </w:rPr>
      </w:pPr>
      <w:r>
        <w:br w:type="page"/>
      </w:r>
    </w:p>
    <w:p>
      <w:pPr>
        <w:pStyle w:val="Style27"/>
        <w:keepNext/>
        <w:keepLines/>
        <w:widowControl w:val="0"/>
        <w:shd w:val="clear" w:color="auto" w:fill="auto"/>
        <w:bidi w:val="0"/>
        <w:spacing w:before="0" w:after="40" w:line="240" w:lineRule="auto"/>
        <w:ind w:left="0" w:right="0" w:firstLine="0"/>
        <w:jc w:val="left"/>
        <w:rPr>
          <w:sz w:val="22"/>
          <w:szCs w:val="22"/>
        </w:rPr>
      </w:pPr>
      <w:bookmarkStart w:id="472" w:name="bookmark472"/>
      <w:bookmarkStart w:id="473" w:name="bookmark473"/>
      <w:bookmarkStart w:id="474" w:name="bookmark474"/>
      <w:r>
        <w:rPr>
          <w:color w:val="000000"/>
          <w:spacing w:val="0"/>
          <w:w w:val="100"/>
          <w:position w:val="0"/>
          <w:sz w:val="22"/>
          <w:szCs w:val="22"/>
        </w:rPr>
        <w:t>顺丰控股股份有限公司</w:t>
      </w:r>
      <w:bookmarkEnd w:id="472"/>
      <w:bookmarkEnd w:id="473"/>
      <w:bookmarkEnd w:id="474"/>
    </w:p>
    <w:p>
      <w:pPr>
        <w:pStyle w:val="Style27"/>
        <w:keepNext/>
        <w:keepLines/>
        <w:widowControl w:val="0"/>
        <w:shd w:val="clear" w:color="auto" w:fill="auto"/>
        <w:bidi w:val="0"/>
        <w:spacing w:before="0" w:after="40" w:line="240" w:lineRule="auto"/>
        <w:ind w:left="0" w:right="0" w:firstLine="0"/>
        <w:jc w:val="left"/>
      </w:pPr>
      <w:bookmarkStart w:id="472" w:name="bookmark472"/>
      <w:bookmarkStart w:id="473" w:name="bookmark473"/>
      <w:bookmarkStart w:id="475" w:name="bookmark475"/>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color w:val="000000"/>
          <w:spacing w:val="0"/>
          <w:w w:val="100"/>
          <w:position w:val="0"/>
          <w:sz w:val="22"/>
          <w:szCs w:val="22"/>
        </w:rPr>
        <w:t>日合并及公司资产负债表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472"/>
      <w:bookmarkEnd w:id="473"/>
      <w:bookmarkEnd w:id="475"/>
    </w:p>
    <w:p>
      <w:pPr>
        <w:pStyle w:val="Style33"/>
        <w:keepNext w:val="0"/>
        <w:keepLines w:val="0"/>
        <w:widowControl w:val="0"/>
        <w:shd w:val="clear" w:color="auto" w:fill="auto"/>
        <w:bidi w:val="0"/>
        <w:spacing w:before="0" w:after="4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b w:val="0"/>
          <w:bCs w:val="0"/>
          <w:color w:val="000000"/>
          <w:spacing w:val="0"/>
          <w:w w:val="100"/>
          <w:position w:val="0"/>
          <w:sz w:val="28"/>
          <w:szCs w:val="28"/>
        </w:rPr>
        <w:t>）</w:t>
      </w:r>
    </w:p>
    <w:tbl>
      <w:tblPr>
        <w:tblOverlap w:val="never"/>
        <w:jc w:val="center"/>
        <w:tblLayout w:type="fixed"/>
      </w:tblPr>
      <w:tblGrid>
        <w:gridCol w:w="2491"/>
        <w:gridCol w:w="600"/>
        <w:gridCol w:w="1507"/>
        <w:gridCol w:w="1517"/>
        <w:gridCol w:w="1627"/>
        <w:gridCol w:w="1421"/>
      </w:tblGrid>
      <w:tr>
        <w:trPr>
          <w:trHeight w:val="90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负债及股东权益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附注</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840"/>
              <w:jc w:val="left"/>
              <w:rPr>
                <w:sz w:val="15"/>
                <w:szCs w:val="15"/>
              </w:rPr>
            </w:pPr>
            <w:r>
              <w:rPr>
                <w:rFonts w:ascii="Arial" w:eastAsia="Arial" w:hAnsi="Arial" w:cs="Arial"/>
                <w:color w:val="000000"/>
                <w:spacing w:val="0"/>
                <w:w w:val="100"/>
                <w:position w:val="0"/>
                <w:sz w:val="15"/>
                <w:szCs w:val="15"/>
              </w:rPr>
              <w:t xml:space="preserve">2016 </w:t>
            </w:r>
            <w:r>
              <w:rPr>
                <w:color w:val="000000"/>
                <w:spacing w:val="0"/>
                <w:w w:val="100"/>
                <w:position w:val="0"/>
                <w:sz w:val="15"/>
                <w:szCs w:val="15"/>
              </w:rPr>
              <w:t>年</w:t>
            </w:r>
          </w:p>
          <w:p>
            <w:pPr>
              <w:pStyle w:val="Style23"/>
              <w:keepNext w:val="0"/>
              <w:keepLines w:val="0"/>
              <w:widowControl w:val="0"/>
              <w:shd w:val="clear" w:color="auto" w:fill="auto"/>
              <w:bidi w:val="0"/>
              <w:spacing w:before="0" w:after="80" w:line="240" w:lineRule="auto"/>
              <w:ind w:left="0" w:right="0" w:firstLine="600"/>
              <w:jc w:val="left"/>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after="80" w:line="240" w:lineRule="auto"/>
              <w:ind w:left="1060" w:right="0" w:firstLine="0"/>
              <w:jc w:val="left"/>
              <w:rPr>
                <w:sz w:val="15"/>
                <w:szCs w:val="15"/>
              </w:rPr>
            </w:pPr>
            <w:r>
              <w:rPr>
                <w:color w:val="000000"/>
                <w:spacing w:val="0"/>
                <w:w w:val="100"/>
                <w:position w:val="0"/>
                <w:sz w:val="15"/>
                <w:szCs w:val="15"/>
              </w:rPr>
              <w:t>合并</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5"/>
                <w:szCs w:val="15"/>
              </w:rPr>
            </w:pPr>
            <w:r>
              <w:rPr>
                <w:rFonts w:ascii="Arial" w:eastAsia="Arial" w:hAnsi="Arial" w:cs="Arial"/>
                <w:color w:val="000000"/>
                <w:spacing w:val="0"/>
                <w:w w:val="100"/>
                <w:position w:val="0"/>
                <w:sz w:val="15"/>
                <w:szCs w:val="15"/>
              </w:rPr>
              <w:t xml:space="preserve">2015 </w:t>
            </w:r>
            <w:r>
              <w:rPr>
                <w:color w:val="000000"/>
                <w:spacing w:val="0"/>
                <w:w w:val="100"/>
                <w:position w:val="0"/>
                <w:sz w:val="15"/>
                <w:szCs w:val="15"/>
              </w:rPr>
              <w:t>年</w:t>
            </w:r>
          </w:p>
          <w:p>
            <w:pPr>
              <w:pStyle w:val="Style23"/>
              <w:keepNext w:val="0"/>
              <w:keepLines w:val="0"/>
              <w:widowControl w:val="0"/>
              <w:shd w:val="clear" w:color="auto" w:fill="auto"/>
              <w:bidi w:val="0"/>
              <w:spacing w:before="0" w:after="80" w:line="240" w:lineRule="auto"/>
              <w:ind w:left="0" w:right="0" w:firstLine="0"/>
              <w:jc w:val="right"/>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after="80" w:line="240" w:lineRule="auto"/>
              <w:ind w:left="0" w:right="0" w:firstLine="0"/>
              <w:jc w:val="right"/>
              <w:rPr>
                <w:sz w:val="15"/>
                <w:szCs w:val="15"/>
              </w:rPr>
            </w:pPr>
            <w:r>
              <w:rPr>
                <w:color w:val="000000"/>
                <w:spacing w:val="0"/>
                <w:w w:val="100"/>
                <w:position w:val="0"/>
                <w:sz w:val="15"/>
                <w:szCs w:val="15"/>
              </w:rPr>
              <w:t>合并</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860"/>
              <w:jc w:val="both"/>
              <w:rPr>
                <w:sz w:val="15"/>
                <w:szCs w:val="15"/>
              </w:rPr>
            </w:pPr>
            <w:r>
              <w:rPr>
                <w:rFonts w:ascii="Arial" w:eastAsia="Arial" w:hAnsi="Arial" w:cs="Arial"/>
                <w:color w:val="000000"/>
                <w:spacing w:val="0"/>
                <w:w w:val="100"/>
                <w:position w:val="0"/>
                <w:sz w:val="15"/>
                <w:szCs w:val="15"/>
              </w:rPr>
              <w:t xml:space="preserve">2016 </w:t>
            </w:r>
            <w:r>
              <w:rPr>
                <w:color w:val="000000"/>
                <w:spacing w:val="0"/>
                <w:w w:val="100"/>
                <w:position w:val="0"/>
                <w:sz w:val="15"/>
                <w:szCs w:val="15"/>
              </w:rPr>
              <w:t>年</w:t>
            </w:r>
          </w:p>
          <w:p>
            <w:pPr>
              <w:pStyle w:val="Style23"/>
              <w:keepNext w:val="0"/>
              <w:keepLines w:val="0"/>
              <w:widowControl w:val="0"/>
              <w:shd w:val="clear" w:color="auto" w:fill="auto"/>
              <w:bidi w:val="0"/>
              <w:spacing w:before="0" w:after="80" w:line="240" w:lineRule="auto"/>
              <w:ind w:left="0" w:right="0" w:firstLine="620"/>
              <w:jc w:val="both"/>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after="80" w:line="240" w:lineRule="auto"/>
              <w:ind w:left="0" w:right="240" w:firstLine="0"/>
              <w:jc w:val="right"/>
              <w:rPr>
                <w:sz w:val="15"/>
                <w:szCs w:val="15"/>
              </w:rPr>
            </w:pPr>
            <w:r>
              <w:rPr>
                <w:color w:val="000000"/>
                <w:spacing w:val="0"/>
                <w:w w:val="100"/>
                <w:position w:val="0"/>
                <w:sz w:val="15"/>
                <w:szCs w:val="15"/>
              </w:rPr>
              <w:t>公司</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740"/>
              <w:jc w:val="both"/>
              <w:rPr>
                <w:sz w:val="15"/>
                <w:szCs w:val="15"/>
              </w:rPr>
            </w:pPr>
            <w:r>
              <w:rPr>
                <w:rFonts w:ascii="Arial" w:eastAsia="Arial" w:hAnsi="Arial" w:cs="Arial"/>
                <w:color w:val="000000"/>
                <w:spacing w:val="0"/>
                <w:w w:val="100"/>
                <w:position w:val="0"/>
                <w:sz w:val="15"/>
                <w:szCs w:val="15"/>
              </w:rPr>
              <w:t xml:space="preserve">2015 </w:t>
            </w:r>
            <w:r>
              <w:rPr>
                <w:color w:val="000000"/>
                <w:spacing w:val="0"/>
                <w:w w:val="100"/>
                <w:position w:val="0"/>
                <w:sz w:val="15"/>
                <w:szCs w:val="15"/>
              </w:rPr>
              <w:t>年</w:t>
            </w:r>
          </w:p>
          <w:p>
            <w:pPr>
              <w:pStyle w:val="Style23"/>
              <w:keepNext w:val="0"/>
              <w:keepLines w:val="0"/>
              <w:widowControl w:val="0"/>
              <w:shd w:val="clear" w:color="auto" w:fill="auto"/>
              <w:bidi w:val="0"/>
              <w:spacing w:before="0" w:after="80" w:line="240" w:lineRule="auto"/>
              <w:ind w:left="0" w:right="0" w:firstLine="520"/>
              <w:jc w:val="both"/>
              <w:rPr>
                <w:sz w:val="15"/>
                <w:szCs w:val="15"/>
              </w:rPr>
            </w:pP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p>
            <w:pPr>
              <w:pStyle w:val="Style23"/>
              <w:keepNext w:val="0"/>
              <w:keepLines w:val="0"/>
              <w:widowControl w:val="0"/>
              <w:shd w:val="clear" w:color="auto" w:fill="auto"/>
              <w:bidi w:val="0"/>
              <w:spacing w:before="0" w:after="80" w:line="240" w:lineRule="auto"/>
              <w:ind w:left="0" w:right="0" w:firstLine="0"/>
              <w:jc w:val="right"/>
              <w:rPr>
                <w:sz w:val="15"/>
                <w:szCs w:val="15"/>
              </w:rPr>
            </w:pPr>
            <w:r>
              <w:rPr>
                <w:color w:val="000000"/>
                <w:spacing w:val="0"/>
                <w:w w:val="100"/>
                <w:position w:val="0"/>
                <w:sz w:val="15"/>
                <w:szCs w:val="15"/>
              </w:rPr>
              <w:t>公司</w:t>
            </w:r>
          </w:p>
        </w:tc>
      </w:tr>
      <w:tr>
        <w:trPr>
          <w:trHeight w:val="41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5,466,278,976.31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6,585,339,112.59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20,000,000.00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67,000,000.00</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以公允价值计量且其变动计入当期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损益的金融负债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1,209,158.71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Arial" w:eastAsia="Arial" w:hAnsi="Arial" w:cs="Arial"/>
                <w:color w:val="000000"/>
                <w:spacing w:val="0"/>
                <w:w w:val="100"/>
                <w:position w:val="0"/>
                <w:sz w:val="15"/>
                <w:szCs w:val="15"/>
              </w:rPr>
              <w:t>98,865.95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应付票据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190,000,000.00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58,288,000.00</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5,259,177,206.37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3,095,473,088.69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7,896,982.58</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预收款项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286,348,742.43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200,147,358.17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1,229,279.97</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应付职工薪酬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2,138,659,367.34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2,655,787,901.43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1,316,309.09</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应交税费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419,174,348.67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574,836,713.53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47,528,429.77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15,542,452.12</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应付利息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13,899,791.33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14,836,849.66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24,165.67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2,781,066.13</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3,485,959,567.99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2,434,631,184.49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5,783,037.94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Arial" w:eastAsia="Arial" w:hAnsi="Arial" w:cs="Arial"/>
                <w:color w:val="000000"/>
                <w:spacing w:val="0"/>
                <w:w w:val="100"/>
                <w:position w:val="0"/>
                <w:sz w:val="15"/>
                <w:szCs w:val="15"/>
              </w:rPr>
              <w:t>912,126.16</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一年内到期的非流动负债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1,316,242,561.22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672,948,311.13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4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rPr>
              <w:t>8,763.78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18,386,958,484.15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16,424,099,385.64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73,335,633.38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154,966,216.05</w:t>
            </w:r>
          </w:p>
        </w:tc>
      </w:tr>
      <w:tr>
        <w:trPr>
          <w:trHeight w:val="57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非流动负债</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4,761,013,384.37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4,027,363,368.47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6,640,000.00</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27,000,000.00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6,675,473.13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长期应付职工薪酬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235,267,336.93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388,488,177.17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递延收益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111,667,389.34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64,762,707.13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递延所得税负债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45,267,778.02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34,814,422.15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4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预计负债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11,047,033.68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11,506,895.48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非流动负债合计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5,191,262,922.34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4,533,611,043.53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6,640,000.00</w:t>
            </w:r>
          </w:p>
        </w:tc>
      </w:tr>
      <w:tr>
        <w:trPr>
          <w:trHeight w:val="55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23,578,221,406.49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20,957,710,429.17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73,335,633.38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161,606,216.05</w:t>
            </w:r>
          </w:p>
        </w:tc>
      </w:tr>
      <w:tr>
        <w:trPr>
          <w:trHeight w:val="57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所有者权益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股本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4,183,678,213.00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3,950,185,873.00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4,183,678,213.00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116,746,170.00</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资本公积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8,236,698,341.64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4,540,733,277.62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38,991,327,794.39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541,080,749.78</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盈余公积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272,113,202.75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20,970,706.84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119,068,202.44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29,545,033.37</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未分配利润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7,552,595,222.64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5,123,311,566.55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805,925,790.17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16,561,732.30</w:t>
            </w:r>
          </w:p>
        </w:tc>
      </w:tr>
      <w:tr>
        <w:trPr>
          <w:trHeight w:val="24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其他综合收益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(55)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266,682,686.93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60,534,785.48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归属于母公司所有者权益合计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20,511,767,666.96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13,695,736,209.49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44,100,000,000.00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703,933,685.45</w:t>
            </w:r>
          </w:p>
        </w:tc>
      </w:tr>
      <w:tr>
        <w:trPr>
          <w:trHeight w:val="24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少数股东权益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44,896,515.29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63,126,673.64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5"/>
                <w:szCs w:val="15"/>
              </w:rPr>
            </w:pPr>
            <w:r>
              <w:rPr>
                <w:rFonts w:ascii="Arial" w:eastAsia="Arial" w:hAnsi="Arial" w:cs="Arial"/>
                <w:color w:val="000000"/>
                <w:spacing w:val="0"/>
                <w:w w:val="100"/>
                <w:position w:val="0"/>
                <w:sz w:val="15"/>
                <w:szCs w:val="15"/>
              </w:rPr>
              <w:t>-</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所有者权益合计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20,556,664,182.25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13,758,862,883.13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44,100,000,000.00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703,933,685.45</w:t>
            </w:r>
          </w:p>
        </w:tc>
      </w:tr>
      <w:tr>
        <w:trPr>
          <w:trHeight w:val="58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负债及所有者权益总计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44,134,885,588.74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34,716,573,312.30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44,173,335,633.38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865,539,901.50</w:t>
            </w:r>
          </w:p>
        </w:tc>
      </w:tr>
    </w:tbl>
    <w:p>
      <w:pPr>
        <w:widowControl w:val="0"/>
        <w:spacing w:after="399" w:line="1" w:lineRule="exact"/>
      </w:pPr>
    </w:p>
    <w:p>
      <w:pPr>
        <w:pStyle w:val="Style7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后附财务报表附注为财务报表的组成部分。</w:t>
      </w:r>
    </w:p>
    <w:p>
      <w:pPr>
        <w:pStyle w:val="Style73"/>
        <w:keepNext w:val="0"/>
        <w:keepLines w:val="0"/>
        <w:widowControl w:val="0"/>
        <w:shd w:val="clear" w:color="auto" w:fill="auto"/>
        <w:tabs>
          <w:tab w:pos="3178" w:val="left"/>
        </w:tabs>
        <w:bidi w:val="0"/>
        <w:spacing w:before="0" w:after="220" w:line="240" w:lineRule="auto"/>
        <w:ind w:left="0" w:right="0" w:firstLine="0"/>
        <w:jc w:val="left"/>
      </w:pPr>
      <w:r>
        <mc:AlternateContent>
          <mc:Choice Requires="wps">
            <w:drawing>
              <wp:anchor distT="0" distB="0" distL="114300" distR="114300" simplePos="0" relativeHeight="125829391" behindDoc="0" locked="0" layoutInCell="1" allowOverlap="1">
                <wp:simplePos x="0" y="0"/>
                <wp:positionH relativeFrom="page">
                  <wp:posOffset>5394325</wp:posOffset>
                </wp:positionH>
                <wp:positionV relativeFrom="paragraph">
                  <wp:posOffset>12700</wp:posOffset>
                </wp:positionV>
                <wp:extent cx="1039495" cy="161290"/>
                <wp:wrapSquare wrapText="left"/>
                <wp:docPr id="51" name="Shape 51"/>
                <a:graphic xmlns:a="http://schemas.openxmlformats.org/drawingml/2006/main">
                  <a:graphicData uri="http://schemas.microsoft.com/office/word/2010/wordprocessingShape">
                    <wps:wsp>
                      <wps:cNvSpPr txBox="1"/>
                      <wps:spPr>
                        <a:xfrm>
                          <a:ext cx="1039495" cy="1612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77" type="#_x0000_t202" style="position:absolute;margin-left:424.75pt;margin-top:1.pt;width:81.850000000000009pt;height:12.700000000000001pt;z-index:-125829362;mso-wrap-distance-left:9.pt;mso-wrap-distance-right:9.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square" side="left" anchorx="page"/>
              </v:shape>
            </w:pict>
          </mc:Fallback>
        </mc:AlternateContent>
      </w:r>
      <w:r>
        <w:rPr>
          <w:color w:val="000000"/>
          <w:spacing w:val="0"/>
          <w:w w:val="100"/>
          <w:position w:val="0"/>
        </w:rPr>
        <w:t>企业负责人：</w:t>
        <w:tab/>
        <w:t>主管会计工作的负责人:</w:t>
      </w:r>
      <w:r>
        <w:br w:type="page"/>
      </w:r>
    </w:p>
    <w:p>
      <w:pPr>
        <w:pStyle w:val="Style27"/>
        <w:keepNext/>
        <w:keepLines/>
        <w:widowControl w:val="0"/>
        <w:shd w:val="clear" w:color="auto" w:fill="auto"/>
        <w:bidi w:val="0"/>
        <w:spacing w:before="0" w:after="360" w:line="240" w:lineRule="auto"/>
        <w:ind w:left="0" w:right="0" w:hanging="260"/>
        <w:jc w:val="left"/>
        <w:rPr>
          <w:sz w:val="22"/>
          <w:szCs w:val="22"/>
        </w:rPr>
      </w:pPr>
      <w:bookmarkStart w:id="476" w:name="bookmark476"/>
      <w:bookmarkStart w:id="477" w:name="bookmark477"/>
      <w:bookmarkStart w:id="478" w:name="bookmark478"/>
      <w:r>
        <w:rPr>
          <w:color w:val="000000"/>
          <w:spacing w:val="0"/>
          <w:w w:val="100"/>
          <w:position w:val="0"/>
          <w:sz w:val="22"/>
          <w:szCs w:val="22"/>
        </w:rPr>
        <w:t>顺丰控股股份有限公司</w:t>
      </w:r>
      <w:bookmarkEnd w:id="476"/>
      <w:bookmarkEnd w:id="477"/>
      <w:bookmarkEnd w:id="478"/>
    </w:p>
    <w:p>
      <w:pPr>
        <w:pStyle w:val="Style27"/>
        <w:keepNext/>
        <w:keepLines/>
        <w:widowControl w:val="0"/>
        <w:shd w:val="clear" w:color="auto" w:fill="auto"/>
        <w:bidi w:val="0"/>
        <w:spacing w:before="0" w:after="40" w:line="240" w:lineRule="auto"/>
        <w:ind w:left="0" w:right="0" w:hanging="260"/>
        <w:jc w:val="left"/>
        <w:rPr>
          <w:sz w:val="22"/>
          <w:szCs w:val="22"/>
        </w:rPr>
      </w:pPr>
      <w:bookmarkStart w:id="476" w:name="bookmark476"/>
      <w:bookmarkStart w:id="477" w:name="bookmark477"/>
      <w:bookmarkStart w:id="479" w:name="bookmark479"/>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年度合并及公司利润表</w:t>
      </w:r>
      <w:bookmarkEnd w:id="476"/>
      <w:bookmarkEnd w:id="477"/>
      <w:bookmarkEnd w:id="479"/>
    </w:p>
    <w:p>
      <w:pPr>
        <w:pStyle w:val="Style33"/>
        <w:keepNext w:val="0"/>
        <w:keepLines w:val="0"/>
        <w:widowControl w:val="0"/>
        <w:shd w:val="clear" w:color="auto" w:fill="auto"/>
        <w:bidi w:val="0"/>
        <w:spacing w:before="0" w:after="420" w:line="240" w:lineRule="auto"/>
        <w:ind w:left="0" w:right="0" w:hanging="26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tbl>
      <w:tblPr>
        <w:tblOverlap w:val="never"/>
        <w:jc w:val="center"/>
        <w:tblLayout w:type="fixed"/>
      </w:tblPr>
      <w:tblGrid>
        <w:gridCol w:w="2093"/>
        <w:gridCol w:w="970"/>
        <w:gridCol w:w="1416"/>
        <w:gridCol w:w="1493"/>
        <w:gridCol w:w="1493"/>
        <w:gridCol w:w="1464"/>
      </w:tblGrid>
      <w:tr>
        <w:trPr>
          <w:trHeight w:val="73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620"/>
              <w:jc w:val="lef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合并</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rFonts w:ascii="Arial" w:eastAsia="Arial" w:hAnsi="Arial" w:cs="Arial"/>
                <w:color w:val="000000"/>
                <w:spacing w:val="0"/>
                <w:w w:val="100"/>
                <w:position w:val="0"/>
                <w:sz w:val="14"/>
                <w:szCs w:val="14"/>
              </w:rPr>
              <w:t>2015</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合并</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公司</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rFonts w:ascii="Arial" w:eastAsia="Arial" w:hAnsi="Arial" w:cs="Arial"/>
                <w:color w:val="000000"/>
                <w:spacing w:val="0"/>
                <w:w w:val="100"/>
                <w:position w:val="0"/>
                <w:sz w:val="14"/>
                <w:szCs w:val="14"/>
              </w:rPr>
              <w:t>2015</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公司</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营业收入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(42),</w:t>
            </w:r>
            <w:r>
              <w:rPr>
                <w:color w:val="000000"/>
                <w:spacing w:val="0"/>
                <w:w w:val="100"/>
                <w:position w:val="0"/>
                <w:sz w:val="13"/>
                <w:szCs w:val="13"/>
              </w:rPr>
              <w:t>十七</w:t>
            </w:r>
            <w:r>
              <w:rPr>
                <w:rFonts w:ascii="Arial" w:eastAsia="Arial" w:hAnsi="Arial" w:cs="Arial"/>
                <w:color w:val="000000"/>
                <w:spacing w:val="0"/>
                <w:w w:val="100"/>
                <w:position w:val="0"/>
                <w:sz w:val="14"/>
                <w:szCs w:val="14"/>
              </w:rPr>
              <w:t>(4)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57,482,698,073.15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48,101,154,759.50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404,289,187.91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492,324,013.91</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减：营业成本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(42),</w:t>
            </w:r>
            <w:r>
              <w:rPr>
                <w:color w:val="000000"/>
                <w:spacing w:val="0"/>
                <w:w w:val="100"/>
                <w:position w:val="0"/>
                <w:sz w:val="13"/>
                <w:szCs w:val="13"/>
              </w:rPr>
              <w:t>十七</w:t>
            </w:r>
            <w:r>
              <w:rPr>
                <w:rFonts w:ascii="Arial" w:eastAsia="Arial" w:hAnsi="Arial" w:cs="Arial"/>
                <w:color w:val="000000"/>
                <w:spacing w:val="0"/>
                <w:w w:val="100"/>
                <w:position w:val="0"/>
                <w:sz w:val="14"/>
                <w:szCs w:val="14"/>
              </w:rPr>
              <w:t>(4)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(46,165,166,641.49)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(38,585,903,834.79)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(336,446,991.61)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(409,701,963.71)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税金及附加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(203,300,318.34)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(185,521,149.31)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(27,461,169.89)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(1,767,606.67)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销售费用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(1,150,596,698.85)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(1,954,003,476.23)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(28,022,422.11)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(30,242,239.29)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管理费用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(6,079,455,133.67)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(5,822,190,502.80)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(40,112,852.33)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(18,265,454.56)</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财务费用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(417,428,212.60)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(397,235,198.53)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(2,839,717.36)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(2,145,613.29)</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资产减值损失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(19,172,492.00)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(180,567,433.16)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(1,251,845.14)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(2,182,907.74)</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加：公允价值变动损益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(13,005,602.05)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15,189,834.80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4"/>
                <w:szCs w:val="14"/>
              </w:rPr>
            </w:pPr>
            <w:r>
              <w:rPr>
                <w:rFonts w:ascii="Arial" w:eastAsia="Arial" w:hAnsi="Arial" w:cs="Arial"/>
                <w:color w:val="000000"/>
                <w:spacing w:val="0"/>
                <w:w w:val="100"/>
                <w:position w:val="0"/>
                <w:sz w:val="14"/>
                <w:szCs w:val="14"/>
              </w:rPr>
              <w:t>-</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投资收益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(51),</w:t>
            </w:r>
            <w:r>
              <w:rPr>
                <w:color w:val="000000"/>
                <w:spacing w:val="0"/>
                <w:w w:val="100"/>
                <w:position w:val="0"/>
                <w:sz w:val="13"/>
                <w:szCs w:val="13"/>
              </w:rPr>
              <w:t>十七</w:t>
            </w:r>
            <w:r>
              <w:rPr>
                <w:rFonts w:ascii="Arial" w:eastAsia="Arial" w:hAnsi="Arial" w:cs="Arial"/>
                <w:color w:val="000000"/>
                <w:spacing w:val="0"/>
                <w:w w:val="100"/>
                <w:position w:val="0"/>
                <w:sz w:val="14"/>
                <w:szCs w:val="14"/>
              </w:rPr>
              <w:t>(5)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258,114,563.37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410,146,628.49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810,383,312.86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1,019,575.03</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其中：对联营企业和合营企</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业的投资损失</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(99,453,785.45)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(143,787,022.73)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rPr>
              <w:t>-</w:t>
            </w:r>
          </w:p>
        </w:tc>
      </w:tr>
      <w:tr>
        <w:trPr>
          <w:trHeight w:val="72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3,692,687,537.52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1,401,069,627.97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778,537,502.33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29,037,803.68</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加：营业外收入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(50)(a)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1,579,698,135.15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362,034,236.29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134,286,784.08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2,306,715.43</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其中：非流动资产处置利</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3"/>
                <w:szCs w:val="13"/>
              </w:rPr>
            </w:pPr>
            <w:r>
              <w:rPr>
                <w:color w:val="000000"/>
                <w:spacing w:val="0"/>
                <w:w w:val="100"/>
                <w:position w:val="0"/>
                <w:sz w:val="13"/>
                <w:szCs w:val="13"/>
              </w:rPr>
              <w:t>得</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22,406,582.77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16,419,363.13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color w:val="000000"/>
                <w:spacing w:val="0"/>
                <w:w w:val="100"/>
                <w:position w:val="0"/>
                <w:sz w:val="14"/>
                <w:szCs w:val="14"/>
              </w:rPr>
              <w:t>-</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减：营业外支出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(50)(b)</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(81,654,299.47)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(72,598,826.23)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(2,564,354.33)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(1,628,472.06)</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其中：非流动资产处置损</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3"/>
                <w:szCs w:val="13"/>
              </w:rPr>
            </w:pPr>
            <w:r>
              <w:rPr>
                <w:color w:val="000000"/>
                <w:spacing w:val="0"/>
                <w:w w:val="100"/>
                <w:position w:val="0"/>
                <w:sz w:val="13"/>
                <w:szCs w:val="13"/>
              </w:rPr>
              <w:t>失</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(28,502,390.44)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(27,697,981.01)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4"/>
                <w:szCs w:val="14"/>
              </w:rPr>
            </w:pPr>
            <w:r>
              <w:rPr>
                <w:rFonts w:ascii="Arial" w:eastAsia="Arial" w:hAnsi="Arial" w:cs="Arial"/>
                <w:color w:val="000000"/>
                <w:spacing w:val="0"/>
                <w:w w:val="100"/>
                <w:position w:val="0"/>
                <w:sz w:val="14"/>
                <w:szCs w:val="14"/>
              </w:rPr>
              <w:t>-</w:t>
            </w:r>
          </w:p>
        </w:tc>
      </w:tr>
      <w:tr>
        <w:trPr>
          <w:trHeight w:val="73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5,190,731,373.20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1,690,505,038.03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910,259,932.08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29,716,047.05</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减：所得税费用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(1,029,946,431.86)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(596,283,890.05)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(15,028,241.34)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(4,090,763.38)</w:t>
            </w:r>
          </w:p>
        </w:tc>
      </w:tr>
      <w:tr>
        <w:trPr>
          <w:trHeight w:val="65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4,160,784,941.34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1,094,221,147.98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895,231,690.74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25,625,283.67</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归属于母公司所有者的净利润</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4,180,426,152.00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1,101,430,807.30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895,231,690.74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25,625,283.67</w:t>
            </w:r>
          </w:p>
        </w:tc>
      </w:tr>
      <w:tr>
        <w:trPr>
          <w:trHeight w:val="34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少数股东损益</w:t>
            </w:r>
          </w:p>
        </w:tc>
        <w:tc>
          <w:tcPr>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(19,641,210.66)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(7,209,659.32)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4"/>
                <w:szCs w:val="14"/>
              </w:rPr>
            </w:pPr>
            <w:r>
              <w:rPr>
                <w:rFonts w:ascii="Arial" w:eastAsia="Arial" w:hAnsi="Arial" w:cs="Arial"/>
                <w:color w:val="000000"/>
                <w:spacing w:val="0"/>
                <w:w w:val="100"/>
                <w:position w:val="0"/>
                <w:sz w:val="14"/>
                <w:szCs w:val="14"/>
              </w:rPr>
              <w:t>-</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left"/>
        <w:rPr>
          <w:sz w:val="22"/>
          <w:szCs w:val="22"/>
        </w:rPr>
      </w:pPr>
      <w:bookmarkStart w:id="480" w:name="bookmark480"/>
      <w:bookmarkStart w:id="481" w:name="bookmark481"/>
      <w:bookmarkStart w:id="482" w:name="bookmark482"/>
      <w:r>
        <w:rPr>
          <w:color w:val="000000"/>
          <w:spacing w:val="0"/>
          <w:w w:val="100"/>
          <w:position w:val="0"/>
          <w:sz w:val="22"/>
          <w:szCs w:val="22"/>
        </w:rPr>
        <w:t>顺丰控股股份有限公司</w:t>
      </w:r>
      <w:bookmarkEnd w:id="480"/>
      <w:bookmarkEnd w:id="481"/>
      <w:bookmarkEnd w:id="482"/>
    </w:p>
    <w:p>
      <w:pPr>
        <w:pStyle w:val="Style27"/>
        <w:keepNext/>
        <w:keepLines/>
        <w:widowControl w:val="0"/>
        <w:shd w:val="clear" w:color="auto" w:fill="auto"/>
        <w:bidi w:val="0"/>
        <w:spacing w:before="0" w:after="40" w:line="240" w:lineRule="auto"/>
        <w:ind w:left="0" w:right="0" w:firstLine="0"/>
        <w:jc w:val="left"/>
        <w:rPr>
          <w:sz w:val="28"/>
          <w:szCs w:val="28"/>
        </w:rPr>
      </w:pPr>
      <w:bookmarkStart w:id="480" w:name="bookmark480"/>
      <w:bookmarkStart w:id="481" w:name="bookmark481"/>
      <w:bookmarkStart w:id="483" w:name="bookmark483"/>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年度合并及公司利润表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480"/>
      <w:bookmarkEnd w:id="481"/>
      <w:bookmarkEnd w:id="483"/>
    </w:p>
    <w:p>
      <w:pPr>
        <w:pStyle w:val="Style33"/>
        <w:keepNext w:val="0"/>
        <w:keepLines w:val="0"/>
        <w:widowControl w:val="0"/>
        <w:shd w:val="clear" w:color="auto" w:fill="auto"/>
        <w:bidi w:val="0"/>
        <w:spacing w:before="0" w:after="42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tbl>
      <w:tblPr>
        <w:tblOverlap w:val="never"/>
        <w:jc w:val="center"/>
        <w:tblLayout w:type="fixed"/>
      </w:tblPr>
      <w:tblGrid>
        <w:gridCol w:w="2602"/>
        <w:gridCol w:w="648"/>
        <w:gridCol w:w="1517"/>
        <w:gridCol w:w="1555"/>
        <w:gridCol w:w="1522"/>
        <w:gridCol w:w="1219"/>
      </w:tblGrid>
      <w:tr>
        <w:trPr>
          <w:trHeight w:val="73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附注</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680"/>
              <w:jc w:val="lef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1020" w:right="0" w:firstLine="0"/>
              <w:jc w:val="left"/>
              <w:rPr>
                <w:sz w:val="13"/>
                <w:szCs w:val="13"/>
              </w:rPr>
            </w:pPr>
            <w:r>
              <w:rPr>
                <w:color w:val="000000"/>
                <w:spacing w:val="0"/>
                <w:w w:val="100"/>
                <w:position w:val="0"/>
                <w:sz w:val="13"/>
                <w:szCs w:val="13"/>
              </w:rPr>
              <w:t>合并</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640"/>
              <w:jc w:val="left"/>
              <w:rPr>
                <w:sz w:val="13"/>
                <w:szCs w:val="13"/>
              </w:rPr>
            </w:pPr>
            <w:r>
              <w:rPr>
                <w:rFonts w:ascii="Arial" w:eastAsia="Arial" w:hAnsi="Arial" w:cs="Arial"/>
                <w:color w:val="000000"/>
                <w:spacing w:val="0"/>
                <w:w w:val="100"/>
                <w:position w:val="0"/>
                <w:sz w:val="14"/>
                <w:szCs w:val="14"/>
              </w:rPr>
              <w:t>2015</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rPr>
              <w:t>合并</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580"/>
              <w:jc w:val="lef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公司</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rFonts w:ascii="Arial" w:eastAsia="Arial" w:hAnsi="Arial" w:cs="Arial"/>
                <w:color w:val="000000"/>
                <w:spacing w:val="0"/>
                <w:w w:val="100"/>
                <w:position w:val="0"/>
                <w:sz w:val="14"/>
                <w:szCs w:val="14"/>
              </w:rPr>
              <w:t>2015</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公司</w:t>
            </w:r>
          </w:p>
        </w:tc>
      </w:tr>
      <w:tr>
        <w:trPr>
          <w:trHeight w:val="43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五、其他综合收益的税后净额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203,850,248.75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57,305,783.92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归属于母公司股东的其他综合收益的</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税后净额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206,147,901.45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57,228,626.94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以后将重分类进损益的其他综合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206,147,901.45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57,228,626.94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可供出售金融资产公允价值变动</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17,094,595.27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(12,614,289.08)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外币财务报表折算差额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189,053,306.18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69,842,916.02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归属于少数股东的其他综合收益的税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后净额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(2,297,652.70)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77,156.98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六、综合收益总额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4,364,635,190.09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1,151,526,931.90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895,231,690.74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25,625,283.67</w:t>
            </w:r>
          </w:p>
        </w:tc>
      </w:tr>
    </w:tbl>
    <w:p>
      <w:pPr>
        <w:widowControl w:val="0"/>
        <w:spacing w:after="119" w:line="1" w:lineRule="exact"/>
      </w:pPr>
    </w:p>
    <w:p>
      <w:pPr>
        <w:widowControl w:val="0"/>
        <w:spacing w:line="1" w:lineRule="exact"/>
      </w:pPr>
    </w:p>
    <w:tbl>
      <w:tblPr>
        <w:tblOverlap w:val="never"/>
        <w:jc w:val="center"/>
        <w:tblLayout w:type="fixed"/>
      </w:tblPr>
      <w:tblGrid>
        <w:gridCol w:w="2534"/>
        <w:gridCol w:w="691"/>
        <w:gridCol w:w="1454"/>
        <w:gridCol w:w="1493"/>
        <w:gridCol w:w="1493"/>
        <w:gridCol w:w="1464"/>
      </w:tblGrid>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归属于母公司所有者的综合收益额</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4,386,574,053.45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1,158,659,434.24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895,231,690.74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25,625,283.67</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归属于少数股东的综合收益总额</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(21,938,863.36)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(7,132,502.34)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rPr>
                <w:sz w:val="14"/>
                <w:szCs w:val="14"/>
              </w:rPr>
            </w:pPr>
            <w:r>
              <w:rPr>
                <w:rFonts w:ascii="Arial" w:eastAsia="Arial" w:hAnsi="Arial" w:cs="Arial"/>
                <w:color w:val="000000"/>
                <w:spacing w:val="0"/>
                <w:w w:val="100"/>
                <w:position w:val="0"/>
                <w:sz w:val="14"/>
                <w:szCs w:val="14"/>
              </w:rPr>
              <w:t>-</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4"/>
                <w:szCs w:val="14"/>
              </w:rPr>
            </w:pPr>
            <w:r>
              <w:rPr>
                <w:rFonts w:ascii="Arial" w:eastAsia="Arial" w:hAnsi="Arial" w:cs="Arial"/>
                <w:color w:val="000000"/>
                <w:spacing w:val="0"/>
                <w:w w:val="100"/>
                <w:position w:val="0"/>
                <w:sz w:val="14"/>
                <w:szCs w:val="14"/>
              </w:rPr>
              <w:t>-</w:t>
            </w:r>
          </w:p>
        </w:tc>
      </w:tr>
      <w:tr>
        <w:trPr>
          <w:trHeight w:val="69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七、每股收益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3"/>
                <w:szCs w:val="13"/>
              </w:rPr>
              <w:t>基本每股收益</w:t>
            </w:r>
            <w:r>
              <w:rPr>
                <w:rFonts w:ascii="Arial" w:eastAsia="Arial" w:hAnsi="Arial" w:cs="Arial"/>
                <w:color w:val="000000"/>
                <w:spacing w:val="0"/>
                <w:w w:val="100"/>
                <w:position w:val="0"/>
                <w:sz w:val="14"/>
                <w:szCs w:val="14"/>
              </w:rPr>
              <w:t>（</w:t>
            </w:r>
            <w:r>
              <w:rPr>
                <w:color w:val="000000"/>
                <w:spacing w:val="0"/>
                <w:w w:val="100"/>
                <w:position w:val="0"/>
                <w:sz w:val="13"/>
                <w:szCs w:val="13"/>
              </w:rPr>
              <w:t>人民币元</w:t>
            </w:r>
            <w:r>
              <w:rPr>
                <w:color w:val="000000"/>
                <w:spacing w:val="0"/>
                <w:w w:val="100"/>
                <w:position w:val="0"/>
                <w:sz w:val="17"/>
                <w:szCs w:val="17"/>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1.06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不适用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不适用</w:t>
            </w: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3"/>
                <w:szCs w:val="13"/>
              </w:rPr>
              <w:t>稀释每股收益</w:t>
            </w:r>
            <w:r>
              <w:rPr>
                <w:rFonts w:ascii="Arial" w:eastAsia="Arial" w:hAnsi="Arial" w:cs="Arial"/>
                <w:color w:val="000000"/>
                <w:spacing w:val="0"/>
                <w:w w:val="100"/>
                <w:position w:val="0"/>
                <w:sz w:val="14"/>
                <w:szCs w:val="14"/>
              </w:rPr>
              <w:t>（</w:t>
            </w:r>
            <w:r>
              <w:rPr>
                <w:color w:val="000000"/>
                <w:spacing w:val="0"/>
                <w:w w:val="100"/>
                <w:position w:val="0"/>
                <w:sz w:val="13"/>
                <w:szCs w:val="13"/>
              </w:rPr>
              <w:t>人民币元</w:t>
            </w:r>
            <w:r>
              <w:rPr>
                <w:color w:val="000000"/>
                <w:spacing w:val="0"/>
                <w:w w:val="100"/>
                <w:position w:val="0"/>
                <w:sz w:val="17"/>
                <w:szCs w:val="17"/>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四</w:t>
            </w:r>
            <w:r>
              <w:rPr>
                <w:rFonts w:ascii="Arial" w:eastAsia="Arial" w:hAnsi="Arial" w:cs="Arial"/>
                <w:color w:val="000000"/>
                <w:spacing w:val="0"/>
                <w:w w:val="100"/>
                <w:position w:val="0"/>
                <w:sz w:val="14"/>
                <w:szCs w:val="14"/>
              </w:rPr>
              <w:t>(53)</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1.06</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0.28</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不适用</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不适用</w:t>
            </w:r>
          </w:p>
        </w:tc>
      </w:tr>
    </w:tbl>
    <w:p>
      <w:pPr>
        <w:widowControl w:val="0"/>
        <w:spacing w:after="699" w:line="1" w:lineRule="exact"/>
      </w:pPr>
    </w:p>
    <w:p>
      <w:pPr>
        <w:pStyle w:val="Style7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后附财务报表附注为财务报表的组成部分。</w:t>
      </w:r>
    </w:p>
    <w:p>
      <w:pPr>
        <w:pStyle w:val="Style73"/>
        <w:keepNext w:val="0"/>
        <w:keepLines w:val="0"/>
        <w:widowControl w:val="0"/>
        <w:shd w:val="clear" w:color="auto" w:fill="auto"/>
        <w:tabs>
          <w:tab w:pos="2981" w:val="left"/>
          <w:tab w:pos="6782" w:val="left"/>
        </w:tabs>
        <w:bidi w:val="0"/>
        <w:spacing w:before="0" w:line="240" w:lineRule="auto"/>
        <w:ind w:left="0" w:right="0" w:firstLine="0"/>
        <w:jc w:val="left"/>
      </w:pPr>
      <w:r>
        <w:rPr>
          <w:color w:val="000000"/>
          <w:spacing w:val="0"/>
          <w:w w:val="100"/>
          <w:position w:val="0"/>
        </w:rPr>
        <w:t>企业负责人：</w:t>
        <w:tab/>
        <w:t>主管会计工作的负责人：</w:t>
        <w:tab/>
        <w:t>会计机构负责人:</w:t>
      </w:r>
      <w:r>
        <w:br w:type="page"/>
      </w:r>
    </w:p>
    <w:p>
      <w:pPr>
        <w:pStyle w:val="Style27"/>
        <w:keepNext/>
        <w:keepLines/>
        <w:widowControl w:val="0"/>
        <w:shd w:val="clear" w:color="auto" w:fill="auto"/>
        <w:bidi w:val="0"/>
        <w:spacing w:before="0" w:after="360" w:line="240" w:lineRule="auto"/>
        <w:ind w:left="0" w:right="0" w:firstLine="0"/>
        <w:jc w:val="left"/>
        <w:rPr>
          <w:sz w:val="22"/>
          <w:szCs w:val="22"/>
        </w:rPr>
      </w:pPr>
      <w:bookmarkStart w:id="484" w:name="bookmark484"/>
      <w:bookmarkStart w:id="485" w:name="bookmark485"/>
      <w:bookmarkStart w:id="486" w:name="bookmark486"/>
      <w:r>
        <w:rPr>
          <w:color w:val="000000"/>
          <w:spacing w:val="0"/>
          <w:w w:val="100"/>
          <w:position w:val="0"/>
          <w:sz w:val="22"/>
          <w:szCs w:val="22"/>
        </w:rPr>
        <w:t>顺丰控股股份有限公司</w:t>
      </w:r>
      <w:bookmarkEnd w:id="484"/>
      <w:bookmarkEnd w:id="485"/>
      <w:bookmarkEnd w:id="486"/>
    </w:p>
    <w:p>
      <w:pPr>
        <w:pStyle w:val="Style27"/>
        <w:keepNext/>
        <w:keepLines/>
        <w:widowControl w:val="0"/>
        <w:shd w:val="clear" w:color="auto" w:fill="auto"/>
        <w:bidi w:val="0"/>
        <w:spacing w:before="0" w:after="40" w:line="240" w:lineRule="auto"/>
        <w:ind w:left="0" w:right="0" w:firstLine="0"/>
        <w:jc w:val="left"/>
        <w:rPr>
          <w:sz w:val="22"/>
          <w:szCs w:val="22"/>
        </w:rPr>
      </w:pPr>
      <w:bookmarkStart w:id="484" w:name="bookmark484"/>
      <w:bookmarkStart w:id="485" w:name="bookmark485"/>
      <w:bookmarkStart w:id="487" w:name="bookmark487"/>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年度合并及公司现金流量表</w:t>
      </w:r>
      <w:bookmarkEnd w:id="484"/>
      <w:bookmarkEnd w:id="485"/>
      <w:bookmarkEnd w:id="487"/>
    </w:p>
    <w:p>
      <w:pPr>
        <w:pStyle w:val="Style33"/>
        <w:keepNext w:val="0"/>
        <w:keepLines w:val="0"/>
        <w:widowControl w:val="0"/>
        <w:shd w:val="clear" w:color="auto" w:fill="auto"/>
        <w:bidi w:val="0"/>
        <w:spacing w:before="0" w:after="42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tbl>
      <w:tblPr>
        <w:tblOverlap w:val="never"/>
        <w:jc w:val="center"/>
        <w:tblLayout w:type="fixed"/>
      </w:tblPr>
      <w:tblGrid>
        <w:gridCol w:w="2803"/>
        <w:gridCol w:w="672"/>
        <w:gridCol w:w="1406"/>
        <w:gridCol w:w="1507"/>
        <w:gridCol w:w="1454"/>
        <w:gridCol w:w="1320"/>
      </w:tblGrid>
      <w:tr>
        <w:trPr>
          <w:trHeight w:val="72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center"/>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合并</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240" w:firstLine="0"/>
              <w:jc w:val="righ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合并</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560"/>
              <w:jc w:val="left"/>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公司</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年度</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公司</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―、经营活动产生的现金流量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60,171,836,524.16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48,505,481,563.80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392,365,095.26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535,058,821.81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收到的税费返还</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59,725,939.81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rPr>
              <w:t>42,373,323.47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收到其他与经营活动有关的现金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(56)(a)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41,718,960,264.06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38,092,161,328.16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1,652,214.11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4,203,725.80</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SimHei" w:eastAsia="SimHei" w:hAnsi="SimHei" w:cs="SimHei"/>
                <w:color w:val="000000"/>
                <w:spacing w:val="0"/>
                <w:w w:val="100"/>
                <w:position w:val="0"/>
                <w:sz w:val="13"/>
                <w:szCs w:val="13"/>
              </w:rPr>
              <w:t>经营活动现金流入小计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101,950,522,728.03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86,640,016,215.43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394,017,309.37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539,262,547.61</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购买商品、接受劳务支付的现金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(30,733,102,010.37)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(19,289,094,256.89)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(258,148,215.42)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(400,907,098.12)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客户贷款净增加额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(376,368,859.06)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(272,206,230.83)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存放中央银行款项净增加额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(223,011,006.14)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应收保理款净增加额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(248,627,321.39)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(15,550,391,479.59)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(19,943,767,473.64)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(26,677,135.25)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(29,959,690.22)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支付的各项税费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(2,629,689,263.41)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(2,022,877,431.79)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(26,388,322.73)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(19,397,146.74)</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支付其他与经营活动有关的现金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(56)(b)</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(46,762,922,323.59)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(42,081,361,668.34)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(33,394,276.67)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(32,222,932.59)</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SimHei" w:eastAsia="SimHei" w:hAnsi="SimHei" w:cs="SimHei"/>
                <w:color w:val="000000"/>
                <w:spacing w:val="0"/>
                <w:w w:val="100"/>
                <w:position w:val="0"/>
                <w:sz w:val="13"/>
                <w:szCs w:val="13"/>
              </w:rPr>
              <w:t>经营活动现金流出小计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(96,275,484,942.16)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(83,857,934,382.88)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(344,607,950.07)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(482,486,867.67)</w:t>
            </w:r>
          </w:p>
        </w:tc>
      </w:tr>
      <w:tr>
        <w:trPr>
          <w:trHeight w:val="2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SimHei" w:eastAsia="SimHei" w:hAnsi="SimHei" w:cs="SimHei"/>
                <w:color w:val="000000"/>
                <w:spacing w:val="0"/>
                <w:w w:val="100"/>
                <w:position w:val="0"/>
                <w:sz w:val="13"/>
                <w:szCs w:val="13"/>
              </w:rPr>
              <w:t>经营活动产生的现金流量净额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(57)(a)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5,675,037,785.87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2,782,081,832.55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49,409,359.30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56,775,679.94</w:t>
            </w:r>
          </w:p>
        </w:tc>
      </w:tr>
      <w:tr>
        <w:trPr>
          <w:trHeight w:val="70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二、投资活动使用的现金流量</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收回投资所收到的现金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1,275,580,807.29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1,089,575,302.45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50,000.00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368,232,124.37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548,814,550.79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59,000.00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1,019,575.03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取得子公司收到的现金净额</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(57)(b)</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110,652,843.66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处置固定资产和其他长期资产收回的现金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31,189,603.97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rPr>
              <w:t>18,252,834.02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处置子公司及其他营业单位收到的现金净额</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(57)(b)</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642,077,960.96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145,772,292.81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26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收到其他与投资活动有关的现金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(56)(c)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92,450,403,185.99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92,092,946,400.00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47,500,000.00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55,500,000.00</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SimHei" w:eastAsia="SimHei" w:hAnsi="SimHei" w:cs="SimHei"/>
                <w:color w:val="000000"/>
                <w:spacing w:val="0"/>
                <w:w w:val="100"/>
                <w:position w:val="0"/>
                <w:sz w:val="13"/>
                <w:szCs w:val="13"/>
              </w:rPr>
              <w:t>投资活动现金流入小计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94,878,136,526.24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93,895,361,380.07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47,609,000.00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56,519,575.03</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购建固定资产和其他长期资产支付的现金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(4,861,856,960.33)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(5,412,722,865.85)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(2,617,460.80)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(4,192,659.07)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投资支付的现金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(1,844,011,786.37)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(1,947,737,977.27)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(10,000,000.00)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rPr>
                <w:sz w:val="13"/>
                <w:szCs w:val="13"/>
              </w:rPr>
            </w:pPr>
            <w:r>
              <w:rPr>
                <w:rFonts w:ascii="Arial" w:eastAsia="Arial" w:hAnsi="Arial" w:cs="Arial"/>
                <w:color w:val="000000"/>
                <w:spacing w:val="0"/>
                <w:w w:val="100"/>
                <w:position w:val="0"/>
                <w:sz w:val="13"/>
                <w:szCs w:val="13"/>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取得子公司支付的现金净额</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(57)(b)</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(104,830,056.92)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rPr>
              <w:t>-</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支付其他与投资活动有关的现金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(56)(d)</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(91,887,000,000.00)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(91,683,440,842.47)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(47,500,000.00)</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SimHei" w:eastAsia="SimHei" w:hAnsi="SimHei" w:cs="SimHei"/>
                <w:color w:val="000000"/>
                <w:spacing w:val="0"/>
                <w:w w:val="100"/>
                <w:position w:val="0"/>
                <w:sz w:val="13"/>
                <w:szCs w:val="13"/>
              </w:rPr>
              <w:t>投资活动现金流出小计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(98,592,868,746.70)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(99,148,731,742.51)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(12,617,460.80)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(51,692,659.07)</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SimHei" w:eastAsia="SimHei" w:hAnsi="SimHei" w:cs="SimHei"/>
                <w:color w:val="000000"/>
                <w:spacing w:val="0"/>
                <w:w w:val="100"/>
                <w:position w:val="0"/>
                <w:sz w:val="13"/>
                <w:szCs w:val="13"/>
              </w:rPr>
              <w:t>投资活动</w:t>
            </w:r>
            <w:r>
              <w:rPr>
                <w:color w:val="000000"/>
                <w:spacing w:val="0"/>
                <w:w w:val="100"/>
                <w:position w:val="0"/>
                <w:sz w:val="15"/>
                <w:szCs w:val="15"/>
              </w:rPr>
              <w:t>（</w:t>
            </w:r>
            <w:r>
              <w:rPr>
                <w:rFonts w:ascii="SimHei" w:eastAsia="SimHei" w:hAnsi="SimHei" w:cs="SimHei"/>
                <w:color w:val="000000"/>
                <w:spacing w:val="0"/>
                <w:w w:val="100"/>
                <w:position w:val="0"/>
                <w:sz w:val="13"/>
                <w:szCs w:val="13"/>
              </w:rPr>
              <w:t>使用</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产生的现金流量净额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(3,714,732,220.46)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(5,253,370,362.44)</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34,991,539.20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4,826,915.96</w:t>
            </w:r>
          </w:p>
        </w:tc>
      </w:tr>
    </w:tbl>
    <w:p>
      <w:pPr>
        <w:sectPr>
          <w:footnotePr>
            <w:pos w:val="pageBottom"/>
            <w:numFmt w:val="decimal"/>
            <w:numRestart w:val="continuous"/>
          </w:footnotePr>
          <w:type w:val="continuous"/>
          <w:pgSz w:w="11900" w:h="16840"/>
          <w:pgMar w:top="1170" w:right="1043" w:bottom="2284" w:left="1688" w:header="0" w:footer="3"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pgSz w:w="11900" w:h="16840"/>
          <w:pgMar w:top="1039" w:right="1101" w:bottom="977" w:left="1675" w:header="0" w:footer="3" w:gutter="0"/>
          <w:cols w:space="720"/>
          <w:noEndnote/>
          <w:rtlGutter w:val="0"/>
          <w:docGrid w:linePitch="360"/>
        </w:sectPr>
      </w:pPr>
    </w:p>
    <w:p>
      <w:pPr>
        <w:pStyle w:val="Style27"/>
        <w:keepNext/>
        <w:keepLines/>
        <w:framePr w:w="2438" w:h="288" w:wrap="none" w:vAnchor="text" w:hAnchor="page" w:x="1680" w:y="21"/>
        <w:widowControl w:val="0"/>
        <w:shd w:val="clear" w:color="auto" w:fill="auto"/>
        <w:bidi w:val="0"/>
        <w:spacing w:before="0" w:after="0" w:line="240" w:lineRule="auto"/>
        <w:ind w:left="0" w:right="0" w:firstLine="0"/>
        <w:jc w:val="left"/>
        <w:rPr>
          <w:sz w:val="22"/>
          <w:szCs w:val="22"/>
        </w:rPr>
      </w:pPr>
      <w:bookmarkStart w:id="488" w:name="bookmark488"/>
      <w:bookmarkStart w:id="489" w:name="bookmark489"/>
      <w:bookmarkStart w:id="490" w:name="bookmark490"/>
      <w:r>
        <w:rPr>
          <w:color w:val="000000"/>
          <w:spacing w:val="0"/>
          <w:w w:val="100"/>
          <w:position w:val="0"/>
          <w:sz w:val="22"/>
          <w:szCs w:val="22"/>
        </w:rPr>
        <w:t>顺丰控股股份有限公司</w:t>
      </w:r>
      <w:bookmarkEnd w:id="488"/>
      <w:bookmarkEnd w:id="489"/>
      <w:bookmarkEnd w:id="490"/>
    </w:p>
    <w:p>
      <w:pPr>
        <w:pStyle w:val="Style27"/>
        <w:keepNext/>
        <w:keepLines/>
        <w:framePr w:w="4042" w:h="686" w:wrap="none" w:vAnchor="text" w:hAnchor="page" w:x="1676" w:y="591"/>
        <w:widowControl w:val="0"/>
        <w:shd w:val="clear" w:color="auto" w:fill="auto"/>
        <w:bidi w:val="0"/>
        <w:spacing w:before="0" w:after="40" w:line="240" w:lineRule="auto"/>
        <w:ind w:left="0" w:right="0" w:firstLine="0"/>
        <w:jc w:val="left"/>
        <w:rPr>
          <w:sz w:val="28"/>
          <w:szCs w:val="28"/>
        </w:rPr>
      </w:pPr>
      <w:bookmarkStart w:id="491" w:name="bookmark491"/>
      <w:bookmarkStart w:id="492" w:name="bookmark492"/>
      <w:bookmarkStart w:id="493" w:name="bookmark493"/>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年度合并及公司现金流量表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491"/>
      <w:bookmarkEnd w:id="492"/>
      <w:bookmarkEnd w:id="493"/>
    </w:p>
    <w:p>
      <w:pPr>
        <w:pStyle w:val="Style33"/>
        <w:keepNext w:val="0"/>
        <w:keepLines w:val="0"/>
        <w:framePr w:w="4042" w:h="686" w:wrap="none" w:vAnchor="text" w:hAnchor="page" w:x="1676" w:y="591"/>
        <w:widowControl w:val="0"/>
        <w:shd w:val="clear" w:color="auto" w:fill="auto"/>
        <w:bidi w:val="0"/>
        <w:spacing w:before="0" w:after="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tbl>
      <w:tblPr>
        <w:tblOverlap w:val="never"/>
        <w:jc w:val="left"/>
        <w:tblLayout w:type="fixed"/>
      </w:tblPr>
      <w:tblGrid>
        <w:gridCol w:w="1008"/>
        <w:gridCol w:w="1454"/>
        <w:gridCol w:w="1474"/>
        <w:gridCol w:w="1454"/>
        <w:gridCol w:w="1469"/>
        <w:gridCol w:w="1046"/>
      </w:tblGrid>
      <w:tr>
        <w:trPr>
          <w:trHeight w:val="250" w:hRule="exact"/>
        </w:trPr>
        <w:tc>
          <w:tcPr>
            <w:tcBorders/>
            <w:shd w:val="clear" w:color="auto" w:fill="FFFFFF"/>
            <w:vAlign w:val="top"/>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项目</w:t>
            </w:r>
          </w:p>
        </w:tc>
        <w:tc>
          <w:tcPr>
            <w:tcBorders/>
            <w:shd w:val="clear" w:color="auto" w:fill="FFFFFF"/>
            <w:vAlign w:val="top"/>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附注</w:t>
            </w:r>
          </w:p>
        </w:tc>
        <w:tc>
          <w:tcPr>
            <w:tcBorders/>
            <w:shd w:val="clear" w:color="auto" w:fill="FFFFFF"/>
            <w:vAlign w:val="top"/>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年度</w:t>
            </w:r>
          </w:p>
        </w:tc>
        <w:tc>
          <w:tcPr>
            <w:tcBorders/>
            <w:shd w:val="clear" w:color="auto" w:fill="FFFFFF"/>
            <w:vAlign w:val="top"/>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年度</w:t>
            </w:r>
          </w:p>
        </w:tc>
        <w:tc>
          <w:tcPr>
            <w:tcBorders/>
            <w:shd w:val="clear" w:color="auto" w:fill="FFFFFF"/>
            <w:vAlign w:val="top"/>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年度</w:t>
            </w:r>
          </w:p>
        </w:tc>
        <w:tc>
          <w:tcPr>
            <w:tcBorders/>
            <w:shd w:val="clear" w:color="auto" w:fill="FFFFFF"/>
            <w:vAlign w:val="top"/>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年度</w:t>
            </w:r>
          </w:p>
        </w:tc>
      </w:tr>
      <w:tr>
        <w:trPr>
          <w:trHeight w:val="250" w:hRule="exact"/>
        </w:trPr>
        <w:tc>
          <w:tcPr>
            <w:tcBorders/>
            <w:shd w:val="clear" w:color="auto" w:fill="FFFFFF"/>
            <w:vAlign w:val="top"/>
          </w:tcPr>
          <w:p>
            <w:pPr>
              <w:framePr w:w="7906" w:h="499" w:wrap="none" w:vAnchor="text" w:hAnchor="page" w:x="2799" w:y="1691"/>
              <w:widowControl w:val="0"/>
              <w:rPr>
                <w:sz w:val="10"/>
                <w:szCs w:val="10"/>
              </w:rPr>
            </w:pPr>
          </w:p>
        </w:tc>
        <w:tc>
          <w:tcPr>
            <w:tcBorders/>
            <w:shd w:val="clear" w:color="auto" w:fill="FFFFFF"/>
            <w:vAlign w:val="top"/>
          </w:tcPr>
          <w:p>
            <w:pPr>
              <w:framePr w:w="7906" w:h="499" w:wrap="none" w:vAnchor="text" w:hAnchor="page" w:x="2799" w:y="1691"/>
              <w:widowControl w:val="0"/>
              <w:rPr>
                <w:sz w:val="10"/>
                <w:szCs w:val="10"/>
              </w:rPr>
            </w:pPr>
          </w:p>
        </w:tc>
        <w:tc>
          <w:tcPr>
            <w:tcBorders/>
            <w:shd w:val="clear" w:color="auto" w:fill="FFFFFF"/>
            <w:vAlign w:val="bottom"/>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合并</w:t>
            </w:r>
          </w:p>
        </w:tc>
        <w:tc>
          <w:tcPr>
            <w:tcBorders/>
            <w:shd w:val="clear" w:color="auto" w:fill="FFFFFF"/>
            <w:vAlign w:val="bottom"/>
          </w:tcPr>
          <w:p>
            <w:pPr>
              <w:pStyle w:val="Style23"/>
              <w:keepNext w:val="0"/>
              <w:keepLines w:val="0"/>
              <w:framePr w:w="7906" w:h="499" w:wrap="none" w:vAnchor="text" w:hAnchor="page" w:x="2799" w:y="1691"/>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合并</w:t>
            </w:r>
          </w:p>
        </w:tc>
        <w:tc>
          <w:tcPr>
            <w:tcBorders/>
            <w:shd w:val="clear" w:color="auto" w:fill="FFFFFF"/>
            <w:vAlign w:val="bottom"/>
          </w:tcPr>
          <w:p>
            <w:pPr>
              <w:pStyle w:val="Style23"/>
              <w:keepNext w:val="0"/>
              <w:keepLines w:val="0"/>
              <w:framePr w:w="7906" w:h="499" w:wrap="none" w:vAnchor="text" w:hAnchor="page" w:x="2799" w:y="1691"/>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公司</w:t>
            </w:r>
          </w:p>
        </w:tc>
        <w:tc>
          <w:tcPr>
            <w:tcBorders/>
            <w:shd w:val="clear" w:color="auto" w:fill="FFFFFF"/>
            <w:vAlign w:val="bottom"/>
          </w:tcPr>
          <w:p>
            <w:pPr>
              <w:pStyle w:val="Style23"/>
              <w:keepNext w:val="0"/>
              <w:keepLines w:val="0"/>
              <w:framePr w:w="7906" w:h="499" w:wrap="none" w:vAnchor="text" w:hAnchor="page" w:x="2799" w:y="169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公司</w:t>
            </w:r>
          </w:p>
        </w:tc>
      </w:tr>
    </w:tbl>
    <w:p>
      <w:pPr>
        <w:framePr w:w="7906" w:h="499" w:wrap="none" w:vAnchor="text" w:hAnchor="page" w:x="2799" w:y="1691"/>
        <w:widowControl w:val="0"/>
        <w:spacing w:line="1" w:lineRule="exact"/>
      </w:pPr>
    </w:p>
    <w:p>
      <w:pPr>
        <w:pStyle w:val="Style23"/>
        <w:keepNext w:val="0"/>
        <w:keepLines w:val="0"/>
        <w:framePr w:w="1723" w:h="182" w:wrap="none" w:vAnchor="text" w:hAnchor="page" w:x="1680" w:y="2651"/>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三、筹资活动产生的现金流量</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260"/>
        <w:jc w:val="both"/>
        <w:rPr>
          <w:sz w:val="13"/>
          <w:szCs w:val="13"/>
        </w:rPr>
      </w:pPr>
      <w:r>
        <w:rPr>
          <w:color w:val="000000"/>
          <w:spacing w:val="0"/>
          <w:w w:val="100"/>
          <w:position w:val="0"/>
          <w:sz w:val="13"/>
          <w:szCs w:val="13"/>
        </w:rPr>
        <w:t>吸收投资收到的现金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840" w:right="0" w:hanging="400"/>
        <w:jc w:val="both"/>
        <w:rPr>
          <w:sz w:val="13"/>
          <w:szCs w:val="13"/>
        </w:rPr>
      </w:pPr>
      <w:r>
        <w:rPr>
          <w:color w:val="000000"/>
          <w:spacing w:val="0"/>
          <w:w w:val="100"/>
          <w:position w:val="0"/>
          <w:sz w:val="13"/>
          <w:szCs w:val="13"/>
        </w:rPr>
        <w:t>其中：子公司吸收少数股东投资收到 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260"/>
        <w:jc w:val="both"/>
        <w:rPr>
          <w:sz w:val="13"/>
          <w:szCs w:val="13"/>
        </w:rPr>
      </w:pPr>
      <w:r>
        <w:rPr>
          <w:color w:val="000000"/>
          <w:spacing w:val="0"/>
          <w:w w:val="100"/>
          <w:position w:val="0"/>
          <w:sz w:val="13"/>
          <w:szCs w:val="13"/>
        </w:rPr>
        <w:t>取得借款收到的现金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260"/>
        <w:jc w:val="both"/>
        <w:rPr>
          <w:sz w:val="13"/>
          <w:szCs w:val="13"/>
        </w:rPr>
      </w:pPr>
      <w:r>
        <w:rPr>
          <w:color w:val="000000"/>
          <w:spacing w:val="0"/>
          <w:w w:val="100"/>
          <w:position w:val="0"/>
          <w:sz w:val="13"/>
          <w:szCs w:val="13"/>
        </w:rPr>
        <w:t>收到其他与筹资活动有关的现金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520"/>
        <w:jc w:val="left"/>
        <w:rPr>
          <w:sz w:val="13"/>
          <w:szCs w:val="13"/>
        </w:rPr>
      </w:pPr>
      <w:r>
        <w:rPr>
          <w:rFonts w:ascii="SimHei" w:eastAsia="SimHei" w:hAnsi="SimHei" w:cs="SimHei"/>
          <w:color w:val="000000"/>
          <w:spacing w:val="0"/>
          <w:w w:val="100"/>
          <w:position w:val="0"/>
          <w:sz w:val="13"/>
          <w:szCs w:val="13"/>
        </w:rPr>
        <w:t>筹资活动现金流入小计</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260"/>
        <w:jc w:val="both"/>
        <w:rPr>
          <w:sz w:val="13"/>
          <w:szCs w:val="13"/>
        </w:rPr>
      </w:pPr>
      <w:r>
        <w:rPr>
          <w:color w:val="000000"/>
          <w:spacing w:val="0"/>
          <w:w w:val="100"/>
          <w:position w:val="0"/>
          <w:sz w:val="13"/>
          <w:szCs w:val="13"/>
        </w:rPr>
        <w:t>偿还债务支付的现金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260"/>
        <w:jc w:val="both"/>
        <w:rPr>
          <w:sz w:val="13"/>
          <w:szCs w:val="13"/>
        </w:rPr>
      </w:pPr>
      <w:r>
        <w:rPr>
          <w:color w:val="000000"/>
          <w:spacing w:val="0"/>
          <w:w w:val="100"/>
          <w:position w:val="0"/>
          <w:sz w:val="13"/>
          <w:szCs w:val="13"/>
        </w:rPr>
        <w:t>分配股利、利润或偿付利息支付的现金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260"/>
        <w:jc w:val="both"/>
        <w:rPr>
          <w:sz w:val="13"/>
          <w:szCs w:val="13"/>
        </w:rPr>
      </w:pPr>
      <w:r>
        <w:rPr>
          <w:color w:val="000000"/>
          <w:spacing w:val="0"/>
          <w:w w:val="100"/>
          <w:position w:val="0"/>
          <w:sz w:val="13"/>
          <w:szCs w:val="13"/>
        </w:rPr>
        <w:t>支付其他与筹资活动有关的现金</w:t>
      </w:r>
    </w:p>
    <w:p>
      <w:pPr>
        <w:pStyle w:val="Style23"/>
        <w:keepNext w:val="0"/>
        <w:keepLines w:val="0"/>
        <w:framePr w:w="2544" w:h="5870" w:wrap="none" w:vAnchor="text" w:hAnchor="page" w:x="1680" w:y="2838"/>
        <w:widowControl w:val="0"/>
        <w:shd w:val="clear" w:color="auto" w:fill="auto"/>
        <w:bidi w:val="0"/>
        <w:spacing w:before="0" w:after="0" w:line="317" w:lineRule="exact"/>
        <w:ind w:left="0" w:right="0" w:firstLine="520"/>
        <w:jc w:val="left"/>
        <w:rPr>
          <w:sz w:val="13"/>
          <w:szCs w:val="13"/>
        </w:rPr>
      </w:pPr>
      <w:r>
        <w:rPr>
          <w:rFonts w:ascii="SimHei" w:eastAsia="SimHei" w:hAnsi="SimHei" w:cs="SimHei"/>
          <w:color w:val="000000"/>
          <w:spacing w:val="0"/>
          <w:w w:val="100"/>
          <w:position w:val="0"/>
          <w:sz w:val="13"/>
          <w:szCs w:val="13"/>
        </w:rPr>
        <w:t>筹资活动现金流出小计</w:t>
      </w:r>
    </w:p>
    <w:p>
      <w:pPr>
        <w:pStyle w:val="Style23"/>
        <w:keepNext w:val="0"/>
        <w:keepLines w:val="0"/>
        <w:framePr w:w="2544" w:h="5870" w:wrap="none" w:vAnchor="text" w:hAnchor="page" w:x="1680" w:y="2838"/>
        <w:widowControl w:val="0"/>
        <w:shd w:val="clear" w:color="auto" w:fill="auto"/>
        <w:bidi w:val="0"/>
        <w:spacing w:before="0" w:after="320" w:line="317" w:lineRule="exact"/>
        <w:ind w:left="0" w:right="0" w:firstLine="260"/>
        <w:jc w:val="both"/>
        <w:rPr>
          <w:sz w:val="13"/>
          <w:szCs w:val="13"/>
        </w:rPr>
      </w:pPr>
      <w:r>
        <w:rPr>
          <w:rFonts w:ascii="SimHei" w:eastAsia="SimHei" w:hAnsi="SimHei" w:cs="SimHei"/>
          <w:color w:val="000000"/>
          <w:spacing w:val="0"/>
          <w:w w:val="100"/>
          <w:position w:val="0"/>
          <w:sz w:val="13"/>
          <w:szCs w:val="13"/>
        </w:rPr>
        <w:t>筹资活动产生</w:t>
      </w:r>
      <w:r>
        <w:rPr>
          <w:rFonts w:ascii="Arial" w:eastAsia="Arial" w:hAnsi="Arial" w:cs="Arial"/>
          <w:color w:val="000000"/>
          <w:spacing w:val="0"/>
          <w:w w:val="100"/>
          <w:position w:val="0"/>
          <w:sz w:val="13"/>
          <w:szCs w:val="13"/>
        </w:rPr>
        <w:t>/</w:t>
      </w:r>
      <w:r>
        <w:rPr>
          <w:color w:val="000000"/>
          <w:spacing w:val="0"/>
          <w:w w:val="100"/>
          <w:position w:val="0"/>
          <w:sz w:val="15"/>
          <w:szCs w:val="15"/>
        </w:rPr>
        <w:t>（</w:t>
      </w:r>
      <w:r>
        <w:rPr>
          <w:rFonts w:ascii="SimHei" w:eastAsia="SimHei" w:hAnsi="SimHei" w:cs="SimHei"/>
          <w:color w:val="000000"/>
          <w:spacing w:val="0"/>
          <w:w w:val="100"/>
          <w:position w:val="0"/>
          <w:sz w:val="13"/>
          <w:szCs w:val="13"/>
        </w:rPr>
        <w:t>使用</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的现金流量净额</w:t>
      </w:r>
    </w:p>
    <w:p>
      <w:pPr>
        <w:pStyle w:val="Style23"/>
        <w:keepNext w:val="0"/>
        <w:keepLines w:val="0"/>
        <w:framePr w:w="2544" w:h="5870" w:wrap="none" w:vAnchor="text" w:hAnchor="page" w:x="1680" w:y="2838"/>
        <w:widowControl w:val="0"/>
        <w:shd w:val="clear" w:color="auto" w:fill="auto"/>
        <w:tabs>
          <w:tab w:pos="254" w:val="left"/>
        </w:tabs>
        <w:bidi w:val="0"/>
        <w:spacing w:before="0" w:after="320" w:line="317" w:lineRule="exact"/>
        <w:ind w:left="0" w:right="0" w:firstLine="0"/>
        <w:jc w:val="left"/>
        <w:rPr>
          <w:sz w:val="13"/>
          <w:szCs w:val="13"/>
        </w:rPr>
      </w:pPr>
      <w:bookmarkStart w:id="494" w:name="bookmark494"/>
      <w:r>
        <w:rPr>
          <w:rFonts w:ascii="SimHei" w:eastAsia="SimHei" w:hAnsi="SimHei" w:cs="SimHei"/>
          <w:color w:val="000000"/>
          <w:spacing w:val="0"/>
          <w:w w:val="100"/>
          <w:position w:val="0"/>
          <w:sz w:val="13"/>
          <w:szCs w:val="13"/>
        </w:rPr>
        <w:t>四</w:t>
      </w:r>
      <w:bookmarkEnd w:id="494"/>
      <w:r>
        <w:rPr>
          <w:rFonts w:ascii="SimHei" w:eastAsia="SimHei" w:hAnsi="SimHei" w:cs="SimHei"/>
          <w:color w:val="000000"/>
          <w:spacing w:val="0"/>
          <w:w w:val="100"/>
          <w:position w:val="0"/>
          <w:sz w:val="13"/>
          <w:szCs w:val="13"/>
        </w:rPr>
        <w:t>、</w:t>
        <w:tab/>
        <w:t>汇率变动对现金及现金等价物的影响</w:t>
      </w:r>
    </w:p>
    <w:p>
      <w:pPr>
        <w:pStyle w:val="Style23"/>
        <w:keepNext w:val="0"/>
        <w:keepLines w:val="0"/>
        <w:framePr w:w="2544" w:h="5870" w:wrap="none" w:vAnchor="text" w:hAnchor="page" w:x="1680" w:y="2838"/>
        <w:widowControl w:val="0"/>
        <w:shd w:val="clear" w:color="auto" w:fill="auto"/>
        <w:tabs>
          <w:tab w:pos="254" w:val="left"/>
        </w:tabs>
        <w:bidi w:val="0"/>
        <w:spacing w:before="0" w:after="0" w:line="317" w:lineRule="exact"/>
        <w:ind w:left="0" w:right="0" w:firstLine="0"/>
        <w:jc w:val="left"/>
        <w:rPr>
          <w:sz w:val="13"/>
          <w:szCs w:val="13"/>
        </w:rPr>
      </w:pPr>
      <w:bookmarkStart w:id="495" w:name="bookmark495"/>
      <w:r>
        <w:rPr>
          <w:rFonts w:ascii="SimHei" w:eastAsia="SimHei" w:hAnsi="SimHei" w:cs="SimHei"/>
          <w:color w:val="000000"/>
          <w:spacing w:val="0"/>
          <w:w w:val="100"/>
          <w:position w:val="0"/>
          <w:sz w:val="13"/>
          <w:szCs w:val="13"/>
        </w:rPr>
        <w:t>五</w:t>
      </w:r>
      <w:bookmarkEnd w:id="495"/>
      <w:r>
        <w:rPr>
          <w:rFonts w:ascii="SimHei" w:eastAsia="SimHei" w:hAnsi="SimHei" w:cs="SimHei"/>
          <w:color w:val="000000"/>
          <w:spacing w:val="0"/>
          <w:w w:val="100"/>
          <w:position w:val="0"/>
          <w:sz w:val="13"/>
          <w:szCs w:val="13"/>
        </w:rPr>
        <w:t>、</w:t>
        <w:tab/>
        <w:t>现金及现金等价物净增加</w:t>
      </w:r>
      <w:r>
        <w:rPr>
          <w:rFonts w:ascii="Arial" w:eastAsia="Arial" w:hAnsi="Arial" w:cs="Arial"/>
          <w:color w:val="000000"/>
          <w:spacing w:val="0"/>
          <w:w w:val="100"/>
          <w:position w:val="0"/>
          <w:sz w:val="13"/>
          <w:szCs w:val="13"/>
        </w:rPr>
        <w:t>/</w:t>
      </w:r>
      <w:r>
        <w:rPr>
          <w:color w:val="000000"/>
          <w:spacing w:val="0"/>
          <w:w w:val="100"/>
          <w:position w:val="0"/>
          <w:sz w:val="15"/>
          <w:szCs w:val="15"/>
        </w:rPr>
        <w:t>（</w:t>
      </w:r>
      <w:r>
        <w:rPr>
          <w:rFonts w:ascii="SimHei" w:eastAsia="SimHei" w:hAnsi="SimHei" w:cs="SimHei"/>
          <w:color w:val="000000"/>
          <w:spacing w:val="0"/>
          <w:w w:val="100"/>
          <w:position w:val="0"/>
          <w:sz w:val="13"/>
          <w:szCs w:val="13"/>
        </w:rPr>
        <w:t>减少</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额</w:t>
      </w:r>
    </w:p>
    <w:p>
      <w:pPr>
        <w:pStyle w:val="Style23"/>
        <w:keepNext w:val="0"/>
        <w:keepLines w:val="0"/>
        <w:framePr w:w="2544" w:h="5870" w:wrap="none" w:vAnchor="text" w:hAnchor="page" w:x="1680" w:y="2838"/>
        <w:widowControl w:val="0"/>
        <w:shd w:val="clear" w:color="auto" w:fill="auto"/>
        <w:bidi w:val="0"/>
        <w:spacing w:before="0" w:after="320" w:line="317" w:lineRule="exact"/>
        <w:ind w:left="0" w:right="0" w:firstLine="260"/>
        <w:jc w:val="both"/>
        <w:rPr>
          <w:sz w:val="13"/>
          <w:szCs w:val="13"/>
        </w:rPr>
      </w:pPr>
      <w:r>
        <w:rPr>
          <w:rFonts w:ascii="SimHei" w:eastAsia="SimHei" w:hAnsi="SimHei" w:cs="SimHei"/>
          <w:color w:val="000000"/>
          <w:spacing w:val="0"/>
          <w:w w:val="100"/>
          <w:position w:val="0"/>
          <w:sz w:val="13"/>
          <w:szCs w:val="13"/>
        </w:rPr>
        <w:t>力口：年初现金及现金等价物余额</w:t>
      </w:r>
    </w:p>
    <w:p>
      <w:pPr>
        <w:pStyle w:val="Style23"/>
        <w:keepNext w:val="0"/>
        <w:keepLines w:val="0"/>
        <w:framePr w:w="2544" w:h="5870" w:wrap="none" w:vAnchor="text" w:hAnchor="page" w:x="1680" w:y="2838"/>
        <w:widowControl w:val="0"/>
        <w:shd w:val="clear" w:color="auto" w:fill="auto"/>
        <w:tabs>
          <w:tab w:pos="254" w:val="left"/>
        </w:tabs>
        <w:bidi w:val="0"/>
        <w:spacing w:before="0" w:after="0" w:line="317" w:lineRule="exact"/>
        <w:ind w:left="0" w:right="0" w:firstLine="0"/>
        <w:jc w:val="left"/>
        <w:rPr>
          <w:sz w:val="13"/>
          <w:szCs w:val="13"/>
        </w:rPr>
      </w:pPr>
      <w:bookmarkStart w:id="496" w:name="bookmark496"/>
      <w:r>
        <w:rPr>
          <w:rFonts w:ascii="SimHei" w:eastAsia="SimHei" w:hAnsi="SimHei" w:cs="SimHei"/>
          <w:color w:val="000000"/>
          <w:spacing w:val="0"/>
          <w:w w:val="100"/>
          <w:position w:val="0"/>
          <w:sz w:val="13"/>
          <w:szCs w:val="13"/>
        </w:rPr>
        <w:t>六</w:t>
      </w:r>
      <w:bookmarkEnd w:id="496"/>
      <w:r>
        <w:rPr>
          <w:rFonts w:ascii="SimHei" w:eastAsia="SimHei" w:hAnsi="SimHei" w:cs="SimHei"/>
          <w:color w:val="000000"/>
          <w:spacing w:val="0"/>
          <w:w w:val="100"/>
          <w:position w:val="0"/>
          <w:sz w:val="13"/>
          <w:szCs w:val="13"/>
        </w:rPr>
        <w:t>、</w:t>
        <w:tab/>
        <w:t>年末现金及现金等价物余额</w:t>
      </w:r>
    </w:p>
    <w:tbl>
      <w:tblPr>
        <w:tblOverlap w:val="never"/>
        <w:jc w:val="left"/>
        <w:tblLayout w:type="fixed"/>
      </w:tblPr>
      <w:tblGrid>
        <w:gridCol w:w="605"/>
        <w:gridCol w:w="1498"/>
        <w:gridCol w:w="1517"/>
        <w:gridCol w:w="1483"/>
        <w:gridCol w:w="1296"/>
      </w:tblGrid>
      <w:tr>
        <w:trPr>
          <w:trHeight w:val="653" w:hRule="exact"/>
        </w:trPr>
        <w:tc>
          <w:tcPr>
            <w:vMerge w:val="restart"/>
            <w:tcBorders/>
            <w:shd w:val="clear" w:color="auto" w:fill="FFFFFF"/>
            <w:vAlign w:val="top"/>
          </w:tcPr>
          <w:p>
            <w:pPr>
              <w:framePr w:w="6398" w:h="5563" w:vSpace="187" w:wrap="none" w:vAnchor="text" w:hAnchor="page" w:x="4402" w:y="3169"/>
              <w:widowControl w:val="0"/>
              <w:rPr>
                <w:sz w:val="10"/>
                <w:szCs w:val="10"/>
              </w:rPr>
            </w:pPr>
          </w:p>
        </w:tc>
        <w:tc>
          <w:tcPr>
            <w:gridSpan w:val="4"/>
            <w:tcBorders>
              <w:top w:val="single" w:sz="4"/>
              <w:left w:val="single" w:sz="4"/>
              <w:right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tabs>
                <w:tab w:pos="2493" w:val="left"/>
                <w:tab w:pos="3962" w:val="left"/>
                <w:tab w:pos="5445" w:val="left"/>
              </w:tabs>
              <w:bidi w:val="0"/>
              <w:spacing w:before="0" w:after="0" w:line="240" w:lineRule="auto"/>
              <w:ind w:left="0" w:right="0" w:firstLine="520"/>
              <w:jc w:val="left"/>
              <w:rPr>
                <w:sz w:val="13"/>
                <w:szCs w:val="13"/>
              </w:rPr>
            </w:pPr>
            <w:r>
              <w:rPr>
                <w:rFonts w:ascii="Arial" w:eastAsia="Arial" w:hAnsi="Arial" w:cs="Arial"/>
                <w:color w:val="000000"/>
                <w:spacing w:val="0"/>
                <w:w w:val="100"/>
                <w:position w:val="0"/>
                <w:sz w:val="13"/>
                <w:szCs w:val="13"/>
              </w:rPr>
              <w:t>3,708,705.00</w:t>
              <w:tab/>
            </w:r>
            <w:r>
              <w:rPr>
                <w:rFonts w:ascii="Arial" w:eastAsia="Arial" w:hAnsi="Arial" w:cs="Arial"/>
                <w:color w:val="000000"/>
                <w:spacing w:val="0"/>
                <w:w w:val="100"/>
                <w:position w:val="0"/>
                <w:sz w:val="13"/>
                <w:szCs w:val="13"/>
              </w:rPr>
              <w:t>-</w:t>
              <w:tab/>
              <w:t>-</w:t>
              <w:tab/>
              <w:t>-</w:t>
            </w:r>
          </w:p>
        </w:tc>
      </w:tr>
      <w:tr>
        <w:trPr>
          <w:trHeight w:val="384" w:hRule="exact"/>
        </w:trPr>
        <w:tc>
          <w:tcPr>
            <w:vMerge/>
            <w:tcBorders/>
            <w:shd w:val="clear" w:color="auto" w:fill="FFFFFF"/>
            <w:vAlign w:val="top"/>
          </w:tcPr>
          <w:p>
            <w:pPr>
              <w:framePr w:w="6398" w:h="5563" w:vSpace="187" w:wrap="none" w:vAnchor="text" w:hAnchor="page" w:x="4402" w:y="3169"/>
            </w:pP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6,783,842,327.83</w:t>
            </w: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9,904,542,548.60</w:t>
            </w: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70,000,000.00</w:t>
            </w: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40,000,000.00</w:t>
            </w:r>
          </w:p>
        </w:tc>
      </w:tr>
      <w:tr>
        <w:trPr>
          <w:trHeight w:val="264" w:hRule="exact"/>
        </w:trPr>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(56)(e)</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2,045,945,476.80</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658,000,000.00</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37,111,797.05</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14,048,400.34</w:t>
            </w:r>
          </w:p>
        </w:tc>
      </w:tr>
      <w:tr>
        <w:trPr>
          <w:trHeight w:val="331"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12,755,496,509.63</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10,562,542,548.60</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280" w:firstLine="0"/>
              <w:jc w:val="right"/>
              <w:rPr>
                <w:sz w:val="13"/>
                <w:szCs w:val="13"/>
              </w:rPr>
            </w:pPr>
            <w:r>
              <w:rPr>
                <w:rFonts w:ascii="Arial" w:eastAsia="Arial" w:hAnsi="Arial" w:cs="Arial"/>
                <w:color w:val="000000"/>
                <w:spacing w:val="0"/>
                <w:w w:val="100"/>
                <w:position w:val="0"/>
                <w:sz w:val="13"/>
                <w:szCs w:val="13"/>
              </w:rPr>
              <w:t>107,111,797.05</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54,048,400.34</w:t>
            </w:r>
          </w:p>
        </w:tc>
      </w:tr>
      <w:tr>
        <w:trPr>
          <w:trHeight w:val="389"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(7,471,666,265.19)</w:t>
            </w: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(4,135,207,892.59)</w:t>
            </w: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(117,000,000.00)</w:t>
            </w:r>
          </w:p>
        </w:tc>
        <w:tc>
          <w:tcPr>
            <w:tcBorders>
              <w:top w:val="single" w:sz="4"/>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(67,000,000.00)</w:t>
            </w:r>
          </w:p>
        </w:tc>
      </w:tr>
      <w:tr>
        <w:trPr>
          <w:trHeight w:val="322"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(1,809,644,000.40)</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(2,211,578,994.55)</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(22,026,187.82)</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(40,684,097.58)</w:t>
            </w:r>
          </w:p>
        </w:tc>
      </w:tr>
      <w:tr>
        <w:trPr>
          <w:trHeight w:val="259" w:hRule="exact"/>
        </w:trPr>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(56)(f)</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(2,570,904,301.72)</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(658,000,000.00)</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(19,567,500.00)</w:t>
            </w:r>
          </w:p>
        </w:tc>
        <w:tc>
          <w:tcPr>
            <w:tcBorders/>
            <w:shd w:val="clear" w:color="auto" w:fill="FFFFFF"/>
            <w:vAlign w:val="center"/>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(18,795,224.51)</w:t>
            </w:r>
          </w:p>
        </w:tc>
      </w:tr>
      <w:tr>
        <w:trPr>
          <w:trHeight w:val="331"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(11,852,214,567.31)</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(7,004,786,887.14)</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rPr>
              <w:t>(158,593,687.82)</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(126,479,322.09)</w:t>
            </w:r>
          </w:p>
        </w:tc>
      </w:tr>
      <w:tr>
        <w:trPr>
          <w:trHeight w:val="331"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903,281,942.32</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3,557,755,661.46</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(51,481,890.77)</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(72,430,921.75)</w:t>
            </w:r>
          </w:p>
        </w:tc>
      </w:tr>
      <w:tr>
        <w:trPr>
          <w:trHeight w:val="648"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61,387,055.88</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6,458,555.05</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280" w:firstLine="0"/>
              <w:jc w:val="right"/>
              <w:rPr>
                <w:sz w:val="13"/>
                <w:szCs w:val="13"/>
              </w:rPr>
            </w:pPr>
            <w:r>
              <w:rPr>
                <w:rFonts w:ascii="Arial" w:eastAsia="Arial" w:hAnsi="Arial" w:cs="Arial"/>
                <w:color w:val="000000"/>
                <w:spacing w:val="0"/>
                <w:w w:val="100"/>
                <w:position w:val="0"/>
                <w:sz w:val="13"/>
                <w:szCs w:val="13"/>
              </w:rPr>
              <w:t>110,702.77</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1,081,666.08</w:t>
            </w:r>
          </w:p>
        </w:tc>
      </w:tr>
      <w:tr>
        <w:trPr>
          <w:trHeight w:val="706" w:hRule="exact"/>
        </w:trPr>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(57)(a)</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2,924,974,563.61</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1,092,925,686.62</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33,029,710.50</w:t>
            </w:r>
          </w:p>
        </w:tc>
        <w:tc>
          <w:tcPr>
            <w:tcBorders>
              <w:top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(9,746,659.77)</w:t>
            </w:r>
          </w:p>
        </w:tc>
      </w:tr>
      <w:tr>
        <w:trPr>
          <w:trHeight w:val="264" w:hRule="exact"/>
        </w:trPr>
        <w:tc>
          <w:tcPr>
            <w:tcBorders/>
            <w:shd w:val="clear" w:color="auto" w:fill="FFFFFF"/>
            <w:vAlign w:val="top"/>
          </w:tcPr>
          <w:p>
            <w:pPr>
              <w:framePr w:w="6398" w:h="5563" w:vSpace="187" w:wrap="none" w:vAnchor="text" w:hAnchor="page" w:x="4402" w:y="3169"/>
              <w:widowControl w:val="0"/>
              <w:rPr>
                <w:sz w:val="10"/>
                <w:szCs w:val="10"/>
              </w:rPr>
            </w:pP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3,444,801,237.57</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2,351,875,550.95</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25,875,907.81</w:t>
            </w:r>
          </w:p>
        </w:tc>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35,622,567.58</w:t>
            </w:r>
          </w:p>
        </w:tc>
      </w:tr>
      <w:tr>
        <w:trPr>
          <w:trHeight w:val="682" w:hRule="exact"/>
        </w:trPr>
        <w:tc>
          <w:tcPr>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四</w:t>
            </w:r>
            <w:r>
              <w:rPr>
                <w:rFonts w:ascii="Arial" w:eastAsia="Arial" w:hAnsi="Arial" w:cs="Arial"/>
                <w:color w:val="000000"/>
                <w:spacing w:val="0"/>
                <w:w w:val="100"/>
                <w:position w:val="0"/>
                <w:sz w:val="13"/>
                <w:szCs w:val="13"/>
              </w:rPr>
              <w:t>(57)(a)</w:t>
            </w:r>
          </w:p>
        </w:tc>
        <w:tc>
          <w:tcPr>
            <w:tcBorders>
              <w:top w:val="single" w:sz="4"/>
              <w:bottom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rPr>
              <w:t>6,369,775,801.18</w:t>
            </w:r>
          </w:p>
        </w:tc>
        <w:tc>
          <w:tcPr>
            <w:tcBorders>
              <w:top w:val="single" w:sz="4"/>
              <w:bottom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3,444,801,237.57</w:t>
            </w:r>
          </w:p>
        </w:tc>
        <w:tc>
          <w:tcPr>
            <w:tcBorders>
              <w:top w:val="single" w:sz="4"/>
              <w:bottom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58,905,618.31</w:t>
            </w:r>
          </w:p>
        </w:tc>
        <w:tc>
          <w:tcPr>
            <w:tcBorders>
              <w:top w:val="single" w:sz="4"/>
              <w:bottom w:val="single" w:sz="4"/>
            </w:tcBorders>
            <w:shd w:val="clear" w:color="auto" w:fill="FFFFFF"/>
            <w:vAlign w:val="bottom"/>
          </w:tcPr>
          <w:p>
            <w:pPr>
              <w:pStyle w:val="Style23"/>
              <w:keepNext w:val="0"/>
              <w:keepLines w:val="0"/>
              <w:framePr w:w="6398" w:h="5563" w:vSpace="187" w:wrap="none" w:vAnchor="text" w:hAnchor="page" w:x="4402" w:y="3169"/>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25,875,907.81</w:t>
            </w:r>
          </w:p>
        </w:tc>
      </w:tr>
    </w:tbl>
    <w:p>
      <w:pPr>
        <w:framePr w:w="6398" w:h="5563" w:vSpace="187" w:wrap="none" w:vAnchor="text" w:hAnchor="page" w:x="4402" w:y="3169"/>
        <w:widowControl w:val="0"/>
        <w:spacing w:line="1" w:lineRule="exact"/>
      </w:pPr>
    </w:p>
    <w:p>
      <w:pPr>
        <w:pStyle w:val="Style29"/>
        <w:keepNext w:val="0"/>
        <w:keepLines w:val="0"/>
        <w:framePr w:w="1056" w:h="173" w:wrap="none" w:vAnchor="text" w:hAnchor="page" w:x="5261" w:y="2982"/>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3,925,708,705.00</w:t>
      </w:r>
    </w:p>
    <w:p>
      <w:pPr>
        <w:pStyle w:val="Style73"/>
        <w:keepNext w:val="0"/>
        <w:keepLines w:val="0"/>
        <w:framePr w:w="3835" w:h="259" w:wrap="none" w:vAnchor="text" w:hAnchor="page" w:x="1680" w:y="9428"/>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pStyle w:val="Style73"/>
        <w:keepNext w:val="0"/>
        <w:keepLines w:val="0"/>
        <w:framePr w:w="1114" w:h="250" w:wrap="none" w:vAnchor="text" w:hAnchor="page" w:x="1680" w:y="10076"/>
        <w:widowControl w:val="0"/>
        <w:shd w:val="clear" w:color="auto" w:fill="auto"/>
        <w:bidi w:val="0"/>
        <w:spacing w:before="0" w:after="0" w:line="240" w:lineRule="auto"/>
        <w:ind w:left="0" w:right="0" w:firstLine="0"/>
        <w:jc w:val="left"/>
      </w:pPr>
      <w:r>
        <w:rPr>
          <w:color w:val="000000"/>
          <w:spacing w:val="0"/>
          <w:w w:val="100"/>
          <w:position w:val="0"/>
        </w:rPr>
        <w:t>企业负责人:</w:t>
      </w:r>
    </w:p>
    <w:p>
      <w:pPr>
        <w:pStyle w:val="Style73"/>
        <w:keepNext w:val="0"/>
        <w:keepLines w:val="0"/>
        <w:framePr w:w="2237" w:h="254" w:wrap="none" w:vAnchor="text" w:hAnchor="page" w:x="4479" w:y="10071"/>
        <w:widowControl w:val="0"/>
        <w:shd w:val="clear" w:color="auto" w:fill="auto"/>
        <w:bidi w:val="0"/>
        <w:spacing w:before="0" w:after="0" w:line="240" w:lineRule="auto"/>
        <w:ind w:left="0" w:right="0" w:firstLine="0"/>
        <w:jc w:val="center"/>
      </w:pPr>
      <w:r>
        <w:rPr>
          <w:color w:val="000000"/>
          <w:spacing w:val="0"/>
          <w:w w:val="100"/>
          <w:position w:val="0"/>
        </w:rPr>
        <w:t>主管会计工作的负责人:</w:t>
      </w:r>
    </w:p>
    <w:p>
      <w:pPr>
        <w:pStyle w:val="Style73"/>
        <w:keepNext w:val="0"/>
        <w:keepLines w:val="0"/>
        <w:framePr w:w="1637" w:h="254" w:wrap="none" w:vAnchor="text" w:hAnchor="page" w:x="8280" w:y="10076"/>
        <w:widowControl w:val="0"/>
        <w:shd w:val="clear" w:color="auto" w:fill="auto"/>
        <w:bidi w:val="0"/>
        <w:spacing w:before="0" w:after="0" w:line="240" w:lineRule="auto"/>
        <w:ind w:left="0" w:right="0" w:firstLine="0"/>
        <w:jc w:val="center"/>
      </w:pPr>
      <w:r>
        <w:rPr>
          <w:color w:val="000000"/>
          <w:spacing w:val="0"/>
          <w:w w:val="100"/>
          <w:position w:val="0"/>
        </w:rPr>
        <w:t>会计机构负责人:</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039" w:right="1101" w:bottom="977" w:left="1675"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rPr>
          <w:sz w:val="22"/>
          <w:szCs w:val="22"/>
        </w:rPr>
      </w:pPr>
      <w:bookmarkStart w:id="497" w:name="bookmark497"/>
      <w:bookmarkStart w:id="498" w:name="bookmark498"/>
      <w:bookmarkStart w:id="499" w:name="bookmark499"/>
      <w:r>
        <w:rPr>
          <w:color w:val="000000"/>
          <w:spacing w:val="0"/>
          <w:w w:val="100"/>
          <w:position w:val="0"/>
          <w:sz w:val="22"/>
          <w:szCs w:val="22"/>
        </w:rPr>
        <w:t>顺丰控股股份有限公司</w:t>
      </w:r>
      <w:bookmarkEnd w:id="497"/>
      <w:bookmarkEnd w:id="498"/>
      <w:bookmarkEnd w:id="499"/>
    </w:p>
    <w:p>
      <w:pPr>
        <w:pStyle w:val="Style27"/>
        <w:keepNext/>
        <w:keepLines/>
        <w:widowControl w:val="0"/>
        <w:shd w:val="clear" w:color="auto" w:fill="auto"/>
        <w:bidi w:val="0"/>
        <w:spacing w:before="0" w:after="40" w:line="240" w:lineRule="auto"/>
        <w:ind w:left="0" w:right="0" w:firstLine="0"/>
        <w:jc w:val="left"/>
        <w:rPr>
          <w:sz w:val="22"/>
          <w:szCs w:val="22"/>
        </w:rPr>
      </w:pPr>
      <w:bookmarkStart w:id="497" w:name="bookmark497"/>
      <w:bookmarkStart w:id="498" w:name="bookmark498"/>
      <w:bookmarkStart w:id="500" w:name="bookmark500"/>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年度合并股东权益变动表</w:t>
      </w:r>
      <w:bookmarkEnd w:id="497"/>
      <w:bookmarkEnd w:id="498"/>
      <w:bookmarkEnd w:id="500"/>
    </w:p>
    <w:p>
      <w:pPr>
        <w:pStyle w:val="Style33"/>
        <w:keepNext w:val="0"/>
        <w:keepLines w:val="0"/>
        <w:widowControl w:val="0"/>
        <w:shd w:val="clear" w:color="auto" w:fill="auto"/>
        <w:bidi w:val="0"/>
        <w:spacing w:before="0" w:after="40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6197" w:right="0" w:firstLine="0"/>
        <w:jc w:val="left"/>
        <w:rPr>
          <w:sz w:val="15"/>
          <w:szCs w:val="15"/>
        </w:rPr>
      </w:pPr>
      <w:r>
        <w:rPr>
          <w:color w:val="000000"/>
          <w:spacing w:val="0"/>
          <w:w w:val="100"/>
          <w:position w:val="0"/>
          <w:sz w:val="15"/>
          <w:szCs w:val="15"/>
        </w:rPr>
        <w:t>归属于母公司所有者权益</w:t>
      </w:r>
    </w:p>
    <w:tbl>
      <w:tblPr>
        <w:tblOverlap w:val="never"/>
        <w:jc w:val="center"/>
        <w:tblLayout w:type="fixed"/>
      </w:tblPr>
      <w:tblGrid>
        <w:gridCol w:w="2136"/>
        <w:gridCol w:w="725"/>
        <w:gridCol w:w="1402"/>
        <w:gridCol w:w="1522"/>
        <w:gridCol w:w="1406"/>
        <w:gridCol w:w="1286"/>
        <w:gridCol w:w="1325"/>
        <w:gridCol w:w="1531"/>
        <w:gridCol w:w="1282"/>
        <w:gridCol w:w="1406"/>
      </w:tblGrid>
      <w:tr>
        <w:trPr>
          <w:trHeight w:val="5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附注</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股本</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资本公积</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其他综合收益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专项储备</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盈余公积</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未分配利润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3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b/>
                <w:bCs/>
                <w:color w:val="000000"/>
                <w:spacing w:val="0"/>
                <w:w w:val="100"/>
                <w:position w:val="0"/>
                <w:sz w:val="15"/>
                <w:szCs w:val="15"/>
              </w:rPr>
              <w:t>年</w:t>
            </w:r>
            <w:r>
              <w:rPr>
                <w:rFonts w:ascii="Arial" w:eastAsia="Arial" w:hAnsi="Arial" w:cs="Arial"/>
                <w:color w:val="000000"/>
                <w:spacing w:val="0"/>
                <w:w w:val="100"/>
                <w:position w:val="0"/>
                <w:sz w:val="15"/>
                <w:szCs w:val="15"/>
              </w:rPr>
              <w:t>1</w:t>
            </w:r>
            <w:r>
              <w:rPr>
                <w:b/>
                <w:bCs/>
                <w:color w:val="000000"/>
                <w:spacing w:val="0"/>
                <w:w w:val="100"/>
                <w:position w:val="0"/>
                <w:sz w:val="15"/>
                <w:szCs w:val="15"/>
              </w:rPr>
              <w:t>月</w:t>
            </w:r>
            <w:r>
              <w:rPr>
                <w:rFonts w:ascii="Arial" w:eastAsia="Arial" w:hAnsi="Arial" w:cs="Arial"/>
                <w:color w:val="000000"/>
                <w:spacing w:val="0"/>
                <w:w w:val="100"/>
                <w:position w:val="0"/>
                <w:sz w:val="15"/>
                <w:szCs w:val="15"/>
              </w:rPr>
              <w:t>1</w:t>
            </w:r>
            <w:r>
              <w:rPr>
                <w:b/>
                <w:bCs/>
                <w:color w:val="000000"/>
                <w:spacing w:val="0"/>
                <w:w w:val="100"/>
                <w:position w:val="0"/>
                <w:sz w:val="15"/>
                <w:szCs w:val="15"/>
              </w:rPr>
              <w:t>日年初余额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3,950,185,873.00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4,221,537,527.58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3,306,158.54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215,090,533.45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6,046,956,682.68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6,007,762.32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14,443,084,537.57</w:t>
            </w:r>
          </w:p>
        </w:tc>
      </w:tr>
      <w:tr>
        <w:trPr>
          <w:trHeight w:val="68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b/>
                <w:bCs/>
                <w:color w:val="000000"/>
                <w:spacing w:val="0"/>
                <w:w w:val="100"/>
                <w:position w:val="0"/>
                <w:sz w:val="15"/>
                <w:szCs w:val="15"/>
              </w:rPr>
              <w:t>年度增减变动额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1,101,430,807.30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(7,209,659.32)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1,094,221,147.98</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其他综合收益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57,228,626.94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77,156.98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57,305,783.92</w:t>
            </w:r>
          </w:p>
        </w:tc>
      </w:tr>
      <w:tr>
        <w:trPr>
          <w:trHeight w:val="53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综合收益总额合计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57,228,626.94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1,101,430,807.30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(7,132,502.34)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1,151,526,931.90</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所有者的投入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64,251,413.66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64,251,413.66</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所有者权益内部结转</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319,195,750.04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(221,919,575.00)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(97,276,175.04)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利润分配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提取盈余公积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27,799,748.39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(27,799,748.39)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对所有者的分配</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(1,900,000,000.00)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(1,900,000,000.00)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安全生产费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提取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4,103,480.76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4,103,480.76</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使用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(4,103,480.76)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(4,103,480.76)</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b/>
                <w:bCs/>
                <w:color w:val="000000"/>
                <w:spacing w:val="0"/>
                <w:w w:val="100"/>
                <w:position w:val="0"/>
                <w:sz w:val="15"/>
                <w:szCs w:val="15"/>
              </w:rPr>
              <w:t>年</w:t>
            </w:r>
            <w:r>
              <w:rPr>
                <w:rFonts w:ascii="Arial" w:eastAsia="Arial" w:hAnsi="Arial" w:cs="Arial"/>
                <w:color w:val="000000"/>
                <w:spacing w:val="0"/>
                <w:w w:val="100"/>
                <w:position w:val="0"/>
                <w:sz w:val="15"/>
                <w:szCs w:val="15"/>
              </w:rPr>
              <w:t>12</w:t>
            </w:r>
            <w:r>
              <w:rPr>
                <w:b/>
                <w:bCs/>
                <w:color w:val="000000"/>
                <w:spacing w:val="0"/>
                <w:w w:val="100"/>
                <w:position w:val="0"/>
                <w:sz w:val="15"/>
                <w:szCs w:val="15"/>
              </w:rPr>
              <w:t>月</w:t>
            </w:r>
            <w:r>
              <w:rPr>
                <w:rFonts w:ascii="Arial" w:eastAsia="Arial" w:hAnsi="Arial" w:cs="Arial"/>
                <w:color w:val="000000"/>
                <w:spacing w:val="0"/>
                <w:w w:val="100"/>
                <w:position w:val="0"/>
                <w:sz w:val="15"/>
                <w:szCs w:val="15"/>
              </w:rPr>
              <w:t>31</w:t>
            </w:r>
            <w:r>
              <w:rPr>
                <w:b/>
                <w:bCs/>
                <w:color w:val="000000"/>
                <w:spacing w:val="0"/>
                <w:w w:val="100"/>
                <w:position w:val="0"/>
                <w:sz w:val="15"/>
                <w:szCs w:val="15"/>
              </w:rPr>
              <w:t>日年末余额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3,950,185,873.00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4,540,733,277.62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60,534,785.48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20,970,706.84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5,123,311,566.55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63,126,673.64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13,758,862,883.13</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rPr>
          <w:sz w:val="22"/>
          <w:szCs w:val="22"/>
        </w:rPr>
      </w:pPr>
      <w:bookmarkStart w:id="501" w:name="bookmark501"/>
      <w:bookmarkStart w:id="502" w:name="bookmark502"/>
      <w:bookmarkStart w:id="503" w:name="bookmark503"/>
      <w:r>
        <w:rPr>
          <w:color w:val="000000"/>
          <w:spacing w:val="0"/>
          <w:w w:val="100"/>
          <w:position w:val="0"/>
          <w:sz w:val="22"/>
          <w:szCs w:val="22"/>
        </w:rPr>
        <w:t>顺丰控股股份有限公司</w:t>
      </w:r>
      <w:bookmarkEnd w:id="501"/>
      <w:bookmarkEnd w:id="502"/>
      <w:bookmarkEnd w:id="503"/>
    </w:p>
    <w:p>
      <w:pPr>
        <w:pStyle w:val="Style27"/>
        <w:keepNext/>
        <w:keepLines/>
        <w:widowControl w:val="0"/>
        <w:shd w:val="clear" w:color="auto" w:fill="auto"/>
        <w:bidi w:val="0"/>
        <w:spacing w:before="0" w:after="40" w:line="240" w:lineRule="auto"/>
        <w:ind w:left="0" w:right="0" w:firstLine="0"/>
        <w:jc w:val="left"/>
        <w:rPr>
          <w:sz w:val="28"/>
          <w:szCs w:val="28"/>
        </w:rPr>
      </w:pPr>
      <w:bookmarkStart w:id="501" w:name="bookmark501"/>
      <w:bookmarkStart w:id="502" w:name="bookmark502"/>
      <w:bookmarkStart w:id="504" w:name="bookmark504"/>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年度合并股东权益变动表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01"/>
      <w:bookmarkEnd w:id="502"/>
      <w:bookmarkEnd w:id="504"/>
    </w:p>
    <w:p>
      <w:pPr>
        <w:pStyle w:val="Style33"/>
        <w:keepNext w:val="0"/>
        <w:keepLines w:val="0"/>
        <w:widowControl w:val="0"/>
        <w:shd w:val="clear" w:color="auto" w:fill="auto"/>
        <w:bidi w:val="0"/>
        <w:spacing w:before="0" w:after="38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6144" w:right="0" w:firstLine="0"/>
        <w:jc w:val="left"/>
        <w:rPr>
          <w:sz w:val="15"/>
          <w:szCs w:val="15"/>
        </w:rPr>
      </w:pPr>
      <w:r>
        <w:rPr>
          <w:color w:val="000000"/>
          <w:spacing w:val="0"/>
          <w:w w:val="100"/>
          <w:position w:val="0"/>
          <w:sz w:val="15"/>
          <w:szCs w:val="15"/>
        </w:rPr>
        <w:t>归属于母公司所有者权益</w:t>
      </w:r>
    </w:p>
    <w:tbl>
      <w:tblPr>
        <w:tblOverlap w:val="never"/>
        <w:jc w:val="center"/>
        <w:tblLayout w:type="fixed"/>
      </w:tblPr>
      <w:tblGrid>
        <w:gridCol w:w="2059"/>
        <w:gridCol w:w="677"/>
        <w:gridCol w:w="1445"/>
        <w:gridCol w:w="1526"/>
        <w:gridCol w:w="1445"/>
        <w:gridCol w:w="1349"/>
        <w:gridCol w:w="1315"/>
        <w:gridCol w:w="1522"/>
        <w:gridCol w:w="1310"/>
        <w:gridCol w:w="1421"/>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5"/>
                <w:szCs w:val="15"/>
              </w:rPr>
            </w:pPr>
            <w:r>
              <w:rPr>
                <w:color w:val="000000"/>
                <w:spacing w:val="0"/>
                <w:w w:val="100"/>
                <w:position w:val="0"/>
                <w:sz w:val="15"/>
                <w:szCs w:val="15"/>
              </w:rPr>
              <w:t>股本</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资本公积</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其他综合收益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专项储备</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盈余公积</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未分配利润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38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b/>
                <w:bCs/>
                <w:color w:val="000000"/>
                <w:spacing w:val="0"/>
                <w:w w:val="100"/>
                <w:position w:val="0"/>
                <w:sz w:val="15"/>
                <w:szCs w:val="15"/>
              </w:rPr>
              <w:t>年</w:t>
            </w:r>
            <w:r>
              <w:rPr>
                <w:rFonts w:ascii="Arial" w:eastAsia="Arial" w:hAnsi="Arial" w:cs="Arial"/>
                <w:color w:val="000000"/>
                <w:spacing w:val="0"/>
                <w:w w:val="100"/>
                <w:position w:val="0"/>
                <w:sz w:val="15"/>
                <w:szCs w:val="15"/>
              </w:rPr>
              <w:t>1</w:t>
            </w:r>
            <w:r>
              <w:rPr>
                <w:b/>
                <w:bCs/>
                <w:color w:val="000000"/>
                <w:spacing w:val="0"/>
                <w:w w:val="100"/>
                <w:position w:val="0"/>
                <w:sz w:val="15"/>
                <w:szCs w:val="15"/>
              </w:rPr>
              <w:t>月</w:t>
            </w:r>
            <w:r>
              <w:rPr>
                <w:rFonts w:ascii="Arial" w:eastAsia="Arial" w:hAnsi="Arial" w:cs="Arial"/>
                <w:color w:val="000000"/>
                <w:spacing w:val="0"/>
                <w:w w:val="100"/>
                <w:position w:val="0"/>
                <w:sz w:val="15"/>
                <w:szCs w:val="15"/>
              </w:rPr>
              <w:t>1</w:t>
            </w:r>
            <w:r>
              <w:rPr>
                <w:b/>
                <w:bCs/>
                <w:color w:val="000000"/>
                <w:spacing w:val="0"/>
                <w:w w:val="100"/>
                <w:position w:val="0"/>
                <w:sz w:val="15"/>
                <w:szCs w:val="15"/>
              </w:rPr>
              <w:t>日年初余额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3,950,185,873.00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4,540,733,277.62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60,534,785.48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20,970,706.84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5,123,311,566.55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63,126,673.64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13,758,862,883.13</w:t>
            </w:r>
          </w:p>
        </w:tc>
      </w:tr>
      <w:tr>
        <w:trPr>
          <w:trHeight w:val="5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b/>
                <w:bCs/>
                <w:color w:val="000000"/>
                <w:spacing w:val="0"/>
                <w:w w:val="100"/>
                <w:position w:val="0"/>
                <w:sz w:val="15"/>
                <w:szCs w:val="15"/>
              </w:rPr>
              <w:t>年度增减变动额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4,180,426,152.00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(19,641,210.66)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4,160,784,941.34</w:t>
            </w:r>
          </w:p>
        </w:tc>
      </w:tr>
      <w:tr>
        <w:trPr>
          <w:trHeight w:val="24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其他综合收益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206,147,901.45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(2,297,652.70)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203,850,248.75</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综合收益总额合计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206,147,901.45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4,180,426,152.00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(21,938,863.36)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4,364,635,190.09</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所有者的投入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3,922,000,000.00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3,708,705.01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3,925,708,705.01</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233,492,340.00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(233,492,340.00)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5"/>
                <w:szCs w:val="15"/>
              </w:rPr>
            </w:pPr>
            <w:r>
              <w:rPr>
                <w:rFonts w:ascii="Arial" w:eastAsia="Arial" w:hAnsi="Arial" w:cs="Arial"/>
                <w:color w:val="000000"/>
                <w:spacing w:val="0"/>
                <w:w w:val="100"/>
                <w:position w:val="0"/>
                <w:sz w:val="15"/>
                <w:szCs w:val="15"/>
              </w:rPr>
              <w:t>-</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利润分配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提取盈余公积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251,142,495.91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(251,142,495.91)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5"/>
                <w:szCs w:val="15"/>
              </w:rPr>
            </w:pPr>
            <w:r>
              <w:rPr>
                <w:rFonts w:ascii="Arial" w:eastAsia="Arial" w:hAnsi="Arial" w:cs="Arial"/>
                <w:color w:val="000000"/>
                <w:spacing w:val="0"/>
                <w:w w:val="100"/>
                <w:position w:val="0"/>
                <w:sz w:val="15"/>
                <w:szCs w:val="15"/>
              </w:rPr>
              <w:t>-</w:t>
            </w: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对所有者的分配</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(1,500,000,000.00)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(1,500,000,000.00)</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其他资本公积变动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7,457,404.02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7,457,404.02</w:t>
            </w: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安全生产费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提取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5,669,064.68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5,669,064.68</w:t>
            </w:r>
          </w:p>
        </w:tc>
      </w:tr>
      <w:tr>
        <w:trPr>
          <w:trHeight w:val="24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使用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r>
              <w:rPr>
                <w:rFonts w:ascii="Arial" w:eastAsia="Arial" w:hAnsi="Arial" w:cs="Arial"/>
                <w:color w:val="000000"/>
                <w:spacing w:val="0"/>
                <w:w w:val="100"/>
                <w:position w:val="0"/>
                <w:sz w:val="15"/>
                <w:szCs w:val="15"/>
              </w:rPr>
              <w:t>(39)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(5,669,064.68)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(5,669,064.68)</w:t>
            </w:r>
          </w:p>
        </w:tc>
      </w:tr>
      <w:tr>
        <w:trPr>
          <w:trHeight w:val="60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b/>
                <w:bCs/>
                <w:color w:val="000000"/>
                <w:spacing w:val="0"/>
                <w:w w:val="100"/>
                <w:position w:val="0"/>
                <w:sz w:val="15"/>
                <w:szCs w:val="15"/>
              </w:rPr>
              <w:t>年</w:t>
            </w:r>
            <w:r>
              <w:rPr>
                <w:rFonts w:ascii="Arial" w:eastAsia="Arial" w:hAnsi="Arial" w:cs="Arial"/>
                <w:color w:val="000000"/>
                <w:spacing w:val="0"/>
                <w:w w:val="100"/>
                <w:position w:val="0"/>
                <w:sz w:val="15"/>
                <w:szCs w:val="15"/>
              </w:rPr>
              <w:t>12</w:t>
            </w:r>
            <w:r>
              <w:rPr>
                <w:b/>
                <w:bCs/>
                <w:color w:val="000000"/>
                <w:spacing w:val="0"/>
                <w:w w:val="100"/>
                <w:position w:val="0"/>
                <w:sz w:val="15"/>
                <w:szCs w:val="15"/>
              </w:rPr>
              <w:t>月</w:t>
            </w:r>
            <w:r>
              <w:rPr>
                <w:rFonts w:ascii="Arial" w:eastAsia="Arial" w:hAnsi="Arial" w:cs="Arial"/>
                <w:color w:val="000000"/>
                <w:spacing w:val="0"/>
                <w:w w:val="100"/>
                <w:position w:val="0"/>
                <w:sz w:val="15"/>
                <w:szCs w:val="15"/>
              </w:rPr>
              <w:t>31</w:t>
            </w:r>
            <w:r>
              <w:rPr>
                <w:b/>
                <w:bCs/>
                <w:color w:val="000000"/>
                <w:spacing w:val="0"/>
                <w:w w:val="100"/>
                <w:position w:val="0"/>
                <w:sz w:val="15"/>
                <w:szCs w:val="15"/>
              </w:rPr>
              <w:t>日年末余额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4,183,678,213.00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8,236,698,341.64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266,682,686.93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272,113,202.75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7,552,595,222.64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44,896,515.29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20,556,664,182.25</w:t>
            </w:r>
          </w:p>
        </w:tc>
      </w:tr>
    </w:tbl>
    <w:p>
      <w:pPr>
        <w:widowControl w:val="0"/>
        <w:spacing w:after="379" w:line="1" w:lineRule="exact"/>
      </w:pPr>
    </w:p>
    <w:p>
      <w:pPr>
        <w:pStyle w:val="Style73"/>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468" w:right="1100" w:bottom="1985" w:left="1671" w:header="0" w:footer="3" w:gutter="0"/>
          <w:cols w:space="720"/>
          <w:noEndnote/>
          <w:rtlGutter w:val="0"/>
          <w:docGrid w:linePitch="360"/>
        </w:sectPr>
      </w:pPr>
      <w:r>
        <w:rPr>
          <w:color w:val="000000"/>
          <w:spacing w:val="0"/>
          <w:w w:val="100"/>
          <w:position w:val="0"/>
        </w:rPr>
        <w:t>后附财务报表附注为财务报表的组成部分。</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29" w:right="0" w:bottom="970" w:left="0" w:header="0" w:footer="3" w:gutter="0"/>
          <w:cols w:space="720"/>
          <w:noEndnote/>
          <w:rtlGutter w:val="0"/>
          <w:docGrid w:linePitch="360"/>
        </w:sectPr>
      </w:pPr>
    </w:p>
    <w:p>
      <w:pPr>
        <w:pStyle w:val="Style73"/>
        <w:keepNext w:val="0"/>
        <w:keepLines w:val="0"/>
        <w:framePr w:w="1238" w:h="250" w:wrap="none" w:vAnchor="text" w:hAnchor="page" w:x="1677" w:y="21"/>
        <w:widowControl w:val="0"/>
        <w:shd w:val="clear" w:color="auto" w:fill="auto"/>
        <w:bidi w:val="0"/>
        <w:spacing w:before="0" w:after="0" w:line="240" w:lineRule="auto"/>
        <w:ind w:left="0" w:right="0" w:firstLine="0"/>
        <w:jc w:val="left"/>
      </w:pPr>
      <w:r>
        <w:rPr>
          <w:color w:val="000000"/>
          <w:spacing w:val="0"/>
          <w:w w:val="100"/>
          <w:position w:val="0"/>
        </w:rPr>
        <w:t>企业负责人:</w:t>
      </w:r>
    </w:p>
    <w:p>
      <w:pPr>
        <w:pStyle w:val="Style73"/>
        <w:keepNext w:val="0"/>
        <w:keepLines w:val="0"/>
        <w:framePr w:w="2237" w:h="254" w:wrap="none" w:vAnchor="text" w:hAnchor="page" w:x="5877" w:y="21"/>
        <w:widowControl w:val="0"/>
        <w:shd w:val="clear" w:color="auto" w:fill="auto"/>
        <w:bidi w:val="0"/>
        <w:spacing w:before="0" w:after="0" w:line="240" w:lineRule="auto"/>
        <w:ind w:left="0" w:right="0" w:firstLine="0"/>
        <w:jc w:val="left"/>
      </w:pPr>
      <w:r>
        <w:rPr>
          <w:color w:val="000000"/>
          <w:spacing w:val="0"/>
          <w:w w:val="100"/>
          <w:position w:val="0"/>
        </w:rPr>
        <w:t>主管会计工作的负责人:</w:t>
      </w:r>
    </w:p>
    <w:p>
      <w:pPr>
        <w:pStyle w:val="Style73"/>
        <w:keepNext w:val="0"/>
        <w:keepLines w:val="0"/>
        <w:framePr w:w="1637" w:h="254" w:wrap="none" w:vAnchor="text" w:hAnchor="page" w:x="11479" w:y="21"/>
        <w:widowControl w:val="0"/>
        <w:shd w:val="clear" w:color="auto" w:fill="auto"/>
        <w:bidi w:val="0"/>
        <w:spacing w:before="0" w:after="0" w:line="240" w:lineRule="auto"/>
        <w:ind w:left="0" w:right="0" w:firstLine="0"/>
        <w:jc w:val="left"/>
      </w:pPr>
      <w:r>
        <w:rPr>
          <w:color w:val="000000"/>
          <w:spacing w:val="0"/>
          <w:w w:val="100"/>
          <w:position w:val="0"/>
        </w:rPr>
        <w:t>会计机构负责人:</w:t>
      </w:r>
    </w:p>
    <w:p>
      <w:pPr>
        <w:widowControl w:val="0"/>
        <w:spacing w:after="0" w:line="1" w:lineRule="exact"/>
      </w:pPr>
    </w:p>
    <w:p>
      <w:pPr>
        <w:widowControl w:val="0"/>
        <w:spacing w:line="1" w:lineRule="exact"/>
        <w:sectPr>
          <w:footnotePr>
            <w:pos w:val="pageBottom"/>
            <w:numFmt w:val="decimal"/>
            <w:numRestart w:val="continuous"/>
          </w:footnotePr>
          <w:type w:val="continuous"/>
          <w:pgSz w:w="16840" w:h="11900" w:orient="landscape"/>
          <w:pgMar w:top="1429" w:right="1088" w:bottom="970" w:left="1683" w:header="0" w:footer="3" w:gutter="0"/>
          <w:cols w:space="720"/>
          <w:noEndnote/>
          <w:rtlGutter w:val="0"/>
          <w:docGrid w:linePitch="360"/>
        </w:sectPr>
      </w:pPr>
    </w:p>
    <w:p>
      <w:pPr>
        <w:pStyle w:val="Style27"/>
        <w:keepNext/>
        <w:keepLines/>
        <w:widowControl w:val="0"/>
        <w:shd w:val="clear" w:color="auto" w:fill="auto"/>
        <w:bidi w:val="0"/>
        <w:spacing w:before="0" w:after="380" w:line="240" w:lineRule="auto"/>
        <w:ind w:left="0" w:right="0" w:firstLine="0"/>
        <w:jc w:val="left"/>
        <w:rPr>
          <w:sz w:val="22"/>
          <w:szCs w:val="22"/>
        </w:rPr>
      </w:pPr>
      <w:bookmarkStart w:id="505" w:name="bookmark505"/>
      <w:bookmarkStart w:id="506" w:name="bookmark506"/>
      <w:bookmarkStart w:id="507" w:name="bookmark507"/>
      <w:r>
        <w:rPr>
          <w:color w:val="000000"/>
          <w:spacing w:val="0"/>
          <w:w w:val="100"/>
          <w:position w:val="0"/>
          <w:sz w:val="22"/>
          <w:szCs w:val="22"/>
        </w:rPr>
        <w:t>顺丰控股股份有限公司</w:t>
      </w:r>
      <w:bookmarkEnd w:id="505"/>
      <w:bookmarkEnd w:id="506"/>
      <w:bookmarkEnd w:id="507"/>
    </w:p>
    <w:p>
      <w:pPr>
        <w:pStyle w:val="Style27"/>
        <w:keepNext/>
        <w:keepLines/>
        <w:widowControl w:val="0"/>
        <w:shd w:val="clear" w:color="auto" w:fill="auto"/>
        <w:bidi w:val="0"/>
        <w:spacing w:before="0" w:after="40" w:line="240" w:lineRule="auto"/>
        <w:ind w:left="0" w:right="0" w:firstLine="0"/>
        <w:jc w:val="left"/>
        <w:rPr>
          <w:sz w:val="22"/>
          <w:szCs w:val="22"/>
        </w:rPr>
      </w:pPr>
      <w:bookmarkStart w:id="505" w:name="bookmark505"/>
      <w:bookmarkStart w:id="506" w:name="bookmark506"/>
      <w:bookmarkStart w:id="508" w:name="bookmark508"/>
      <w:r>
        <w:rPr>
          <w:rFonts w:ascii="Arial" w:eastAsia="Arial" w:hAnsi="Arial" w:cs="Arial"/>
          <w:b w:val="0"/>
          <w:bCs w:val="0"/>
          <w:color w:val="000000"/>
          <w:spacing w:val="0"/>
          <w:w w:val="100"/>
          <w:position w:val="0"/>
          <w:sz w:val="24"/>
          <w:szCs w:val="24"/>
        </w:rPr>
        <w:t>2016</w:t>
      </w:r>
      <w:r>
        <w:rPr>
          <w:color w:val="000000"/>
          <w:spacing w:val="0"/>
          <w:w w:val="100"/>
          <w:position w:val="0"/>
          <w:sz w:val="22"/>
          <w:szCs w:val="22"/>
        </w:rPr>
        <w:t>年度公司股东权益变动表</w:t>
      </w:r>
      <w:bookmarkEnd w:id="505"/>
      <w:bookmarkEnd w:id="506"/>
      <w:bookmarkEnd w:id="508"/>
    </w:p>
    <w:p>
      <w:pPr>
        <w:pStyle w:val="Style33"/>
        <w:keepNext w:val="0"/>
        <w:keepLines w:val="0"/>
        <w:widowControl w:val="0"/>
        <w:shd w:val="clear" w:color="auto" w:fill="auto"/>
        <w:bidi w:val="0"/>
        <w:spacing w:before="0" w:after="38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除特别注明外，金额单位为人民币元</w:t>
      </w:r>
      <w:r>
        <w:rPr>
          <w:rFonts w:ascii="Arial" w:eastAsia="Arial" w:hAnsi="Arial" w:cs="Arial"/>
          <w:b w:val="0"/>
          <w:bCs w:val="0"/>
          <w:color w:val="000000"/>
          <w:spacing w:val="0"/>
          <w:w w:val="100"/>
          <w:position w:val="0"/>
          <w:sz w:val="24"/>
          <w:szCs w:val="24"/>
        </w:rPr>
        <w:t>）</w:t>
      </w:r>
    </w:p>
    <w:tbl>
      <w:tblPr>
        <w:tblOverlap w:val="never"/>
        <w:jc w:val="center"/>
        <w:tblLayout w:type="fixed"/>
      </w:tblPr>
      <w:tblGrid>
        <w:gridCol w:w="2098"/>
        <w:gridCol w:w="605"/>
        <w:gridCol w:w="1277"/>
        <w:gridCol w:w="1339"/>
        <w:gridCol w:w="1181"/>
        <w:gridCol w:w="1267"/>
        <w:gridCol w:w="1320"/>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b/>
                <w:bCs/>
                <w:color w:val="000000"/>
                <w:spacing w:val="0"/>
                <w:w w:val="100"/>
                <w:position w:val="0"/>
                <w:sz w:val="15"/>
                <w:szCs w:val="15"/>
              </w:rPr>
              <w:t>资本公积</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15"/>
                <w:szCs w:val="15"/>
              </w:rPr>
            </w:pPr>
            <w:r>
              <w:rPr>
                <w:b/>
                <w:bCs/>
                <w:color w:val="000000"/>
                <w:spacing w:val="0"/>
                <w:w w:val="100"/>
                <w:position w:val="0"/>
                <w:sz w:val="15"/>
                <w:szCs w:val="15"/>
              </w:rPr>
              <w:t>盈余公积</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未分配利润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所有者权益合计</w:t>
            </w:r>
          </w:p>
        </w:tc>
      </w:tr>
      <w:tr>
        <w:trPr>
          <w:trHeight w:val="43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b/>
                <w:bCs/>
                <w:color w:val="000000"/>
                <w:spacing w:val="0"/>
                <w:w w:val="100"/>
                <w:position w:val="0"/>
                <w:sz w:val="15"/>
                <w:szCs w:val="15"/>
              </w:rPr>
              <w:t>年</w:t>
            </w:r>
            <w:r>
              <w:rPr>
                <w:rFonts w:ascii="Arial" w:eastAsia="Arial" w:hAnsi="Arial" w:cs="Arial"/>
                <w:color w:val="000000"/>
                <w:spacing w:val="0"/>
                <w:w w:val="100"/>
                <w:position w:val="0"/>
                <w:sz w:val="15"/>
                <w:szCs w:val="15"/>
              </w:rPr>
              <w:t>1</w:t>
            </w:r>
            <w:r>
              <w:rPr>
                <w:b/>
                <w:bCs/>
                <w:color w:val="000000"/>
                <w:spacing w:val="0"/>
                <w:w w:val="100"/>
                <w:position w:val="0"/>
                <w:sz w:val="15"/>
                <w:szCs w:val="15"/>
              </w:rPr>
              <w:t>月</w:t>
            </w:r>
            <w:r>
              <w:rPr>
                <w:rFonts w:ascii="Arial" w:eastAsia="Arial" w:hAnsi="Arial" w:cs="Arial"/>
                <w:color w:val="000000"/>
                <w:spacing w:val="0"/>
                <w:w w:val="100"/>
                <w:position w:val="0"/>
                <w:sz w:val="15"/>
                <w:szCs w:val="15"/>
              </w:rPr>
              <w:t>1</w:t>
            </w:r>
            <w:r>
              <w:rPr>
                <w:b/>
                <w:bCs/>
                <w:color w:val="000000"/>
                <w:spacing w:val="0"/>
                <w:w w:val="100"/>
                <w:position w:val="0"/>
                <w:sz w:val="15"/>
                <w:szCs w:val="15"/>
              </w:rPr>
              <w:t>日年初余额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77,830,780.00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579,996,139.78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26,982,505.00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28,522,828.00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713,332,252.78</w:t>
            </w:r>
          </w:p>
        </w:tc>
      </w:tr>
      <w:tr>
        <w:trPr>
          <w:trHeight w:val="71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b/>
                <w:bCs/>
                <w:color w:val="000000"/>
                <w:spacing w:val="0"/>
                <w:w w:val="100"/>
                <w:position w:val="0"/>
                <w:sz w:val="15"/>
                <w:szCs w:val="15"/>
              </w:rPr>
              <w:t>年度增减变动额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25,625,283.67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25,625,283.67</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综合收益总额合计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25,625,283.67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25,625,283.67</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所有者权益内部结转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资本公积转增股本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38,915,390.00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(38,915,390.00)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利润分配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提取盈余公积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2"/>
                <w:szCs w:val="12"/>
              </w:rPr>
            </w:pPr>
            <w:r>
              <w:rPr>
                <w:rFonts w:ascii="Arial" w:eastAsia="Arial" w:hAnsi="Arial" w:cs="Arial"/>
                <w:color w:val="000000"/>
                <w:spacing w:val="0"/>
                <w:w w:val="100"/>
                <w:position w:val="0"/>
                <w:sz w:val="12"/>
                <w:szCs w:val="12"/>
              </w:rPr>
              <w:t>2,562,528.37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(2,562,528.37)</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对所有者分配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(35,023,851.00)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(35,023,851.00)</w:t>
            </w:r>
          </w:p>
        </w:tc>
      </w:tr>
      <w:tr>
        <w:trPr>
          <w:trHeight w:val="66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b/>
                <w:bCs/>
                <w:color w:val="000000"/>
                <w:spacing w:val="0"/>
                <w:w w:val="100"/>
                <w:position w:val="0"/>
                <w:sz w:val="15"/>
                <w:szCs w:val="15"/>
              </w:rPr>
              <w:t>年</w:t>
            </w:r>
            <w:r>
              <w:rPr>
                <w:rFonts w:ascii="Arial" w:eastAsia="Arial" w:hAnsi="Arial" w:cs="Arial"/>
                <w:color w:val="000000"/>
                <w:spacing w:val="0"/>
                <w:w w:val="100"/>
                <w:position w:val="0"/>
                <w:sz w:val="15"/>
                <w:szCs w:val="15"/>
              </w:rPr>
              <w:t>12</w:t>
            </w:r>
            <w:r>
              <w:rPr>
                <w:b/>
                <w:bCs/>
                <w:color w:val="000000"/>
                <w:spacing w:val="0"/>
                <w:w w:val="100"/>
                <w:position w:val="0"/>
                <w:sz w:val="15"/>
                <w:szCs w:val="15"/>
              </w:rPr>
              <w:t>月</w:t>
            </w:r>
            <w:r>
              <w:rPr>
                <w:rFonts w:ascii="Arial" w:eastAsia="Arial" w:hAnsi="Arial" w:cs="Arial"/>
                <w:color w:val="000000"/>
                <w:spacing w:val="0"/>
                <w:w w:val="100"/>
                <w:position w:val="0"/>
                <w:sz w:val="15"/>
                <w:szCs w:val="15"/>
              </w:rPr>
              <w:t>31</w:t>
            </w:r>
            <w:r>
              <w:rPr>
                <w:b/>
                <w:bCs/>
                <w:color w:val="000000"/>
                <w:spacing w:val="0"/>
                <w:w w:val="100"/>
                <w:position w:val="0"/>
                <w:sz w:val="15"/>
                <w:szCs w:val="15"/>
              </w:rPr>
              <w:t>日年末余额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116,746,170.00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541,080,749.78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29,545,033.37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16,561,732.30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703,933,685.45</w:t>
            </w:r>
          </w:p>
        </w:tc>
      </w:tr>
      <w:tr>
        <w:trPr>
          <w:trHeight w:val="8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b/>
                <w:bCs/>
                <w:color w:val="000000"/>
                <w:spacing w:val="0"/>
                <w:w w:val="100"/>
                <w:position w:val="0"/>
                <w:sz w:val="15"/>
                <w:szCs w:val="15"/>
              </w:rPr>
              <w:t>年</w:t>
            </w:r>
            <w:r>
              <w:rPr>
                <w:rFonts w:ascii="Arial" w:eastAsia="Arial" w:hAnsi="Arial" w:cs="Arial"/>
                <w:color w:val="000000"/>
                <w:spacing w:val="0"/>
                <w:w w:val="100"/>
                <w:position w:val="0"/>
                <w:sz w:val="15"/>
                <w:szCs w:val="15"/>
              </w:rPr>
              <w:t>1</w:t>
            </w:r>
            <w:r>
              <w:rPr>
                <w:b/>
                <w:bCs/>
                <w:color w:val="000000"/>
                <w:spacing w:val="0"/>
                <w:w w:val="100"/>
                <w:position w:val="0"/>
                <w:sz w:val="15"/>
                <w:szCs w:val="15"/>
              </w:rPr>
              <w:t>月</w:t>
            </w:r>
            <w:r>
              <w:rPr>
                <w:rFonts w:ascii="Arial" w:eastAsia="Arial" w:hAnsi="Arial" w:cs="Arial"/>
                <w:color w:val="000000"/>
                <w:spacing w:val="0"/>
                <w:w w:val="100"/>
                <w:position w:val="0"/>
                <w:sz w:val="15"/>
                <w:szCs w:val="15"/>
              </w:rPr>
              <w:t>1</w:t>
            </w:r>
            <w:r>
              <w:rPr>
                <w:b/>
                <w:bCs/>
                <w:color w:val="000000"/>
                <w:spacing w:val="0"/>
                <w:w w:val="100"/>
                <w:position w:val="0"/>
                <w:sz w:val="15"/>
                <w:szCs w:val="15"/>
              </w:rPr>
              <w:t>日期初余额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116,746,170.00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541,080,749.78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29,545,033.37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16,561,732.30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703,933,685.45</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b/>
                <w:bCs/>
                <w:color w:val="000000"/>
                <w:spacing w:val="0"/>
                <w:w w:val="100"/>
                <w:position w:val="0"/>
                <w:sz w:val="15"/>
                <w:szCs w:val="15"/>
              </w:rPr>
              <w:t>年度增减变动额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895,231,690.74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895,231,690.74</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所有者投入资本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3,950,185,873.00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38,566,993,214.61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42,517,179,087.61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所有者权益内部结转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资本公积转增股本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116,746,170.00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(116,746,170.00)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利润分配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提取盈余公积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89,523,169.07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(89,523,169.07)</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对所有者分配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(16,344,463.80)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(16,344,463.80)</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b/>
                <w:bCs/>
                <w:color w:val="000000"/>
                <w:spacing w:val="0"/>
                <w:w w:val="100"/>
                <w:position w:val="0"/>
                <w:sz w:val="15"/>
                <w:szCs w:val="15"/>
              </w:rPr>
              <w:t>年</w:t>
            </w:r>
            <w:r>
              <w:rPr>
                <w:rFonts w:ascii="Arial" w:eastAsia="Arial" w:hAnsi="Arial" w:cs="Arial"/>
                <w:color w:val="000000"/>
                <w:spacing w:val="0"/>
                <w:w w:val="100"/>
                <w:position w:val="0"/>
                <w:sz w:val="15"/>
                <w:szCs w:val="15"/>
              </w:rPr>
              <w:t>12</w:t>
            </w:r>
            <w:r>
              <w:rPr>
                <w:b/>
                <w:bCs/>
                <w:color w:val="000000"/>
                <w:spacing w:val="0"/>
                <w:w w:val="100"/>
                <w:position w:val="0"/>
                <w:sz w:val="15"/>
                <w:szCs w:val="15"/>
              </w:rPr>
              <w:t>月</w:t>
            </w:r>
            <w:r>
              <w:rPr>
                <w:rFonts w:ascii="Arial" w:eastAsia="Arial" w:hAnsi="Arial" w:cs="Arial"/>
                <w:color w:val="000000"/>
                <w:spacing w:val="0"/>
                <w:w w:val="100"/>
                <w:position w:val="0"/>
                <w:sz w:val="15"/>
                <w:szCs w:val="15"/>
              </w:rPr>
              <w:t>31</w:t>
            </w:r>
            <w:r>
              <w:rPr>
                <w:b/>
                <w:bCs/>
                <w:color w:val="000000"/>
                <w:spacing w:val="0"/>
                <w:w w:val="100"/>
                <w:position w:val="0"/>
                <w:sz w:val="15"/>
                <w:szCs w:val="15"/>
              </w:rPr>
              <w:t>日期末余额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4,183,678,213.00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38,991,327,794.39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12"/>
                <w:szCs w:val="12"/>
              </w:rPr>
            </w:pPr>
            <w:r>
              <w:rPr>
                <w:rFonts w:ascii="Arial" w:eastAsia="Arial" w:hAnsi="Arial" w:cs="Arial"/>
                <w:color w:val="000000"/>
                <w:spacing w:val="0"/>
                <w:w w:val="100"/>
                <w:position w:val="0"/>
                <w:sz w:val="12"/>
                <w:szCs w:val="12"/>
              </w:rPr>
              <w:t>119,068,202.44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805,925,790.17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44,100,000,000.00</w:t>
            </w:r>
          </w:p>
        </w:tc>
      </w:tr>
    </w:tbl>
    <w:p>
      <w:pPr>
        <w:widowControl w:val="0"/>
        <w:spacing w:after="379" w:line="1" w:lineRule="exact"/>
      </w:pPr>
    </w:p>
    <w:p>
      <w:pPr>
        <w:pStyle w:val="Style7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后附财务报表附注为财务报表的组成部分。</w:t>
      </w:r>
    </w:p>
    <w:p>
      <w:pPr>
        <w:widowControl w:val="0"/>
        <w:spacing w:after="859" w:line="1" w:lineRule="exact"/>
      </w:pPr>
      <w:r>
        <mc:AlternateContent>
          <mc:Choice Requires="wps">
            <w:drawing>
              <wp:anchor distT="0" distB="0" distL="0" distR="0" simplePos="0" relativeHeight="62914722" behindDoc="1" locked="0" layoutInCell="1" allowOverlap="1">
                <wp:simplePos x="0" y="0"/>
                <wp:positionH relativeFrom="page">
                  <wp:posOffset>1134745</wp:posOffset>
                </wp:positionH>
                <wp:positionV relativeFrom="paragraph">
                  <wp:posOffset>384175</wp:posOffset>
                </wp:positionV>
                <wp:extent cx="786130" cy="158750"/>
                <wp:wrapNone/>
                <wp:docPr id="63" name="Shape 63"/>
                <a:graphic xmlns:a="http://schemas.openxmlformats.org/drawingml/2006/main">
                  <a:graphicData uri="http://schemas.microsoft.com/office/word/2010/wordprocessingShape">
                    <wps:wsp>
                      <wps:cNvSpPr txBox="1"/>
                      <wps:spPr>
                        <a:xfrm>
                          <a:ext cx="786130" cy="1587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w:t>
                            </w:r>
                          </w:p>
                        </w:txbxContent>
                      </wps:txbx>
                      <wps:bodyPr wrap="none" lIns="0" tIns="0" rIns="0" bIns="0">
                        <a:noAutoFit/>
                      </wps:bodyPr>
                    </wps:wsp>
                  </a:graphicData>
                </a:graphic>
              </wp:anchor>
            </w:drawing>
          </mc:Choice>
          <mc:Fallback>
            <w:pict>
              <v:shape id="_x0000_s1089" type="#_x0000_t202" style="position:absolute;margin-left:89.350000000000009pt;margin-top:30.25pt;width:61.899999999999999pt;height:12.5pt;z-index:-188744031;mso-wrap-distance-left:0;mso-wrap-distance-right:0;mso-position-horizontal-relative:page" wrapcoords="0 0"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w:t>
                      </w:r>
                    </w:p>
                  </w:txbxContent>
                </v:textbox>
                <w10:wrap anchorx="page"/>
              </v:shape>
            </w:pict>
          </mc:Fallback>
        </mc:AlternateContent>
      </w:r>
      <w:r>
        <mc:AlternateContent>
          <mc:Choice Requires="wps">
            <w:drawing>
              <wp:anchor distT="0" distB="0" distL="0" distR="0" simplePos="0" relativeHeight="62914724" behindDoc="1" locked="0" layoutInCell="1" allowOverlap="1">
                <wp:simplePos x="0" y="0"/>
                <wp:positionH relativeFrom="page">
                  <wp:posOffset>2911475</wp:posOffset>
                </wp:positionH>
                <wp:positionV relativeFrom="paragraph">
                  <wp:posOffset>381000</wp:posOffset>
                </wp:positionV>
                <wp:extent cx="1420495" cy="161290"/>
                <wp:wrapNone/>
                <wp:docPr id="65" name="Shape 65"/>
                <a:graphic xmlns:a="http://schemas.openxmlformats.org/drawingml/2006/main">
                  <a:graphicData uri="http://schemas.microsoft.com/office/word/2010/wordprocessingShape">
                    <wps:wsp>
                      <wps:cNvSpPr txBox="1"/>
                      <wps:spPr>
                        <a:xfrm>
                          <a:ext cx="1420495" cy="1612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主管会计工作的负责人:</w:t>
                            </w:r>
                          </w:p>
                        </w:txbxContent>
                      </wps:txbx>
                      <wps:bodyPr wrap="none" lIns="0" tIns="0" rIns="0" bIns="0">
                        <a:noAutoFit/>
                      </wps:bodyPr>
                    </wps:wsp>
                  </a:graphicData>
                </a:graphic>
              </wp:anchor>
            </w:drawing>
          </mc:Choice>
          <mc:Fallback>
            <w:pict>
              <v:shape id="_x0000_s1091" type="#_x0000_t202" style="position:absolute;margin-left:229.25pt;margin-top:30.pt;width:111.85000000000001pt;height:12.700000000000001pt;z-index:-188744029;mso-wrap-distance-left:0;mso-wrap-distance-right:0;mso-position-horizontal-relative:page" wrapcoords="0 0" filled="f" stroked="f">
                <v:textbox inset="0,0,0,0">
                  <w:txbxContent>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主管会计工作的负责人:</w:t>
                      </w:r>
                    </w:p>
                  </w:txbxContent>
                </v:textbox>
                <w10:wrap anchorx="page"/>
              </v:shape>
            </w:pict>
          </mc:Fallback>
        </mc:AlternateContent>
      </w:r>
      <w:r>
        <mc:AlternateContent>
          <mc:Choice Requires="wps">
            <w:drawing>
              <wp:anchor distT="0" distB="0" distL="0" distR="0" simplePos="0" relativeHeight="62914726" behindDoc="1" locked="0" layoutInCell="1" allowOverlap="1">
                <wp:simplePos x="0" y="0"/>
                <wp:positionH relativeFrom="page">
                  <wp:posOffset>5325745</wp:posOffset>
                </wp:positionH>
                <wp:positionV relativeFrom="paragraph">
                  <wp:posOffset>384175</wp:posOffset>
                </wp:positionV>
                <wp:extent cx="1039495" cy="161290"/>
                <wp:wrapNone/>
                <wp:docPr id="67" name="Shape 67"/>
                <a:graphic xmlns:a="http://schemas.openxmlformats.org/drawingml/2006/main">
                  <a:graphicData uri="http://schemas.microsoft.com/office/word/2010/wordprocessingShape">
                    <wps:wsp>
                      <wps:cNvSpPr txBox="1"/>
                      <wps:spPr>
                        <a:xfrm>
                          <a:ext cx="1039495" cy="1612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93" type="#_x0000_t202" style="position:absolute;margin-left:419.35000000000002pt;margin-top:30.25pt;width:81.850000000000009pt;height:12.700000000000001pt;z-index:-188744027;mso-wrap-distance-left:0;mso-wrap-distance-right:0;mso-position-horizontal-relative:page" wrapcoords="0 0" filled="f" stroked="f">
                <v:textbox inset="0,0,0,0">
                  <w:txbxContent>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anchorx="page"/>
              </v:shape>
            </w:pict>
          </mc:Fallback>
        </mc:AlternateContent>
      </w:r>
    </w:p>
    <w:p>
      <w:pPr>
        <w:pStyle w:val="Style27"/>
        <w:keepNext/>
        <w:keepLines/>
        <w:widowControl w:val="0"/>
        <w:shd w:val="clear" w:color="auto" w:fill="auto"/>
        <w:bidi w:val="0"/>
        <w:spacing w:before="0" w:after="300" w:line="320" w:lineRule="exact"/>
        <w:ind w:left="0" w:right="0" w:firstLine="0"/>
        <w:jc w:val="both"/>
        <w:rPr>
          <w:sz w:val="22"/>
          <w:szCs w:val="22"/>
        </w:rPr>
      </w:pPr>
      <w:bookmarkStart w:id="509" w:name="bookmark509"/>
      <w:bookmarkStart w:id="510" w:name="bookmark510"/>
      <w:bookmarkStart w:id="511" w:name="bookmark511"/>
      <w:r>
        <w:rPr>
          <w:color w:val="000000"/>
          <w:spacing w:val="0"/>
          <w:w w:val="100"/>
          <w:position w:val="0"/>
          <w:sz w:val="22"/>
          <w:szCs w:val="22"/>
        </w:rPr>
        <w:t>-公司基本情况以及历史沿革</w:t>
      </w:r>
      <w:bookmarkEnd w:id="509"/>
      <w:bookmarkEnd w:id="510"/>
      <w:bookmarkEnd w:id="511"/>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马鞍山鼎泰稀土新材料股份有限公司前身为马鞍山市鼎泰科技有限责任公司，是由刘 冀鲁等</w:t>
      </w:r>
      <w:r>
        <w:rPr>
          <w:rFonts w:ascii="Arial" w:eastAsia="Arial" w:hAnsi="Arial" w:cs="Arial"/>
          <w:b w:val="0"/>
          <w:bCs w:val="0"/>
          <w:color w:val="000000"/>
          <w:spacing w:val="0"/>
          <w:w w:val="100"/>
          <w:position w:val="0"/>
          <w:sz w:val="24"/>
          <w:szCs w:val="24"/>
        </w:rPr>
        <w:t>11</w:t>
      </w:r>
      <w:r>
        <w:rPr>
          <w:b w:val="0"/>
          <w:bCs w:val="0"/>
          <w:color w:val="000000"/>
          <w:spacing w:val="0"/>
          <w:w w:val="100"/>
          <w:position w:val="0"/>
          <w:sz w:val="22"/>
          <w:szCs w:val="22"/>
        </w:rPr>
        <w:t>名自然人和马鞍山市鼎泰金属制品公司工会以货币资金出资方式于</w:t>
      </w:r>
      <w:r>
        <w:rPr>
          <w:rFonts w:ascii="Arial" w:eastAsia="Arial" w:hAnsi="Arial" w:cs="Arial"/>
          <w:b w:val="0"/>
          <w:bCs w:val="0"/>
          <w:color w:val="000000"/>
          <w:spacing w:val="0"/>
          <w:w w:val="100"/>
          <w:position w:val="0"/>
          <w:sz w:val="24"/>
          <w:szCs w:val="24"/>
        </w:rPr>
        <w:t>2003</w:t>
      </w:r>
      <w:r>
        <w:rPr>
          <w:b w:val="0"/>
          <w:bCs w:val="0"/>
          <w:color w:val="000000"/>
          <w:spacing w:val="0"/>
          <w:w w:val="100"/>
          <w:position w:val="0"/>
          <w:sz w:val="22"/>
          <w:szCs w:val="22"/>
        </w:rPr>
        <w:t xml:space="preserve">年 </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13</w:t>
      </w:r>
      <w:r>
        <w:rPr>
          <w:b w:val="0"/>
          <w:bCs w:val="0"/>
          <w:color w:val="000000"/>
          <w:spacing w:val="0"/>
          <w:w w:val="100"/>
          <w:position w:val="0"/>
          <w:sz w:val="22"/>
          <w:szCs w:val="22"/>
        </w:rPr>
        <w:t>日发起设立的。经</w:t>
      </w:r>
      <w:r>
        <w:rPr>
          <w:rFonts w:ascii="Arial" w:eastAsia="Arial" w:hAnsi="Arial" w:cs="Arial"/>
          <w:b w:val="0"/>
          <w:bCs w:val="0"/>
          <w:color w:val="000000"/>
          <w:spacing w:val="0"/>
          <w:w w:val="100"/>
          <w:position w:val="0"/>
          <w:sz w:val="24"/>
          <w:szCs w:val="24"/>
        </w:rPr>
        <w:t>2007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18</w:t>
      </w:r>
      <w:r>
        <w:rPr>
          <w:b w:val="0"/>
          <w:bCs w:val="0"/>
          <w:color w:val="000000"/>
          <w:spacing w:val="0"/>
          <w:w w:val="100"/>
          <w:position w:val="0"/>
          <w:sz w:val="22"/>
          <w:szCs w:val="22"/>
        </w:rPr>
        <w:t>日股东会和</w:t>
      </w:r>
      <w:r>
        <w:rPr>
          <w:rFonts w:ascii="Arial" w:eastAsia="Arial" w:hAnsi="Arial" w:cs="Arial"/>
          <w:b w:val="0"/>
          <w:bCs w:val="0"/>
          <w:color w:val="000000"/>
          <w:spacing w:val="0"/>
          <w:w w:val="100"/>
          <w:position w:val="0"/>
          <w:sz w:val="24"/>
          <w:szCs w:val="24"/>
        </w:rPr>
        <w:t>2007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22</w:t>
      </w:r>
      <w:r>
        <w:rPr>
          <w:b w:val="0"/>
          <w:bCs w:val="0"/>
          <w:color w:val="000000"/>
          <w:spacing w:val="0"/>
          <w:w w:val="100"/>
          <w:position w:val="0"/>
          <w:sz w:val="22"/>
          <w:szCs w:val="22"/>
        </w:rPr>
        <w:t>日创立大会审议批 准，由该公司原股东作为发起人，将该公司正式变更为马鞍山鼎泰稀土新材料股份有 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以下简称“鼎泰新材”</w:t>
      </w:r>
      <w:r>
        <w:rPr>
          <w:b w:val="0"/>
          <w:bCs w:val="0"/>
          <w:color w:val="000000"/>
          <w:spacing w:val="0"/>
          <w:w w:val="100"/>
          <w:position w:val="0"/>
          <w:sz w:val="28"/>
          <w:szCs w:val="28"/>
        </w:rPr>
        <w:t>）</w:t>
      </w:r>
      <w:r>
        <w:rPr>
          <w:b w:val="0"/>
          <w:bCs w:val="0"/>
          <w:color w:val="000000"/>
          <w:spacing w:val="0"/>
          <w:w w:val="100"/>
          <w:position w:val="0"/>
          <w:sz w:val="22"/>
          <w:szCs w:val="22"/>
        </w:rPr>
        <w:t>，注册资本为人民币</w:t>
      </w:r>
      <w:r>
        <w:rPr>
          <w:rFonts w:ascii="Arial" w:eastAsia="Arial" w:hAnsi="Arial" w:cs="Arial"/>
          <w:b w:val="0"/>
          <w:bCs w:val="0"/>
          <w:color w:val="000000"/>
          <w:spacing w:val="0"/>
          <w:w w:val="100"/>
          <w:position w:val="0"/>
          <w:sz w:val="24"/>
          <w:szCs w:val="24"/>
        </w:rPr>
        <w:t>5000</w:t>
      </w:r>
      <w:r>
        <w:rPr>
          <w:b w:val="0"/>
          <w:bCs w:val="0"/>
          <w:color w:val="000000"/>
          <w:spacing w:val="0"/>
          <w:w w:val="100"/>
          <w:position w:val="0"/>
          <w:sz w:val="22"/>
          <w:szCs w:val="22"/>
        </w:rPr>
        <w:t>万元。</w:t>
      </w:r>
    </w:p>
    <w:p>
      <w:pPr>
        <w:pStyle w:val="Style33"/>
        <w:keepNext w:val="0"/>
        <w:keepLines w:val="0"/>
        <w:widowControl w:val="0"/>
        <w:shd w:val="clear" w:color="auto" w:fill="auto"/>
        <w:bidi w:val="0"/>
        <w:spacing w:before="0" w:after="300" w:line="318" w:lineRule="exact"/>
        <w:ind w:left="0" w:right="0" w:firstLine="0"/>
        <w:jc w:val="both"/>
        <w:rPr>
          <w:sz w:val="22"/>
          <w:szCs w:val="22"/>
        </w:rPr>
      </w:pPr>
      <w:r>
        <w:rPr>
          <w:b w:val="0"/>
          <w:bCs w:val="0"/>
          <w:color w:val="000000"/>
          <w:spacing w:val="0"/>
          <w:w w:val="100"/>
          <w:position w:val="0"/>
          <w:sz w:val="22"/>
          <w:szCs w:val="22"/>
        </w:rPr>
        <w:t>经中国证券监督管理委员会以“证监许可</w:t>
      </w:r>
      <w:r>
        <w:rPr>
          <w:rFonts w:ascii="Arial" w:eastAsia="Arial" w:hAnsi="Arial" w:cs="Arial"/>
          <w:b w:val="0"/>
          <w:bCs w:val="0"/>
          <w:color w:val="000000"/>
          <w:spacing w:val="0"/>
          <w:w w:val="100"/>
          <w:position w:val="0"/>
          <w:sz w:val="24"/>
          <w:szCs w:val="24"/>
        </w:rPr>
        <w:t>[2010]41</w:t>
      </w:r>
      <w:r>
        <w:rPr>
          <w:b w:val="0"/>
          <w:bCs w:val="0"/>
          <w:color w:val="000000"/>
          <w:spacing w:val="0"/>
          <w:w w:val="100"/>
          <w:position w:val="0"/>
          <w:sz w:val="22"/>
          <w:szCs w:val="22"/>
        </w:rPr>
        <w:t>号”文核准，鼎泰新材于</w:t>
      </w:r>
      <w:r>
        <w:rPr>
          <w:rFonts w:ascii="Arial" w:eastAsia="Arial" w:hAnsi="Arial" w:cs="Arial"/>
          <w:b w:val="0"/>
          <w:bCs w:val="0"/>
          <w:color w:val="000000"/>
          <w:spacing w:val="0"/>
          <w:w w:val="100"/>
          <w:position w:val="0"/>
          <w:sz w:val="24"/>
          <w:szCs w:val="24"/>
        </w:rPr>
        <w:t>2010</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1 </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11</w:t>
      </w:r>
      <w:r>
        <w:rPr>
          <w:b w:val="0"/>
          <w:bCs w:val="0"/>
          <w:color w:val="000000"/>
          <w:spacing w:val="0"/>
          <w:w w:val="100"/>
          <w:position w:val="0"/>
          <w:sz w:val="22"/>
          <w:szCs w:val="22"/>
        </w:rPr>
        <w:t>日在深圳证券交易所成功发行了面值</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8"/>
          <w:szCs w:val="28"/>
        </w:rPr>
        <w:t>。</w:t>
      </w:r>
      <w:r>
        <w:rPr>
          <w:b w:val="0"/>
          <w:bCs w:val="0"/>
          <w:color w:val="000000"/>
          <w:spacing w:val="0"/>
          <w:w w:val="100"/>
          <w:position w:val="0"/>
          <w:sz w:val="22"/>
          <w:szCs w:val="22"/>
        </w:rPr>
        <w:t>元的人民币普通股</w:t>
      </w:r>
      <w:r>
        <w:rPr>
          <w:rFonts w:ascii="Arial" w:eastAsia="Arial" w:hAnsi="Arial" w:cs="Arial"/>
          <w:b w:val="0"/>
          <w:bCs w:val="0"/>
          <w:color w:val="000000"/>
          <w:spacing w:val="0"/>
          <w:w w:val="100"/>
          <w:position w:val="0"/>
          <w:sz w:val="24"/>
          <w:szCs w:val="24"/>
        </w:rPr>
        <w:t>19,500,000</w:t>
      </w:r>
      <w:r>
        <w:rPr>
          <w:b w:val="0"/>
          <w:bCs w:val="0"/>
          <w:color w:val="000000"/>
          <w:spacing w:val="0"/>
          <w:w w:val="100"/>
          <w:position w:val="0"/>
          <w:sz w:val="22"/>
          <w:szCs w:val="22"/>
        </w:rPr>
        <w:t>股，流通 股于</w:t>
      </w:r>
      <w:r>
        <w:rPr>
          <w:rFonts w:ascii="Arial" w:eastAsia="Arial" w:hAnsi="Arial" w:cs="Arial"/>
          <w:b w:val="0"/>
          <w:bCs w:val="0"/>
          <w:color w:val="000000"/>
          <w:spacing w:val="0"/>
          <w:w w:val="100"/>
          <w:position w:val="0"/>
          <w:sz w:val="24"/>
          <w:szCs w:val="24"/>
        </w:rPr>
        <w:t>2010</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 xml:space="preserve">日在深圳证券交易所上市。发行后鼎泰新材总股本变更为 </w:t>
      </w:r>
      <w:r>
        <w:rPr>
          <w:rFonts w:ascii="Arial" w:eastAsia="Arial" w:hAnsi="Arial" w:cs="Arial"/>
          <w:b w:val="0"/>
          <w:bCs w:val="0"/>
          <w:color w:val="000000"/>
          <w:spacing w:val="0"/>
          <w:w w:val="100"/>
          <w:position w:val="0"/>
          <w:sz w:val="24"/>
          <w:szCs w:val="24"/>
        </w:rPr>
        <w:t>77,830,780</w:t>
      </w:r>
      <w:r>
        <w:rPr>
          <w:b w:val="0"/>
          <w:bCs w:val="0"/>
          <w:color w:val="000000"/>
          <w:spacing w:val="0"/>
          <w:w w:val="100"/>
          <w:position w:val="0"/>
          <w:sz w:val="22"/>
          <w:szCs w:val="22"/>
        </w:rPr>
        <w:t>股。</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根据鼎泰新材于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19</w:t>
      </w:r>
      <w:r>
        <w:rPr>
          <w:b w:val="0"/>
          <w:bCs w:val="0"/>
          <w:color w:val="000000"/>
          <w:spacing w:val="0"/>
          <w:w w:val="100"/>
          <w:position w:val="0"/>
          <w:sz w:val="22"/>
          <w:szCs w:val="22"/>
        </w:rPr>
        <w:t>日召开的</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年年度股东大会审议通过的《关于</w:t>
      </w:r>
      <w:r>
        <w:rPr>
          <w:rFonts w:ascii="Arial" w:eastAsia="Arial" w:hAnsi="Arial" w:cs="Arial"/>
          <w:b w:val="0"/>
          <w:bCs w:val="0"/>
          <w:color w:val="000000"/>
          <w:spacing w:val="0"/>
          <w:w w:val="100"/>
          <w:position w:val="0"/>
          <w:sz w:val="24"/>
          <w:szCs w:val="24"/>
        </w:rPr>
        <w:t xml:space="preserve">2014 </w:t>
      </w:r>
      <w:r>
        <w:rPr>
          <w:b w:val="0"/>
          <w:bCs w:val="0"/>
          <w:color w:val="000000"/>
          <w:spacing w:val="0"/>
          <w:w w:val="100"/>
          <w:position w:val="0"/>
          <w:sz w:val="22"/>
          <w:szCs w:val="22"/>
        </w:rPr>
        <w:t>年度利润分配预案的议案》，鼎泰新材以截至</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年末股份总额</w:t>
      </w:r>
      <w:r>
        <w:rPr>
          <w:rFonts w:ascii="Arial" w:eastAsia="Arial" w:hAnsi="Arial" w:cs="Arial"/>
          <w:b w:val="0"/>
          <w:bCs w:val="0"/>
          <w:color w:val="000000"/>
          <w:spacing w:val="0"/>
          <w:w w:val="100"/>
          <w:position w:val="0"/>
          <w:sz w:val="24"/>
          <w:szCs w:val="24"/>
        </w:rPr>
        <w:t>77,830,780</w:t>
      </w:r>
      <w:r>
        <w:rPr>
          <w:b w:val="0"/>
          <w:bCs w:val="0"/>
          <w:color w:val="000000"/>
          <w:spacing w:val="0"/>
          <w:w w:val="100"/>
          <w:position w:val="0"/>
          <w:sz w:val="22"/>
          <w:szCs w:val="22"/>
        </w:rPr>
        <w:t>为基数， 以资本公积向全体股东每</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股转增</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股，合计转增股本</w:t>
      </w:r>
      <w:r>
        <w:rPr>
          <w:rFonts w:ascii="Arial" w:eastAsia="Arial" w:hAnsi="Arial" w:cs="Arial"/>
          <w:b w:val="0"/>
          <w:bCs w:val="0"/>
          <w:color w:val="000000"/>
          <w:spacing w:val="0"/>
          <w:w w:val="100"/>
          <w:position w:val="0"/>
          <w:sz w:val="24"/>
          <w:szCs w:val="24"/>
        </w:rPr>
        <w:t>38,915,39</w:t>
      </w:r>
      <w:r>
        <w:rPr>
          <w:b w:val="0"/>
          <w:bCs w:val="0"/>
          <w:color w:val="000000"/>
          <w:spacing w:val="0"/>
          <w:w w:val="100"/>
          <w:position w:val="0"/>
          <w:sz w:val="28"/>
          <w:szCs w:val="28"/>
        </w:rPr>
        <w:t>。</w:t>
      </w:r>
      <w:r>
        <w:rPr>
          <w:b w:val="0"/>
          <w:bCs w:val="0"/>
          <w:color w:val="000000"/>
          <w:spacing w:val="0"/>
          <w:w w:val="100"/>
          <w:position w:val="0"/>
          <w:sz w:val="22"/>
          <w:szCs w:val="22"/>
        </w:rPr>
        <w:t>股，转增股本后鼎 泰新材总股本变更为</w:t>
      </w:r>
      <w:r>
        <w:rPr>
          <w:rFonts w:ascii="Arial" w:eastAsia="Arial" w:hAnsi="Arial" w:cs="Arial"/>
          <w:b w:val="0"/>
          <w:bCs w:val="0"/>
          <w:color w:val="000000"/>
          <w:spacing w:val="0"/>
          <w:w w:val="100"/>
          <w:position w:val="0"/>
          <w:sz w:val="24"/>
          <w:szCs w:val="24"/>
        </w:rPr>
        <w:t>116,746,170</w:t>
      </w:r>
      <w:r>
        <w:rPr>
          <w:b w:val="0"/>
          <w:bCs w:val="0"/>
          <w:color w:val="000000"/>
          <w:spacing w:val="0"/>
          <w:w w:val="100"/>
          <w:position w:val="0"/>
          <w:sz w:val="22"/>
          <w:szCs w:val="22"/>
        </w:rPr>
        <w:t>股。</w:t>
      </w:r>
    </w:p>
    <w:p>
      <w:pPr>
        <w:pStyle w:val="Style33"/>
        <w:keepNext w:val="0"/>
        <w:keepLines w:val="0"/>
        <w:widowControl w:val="0"/>
        <w:shd w:val="clear" w:color="auto" w:fill="auto"/>
        <w:bidi w:val="0"/>
        <w:spacing w:before="0" w:after="300" w:line="324" w:lineRule="exact"/>
        <w:ind w:left="0" w:right="0" w:firstLine="0"/>
        <w:jc w:val="both"/>
        <w:rPr>
          <w:sz w:val="22"/>
          <w:szCs w:val="22"/>
        </w:rPr>
      </w:pPr>
      <w:r>
        <w:rPr>
          <w:b w:val="0"/>
          <w:bCs w:val="0"/>
          <w:color w:val="000000"/>
          <w:spacing w:val="0"/>
          <w:w w:val="100"/>
          <w:position w:val="0"/>
          <w:sz w:val="22"/>
          <w:szCs w:val="22"/>
        </w:rPr>
        <w:t>根据鼎泰新材于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17</w:t>
      </w:r>
      <w:r>
        <w:rPr>
          <w:b w:val="0"/>
          <w:bCs w:val="0"/>
          <w:color w:val="000000"/>
          <w:spacing w:val="0"/>
          <w:w w:val="100"/>
          <w:position w:val="0"/>
          <w:sz w:val="22"/>
          <w:szCs w:val="22"/>
        </w:rPr>
        <w:t>日召开的</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年度股东大会审议通过的《关于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 度利润分配预案的议案》，鼎泰新材以截至</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年末股份总数</w:t>
      </w:r>
      <w:r>
        <w:rPr>
          <w:rFonts w:ascii="Arial" w:eastAsia="Arial" w:hAnsi="Arial" w:cs="Arial"/>
          <w:b w:val="0"/>
          <w:bCs w:val="0"/>
          <w:color w:val="000000"/>
          <w:spacing w:val="0"/>
          <w:w w:val="100"/>
          <w:position w:val="0"/>
          <w:sz w:val="24"/>
          <w:szCs w:val="24"/>
        </w:rPr>
        <w:t>116,746,170</w:t>
      </w:r>
      <w:r>
        <w:rPr>
          <w:b w:val="0"/>
          <w:bCs w:val="0"/>
          <w:color w:val="000000"/>
          <w:spacing w:val="0"/>
          <w:w w:val="100"/>
          <w:position w:val="0"/>
          <w:sz w:val="22"/>
          <w:szCs w:val="22"/>
        </w:rPr>
        <w:t>股为基数, 向全体股东每</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股派发现金股份</w:t>
      </w:r>
      <w:r>
        <w:rPr>
          <w:rFonts w:ascii="Arial" w:eastAsia="Arial" w:hAnsi="Arial" w:cs="Arial"/>
          <w:b w:val="0"/>
          <w:bCs w:val="0"/>
          <w:color w:val="000000"/>
          <w:spacing w:val="0"/>
          <w:w w:val="100"/>
          <w:position w:val="0"/>
          <w:sz w:val="24"/>
          <w:szCs w:val="24"/>
        </w:rPr>
        <w:t>1.4</w:t>
      </w:r>
      <w:r>
        <w:rPr>
          <w:b w:val="0"/>
          <w:bCs w:val="0"/>
          <w:color w:val="000000"/>
          <w:spacing w:val="0"/>
          <w:w w:val="100"/>
          <w:position w:val="0"/>
          <w:sz w:val="28"/>
          <w:szCs w:val="28"/>
        </w:rPr>
        <w:t>。</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含税</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，同时以资本公积向全体股东每</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股转 增</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股，合计转增股本</w:t>
      </w:r>
      <w:r>
        <w:rPr>
          <w:rFonts w:ascii="Arial" w:eastAsia="Arial" w:hAnsi="Arial" w:cs="Arial"/>
          <w:b w:val="0"/>
          <w:bCs w:val="0"/>
          <w:color w:val="000000"/>
          <w:spacing w:val="0"/>
          <w:w w:val="100"/>
          <w:position w:val="0"/>
          <w:sz w:val="24"/>
          <w:szCs w:val="24"/>
        </w:rPr>
        <w:t>116,746,17</w:t>
      </w:r>
      <w:r>
        <w:rPr>
          <w:b w:val="0"/>
          <w:bCs w:val="0"/>
          <w:color w:val="000000"/>
          <w:spacing w:val="0"/>
          <w:w w:val="100"/>
          <w:position w:val="0"/>
          <w:sz w:val="28"/>
          <w:szCs w:val="28"/>
        </w:rPr>
        <w:t>。</w:t>
      </w:r>
      <w:r>
        <w:rPr>
          <w:b w:val="0"/>
          <w:bCs w:val="0"/>
          <w:color w:val="000000"/>
          <w:spacing w:val="0"/>
          <w:w w:val="100"/>
          <w:position w:val="0"/>
          <w:sz w:val="22"/>
          <w:szCs w:val="22"/>
        </w:rPr>
        <w:t>股，转增股本后公司总股本变更为</w:t>
      </w:r>
      <w:r>
        <w:rPr>
          <w:rFonts w:ascii="Arial" w:eastAsia="Arial" w:hAnsi="Arial" w:cs="Arial"/>
          <w:b w:val="0"/>
          <w:bCs w:val="0"/>
          <w:color w:val="000000"/>
          <w:spacing w:val="0"/>
          <w:w w:val="100"/>
          <w:position w:val="0"/>
          <w:sz w:val="24"/>
          <w:szCs w:val="24"/>
        </w:rPr>
        <w:t xml:space="preserve">233,492,340 </w:t>
      </w:r>
      <w:r>
        <w:rPr>
          <w:b w:val="0"/>
          <w:bCs w:val="0"/>
          <w:color w:val="000000"/>
          <w:spacing w:val="0"/>
          <w:w w:val="100"/>
          <w:position w:val="0"/>
          <w:sz w:val="22"/>
          <w:szCs w:val="22"/>
        </w:rPr>
        <w:t>股。</w:t>
      </w:r>
    </w:p>
    <w:p>
      <w:pPr>
        <w:pStyle w:val="Style33"/>
        <w:keepNext w:val="0"/>
        <w:keepLines w:val="0"/>
        <w:widowControl w:val="0"/>
        <w:shd w:val="clear" w:color="auto" w:fill="auto"/>
        <w:bidi w:val="0"/>
        <w:spacing w:before="0" w:after="300" w:line="322" w:lineRule="exact"/>
        <w:ind w:left="0" w:right="0" w:firstLine="0"/>
        <w:jc w:val="both"/>
        <w:rPr>
          <w:sz w:val="22"/>
          <w:szCs w:val="2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85" w:right="1031" w:bottom="4065" w:left="1782" w:header="0" w:footer="3" w:gutter="0"/>
          <w:cols w:space="720"/>
          <w:noEndnote/>
          <w:rtlGutter w:val="0"/>
          <w:docGrid w:linePitch="360"/>
        </w:sectPr>
      </w:pPr>
      <w:r>
        <w:rPr>
          <w:b w:val="0"/>
          <w:bCs w:val="0"/>
          <w:color w:val="000000"/>
          <w:spacing w:val="0"/>
          <w:w w:val="100"/>
          <w:position w:val="0"/>
          <w:sz w:val="22"/>
          <w:szCs w:val="22"/>
        </w:rPr>
        <w:t>根据鼎泰新材</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22</w:t>
      </w:r>
      <w:r>
        <w:rPr>
          <w:b w:val="0"/>
          <w:bCs w:val="0"/>
          <w:color w:val="000000"/>
          <w:spacing w:val="0"/>
          <w:w w:val="100"/>
          <w:position w:val="0"/>
          <w:sz w:val="22"/>
          <w:szCs w:val="22"/>
        </w:rPr>
        <w:t xml:space="preserve">日第三届董事会第十三次会议审议通过，并经鼎泰新材 </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6</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日召开的</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年度第一次临时股东大会审议通过的《关于公司符合上 市公司重大资产重组条件的议案》、《关于公司重大资产置换及发行股份购买资产并 募集配套资金构成关联交易的议案》及《关于</w:t>
      </w:r>
      <w:r>
        <w:rPr>
          <w:b w:val="0"/>
          <w:bCs w:val="0"/>
          <w:color w:val="000000"/>
          <w:spacing w:val="0"/>
          <w:w w:val="100"/>
          <w:position w:val="0"/>
          <w:sz w:val="28"/>
          <w:szCs w:val="28"/>
        </w:rPr>
        <w:t>〈</w:t>
      </w:r>
      <w:r>
        <w:rPr>
          <w:b w:val="0"/>
          <w:bCs w:val="0"/>
          <w:color w:val="000000"/>
          <w:spacing w:val="0"/>
          <w:w w:val="100"/>
          <w:position w:val="0"/>
          <w:sz w:val="22"/>
          <w:szCs w:val="22"/>
        </w:rPr>
        <w:t>马鞍山鼎泰稀土新材料股份有限公司 重大资产置换及发行股份购买资产并募集配套资金暨关联交易报告书</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草案</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及其摘 要的议案》等相关议案，鼎泰新材将进行一系列的重大资产重组，具体方案是：</w:t>
      </w:r>
    </w:p>
    <w:p>
      <w:pPr>
        <w:pStyle w:val="Style27"/>
        <w:keepNext/>
        <w:keepLines/>
        <w:widowControl w:val="0"/>
        <w:shd w:val="clear" w:color="auto" w:fill="auto"/>
        <w:tabs>
          <w:tab w:pos="544" w:val="left"/>
        </w:tabs>
        <w:bidi w:val="0"/>
        <w:spacing w:before="0" w:after="340" w:line="322" w:lineRule="exact"/>
        <w:ind w:left="0" w:right="0" w:firstLine="0"/>
        <w:jc w:val="left"/>
        <w:rPr>
          <w:sz w:val="28"/>
          <w:szCs w:val="28"/>
        </w:rPr>
      </w:pPr>
      <w:bookmarkStart w:id="512" w:name="bookmark512"/>
      <w:bookmarkStart w:id="513" w:name="bookmark513"/>
      <w:bookmarkStart w:id="514" w:name="bookmark514"/>
      <w:r>
        <w:rPr>
          <w:color w:val="000000"/>
          <w:spacing w:val="0"/>
          <w:w w:val="100"/>
          <w:position w:val="0"/>
          <w:sz w:val="22"/>
          <w:szCs w:val="22"/>
        </w:rPr>
        <w:t>-</w:t>
        <w:tab/>
        <w:t>公司基本情况以及历史沿革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12"/>
      <w:bookmarkEnd w:id="513"/>
      <w:bookmarkEnd w:id="514"/>
    </w:p>
    <w:p>
      <w:pPr>
        <w:pStyle w:val="Style27"/>
        <w:keepNext/>
        <w:keepLines/>
        <w:widowControl w:val="0"/>
        <w:shd w:val="clear" w:color="auto" w:fill="auto"/>
        <w:tabs>
          <w:tab w:pos="544" w:val="left"/>
        </w:tabs>
        <w:bidi w:val="0"/>
        <w:spacing w:before="0" w:after="260" w:line="276" w:lineRule="auto"/>
        <w:ind w:left="0" w:right="0" w:firstLine="0"/>
        <w:jc w:val="left"/>
        <w:rPr>
          <w:sz w:val="22"/>
          <w:szCs w:val="22"/>
        </w:rPr>
      </w:pPr>
      <w:bookmarkStart w:id="512" w:name="bookmark512"/>
      <w:bookmarkStart w:id="513" w:name="bookmark513"/>
      <w:bookmarkStart w:id="515" w:name="bookmark515"/>
      <w:bookmarkStart w:id="516" w:name="bookmark516"/>
      <w:r>
        <w:rPr>
          <w:rFonts w:ascii="Arial" w:eastAsia="Arial" w:hAnsi="Arial" w:cs="Arial"/>
          <w:b w:val="0"/>
          <w:bCs w:val="0"/>
          <w:color w:val="000000"/>
          <w:spacing w:val="0"/>
          <w:w w:val="100"/>
          <w:position w:val="0"/>
          <w:sz w:val="24"/>
          <w:szCs w:val="24"/>
        </w:rPr>
        <w:t>（</w:t>
      </w:r>
      <w:bookmarkEnd w:id="515"/>
      <w:r>
        <w:rPr>
          <w:rFonts w:ascii="Arial" w:eastAsia="Arial" w:hAnsi="Arial" w:cs="Arial"/>
          <w:b w:val="0"/>
          <w:bCs w:val="0"/>
          <w:color w:val="000000"/>
          <w:spacing w:val="0"/>
          <w:w w:val="100"/>
          <w:position w:val="0"/>
          <w:sz w:val="24"/>
          <w:szCs w:val="24"/>
        </w:rPr>
        <w:t>1）</w:t>
        <w:tab/>
      </w:r>
      <w:r>
        <w:rPr>
          <w:color w:val="000000"/>
          <w:spacing w:val="0"/>
          <w:w w:val="100"/>
          <w:position w:val="0"/>
          <w:sz w:val="22"/>
          <w:szCs w:val="22"/>
        </w:rPr>
        <w:t>重大资产置换</w:t>
      </w:r>
      <w:bookmarkEnd w:id="512"/>
      <w:bookmarkEnd w:id="513"/>
      <w:bookmarkEnd w:id="516"/>
    </w:p>
    <w:p>
      <w:pPr>
        <w:pStyle w:val="Style33"/>
        <w:keepNext w:val="0"/>
        <w:keepLines w:val="0"/>
        <w:widowControl w:val="0"/>
        <w:shd w:val="clear" w:color="auto" w:fill="auto"/>
        <w:bidi w:val="0"/>
        <w:spacing w:before="0" w:after="340" w:line="322"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月，鼎泰新材以其截至</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w:t>
      </w:r>
      <w:r>
        <w:rPr>
          <w:b w:val="0"/>
          <w:bCs w:val="0"/>
          <w:color w:val="000000"/>
          <w:spacing w:val="0"/>
          <w:w w:val="100"/>
          <w:position w:val="0"/>
          <w:sz w:val="28"/>
          <w:szCs w:val="28"/>
        </w:rPr>
        <w:t>（</w:t>
      </w:r>
      <w:r>
        <w:rPr>
          <w:b w:val="0"/>
          <w:bCs w:val="0"/>
          <w:color w:val="000000"/>
          <w:spacing w:val="0"/>
          <w:w w:val="100"/>
          <w:position w:val="0"/>
          <w:sz w:val="22"/>
          <w:szCs w:val="22"/>
        </w:rPr>
        <w:t>“评估基准日”</w:t>
      </w:r>
      <w:r>
        <w:rPr>
          <w:b w:val="0"/>
          <w:bCs w:val="0"/>
          <w:color w:val="000000"/>
          <w:spacing w:val="0"/>
          <w:w w:val="100"/>
          <w:position w:val="0"/>
          <w:sz w:val="28"/>
          <w:szCs w:val="28"/>
        </w:rPr>
        <w:t>）</w:t>
      </w:r>
      <w:r>
        <w:rPr>
          <w:b w:val="0"/>
          <w:bCs w:val="0"/>
          <w:color w:val="000000"/>
          <w:spacing w:val="0"/>
          <w:w w:val="100"/>
          <w:position w:val="0"/>
          <w:sz w:val="22"/>
          <w:szCs w:val="22"/>
        </w:rPr>
        <w:t>全部资产及负 债</w:t>
      </w:r>
      <w:r>
        <w:rPr>
          <w:b w:val="0"/>
          <w:bCs w:val="0"/>
          <w:color w:val="000000"/>
          <w:spacing w:val="0"/>
          <w:w w:val="100"/>
          <w:position w:val="0"/>
          <w:sz w:val="28"/>
          <w:szCs w:val="28"/>
        </w:rPr>
        <w:t>（</w:t>
      </w:r>
      <w:r>
        <w:rPr>
          <w:b w:val="0"/>
          <w:bCs w:val="0"/>
          <w:color w:val="000000"/>
          <w:spacing w:val="0"/>
          <w:w w:val="100"/>
          <w:position w:val="0"/>
          <w:sz w:val="22"/>
          <w:szCs w:val="22"/>
        </w:rPr>
        <w:t>“置出资产”</w:t>
      </w:r>
      <w:r>
        <w:rPr>
          <w:b w:val="0"/>
          <w:bCs w:val="0"/>
          <w:color w:val="000000"/>
          <w:spacing w:val="0"/>
          <w:w w:val="100"/>
          <w:position w:val="0"/>
          <w:sz w:val="28"/>
          <w:szCs w:val="28"/>
        </w:rPr>
        <w:t>）</w:t>
      </w:r>
      <w:r>
        <w:rPr>
          <w:b w:val="0"/>
          <w:bCs w:val="0"/>
          <w:color w:val="000000"/>
          <w:spacing w:val="0"/>
          <w:w w:val="100"/>
          <w:position w:val="0"/>
          <w:sz w:val="22"/>
          <w:szCs w:val="22"/>
        </w:rPr>
        <w:t>与深圳明德控股发展有限公司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以下简称“明德控股”</w:t>
      </w:r>
      <w:r>
        <w:rPr>
          <w:b w:val="0"/>
          <w:bCs w:val="0"/>
          <w:color w:val="000000"/>
          <w:spacing w:val="0"/>
          <w:w w:val="100"/>
          <w:position w:val="0"/>
          <w:sz w:val="28"/>
          <w:szCs w:val="28"/>
        </w:rPr>
        <w:t>）</w:t>
      </w:r>
      <w:r>
        <w:rPr>
          <w:b w:val="0"/>
          <w:bCs w:val="0"/>
          <w:color w:val="000000"/>
          <w:spacing w:val="0"/>
          <w:w w:val="100"/>
          <w:position w:val="0"/>
          <w:sz w:val="22"/>
          <w:szCs w:val="22"/>
        </w:rPr>
        <w:t>、宁波顺达 丰润投资管理合伙企业</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有限合伙</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以下简称“顺达丰润”</w:t>
      </w:r>
      <w:r>
        <w:rPr>
          <w:b w:val="0"/>
          <w:bCs w:val="0"/>
          <w:color w:val="000000"/>
          <w:spacing w:val="0"/>
          <w:w w:val="100"/>
          <w:position w:val="0"/>
          <w:sz w:val="28"/>
          <w:szCs w:val="28"/>
        </w:rPr>
        <w:t>）</w:t>
      </w:r>
      <w:r>
        <w:rPr>
          <w:b w:val="0"/>
          <w:bCs w:val="0"/>
          <w:color w:val="000000"/>
          <w:spacing w:val="0"/>
          <w:w w:val="100"/>
          <w:position w:val="0"/>
          <w:sz w:val="22"/>
          <w:szCs w:val="22"/>
        </w:rPr>
        <w:t>、嘉强顺风</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深圳</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股权投资 合伙企业</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有限合伙</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以下简称“嘉强顺风”</w:t>
      </w:r>
      <w:r>
        <w:rPr>
          <w:b w:val="0"/>
          <w:bCs w:val="0"/>
          <w:color w:val="000000"/>
          <w:spacing w:val="0"/>
          <w:w w:val="100"/>
          <w:position w:val="0"/>
          <w:sz w:val="28"/>
          <w:szCs w:val="28"/>
        </w:rPr>
        <w:t>）</w:t>
      </w:r>
      <w:r>
        <w:rPr>
          <w:b w:val="0"/>
          <w:bCs w:val="0"/>
          <w:color w:val="000000"/>
          <w:spacing w:val="0"/>
          <w:w w:val="100"/>
          <w:position w:val="0"/>
          <w:sz w:val="22"/>
          <w:szCs w:val="22"/>
        </w:rPr>
        <w:t>、深圳市招广投资有限公司</w:t>
      </w:r>
      <w:r>
        <w:rPr>
          <w:b w:val="0"/>
          <w:bCs w:val="0"/>
          <w:color w:val="000000"/>
          <w:spacing w:val="0"/>
          <w:w w:val="100"/>
          <w:position w:val="0"/>
          <w:sz w:val="28"/>
          <w:szCs w:val="28"/>
        </w:rPr>
        <w:t>（</w:t>
      </w:r>
      <w:r>
        <w:rPr>
          <w:b w:val="0"/>
          <w:bCs w:val="0"/>
          <w:color w:val="000000"/>
          <w:spacing w:val="0"/>
          <w:w w:val="100"/>
          <w:position w:val="0"/>
          <w:sz w:val="22"/>
          <w:szCs w:val="22"/>
        </w:rPr>
        <w:t>以下简称 “招广投资”</w:t>
      </w:r>
      <w:r>
        <w:rPr>
          <w:b w:val="0"/>
          <w:bCs w:val="0"/>
          <w:color w:val="000000"/>
          <w:spacing w:val="0"/>
          <w:w w:val="100"/>
          <w:position w:val="0"/>
          <w:sz w:val="28"/>
          <w:szCs w:val="28"/>
        </w:rPr>
        <w:t>）</w:t>
      </w:r>
      <w:r>
        <w:rPr>
          <w:b w:val="0"/>
          <w:bCs w:val="0"/>
          <w:color w:val="000000"/>
          <w:spacing w:val="0"/>
          <w:w w:val="100"/>
          <w:position w:val="0"/>
          <w:sz w:val="22"/>
          <w:szCs w:val="22"/>
        </w:rPr>
        <w:t>、苏州工业园区元禾顺风股权投资企业</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有限合伙</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以下简称“元禾顺 风”</w:t>
      </w:r>
      <w:r>
        <w:rPr>
          <w:b w:val="0"/>
          <w:bCs w:val="0"/>
          <w:color w:val="000000"/>
          <w:spacing w:val="0"/>
          <w:w w:val="100"/>
          <w:position w:val="0"/>
          <w:sz w:val="28"/>
          <w:szCs w:val="28"/>
        </w:rPr>
        <w:t>）</w:t>
      </w:r>
      <w:r>
        <w:rPr>
          <w:b w:val="0"/>
          <w:bCs w:val="0"/>
          <w:color w:val="000000"/>
          <w:spacing w:val="0"/>
          <w:w w:val="100"/>
          <w:position w:val="0"/>
          <w:sz w:val="22"/>
          <w:szCs w:val="22"/>
        </w:rPr>
        <w:t>、苏州古玉秋创股权投资合伙企业</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有限合伙</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以下简称“古玉秋创”</w:t>
      </w:r>
      <w:r>
        <w:rPr>
          <w:b w:val="0"/>
          <w:bCs w:val="0"/>
          <w:color w:val="000000"/>
          <w:spacing w:val="0"/>
          <w:w w:val="100"/>
          <w:position w:val="0"/>
          <w:sz w:val="28"/>
          <w:szCs w:val="28"/>
        </w:rPr>
        <w:t>）</w:t>
      </w:r>
      <w:r>
        <w:rPr>
          <w:b w:val="0"/>
          <w:bCs w:val="0"/>
          <w:color w:val="000000"/>
          <w:spacing w:val="0"/>
          <w:w w:val="100"/>
          <w:position w:val="0"/>
          <w:sz w:val="22"/>
          <w:szCs w:val="22"/>
        </w:rPr>
        <w:t>及宁波顺 信丰合投资管理合伙企业</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以下简称“顺信丰合”</w:t>
      </w:r>
      <w:r>
        <w:rPr>
          <w:b w:val="0"/>
          <w:bCs w:val="0"/>
          <w:color w:val="000000"/>
          <w:spacing w:val="0"/>
          <w:w w:val="100"/>
          <w:position w:val="0"/>
          <w:sz w:val="28"/>
          <w:szCs w:val="28"/>
        </w:rPr>
        <w:t>）</w:t>
      </w:r>
      <w:r>
        <w:rPr>
          <w:b w:val="0"/>
          <w:bCs w:val="0"/>
          <w:color w:val="000000"/>
          <w:spacing w:val="0"/>
          <w:w w:val="100"/>
          <w:position w:val="0"/>
          <w:sz w:val="22"/>
          <w:szCs w:val="22"/>
        </w:rPr>
        <w:t>分别持有的深圳顺丰泰森控股</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集 团</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原“顺丰控股</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集团</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股份有限公司”改制更名而来，以下简称“泰森控 股”</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68.40%</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9.93%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6.75%</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6.75%</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6.75%</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1.35%</w:t>
      </w:r>
      <w:r>
        <w:rPr>
          <w:b w:val="0"/>
          <w:bCs w:val="0"/>
          <w:color w:val="000000"/>
          <w:spacing w:val="0"/>
          <w:w w:val="100"/>
          <w:position w:val="0"/>
          <w:sz w:val="22"/>
          <w:szCs w:val="22"/>
        </w:rPr>
        <w:t>以及</w:t>
      </w:r>
      <w:r>
        <w:rPr>
          <w:rFonts w:ascii="Arial" w:eastAsia="Arial" w:hAnsi="Arial" w:cs="Arial"/>
          <w:b w:val="0"/>
          <w:bCs w:val="0"/>
          <w:color w:val="000000"/>
          <w:spacing w:val="0"/>
          <w:w w:val="100"/>
          <w:position w:val="0"/>
          <w:sz w:val="24"/>
          <w:szCs w:val="24"/>
        </w:rPr>
        <w:t>0.07%</w:t>
      </w:r>
      <w:r>
        <w:rPr>
          <w:b w:val="0"/>
          <w:bCs w:val="0"/>
          <w:color w:val="000000"/>
          <w:spacing w:val="0"/>
          <w:w w:val="100"/>
          <w:position w:val="0"/>
          <w:sz w:val="22"/>
          <w:szCs w:val="22"/>
        </w:rPr>
        <w:t xml:space="preserve">的股权等值部分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“置入资产”</w:t>
      </w:r>
      <w:r>
        <w:rPr>
          <w:b w:val="0"/>
          <w:bCs w:val="0"/>
          <w:color w:val="000000"/>
          <w:spacing w:val="0"/>
          <w:w w:val="100"/>
          <w:position w:val="0"/>
          <w:sz w:val="28"/>
          <w:szCs w:val="28"/>
        </w:rPr>
        <w:t>）</w:t>
      </w:r>
      <w:r>
        <w:rPr>
          <w:b w:val="0"/>
          <w:bCs w:val="0"/>
          <w:color w:val="000000"/>
          <w:spacing w:val="0"/>
          <w:w w:val="100"/>
          <w:position w:val="0"/>
          <w:sz w:val="22"/>
          <w:szCs w:val="22"/>
        </w:rPr>
        <w:t>进行置换。本次交易置出资产最终作价</w:t>
      </w:r>
      <w:r>
        <w:rPr>
          <w:rFonts w:ascii="Arial" w:eastAsia="Arial" w:hAnsi="Arial" w:cs="Arial"/>
          <w:b w:val="0"/>
          <w:bCs w:val="0"/>
          <w:color w:val="000000"/>
          <w:spacing w:val="0"/>
          <w:w w:val="100"/>
          <w:position w:val="0"/>
          <w:sz w:val="24"/>
          <w:szCs w:val="24"/>
        </w:rPr>
        <w:t>79,600.0</w:t>
      </w:r>
      <w:r>
        <w:rPr>
          <w:rFonts w:ascii="Arial" w:eastAsia="Arial" w:hAnsi="Arial" w:cs="Arial"/>
          <w:b w:val="0"/>
          <w:bCs w:val="0"/>
          <w:color w:val="000000"/>
          <w:spacing w:val="0"/>
          <w:w w:val="100"/>
          <w:position w:val="0"/>
          <w:sz w:val="24"/>
          <w:szCs w:val="24"/>
        </w:rPr>
        <w:t>0</w:t>
      </w:r>
      <w:r>
        <w:rPr>
          <w:b w:val="0"/>
          <w:bCs w:val="0"/>
          <w:color w:val="000000"/>
          <w:spacing w:val="0"/>
          <w:w w:val="100"/>
          <w:position w:val="0"/>
          <w:sz w:val="22"/>
          <w:szCs w:val="22"/>
        </w:rPr>
        <w:t>万元，置入资产最终 作价</w:t>
      </w:r>
      <w:r>
        <w:rPr>
          <w:rFonts w:ascii="Arial" w:eastAsia="Arial" w:hAnsi="Arial" w:cs="Arial"/>
          <w:b w:val="0"/>
          <w:bCs w:val="0"/>
          <w:color w:val="000000"/>
          <w:spacing w:val="0"/>
          <w:w w:val="100"/>
          <w:position w:val="0"/>
          <w:sz w:val="24"/>
          <w:szCs w:val="24"/>
        </w:rPr>
        <w:t>4,330,000.00</w:t>
      </w:r>
      <w:r>
        <w:rPr>
          <w:b w:val="0"/>
          <w:bCs w:val="0"/>
          <w:color w:val="000000"/>
          <w:spacing w:val="0"/>
          <w:w w:val="100"/>
          <w:position w:val="0"/>
          <w:sz w:val="22"/>
          <w:szCs w:val="22"/>
        </w:rPr>
        <w:t>万元。于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28</w:t>
      </w:r>
      <w:r>
        <w:rPr>
          <w:b w:val="0"/>
          <w:bCs w:val="0"/>
          <w:color w:val="000000"/>
          <w:spacing w:val="0"/>
          <w:w w:val="100"/>
          <w:position w:val="0"/>
          <w:sz w:val="22"/>
          <w:szCs w:val="22"/>
        </w:rPr>
        <w:t>日</w:t>
      </w:r>
      <w:r>
        <w:rPr>
          <w:b w:val="0"/>
          <w:bCs w:val="0"/>
          <w:color w:val="000000"/>
          <w:spacing w:val="0"/>
          <w:w w:val="100"/>
          <w:position w:val="0"/>
          <w:sz w:val="28"/>
          <w:szCs w:val="28"/>
        </w:rPr>
        <w:t>（</w:t>
      </w:r>
      <w:r>
        <w:rPr>
          <w:b w:val="0"/>
          <w:bCs w:val="0"/>
          <w:color w:val="000000"/>
          <w:spacing w:val="0"/>
          <w:w w:val="100"/>
          <w:position w:val="0"/>
          <w:sz w:val="22"/>
          <w:szCs w:val="22"/>
        </w:rPr>
        <w:t>以下简称“重组日”</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，鼎泰新材召开了 </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年第</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次临时股东大会，审议并改选了新一届董事会，这标志此次重大资产置换 交易的完成，以及泰森控股通过借壳鼎泰新材在深圳证券交易所成功上市。</w:t>
      </w:r>
    </w:p>
    <w:p>
      <w:pPr>
        <w:pStyle w:val="Style27"/>
        <w:keepNext/>
        <w:keepLines/>
        <w:widowControl w:val="0"/>
        <w:shd w:val="clear" w:color="auto" w:fill="auto"/>
        <w:tabs>
          <w:tab w:pos="544" w:val="left"/>
        </w:tabs>
        <w:bidi w:val="0"/>
        <w:spacing w:before="0" w:after="260" w:line="276" w:lineRule="auto"/>
        <w:ind w:left="0" w:right="0" w:firstLine="0"/>
        <w:jc w:val="both"/>
        <w:rPr>
          <w:sz w:val="22"/>
          <w:szCs w:val="22"/>
        </w:rPr>
      </w:pPr>
      <w:bookmarkStart w:id="517" w:name="bookmark517"/>
      <w:bookmarkStart w:id="518" w:name="bookmark518"/>
      <w:bookmarkStart w:id="519" w:name="bookmark519"/>
      <w:bookmarkStart w:id="520" w:name="bookmark520"/>
      <w:r>
        <w:rPr>
          <w:rFonts w:ascii="Arial" w:eastAsia="Arial" w:hAnsi="Arial" w:cs="Arial"/>
          <w:b w:val="0"/>
          <w:bCs w:val="0"/>
          <w:color w:val="000000"/>
          <w:spacing w:val="0"/>
          <w:w w:val="100"/>
          <w:position w:val="0"/>
          <w:sz w:val="24"/>
          <w:szCs w:val="24"/>
        </w:rPr>
        <w:t>（</w:t>
      </w:r>
      <w:bookmarkEnd w:id="519"/>
      <w:r>
        <w:rPr>
          <w:rFonts w:ascii="Arial" w:eastAsia="Arial" w:hAnsi="Arial" w:cs="Arial"/>
          <w:b w:val="0"/>
          <w:bCs w:val="0"/>
          <w:color w:val="000000"/>
          <w:spacing w:val="0"/>
          <w:w w:val="100"/>
          <w:position w:val="0"/>
          <w:sz w:val="24"/>
          <w:szCs w:val="24"/>
        </w:rPr>
        <w:t>2）</w:t>
        <w:tab/>
      </w:r>
      <w:r>
        <w:rPr>
          <w:color w:val="000000"/>
          <w:spacing w:val="0"/>
          <w:w w:val="100"/>
          <w:position w:val="0"/>
          <w:sz w:val="22"/>
          <w:szCs w:val="22"/>
        </w:rPr>
        <w:t>发行股份购买资产</w:t>
      </w:r>
      <w:bookmarkEnd w:id="517"/>
      <w:bookmarkEnd w:id="518"/>
      <w:bookmarkEnd w:id="520"/>
    </w:p>
    <w:p>
      <w:pPr>
        <w:pStyle w:val="Style33"/>
        <w:keepNext w:val="0"/>
        <w:keepLines w:val="0"/>
        <w:widowControl w:val="0"/>
        <w:shd w:val="clear" w:color="auto" w:fill="auto"/>
        <w:bidi w:val="0"/>
        <w:spacing w:before="0" w:after="340" w:line="320"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月，对于上述置换的差额部分，即</w:t>
      </w:r>
      <w:r>
        <w:rPr>
          <w:rFonts w:ascii="Arial" w:eastAsia="Arial" w:hAnsi="Arial" w:cs="Arial"/>
          <w:b w:val="0"/>
          <w:bCs w:val="0"/>
          <w:color w:val="000000"/>
          <w:spacing w:val="0"/>
          <w:w w:val="100"/>
          <w:position w:val="0"/>
          <w:sz w:val="24"/>
          <w:szCs w:val="24"/>
        </w:rPr>
        <w:t>4,250,400.00</w:t>
      </w:r>
      <w:r>
        <w:rPr>
          <w:b w:val="0"/>
          <w:bCs w:val="0"/>
          <w:color w:val="000000"/>
          <w:spacing w:val="0"/>
          <w:w w:val="100"/>
          <w:position w:val="0"/>
          <w:sz w:val="22"/>
          <w:szCs w:val="22"/>
        </w:rPr>
        <w:t>万元，鼎泰新材向明德 控股、顺达丰润、嘉强顺风、招广投资、元禾顺风、古玉秋创及顺信丰合按每股发行 价格为人民币</w:t>
      </w:r>
      <w:r>
        <w:rPr>
          <w:rFonts w:ascii="Arial" w:eastAsia="Arial" w:hAnsi="Arial" w:cs="Arial"/>
          <w:b w:val="0"/>
          <w:bCs w:val="0"/>
          <w:color w:val="000000"/>
          <w:spacing w:val="0"/>
          <w:w w:val="100"/>
          <w:position w:val="0"/>
          <w:sz w:val="24"/>
          <w:szCs w:val="24"/>
        </w:rPr>
        <w:t>10.76</w:t>
      </w:r>
      <w:r>
        <w:rPr>
          <w:b w:val="0"/>
          <w:bCs w:val="0"/>
          <w:color w:val="000000"/>
          <w:spacing w:val="0"/>
          <w:w w:val="100"/>
          <w:position w:val="0"/>
          <w:sz w:val="22"/>
          <w:szCs w:val="22"/>
        </w:rPr>
        <w:t>元，发行每股面值人民币</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元的人民币普通股</w:t>
      </w: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股</w:t>
      </w:r>
      <w:r>
        <w:rPr>
          <w:rFonts w:ascii="Arial" w:eastAsia="Arial" w:hAnsi="Arial" w:cs="Arial"/>
          <w:b w:val="0"/>
          <w:bCs w:val="0"/>
          <w:color w:val="000000"/>
          <w:spacing w:val="0"/>
          <w:w w:val="100"/>
          <w:position w:val="0"/>
          <w:sz w:val="24"/>
          <w:szCs w:val="24"/>
        </w:rPr>
        <w:t xml:space="preserve">）3,950,185,873 </w:t>
      </w:r>
      <w:r>
        <w:rPr>
          <w:b w:val="0"/>
          <w:bCs w:val="0"/>
          <w:color w:val="000000"/>
          <w:spacing w:val="0"/>
          <w:w w:val="100"/>
          <w:position w:val="0"/>
          <w:sz w:val="22"/>
          <w:szCs w:val="22"/>
        </w:rPr>
        <w:t>股，股份价值与股本之间的差异</w:t>
      </w:r>
      <w:r>
        <w:rPr>
          <w:rFonts w:ascii="Arial" w:eastAsia="Arial" w:hAnsi="Arial" w:cs="Arial"/>
          <w:b w:val="0"/>
          <w:bCs w:val="0"/>
          <w:color w:val="000000"/>
          <w:spacing w:val="0"/>
          <w:w w:val="100"/>
          <w:position w:val="0"/>
          <w:sz w:val="24"/>
          <w:szCs w:val="24"/>
        </w:rPr>
        <w:t>38,553,814,120.48</w:t>
      </w:r>
      <w:r>
        <w:rPr>
          <w:b w:val="0"/>
          <w:bCs w:val="0"/>
          <w:color w:val="000000"/>
          <w:spacing w:val="0"/>
          <w:w w:val="100"/>
          <w:position w:val="0"/>
          <w:sz w:val="22"/>
          <w:szCs w:val="22"/>
        </w:rPr>
        <w:t>元确认为资本公积，总股本变更 为</w:t>
      </w:r>
      <w:r>
        <w:rPr>
          <w:rFonts w:ascii="Arial" w:eastAsia="Arial" w:hAnsi="Arial" w:cs="Arial"/>
          <w:b w:val="0"/>
          <w:bCs w:val="0"/>
          <w:color w:val="000000"/>
          <w:spacing w:val="0"/>
          <w:w w:val="100"/>
          <w:position w:val="0"/>
          <w:sz w:val="24"/>
          <w:szCs w:val="24"/>
        </w:rPr>
        <w:t>4,183,678,213</w:t>
      </w:r>
      <w:r>
        <w:rPr>
          <w:b w:val="0"/>
          <w:bCs w:val="0"/>
          <w:color w:val="000000"/>
          <w:spacing w:val="0"/>
          <w:w w:val="100"/>
          <w:position w:val="0"/>
          <w:sz w:val="22"/>
          <w:szCs w:val="22"/>
        </w:rPr>
        <w:t>股，新股发行后，明德控股、顺达丰润、嘉强顺风、招广投资、元 禾顺风以及其他股东分别持有鼎泰新材</w:t>
      </w:r>
      <w:r>
        <w:rPr>
          <w:rFonts w:ascii="Arial" w:eastAsia="Arial" w:hAnsi="Arial" w:cs="Arial"/>
          <w:b w:val="0"/>
          <w:bCs w:val="0"/>
          <w:color w:val="000000"/>
          <w:spacing w:val="0"/>
          <w:w w:val="100"/>
          <w:position w:val="0"/>
          <w:sz w:val="24"/>
          <w:szCs w:val="24"/>
        </w:rPr>
        <w:t>64.58%</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9.38%</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6.37%</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6.37%</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6.37%</w:t>
      </w:r>
      <w:r>
        <w:rPr>
          <w:b w:val="0"/>
          <w:bCs w:val="0"/>
          <w:color w:val="000000"/>
          <w:spacing w:val="0"/>
          <w:w w:val="100"/>
          <w:position w:val="0"/>
          <w:sz w:val="22"/>
          <w:szCs w:val="22"/>
        </w:rPr>
        <w:t>以 及</w:t>
      </w:r>
      <w:r>
        <w:rPr>
          <w:rFonts w:ascii="Arial" w:eastAsia="Arial" w:hAnsi="Arial" w:cs="Arial"/>
          <w:b w:val="0"/>
          <w:bCs w:val="0"/>
          <w:color w:val="000000"/>
          <w:spacing w:val="0"/>
          <w:w w:val="100"/>
          <w:position w:val="0"/>
          <w:sz w:val="24"/>
          <w:szCs w:val="24"/>
        </w:rPr>
        <w:t>6.92%</w:t>
      </w:r>
      <w:r>
        <w:rPr>
          <w:b w:val="0"/>
          <w:bCs w:val="0"/>
          <w:color w:val="000000"/>
          <w:spacing w:val="0"/>
          <w:w w:val="100"/>
          <w:position w:val="0"/>
          <w:sz w:val="22"/>
          <w:szCs w:val="22"/>
        </w:rPr>
        <w:t>的股权。</w:t>
      </w:r>
    </w:p>
    <w:p>
      <w:pPr>
        <w:pStyle w:val="Style33"/>
        <w:keepNext w:val="0"/>
        <w:keepLines w:val="0"/>
        <w:widowControl w:val="0"/>
        <w:shd w:val="clear" w:color="auto" w:fill="auto"/>
        <w:bidi w:val="0"/>
        <w:spacing w:before="0" w:after="340" w:line="302" w:lineRule="exact"/>
        <w:ind w:left="0" w:right="0" w:firstLine="0"/>
        <w:jc w:val="both"/>
        <w:rPr>
          <w:sz w:val="22"/>
          <w:szCs w:val="22"/>
        </w:rPr>
        <w:sectPr>
          <w:footnotePr>
            <w:pos w:val="pageBottom"/>
            <w:numFmt w:val="decimal"/>
            <w:numRestart w:val="continuous"/>
          </w:footnotePr>
          <w:pgSz w:w="11900" w:h="16840"/>
          <w:pgMar w:top="1767" w:right="1106" w:bottom="1767" w:left="1958" w:header="0" w:footer="3" w:gutter="0"/>
          <w:cols w:space="720"/>
          <w:noEndnote/>
          <w:rtlGutter w:val="0"/>
          <w:docGrid w:linePitch="360"/>
        </w:sect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2 8</w:t>
      </w:r>
      <w:r>
        <w:rPr>
          <w:b w:val="0"/>
          <w:bCs w:val="0"/>
          <w:color w:val="000000"/>
          <w:spacing w:val="0"/>
          <w:w w:val="100"/>
          <w:position w:val="0"/>
          <w:sz w:val="22"/>
          <w:szCs w:val="22"/>
        </w:rPr>
        <w:t>日，普华永道中天会计师事务所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特殊普通合伙</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就上述股本变更出具 的“普华永道中天验字</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第</w:t>
      </w:r>
      <w:r>
        <w:rPr>
          <w:rFonts w:ascii="Arial" w:eastAsia="Arial" w:hAnsi="Arial" w:cs="Arial"/>
          <w:b w:val="0"/>
          <w:bCs w:val="0"/>
          <w:color w:val="000000"/>
          <w:spacing w:val="0"/>
          <w:w w:val="100"/>
          <w:position w:val="0"/>
          <w:sz w:val="24"/>
          <w:szCs w:val="24"/>
        </w:rPr>
        <w:t>1757</w:t>
      </w:r>
      <w:r>
        <w:rPr>
          <w:b w:val="0"/>
          <w:bCs w:val="0"/>
          <w:color w:val="000000"/>
          <w:spacing w:val="0"/>
          <w:w w:val="100"/>
          <w:position w:val="0"/>
          <w:sz w:val="22"/>
          <w:szCs w:val="22"/>
        </w:rPr>
        <w:t>号”验资报告所验证。</w:t>
      </w:r>
    </w:p>
    <w:p>
      <w:pPr>
        <w:pStyle w:val="Style27"/>
        <w:keepNext/>
        <w:keepLines/>
        <w:widowControl w:val="0"/>
        <w:shd w:val="clear" w:color="auto" w:fill="auto"/>
        <w:bidi w:val="0"/>
        <w:spacing w:before="0" w:after="340" w:line="320" w:lineRule="exact"/>
        <w:ind w:left="0" w:right="0" w:firstLine="0"/>
        <w:jc w:val="both"/>
        <w:rPr>
          <w:sz w:val="28"/>
          <w:szCs w:val="28"/>
        </w:rPr>
      </w:pPr>
      <w:bookmarkStart w:id="521" w:name="bookmark521"/>
      <w:bookmarkStart w:id="522" w:name="bookmark522"/>
      <w:bookmarkStart w:id="523" w:name="bookmark523"/>
      <w:r>
        <w:rPr>
          <w:color w:val="000000"/>
          <w:spacing w:val="0"/>
          <w:w w:val="100"/>
          <w:position w:val="0"/>
          <w:sz w:val="22"/>
          <w:szCs w:val="22"/>
        </w:rPr>
        <w:t>-公司基本情况以及历史沿革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21"/>
      <w:bookmarkEnd w:id="522"/>
      <w:bookmarkEnd w:id="523"/>
    </w:p>
    <w:p>
      <w:pPr>
        <w:pStyle w:val="Style27"/>
        <w:keepNext/>
        <w:keepLines/>
        <w:widowControl w:val="0"/>
        <w:shd w:val="clear" w:color="auto" w:fill="auto"/>
        <w:bidi w:val="0"/>
        <w:spacing w:before="0" w:after="280" w:line="276" w:lineRule="auto"/>
        <w:ind w:left="0" w:right="0" w:firstLine="0"/>
        <w:jc w:val="both"/>
        <w:rPr>
          <w:sz w:val="22"/>
          <w:szCs w:val="22"/>
        </w:rPr>
      </w:pPr>
      <w:bookmarkStart w:id="521" w:name="bookmark521"/>
      <w:bookmarkStart w:id="522" w:name="bookmark522"/>
      <w:bookmarkStart w:id="524" w:name="bookmark524"/>
      <w:bookmarkStart w:id="525" w:name="bookmark525"/>
      <w:r>
        <w:rPr>
          <w:rFonts w:ascii="Arial" w:eastAsia="Arial" w:hAnsi="Arial" w:cs="Arial"/>
          <w:b w:val="0"/>
          <w:bCs w:val="0"/>
          <w:color w:val="000000"/>
          <w:spacing w:val="0"/>
          <w:w w:val="100"/>
          <w:position w:val="0"/>
          <w:sz w:val="24"/>
          <w:szCs w:val="24"/>
        </w:rPr>
        <w:t>（</w:t>
      </w:r>
      <w:bookmarkEnd w:id="524"/>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募集配套资金</w:t>
      </w:r>
      <w:bookmarkEnd w:id="521"/>
      <w:bookmarkEnd w:id="522"/>
      <w:bookmarkEnd w:id="525"/>
    </w:p>
    <w:p>
      <w:pPr>
        <w:pStyle w:val="Style33"/>
        <w:keepNext w:val="0"/>
        <w:keepLines w:val="0"/>
        <w:widowControl w:val="0"/>
        <w:shd w:val="clear" w:color="auto" w:fill="auto"/>
        <w:bidi w:val="0"/>
        <w:spacing w:before="0" w:after="280" w:line="317" w:lineRule="exact"/>
        <w:ind w:left="0" w:right="0" w:firstLine="0"/>
        <w:jc w:val="both"/>
        <w:rPr>
          <w:sz w:val="22"/>
          <w:szCs w:val="22"/>
        </w:rPr>
      </w:pPr>
      <w:r>
        <w:rPr>
          <w:b w:val="0"/>
          <w:bCs w:val="0"/>
          <w:color w:val="000000"/>
          <w:spacing w:val="0"/>
          <w:w w:val="100"/>
          <w:position w:val="0"/>
          <w:sz w:val="22"/>
          <w:szCs w:val="22"/>
        </w:rPr>
        <w:t>为提高本次重组绩效，增强重组完成后鼎泰新材的盈利能力和可持续发展能力，鼎泰 新材拟采用询价发行方式向不超过</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名符合条件的特定对象非公开发行股份募集配 套资金，发行价格不低于</w:t>
      </w:r>
      <w:r>
        <w:rPr>
          <w:rFonts w:ascii="Arial" w:eastAsia="Arial" w:hAnsi="Arial" w:cs="Arial"/>
          <w:b w:val="0"/>
          <w:bCs w:val="0"/>
          <w:color w:val="000000"/>
          <w:spacing w:val="0"/>
          <w:w w:val="100"/>
          <w:position w:val="0"/>
          <w:sz w:val="24"/>
          <w:szCs w:val="24"/>
        </w:rPr>
        <w:t>22.19</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股，经除权除息调整后发行价格不低于</w:t>
      </w:r>
      <w:r>
        <w:rPr>
          <w:rFonts w:ascii="Arial" w:eastAsia="Arial" w:hAnsi="Arial" w:cs="Arial"/>
          <w:b w:val="0"/>
          <w:bCs w:val="0"/>
          <w:color w:val="000000"/>
          <w:spacing w:val="0"/>
          <w:w w:val="100"/>
          <w:position w:val="0"/>
          <w:sz w:val="24"/>
          <w:szCs w:val="24"/>
        </w:rPr>
        <w:t>1</w:t>
      </w:r>
      <w:r>
        <w:rPr>
          <w:rFonts w:ascii="Arial" w:eastAsia="Arial" w:hAnsi="Arial" w:cs="Arial"/>
          <w:b w:val="0"/>
          <w:bCs w:val="0"/>
          <w:color w:val="000000"/>
          <w:spacing w:val="0"/>
          <w:w w:val="100"/>
          <w:position w:val="0"/>
          <w:sz w:val="24"/>
          <w:szCs w:val="24"/>
        </w:rPr>
        <w:t>1.03</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 发行股份数量不超过</w:t>
      </w:r>
      <w:r>
        <w:rPr>
          <w:rFonts w:ascii="Arial" w:eastAsia="Arial" w:hAnsi="Arial" w:cs="Arial"/>
          <w:b w:val="0"/>
          <w:bCs w:val="0"/>
          <w:color w:val="000000"/>
          <w:spacing w:val="0"/>
          <w:w w:val="100"/>
          <w:position w:val="0"/>
          <w:sz w:val="24"/>
          <w:szCs w:val="24"/>
        </w:rPr>
        <w:t>725,294,65</w:t>
      </w:r>
      <w:r>
        <w:rPr>
          <w:b w:val="0"/>
          <w:bCs w:val="0"/>
          <w:color w:val="000000"/>
          <w:spacing w:val="0"/>
          <w:w w:val="100"/>
          <w:position w:val="0"/>
          <w:sz w:val="28"/>
          <w:szCs w:val="28"/>
        </w:rPr>
        <w:t>。</w:t>
      </w:r>
      <w:r>
        <w:rPr>
          <w:b w:val="0"/>
          <w:bCs w:val="0"/>
          <w:color w:val="000000"/>
          <w:spacing w:val="0"/>
          <w:w w:val="100"/>
          <w:position w:val="0"/>
          <w:sz w:val="22"/>
          <w:szCs w:val="22"/>
        </w:rPr>
        <w:t>股，总金额不超过</w:t>
      </w:r>
      <w:r>
        <w:rPr>
          <w:rFonts w:ascii="Arial" w:eastAsia="Arial" w:hAnsi="Arial" w:cs="Arial"/>
          <w:b w:val="0"/>
          <w:bCs w:val="0"/>
          <w:color w:val="000000"/>
          <w:spacing w:val="0"/>
          <w:w w:val="100"/>
          <w:position w:val="0"/>
          <w:sz w:val="24"/>
          <w:szCs w:val="24"/>
        </w:rPr>
        <w:t>800,000</w:t>
      </w:r>
      <w:r>
        <w:rPr>
          <w:b w:val="0"/>
          <w:bCs w:val="0"/>
          <w:color w:val="000000"/>
          <w:spacing w:val="0"/>
          <w:w w:val="100"/>
          <w:position w:val="0"/>
          <w:sz w:val="22"/>
          <w:szCs w:val="22"/>
        </w:rPr>
        <w:t>万元。</w:t>
      </w:r>
    </w:p>
    <w:p>
      <w:pPr>
        <w:pStyle w:val="Style33"/>
        <w:keepNext w:val="0"/>
        <w:keepLines w:val="0"/>
        <w:widowControl w:val="0"/>
        <w:shd w:val="clear" w:color="auto" w:fill="auto"/>
        <w:bidi w:val="0"/>
        <w:spacing w:before="0" w:after="280" w:line="324"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日，中国证监会已核准鼎泰新材以上资产重组计划。于</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 xml:space="preserve">年 </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18</w:t>
      </w:r>
      <w:r>
        <w:rPr>
          <w:b w:val="0"/>
          <w:bCs w:val="0"/>
          <w:color w:val="000000"/>
          <w:spacing w:val="0"/>
          <w:w w:val="100"/>
          <w:position w:val="0"/>
          <w:sz w:val="22"/>
          <w:szCs w:val="22"/>
        </w:rPr>
        <w:t xml:space="preserve">日，鼎泰新材在中国证券登记结算有限责任公司深圳分公司办理了 </w:t>
      </w:r>
      <w:r>
        <w:rPr>
          <w:rFonts w:ascii="Arial" w:eastAsia="Arial" w:hAnsi="Arial" w:cs="Arial"/>
          <w:b w:val="0"/>
          <w:bCs w:val="0"/>
          <w:color w:val="000000"/>
          <w:spacing w:val="0"/>
          <w:w w:val="100"/>
          <w:position w:val="0"/>
          <w:sz w:val="24"/>
          <w:szCs w:val="24"/>
        </w:rPr>
        <w:t>39.5</w:t>
      </w:r>
      <w:r>
        <w:rPr>
          <w:b w:val="0"/>
          <w:bCs w:val="0"/>
          <w:color w:val="000000"/>
          <w:spacing w:val="0"/>
          <w:w w:val="100"/>
          <w:position w:val="0"/>
          <w:sz w:val="22"/>
          <w:szCs w:val="22"/>
        </w:rPr>
        <w:t>亿股 新增股份的登记手续。截至本财务报表批准报出之日，总金额不超过</w:t>
      </w:r>
      <w:r>
        <w:rPr>
          <w:rFonts w:ascii="Arial" w:eastAsia="Arial" w:hAnsi="Arial" w:cs="Arial"/>
          <w:b w:val="0"/>
          <w:bCs w:val="0"/>
          <w:color w:val="000000"/>
          <w:spacing w:val="0"/>
          <w:w w:val="100"/>
          <w:position w:val="0"/>
          <w:sz w:val="24"/>
          <w:szCs w:val="24"/>
        </w:rPr>
        <w:t>80</w:t>
      </w:r>
      <w:r>
        <w:rPr>
          <w:b w:val="0"/>
          <w:bCs w:val="0"/>
          <w:color w:val="000000"/>
          <w:spacing w:val="0"/>
          <w:w w:val="100"/>
          <w:position w:val="0"/>
          <w:sz w:val="22"/>
          <w:szCs w:val="22"/>
        </w:rPr>
        <w:t>亿元的配套 资金尚未募集。于</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24</w:t>
      </w:r>
      <w:r>
        <w:rPr>
          <w:b w:val="0"/>
          <w:bCs w:val="0"/>
          <w:color w:val="000000"/>
          <w:spacing w:val="0"/>
          <w:w w:val="100"/>
          <w:position w:val="0"/>
          <w:sz w:val="22"/>
          <w:szCs w:val="22"/>
        </w:rPr>
        <w:t>日，经深圳证券交易所核准，鼎泰新材正式更名 为“顺丰控股股份有限公司”</w:t>
      </w:r>
      <w:r>
        <w:rPr>
          <w:b w:val="0"/>
          <w:bCs w:val="0"/>
          <w:color w:val="000000"/>
          <w:spacing w:val="0"/>
          <w:w w:val="100"/>
          <w:position w:val="0"/>
          <w:sz w:val="28"/>
          <w:szCs w:val="28"/>
        </w:rPr>
        <w:t>（</w:t>
      </w:r>
      <w:r>
        <w:rPr>
          <w:b w:val="0"/>
          <w:bCs w:val="0"/>
          <w:color w:val="000000"/>
          <w:spacing w:val="0"/>
          <w:w w:val="100"/>
          <w:position w:val="0"/>
          <w:sz w:val="22"/>
          <w:szCs w:val="22"/>
        </w:rPr>
        <w:t>以下简称“顺丰控股”或“本公司”</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附注十二</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280" w:line="320" w:lineRule="exact"/>
        <w:ind w:left="0" w:right="0" w:firstLine="0"/>
        <w:jc w:val="both"/>
        <w:rPr>
          <w:sz w:val="22"/>
          <w:szCs w:val="22"/>
        </w:rPr>
        <w:sectPr>
          <w:footnotePr>
            <w:pos w:val="pageBottom"/>
            <w:numFmt w:val="decimal"/>
            <w:numRestart w:val="continuous"/>
          </w:footnotePr>
          <w:pgSz w:w="11900" w:h="16840"/>
          <w:pgMar w:top="1767" w:right="1000" w:bottom="1767" w:left="1962" w:header="0" w:footer="3" w:gutter="0"/>
          <w:cols w:space="720"/>
          <w:noEndnote/>
          <w:rtlGutter w:val="0"/>
          <w:docGrid w:linePitch="360"/>
        </w:sectPr>
      </w:pPr>
      <w:r>
        <w:rPr>
          <w:b w:val="0"/>
          <w:bCs w:val="0"/>
          <w:color w:val="000000"/>
          <w:spacing w:val="0"/>
          <w:w w:val="100"/>
          <w:position w:val="0"/>
          <w:sz w:val="22"/>
          <w:szCs w:val="22"/>
        </w:rPr>
        <w:t>经过上述重大资产重组，本公司及子公司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以下合称“本集团”</w:t>
      </w:r>
      <w:r>
        <w:rPr>
          <w:b w:val="0"/>
          <w:bCs w:val="0"/>
          <w:color w:val="000000"/>
          <w:spacing w:val="0"/>
          <w:w w:val="100"/>
          <w:position w:val="0"/>
          <w:sz w:val="28"/>
          <w:szCs w:val="28"/>
        </w:rPr>
        <w:t>）</w:t>
      </w:r>
      <w:r>
        <w:rPr>
          <w:b w:val="0"/>
          <w:bCs w:val="0"/>
          <w:color w:val="000000"/>
          <w:spacing w:val="0"/>
          <w:w w:val="100"/>
          <w:position w:val="0"/>
          <w:sz w:val="22"/>
          <w:szCs w:val="22"/>
        </w:rPr>
        <w:t>经批准的经营范围变 更为：投资兴办实业；国内贸易；市场营销策划、投资咨询及其他信息咨询</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不含人 才中介服务、证券及限制项目</w:t>
      </w:r>
      <w:r>
        <w:rPr>
          <w:b w:val="0"/>
          <w:bCs w:val="0"/>
          <w:color w:val="000000"/>
          <w:spacing w:val="0"/>
          <w:w w:val="100"/>
          <w:position w:val="0"/>
          <w:sz w:val="28"/>
          <w:szCs w:val="28"/>
        </w:rPr>
        <w:t>）</w:t>
      </w:r>
      <w:r>
        <w:rPr>
          <w:b w:val="0"/>
          <w:bCs w:val="0"/>
          <w:color w:val="000000"/>
          <w:spacing w:val="0"/>
          <w:w w:val="100"/>
          <w:position w:val="0"/>
          <w:sz w:val="22"/>
          <w:szCs w:val="22"/>
        </w:rPr>
        <w:t>；投资控股；从事网络技术、信息技术、电子产品技 术的开发、技术服务、技术咨询、技术转让、网络信息、电子商务服务平台、代收代 付第三方货款结算服务、商业与投资管理咨询、企业管理咨询等；第二类增值电信业 务中的呼叫中心业务和信息业务、道路普通货物运输业务；承办空运、陆运进出口货 物及过境货物的国际运输代理业务，揽货、订舱、托运、仓储、包装；一、二类</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国 际、国内</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航空运输销售代理业务；普通货运，配载，物流服务；科技信息咨询、项 目投资咨询、物流信息咨询；数据处理；通讯设备的研发、销售及相关技术服务</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依 法须经批准的项目，经相关部门批准后方可开展经营活动；供应链管理及相关配套服 务、经营进出口业务；产业园开发建设和经营；在合法取得使用权的土地上从事房地 产开发经营；物业管理；自有物业租赁；网络营销推广；电商培训；信息技术外包、 信息服务外包；数据挖掘、数据分析与数据服务；通用软件、行业应用软件、嵌入式 软件的开发与应用；经营网上贸易、网上咨询、网上拍卖、网上广告；网络商务服务， 数据库服务；电子政务系统开发与应用服务；通信行业增值业务服务；专营小额贷款 业务</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不得吸收公众存款</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；国际货运代理、国内及国际快递</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邮政企业专营业务除外</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货物专用运输</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集装箱</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，大型物件运输、经济技术咨询、技术信息咨询、以特许经营 方式从事商业活动；国内</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含港澳台</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、国际航空货邮运输业务及相关服务业务，货物 及技术进出口；货物快运代办服务；国际货物运输代理</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不含海运代理</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、装卸、搬运； 国际、国内货运代理；非证券股权投资活动及相关咨询服务。</w:t>
      </w:r>
    </w:p>
    <w:p>
      <w:pPr>
        <w:pStyle w:val="Style27"/>
        <w:keepNext/>
        <w:keepLines/>
        <w:widowControl w:val="0"/>
        <w:shd w:val="clear" w:color="auto" w:fill="auto"/>
        <w:bidi w:val="0"/>
        <w:spacing w:before="0" w:after="300" w:line="325" w:lineRule="exact"/>
        <w:ind w:left="0" w:right="0" w:firstLine="0"/>
        <w:jc w:val="both"/>
        <w:rPr>
          <w:sz w:val="28"/>
          <w:szCs w:val="28"/>
        </w:rPr>
      </w:pPr>
      <w:bookmarkStart w:id="526" w:name="bookmark526"/>
      <w:bookmarkStart w:id="527" w:name="bookmark527"/>
      <w:bookmarkStart w:id="528" w:name="bookmark528"/>
      <w:r>
        <w:rPr>
          <w:color w:val="000000"/>
          <w:spacing w:val="0"/>
          <w:w w:val="100"/>
          <w:position w:val="0"/>
          <w:sz w:val="22"/>
          <w:szCs w:val="22"/>
        </w:rPr>
        <w:t>-公司基本情况以及历史沿革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26"/>
      <w:bookmarkEnd w:id="527"/>
      <w:bookmarkEnd w:id="528"/>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本财务报表纳入合并范围一级和二级子公司详见附注六。</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日，明德控股为本公司的母公司及最终控股公司。</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本财务报表由本公司董事会于</w:t>
      </w:r>
      <w:r>
        <w:rPr>
          <w:rFonts w:ascii="Arial" w:eastAsia="Arial" w:hAnsi="Arial" w:cs="Arial"/>
          <w:b w:val="0"/>
          <w:bCs w:val="0"/>
          <w:color w:val="000000"/>
          <w:spacing w:val="0"/>
          <w:w w:val="100"/>
          <w:position w:val="0"/>
          <w:sz w:val="24"/>
          <w:szCs w:val="24"/>
        </w:rPr>
        <w:t>2 017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日批准报出。</w:t>
      </w:r>
    </w:p>
    <w:p>
      <w:pPr>
        <w:pStyle w:val="Style27"/>
        <w:keepNext/>
        <w:keepLines/>
        <w:widowControl w:val="0"/>
        <w:shd w:val="clear" w:color="auto" w:fill="auto"/>
        <w:bidi w:val="0"/>
        <w:spacing w:before="0" w:after="300" w:line="325" w:lineRule="exact"/>
        <w:ind w:left="0" w:right="0" w:firstLine="0"/>
        <w:jc w:val="both"/>
        <w:rPr>
          <w:sz w:val="22"/>
          <w:szCs w:val="22"/>
        </w:rPr>
      </w:pPr>
      <w:bookmarkStart w:id="529" w:name="bookmark529"/>
      <w:bookmarkStart w:id="530" w:name="bookmark530"/>
      <w:bookmarkStart w:id="531" w:name="bookmark531"/>
      <w:r>
        <w:rPr>
          <w:color w:val="000000"/>
          <w:spacing w:val="0"/>
          <w:w w:val="100"/>
          <w:position w:val="0"/>
          <w:sz w:val="22"/>
          <w:szCs w:val="22"/>
        </w:rPr>
        <w:t>二主要会计政策和会计估计</w:t>
      </w:r>
      <w:bookmarkEnd w:id="529"/>
      <w:bookmarkEnd w:id="530"/>
      <w:bookmarkEnd w:id="531"/>
    </w:p>
    <w:p>
      <w:pPr>
        <w:pStyle w:val="Style33"/>
        <w:keepNext w:val="0"/>
        <w:keepLines w:val="0"/>
        <w:widowControl w:val="0"/>
        <w:shd w:val="clear" w:color="auto" w:fill="auto"/>
        <w:bidi w:val="0"/>
        <w:spacing w:before="0" w:after="300" w:line="314" w:lineRule="exact"/>
        <w:ind w:left="0" w:right="0" w:firstLine="0"/>
        <w:jc w:val="both"/>
        <w:rPr>
          <w:sz w:val="22"/>
          <w:szCs w:val="22"/>
        </w:rPr>
      </w:pPr>
      <w:r>
        <w:rPr>
          <w:b w:val="0"/>
          <w:bCs w:val="0"/>
          <w:color w:val="000000"/>
          <w:spacing w:val="0"/>
          <w:w w:val="100"/>
          <w:position w:val="0"/>
          <w:sz w:val="22"/>
          <w:szCs w:val="22"/>
        </w:rPr>
        <w:t>本集团根据业务特点确定具体会计政策和会计估计，主要体现在应收款项坏账准备的 计提方法</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、存货的计价方法</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（11））</w:t>
      </w:r>
      <w:r>
        <w:rPr>
          <w:b w:val="0"/>
          <w:bCs w:val="0"/>
          <w:color w:val="000000"/>
          <w:spacing w:val="0"/>
          <w:w w:val="100"/>
          <w:position w:val="0"/>
          <w:sz w:val="22"/>
          <w:szCs w:val="22"/>
        </w:rPr>
        <w:t>、可供出售权益工具发生减值的 判断标准</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、固定资产折旧和无形资产摊销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（14）</w:t>
      </w:r>
      <w:r>
        <w:rPr>
          <w:b w:val="0"/>
          <w:bCs w:val="0"/>
          <w:color w:val="000000"/>
          <w:spacing w:val="0"/>
          <w:w w:val="100"/>
          <w:position w:val="0"/>
          <w:sz w:val="22"/>
          <w:szCs w:val="22"/>
        </w:rPr>
        <w:t>、</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17））</w:t>
      </w:r>
      <w:r>
        <w:rPr>
          <w:b w:val="0"/>
          <w:bCs w:val="0"/>
          <w:color w:val="000000"/>
          <w:spacing w:val="0"/>
          <w:w w:val="100"/>
          <w:position w:val="0"/>
          <w:sz w:val="22"/>
          <w:szCs w:val="22"/>
        </w:rPr>
        <w:t>、开发支出资 本化的判断标准</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（18））</w:t>
      </w:r>
      <w:r>
        <w:rPr>
          <w:b w:val="0"/>
          <w:bCs w:val="0"/>
          <w:color w:val="000000"/>
          <w:spacing w:val="0"/>
          <w:w w:val="100"/>
          <w:position w:val="0"/>
          <w:sz w:val="22"/>
          <w:szCs w:val="22"/>
        </w:rPr>
        <w:t>、投资性房地产的计量模式</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（13））</w:t>
      </w:r>
      <w:r>
        <w:rPr>
          <w:b w:val="0"/>
          <w:bCs w:val="0"/>
          <w:color w:val="000000"/>
          <w:spacing w:val="0"/>
          <w:w w:val="100"/>
          <w:position w:val="0"/>
          <w:sz w:val="22"/>
          <w:szCs w:val="22"/>
        </w:rPr>
        <w:t>、收入的确认时 点</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（24））</w:t>
      </w:r>
      <w:r>
        <w:rPr>
          <w:b w:val="0"/>
          <w:bCs w:val="0"/>
          <w:color w:val="000000"/>
          <w:spacing w:val="0"/>
          <w:w w:val="100"/>
          <w:position w:val="0"/>
          <w:sz w:val="22"/>
          <w:szCs w:val="22"/>
        </w:rPr>
        <w:t>等。</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本集团在确定重要的会计政策时所运用的关键判断详见附注二</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w:t>
      </w:r>
    </w:p>
    <w:p>
      <w:pPr>
        <w:pStyle w:val="Style27"/>
        <w:keepNext/>
        <w:keepLines/>
        <w:widowControl w:val="0"/>
        <w:shd w:val="clear" w:color="auto" w:fill="auto"/>
        <w:tabs>
          <w:tab w:pos="720" w:val="left"/>
        </w:tabs>
        <w:bidi w:val="0"/>
        <w:spacing w:before="0" w:after="300" w:line="325" w:lineRule="exact"/>
        <w:ind w:left="0" w:right="0" w:firstLine="0"/>
        <w:jc w:val="both"/>
        <w:rPr>
          <w:sz w:val="22"/>
          <w:szCs w:val="22"/>
        </w:rPr>
      </w:pPr>
      <w:bookmarkStart w:id="532" w:name="bookmark532"/>
      <w:bookmarkStart w:id="533" w:name="bookmark533"/>
      <w:bookmarkStart w:id="534" w:name="bookmark534"/>
      <w:bookmarkStart w:id="535" w:name="bookmark535"/>
      <w:r>
        <w:rPr>
          <w:rFonts w:ascii="Arial" w:eastAsia="Arial" w:hAnsi="Arial" w:cs="Arial"/>
          <w:b w:val="0"/>
          <w:bCs w:val="0"/>
          <w:color w:val="000000"/>
          <w:spacing w:val="0"/>
          <w:w w:val="100"/>
          <w:position w:val="0"/>
          <w:sz w:val="24"/>
          <w:szCs w:val="24"/>
          <w:shd w:val="clear" w:color="auto" w:fill="FFFFFF"/>
        </w:rPr>
        <w:t>（</w:t>
      </w:r>
      <w:bookmarkEnd w:id="534"/>
      <w:r>
        <w:rPr>
          <w:rFonts w:ascii="Arial" w:eastAsia="Arial" w:hAnsi="Arial" w:cs="Arial"/>
          <w:b w:val="0"/>
          <w:bCs w:val="0"/>
          <w:color w:val="000000"/>
          <w:spacing w:val="0"/>
          <w:w w:val="100"/>
          <w:position w:val="0"/>
          <w:sz w:val="24"/>
          <w:szCs w:val="24"/>
          <w:shd w:val="clear" w:color="auto" w:fill="FFFFFF"/>
        </w:rPr>
        <w:t>1）</w:t>
      </w:r>
      <w:r>
        <w:rPr>
          <w:rFonts w:ascii="Arial" w:eastAsia="Arial" w:hAnsi="Arial" w:cs="Arial"/>
          <w:b w:val="0"/>
          <w:bCs w:val="0"/>
          <w:color w:val="000000"/>
          <w:spacing w:val="0"/>
          <w:w w:val="100"/>
          <w:position w:val="0"/>
          <w:sz w:val="24"/>
          <w:szCs w:val="24"/>
        </w:rPr>
        <w:tab/>
      </w:r>
      <w:r>
        <w:rPr>
          <w:color w:val="000000"/>
          <w:spacing w:val="0"/>
          <w:w w:val="100"/>
          <w:position w:val="0"/>
          <w:sz w:val="22"/>
          <w:szCs w:val="22"/>
        </w:rPr>
        <w:t>财务报表的编制基础</w:t>
      </w:r>
      <w:bookmarkEnd w:id="532"/>
      <w:bookmarkEnd w:id="533"/>
      <w:bookmarkEnd w:id="535"/>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本财务报表按照财政部于</w:t>
      </w:r>
      <w:r>
        <w:rPr>
          <w:rFonts w:ascii="Arial" w:eastAsia="Arial" w:hAnsi="Arial" w:cs="Arial"/>
          <w:b w:val="0"/>
          <w:bCs w:val="0"/>
          <w:color w:val="000000"/>
          <w:spacing w:val="0"/>
          <w:w w:val="100"/>
          <w:position w:val="0"/>
          <w:sz w:val="24"/>
          <w:szCs w:val="24"/>
        </w:rPr>
        <w:t>2006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日及以后期间颁布的《企业会计准则——基本 准则》、各项具体会计准则及相关规定</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以下合称“企业会计准则”</w:t>
      </w:r>
      <w:r>
        <w:rPr>
          <w:b w:val="0"/>
          <w:bCs w:val="0"/>
          <w:color w:val="000000"/>
          <w:spacing w:val="0"/>
          <w:w w:val="100"/>
          <w:position w:val="0"/>
          <w:sz w:val="28"/>
          <w:szCs w:val="28"/>
        </w:rPr>
        <w:t>）</w:t>
      </w:r>
      <w:r>
        <w:rPr>
          <w:b w:val="0"/>
          <w:bCs w:val="0"/>
          <w:color w:val="000000"/>
          <w:spacing w:val="0"/>
          <w:w w:val="100"/>
          <w:position w:val="0"/>
          <w:sz w:val="22"/>
          <w:szCs w:val="22"/>
        </w:rPr>
        <w:t>以及中国证券监 督管理委员会《公开发行证券的公司信息披露编报规则第</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号——财务报告的一般规 定》的披露规定编制。</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本财务报表以持续经营为基础编制。</w:t>
      </w:r>
    </w:p>
    <w:p>
      <w:pPr>
        <w:pStyle w:val="Style33"/>
        <w:keepNext w:val="0"/>
        <w:keepLines w:val="0"/>
        <w:widowControl w:val="0"/>
        <w:shd w:val="clear" w:color="auto" w:fill="auto"/>
        <w:bidi w:val="0"/>
        <w:spacing w:before="0" w:after="300" w:line="325" w:lineRule="exact"/>
        <w:ind w:left="0" w:right="0" w:firstLine="0"/>
        <w:jc w:val="both"/>
        <w:rPr>
          <w:sz w:val="22"/>
          <w:szCs w:val="22"/>
        </w:rPr>
        <w:sectPr>
          <w:footnotePr>
            <w:pos w:val="pageBottom"/>
            <w:numFmt w:val="decimal"/>
            <w:numRestart w:val="continuous"/>
          </w:footnotePr>
          <w:pgSz w:w="11900" w:h="16840"/>
          <w:pgMar w:top="1762" w:right="1110" w:bottom="1762" w:left="1962" w:header="0" w:footer="3" w:gutter="0"/>
          <w:cols w:space="720"/>
          <w:noEndnote/>
          <w:rtlGutter w:val="0"/>
          <w:docGrid w:linePitch="360"/>
        </w:sectPr>
      </w:pPr>
      <w:r>
        <w:rPr>
          <w:b w:val="0"/>
          <w:bCs w:val="0"/>
          <w:color w:val="000000"/>
          <w:spacing w:val="0"/>
          <w:w w:val="100"/>
          <w:position w:val="0"/>
          <w:sz w:val="22"/>
          <w:szCs w:val="22"/>
        </w:rPr>
        <w:t>根据财政部《关于做好执行会计准则</w:t>
      </w:r>
      <w:r>
        <w:rPr>
          <w:rFonts w:ascii="Arial" w:eastAsia="Arial" w:hAnsi="Arial" w:cs="Arial"/>
          <w:b w:val="0"/>
          <w:bCs w:val="0"/>
          <w:color w:val="000000"/>
          <w:spacing w:val="0"/>
          <w:w w:val="100"/>
          <w:position w:val="0"/>
          <w:sz w:val="24"/>
          <w:szCs w:val="24"/>
        </w:rPr>
        <w:t>2008</w:t>
      </w:r>
      <w:r>
        <w:rPr>
          <w:b w:val="0"/>
          <w:bCs w:val="0"/>
          <w:color w:val="000000"/>
          <w:spacing w:val="0"/>
          <w:w w:val="100"/>
          <w:position w:val="0"/>
          <w:sz w:val="22"/>
          <w:szCs w:val="22"/>
        </w:rPr>
        <w:t>年年报工作的通知》</w:t>
      </w:r>
      <w:r>
        <w:rPr>
          <w:b w:val="0"/>
          <w:bCs w:val="0"/>
          <w:color w:val="000000"/>
          <w:spacing w:val="0"/>
          <w:w w:val="100"/>
          <w:position w:val="0"/>
          <w:sz w:val="28"/>
          <w:szCs w:val="28"/>
        </w:rPr>
        <w:t>（</w:t>
      </w:r>
      <w:r>
        <w:rPr>
          <w:b w:val="0"/>
          <w:bCs w:val="0"/>
          <w:color w:val="000000"/>
          <w:spacing w:val="0"/>
          <w:w w:val="100"/>
          <w:position w:val="0"/>
          <w:sz w:val="22"/>
          <w:szCs w:val="22"/>
        </w:rPr>
        <w:t>财会函</w:t>
      </w:r>
      <w:r>
        <w:rPr>
          <w:rFonts w:ascii="Arial" w:eastAsia="Arial" w:hAnsi="Arial" w:cs="Arial"/>
          <w:b w:val="0"/>
          <w:bCs w:val="0"/>
          <w:color w:val="000000"/>
          <w:spacing w:val="0"/>
          <w:w w:val="100"/>
          <w:position w:val="0"/>
          <w:sz w:val="24"/>
          <w:szCs w:val="24"/>
        </w:rPr>
        <w:t>[2008]6</w:t>
      </w:r>
      <w:r>
        <w:rPr>
          <w:b w:val="0"/>
          <w:bCs w:val="0"/>
          <w:color w:val="000000"/>
          <w:spacing w:val="0"/>
          <w:w w:val="100"/>
          <w:position w:val="0"/>
          <w:sz w:val="28"/>
          <w:szCs w:val="28"/>
        </w:rPr>
        <w:t>。</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及财政部《关于非上市公司购买上市公司股权实现间接上市会计处理的复函》</w:t>
      </w:r>
      <w:r>
        <w:rPr>
          <w:b w:val="0"/>
          <w:bCs w:val="0"/>
          <w:color w:val="000000"/>
          <w:spacing w:val="0"/>
          <w:w w:val="100"/>
          <w:position w:val="0"/>
          <w:sz w:val="28"/>
          <w:szCs w:val="28"/>
        </w:rPr>
        <w:t>（</w:t>
      </w:r>
      <w:r>
        <w:rPr>
          <w:b w:val="0"/>
          <w:bCs w:val="0"/>
          <w:color w:val="000000"/>
          <w:spacing w:val="0"/>
          <w:w w:val="100"/>
          <w:position w:val="0"/>
          <w:sz w:val="22"/>
          <w:szCs w:val="22"/>
        </w:rPr>
        <w:t>财会 便</w:t>
      </w:r>
      <w:r>
        <w:rPr>
          <w:rFonts w:ascii="Arial" w:eastAsia="Arial" w:hAnsi="Arial" w:cs="Arial"/>
          <w:b w:val="0"/>
          <w:bCs w:val="0"/>
          <w:color w:val="000000"/>
          <w:spacing w:val="0"/>
          <w:w w:val="100"/>
          <w:position w:val="0"/>
          <w:sz w:val="24"/>
          <w:szCs w:val="24"/>
        </w:rPr>
        <w:t>[2009]17</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的规定，本次重大资产置换及发行股份购买资产的交易构成非业务类 型的反向购买，应按照权益性交易的原则进行处理。因此，本公司按以下原则编制本 报告期的合并财务报表，具体情况详见附注五</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w:t>
      </w:r>
    </w:p>
    <w:p>
      <w:pPr>
        <w:pStyle w:val="Style27"/>
        <w:keepNext/>
        <w:keepLines/>
        <w:widowControl w:val="0"/>
        <w:shd w:val="clear" w:color="auto" w:fill="auto"/>
        <w:bidi w:val="0"/>
        <w:spacing w:before="0" w:line="326" w:lineRule="exact"/>
        <w:ind w:left="0" w:right="0" w:firstLine="0"/>
        <w:jc w:val="both"/>
        <w:rPr>
          <w:sz w:val="28"/>
          <w:szCs w:val="28"/>
        </w:rPr>
      </w:pPr>
      <w:bookmarkStart w:id="536" w:name="bookmark536"/>
      <w:bookmarkStart w:id="537" w:name="bookmark537"/>
      <w:bookmarkStart w:id="538" w:name="bookmark538"/>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36"/>
      <w:bookmarkEnd w:id="537"/>
      <w:bookmarkEnd w:id="538"/>
    </w:p>
    <w:p>
      <w:pPr>
        <w:pStyle w:val="Style27"/>
        <w:keepNext/>
        <w:keepLines/>
        <w:widowControl w:val="0"/>
        <w:numPr>
          <w:ilvl w:val="0"/>
          <w:numId w:val="9"/>
        </w:numPr>
        <w:shd w:val="clear" w:color="auto" w:fill="auto"/>
        <w:tabs>
          <w:tab w:pos="719" w:val="left"/>
        </w:tabs>
        <w:bidi w:val="0"/>
        <w:spacing w:before="0" w:line="326" w:lineRule="exact"/>
        <w:ind w:left="0" w:right="0" w:firstLine="0"/>
        <w:jc w:val="both"/>
        <w:rPr>
          <w:sz w:val="28"/>
          <w:szCs w:val="28"/>
        </w:rPr>
      </w:pPr>
      <w:bookmarkStart w:id="536" w:name="bookmark536"/>
      <w:bookmarkStart w:id="537" w:name="bookmark537"/>
      <w:bookmarkStart w:id="539" w:name="bookmark539"/>
      <w:bookmarkStart w:id="540" w:name="bookmark540"/>
      <w:bookmarkEnd w:id="539"/>
      <w:r>
        <w:rPr>
          <w:color w:val="000000"/>
          <w:spacing w:val="0"/>
          <w:w w:val="100"/>
          <w:position w:val="0"/>
          <w:sz w:val="22"/>
          <w:szCs w:val="22"/>
        </w:rPr>
        <w:t>财务报表的编制基础</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36"/>
      <w:bookmarkEnd w:id="537"/>
      <w:bookmarkEnd w:id="540"/>
    </w:p>
    <w:p>
      <w:pPr>
        <w:pStyle w:val="Style33"/>
        <w:keepNext w:val="0"/>
        <w:keepLines w:val="0"/>
        <w:widowControl w:val="0"/>
        <w:numPr>
          <w:ilvl w:val="0"/>
          <w:numId w:val="11"/>
        </w:numPr>
        <w:shd w:val="clear" w:color="auto" w:fill="auto"/>
        <w:tabs>
          <w:tab w:pos="469" w:val="left"/>
        </w:tabs>
        <w:bidi w:val="0"/>
        <w:spacing w:before="0" w:after="320" w:line="322" w:lineRule="exact"/>
        <w:ind w:left="0" w:right="0" w:firstLine="0"/>
        <w:jc w:val="both"/>
        <w:rPr>
          <w:sz w:val="22"/>
          <w:szCs w:val="22"/>
        </w:rPr>
      </w:pPr>
      <w:bookmarkStart w:id="541" w:name="bookmark541"/>
      <w:bookmarkEnd w:id="541"/>
      <w:r>
        <w:rPr>
          <w:b w:val="0"/>
          <w:bCs w:val="0"/>
          <w:color w:val="000000"/>
          <w:spacing w:val="0"/>
          <w:w w:val="100"/>
          <w:position w:val="0"/>
          <w:sz w:val="22"/>
          <w:szCs w:val="22"/>
        </w:rPr>
        <w:t>本集团合并财务报表，是会计上购买方</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法律上的子公司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，即泰森控股的财务报 表的延续，有关可辨认资产、负债以其在本次重组前的账面价值进行确认和计量。</w:t>
      </w:r>
    </w:p>
    <w:p>
      <w:pPr>
        <w:pStyle w:val="Style33"/>
        <w:keepNext w:val="0"/>
        <w:keepLines w:val="0"/>
        <w:widowControl w:val="0"/>
        <w:numPr>
          <w:ilvl w:val="0"/>
          <w:numId w:val="11"/>
        </w:numPr>
        <w:shd w:val="clear" w:color="auto" w:fill="auto"/>
        <w:tabs>
          <w:tab w:pos="469" w:val="left"/>
        </w:tabs>
        <w:bidi w:val="0"/>
        <w:spacing w:before="0" w:after="320" w:line="325" w:lineRule="exact"/>
        <w:ind w:left="0" w:right="0" w:firstLine="0"/>
        <w:jc w:val="both"/>
        <w:rPr>
          <w:sz w:val="22"/>
          <w:szCs w:val="22"/>
        </w:rPr>
      </w:pPr>
      <w:bookmarkStart w:id="542" w:name="bookmark542"/>
      <w:bookmarkEnd w:id="542"/>
      <w:r>
        <w:rPr>
          <w:b w:val="0"/>
          <w:bCs w:val="0"/>
          <w:color w:val="000000"/>
          <w:spacing w:val="0"/>
          <w:w w:val="100"/>
          <w:position w:val="0"/>
          <w:sz w:val="22"/>
          <w:szCs w:val="22"/>
        </w:rPr>
        <w:t>本公司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法律上的母公司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在资产置换完成后保留的各项可辨认资产、负债，按照 重组日的公允价值</w:t>
      </w:r>
      <w:r>
        <w:rPr>
          <w:b w:val="0"/>
          <w:bCs w:val="0"/>
          <w:color w:val="000000"/>
          <w:spacing w:val="0"/>
          <w:w w:val="100"/>
          <w:position w:val="0"/>
          <w:sz w:val="28"/>
          <w:szCs w:val="28"/>
        </w:rPr>
        <w:t>(</w:t>
      </w:r>
      <w:r>
        <w:rPr>
          <w:b w:val="0"/>
          <w:bCs w:val="0"/>
          <w:color w:val="000000"/>
          <w:spacing w:val="0"/>
          <w:w w:val="100"/>
          <w:position w:val="0"/>
          <w:sz w:val="22"/>
          <w:szCs w:val="22"/>
        </w:rPr>
        <w:t>“可辨认净资产公允价值”</w:t>
      </w:r>
      <w:r>
        <w:rPr>
          <w:b w:val="0"/>
          <w:bCs w:val="0"/>
          <w:color w:val="000000"/>
          <w:spacing w:val="0"/>
          <w:w w:val="100"/>
          <w:position w:val="0"/>
          <w:sz w:val="28"/>
          <w:szCs w:val="28"/>
        </w:rPr>
        <w:t>)</w:t>
      </w:r>
      <w:r>
        <w:rPr>
          <w:b w:val="0"/>
          <w:bCs w:val="0"/>
          <w:color w:val="000000"/>
          <w:spacing w:val="0"/>
          <w:w w:val="100"/>
          <w:position w:val="0"/>
          <w:sz w:val="22"/>
          <w:szCs w:val="22"/>
        </w:rPr>
        <w:t>进行确认和计量，企业合并成本与本 公司可辨认净资产公允价值之间的差额调整本合并财务报表中的资本公积，不确认商 誉或计入当期损益。</w:t>
      </w:r>
    </w:p>
    <w:p>
      <w:pPr>
        <w:pStyle w:val="Style33"/>
        <w:keepNext w:val="0"/>
        <w:keepLines w:val="0"/>
        <w:widowControl w:val="0"/>
        <w:numPr>
          <w:ilvl w:val="0"/>
          <w:numId w:val="11"/>
        </w:numPr>
        <w:shd w:val="clear" w:color="auto" w:fill="auto"/>
        <w:tabs>
          <w:tab w:pos="464" w:val="left"/>
        </w:tabs>
        <w:bidi w:val="0"/>
        <w:spacing w:before="0" w:after="320" w:line="336" w:lineRule="exact"/>
        <w:ind w:left="0" w:right="0" w:firstLine="0"/>
        <w:jc w:val="both"/>
        <w:rPr>
          <w:sz w:val="22"/>
          <w:szCs w:val="22"/>
        </w:rPr>
      </w:pPr>
      <w:bookmarkStart w:id="543" w:name="bookmark543"/>
      <w:bookmarkEnd w:id="543"/>
      <w:r>
        <w:rPr>
          <w:b w:val="0"/>
          <w:bCs w:val="0"/>
          <w:color w:val="000000"/>
          <w:spacing w:val="0"/>
          <w:w w:val="100"/>
          <w:position w:val="0"/>
          <w:sz w:val="22"/>
          <w:szCs w:val="22"/>
        </w:rPr>
        <w:t>本集团合并财务报表中的年初股本，反映本次重组过程中发行股份购买泰森控股 的金额。</w:t>
      </w:r>
    </w:p>
    <w:p>
      <w:pPr>
        <w:pStyle w:val="Style33"/>
        <w:keepNext w:val="0"/>
        <w:keepLines w:val="0"/>
        <w:widowControl w:val="0"/>
        <w:numPr>
          <w:ilvl w:val="0"/>
          <w:numId w:val="11"/>
        </w:numPr>
        <w:shd w:val="clear" w:color="auto" w:fill="auto"/>
        <w:tabs>
          <w:tab w:pos="469" w:val="left"/>
        </w:tabs>
        <w:bidi w:val="0"/>
        <w:spacing w:before="0" w:after="320" w:line="326" w:lineRule="exact"/>
        <w:ind w:left="0" w:right="0" w:firstLine="0"/>
        <w:jc w:val="both"/>
        <w:rPr>
          <w:sz w:val="22"/>
          <w:szCs w:val="22"/>
        </w:rPr>
      </w:pPr>
      <w:bookmarkStart w:id="544" w:name="bookmark544"/>
      <w:bookmarkEnd w:id="544"/>
      <w:r>
        <w:rPr>
          <w:b w:val="0"/>
          <w:bCs w:val="0"/>
          <w:color w:val="000000"/>
          <w:spacing w:val="0"/>
          <w:w w:val="100"/>
          <w:position w:val="0"/>
          <w:sz w:val="22"/>
          <w:szCs w:val="22"/>
        </w:rPr>
        <w:t>除年初股本外，本集团合并财务报表比较信息是泰森控股及其子公司的比较信息, 本集团的母公司财务报表以其历史账面价值确认和计量。</w:t>
      </w:r>
    </w:p>
    <w:p>
      <w:pPr>
        <w:pStyle w:val="Style27"/>
        <w:keepNext/>
        <w:keepLines/>
        <w:widowControl w:val="0"/>
        <w:numPr>
          <w:ilvl w:val="0"/>
          <w:numId w:val="9"/>
        </w:numPr>
        <w:shd w:val="clear" w:color="auto" w:fill="auto"/>
        <w:tabs>
          <w:tab w:pos="719" w:val="left"/>
        </w:tabs>
        <w:bidi w:val="0"/>
        <w:spacing w:before="0" w:after="260" w:line="326" w:lineRule="exact"/>
        <w:ind w:left="0" w:right="0" w:firstLine="0"/>
        <w:jc w:val="both"/>
        <w:rPr>
          <w:sz w:val="22"/>
          <w:szCs w:val="22"/>
        </w:rPr>
      </w:pPr>
      <w:bookmarkStart w:id="545" w:name="bookmark545"/>
      <w:bookmarkStart w:id="546" w:name="bookmark546"/>
      <w:bookmarkStart w:id="547" w:name="bookmark547"/>
      <w:bookmarkStart w:id="548" w:name="bookmark548"/>
      <w:bookmarkEnd w:id="547"/>
      <w:r>
        <w:rPr>
          <w:color w:val="000000"/>
          <w:spacing w:val="0"/>
          <w:w w:val="100"/>
          <w:position w:val="0"/>
          <w:sz w:val="22"/>
          <w:szCs w:val="22"/>
        </w:rPr>
        <w:t>遵循企业会计准则的声明</w:t>
      </w:r>
      <w:bookmarkEnd w:id="545"/>
      <w:bookmarkEnd w:id="546"/>
      <w:bookmarkEnd w:id="548"/>
    </w:p>
    <w:p>
      <w:pPr>
        <w:pStyle w:val="Style33"/>
        <w:keepNext w:val="0"/>
        <w:keepLines w:val="0"/>
        <w:widowControl w:val="0"/>
        <w:shd w:val="clear" w:color="auto" w:fill="auto"/>
        <w:bidi w:val="0"/>
        <w:spacing w:before="0" w:after="360" w:line="331" w:lineRule="exact"/>
        <w:ind w:left="0" w:right="0" w:firstLine="0"/>
        <w:jc w:val="both"/>
        <w:rPr>
          <w:sz w:val="22"/>
          <w:szCs w:val="22"/>
        </w:rPr>
      </w:pPr>
      <w:r>
        <w:rPr>
          <w:b w:val="0"/>
          <w:bCs w:val="0"/>
          <w:color w:val="000000"/>
          <w:spacing w:val="0"/>
          <w:w w:val="100"/>
          <w:position w:val="0"/>
          <w:sz w:val="22"/>
          <w:szCs w:val="22"/>
        </w:rPr>
        <w:t>本公司</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 xml:space="preserve">年度财务报表符合企业会计准则的要求，真实、完整地反映了本公司 </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日的合并及公司财务状况以及</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年度的合并及公司经营成果和 现金流量等有关信息。</w:t>
      </w:r>
    </w:p>
    <w:p>
      <w:pPr>
        <w:pStyle w:val="Style33"/>
        <w:keepNext w:val="0"/>
        <w:keepLines w:val="0"/>
        <w:widowControl w:val="0"/>
        <w:numPr>
          <w:ilvl w:val="0"/>
          <w:numId w:val="9"/>
        </w:numPr>
        <w:shd w:val="clear" w:color="auto" w:fill="auto"/>
        <w:tabs>
          <w:tab w:pos="719" w:val="left"/>
        </w:tabs>
        <w:bidi w:val="0"/>
        <w:spacing w:before="0" w:after="260" w:line="283" w:lineRule="auto"/>
        <w:ind w:left="0" w:right="0" w:firstLine="0"/>
        <w:jc w:val="both"/>
        <w:rPr>
          <w:sz w:val="22"/>
          <w:szCs w:val="22"/>
        </w:rPr>
      </w:pPr>
      <w:bookmarkStart w:id="549" w:name="bookmark549"/>
      <w:bookmarkEnd w:id="549"/>
      <w:r>
        <w:rPr>
          <w:color w:val="000000"/>
          <w:spacing w:val="0"/>
          <w:w w:val="100"/>
          <w:position w:val="0"/>
          <w:sz w:val="22"/>
          <w:szCs w:val="22"/>
        </w:rPr>
        <w:t>会计年度</w:t>
      </w:r>
    </w:p>
    <w:p>
      <w:pPr>
        <w:pStyle w:val="Style33"/>
        <w:keepNext w:val="0"/>
        <w:keepLines w:val="0"/>
        <w:widowControl w:val="0"/>
        <w:shd w:val="clear" w:color="auto" w:fill="auto"/>
        <w:bidi w:val="0"/>
        <w:spacing w:before="0" w:after="360" w:line="326" w:lineRule="exact"/>
        <w:ind w:left="0" w:right="0" w:firstLine="0"/>
        <w:jc w:val="both"/>
        <w:rPr>
          <w:sz w:val="22"/>
          <w:szCs w:val="22"/>
        </w:rPr>
      </w:pPr>
      <w:r>
        <w:rPr>
          <w:b w:val="0"/>
          <w:bCs w:val="0"/>
          <w:color w:val="000000"/>
          <w:spacing w:val="0"/>
          <w:w w:val="100"/>
          <w:position w:val="0"/>
          <w:sz w:val="22"/>
          <w:szCs w:val="22"/>
        </w:rPr>
        <w:t>会计年度为公历</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日起至</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日止。</w:t>
      </w:r>
    </w:p>
    <w:p>
      <w:pPr>
        <w:pStyle w:val="Style33"/>
        <w:keepNext w:val="0"/>
        <w:keepLines w:val="0"/>
        <w:widowControl w:val="0"/>
        <w:numPr>
          <w:ilvl w:val="0"/>
          <w:numId w:val="9"/>
        </w:numPr>
        <w:shd w:val="clear" w:color="auto" w:fill="auto"/>
        <w:tabs>
          <w:tab w:pos="719" w:val="left"/>
        </w:tabs>
        <w:bidi w:val="0"/>
        <w:spacing w:before="0" w:after="260" w:line="283" w:lineRule="auto"/>
        <w:ind w:left="0" w:right="0" w:firstLine="0"/>
        <w:jc w:val="both"/>
        <w:rPr>
          <w:sz w:val="22"/>
          <w:szCs w:val="22"/>
        </w:rPr>
      </w:pPr>
      <w:bookmarkStart w:id="550" w:name="bookmark550"/>
      <w:bookmarkEnd w:id="550"/>
      <w:r>
        <w:rPr>
          <w:color w:val="000000"/>
          <w:spacing w:val="0"/>
          <w:w w:val="100"/>
          <w:position w:val="0"/>
          <w:sz w:val="22"/>
          <w:szCs w:val="22"/>
        </w:rPr>
        <w:t>记账本位币</w:t>
      </w:r>
    </w:p>
    <w:p>
      <w:pPr>
        <w:pStyle w:val="Style33"/>
        <w:keepNext w:val="0"/>
        <w:keepLines w:val="0"/>
        <w:widowControl w:val="0"/>
        <w:shd w:val="clear" w:color="auto" w:fill="auto"/>
        <w:bidi w:val="0"/>
        <w:spacing w:before="0" w:after="320" w:line="326" w:lineRule="exact"/>
        <w:ind w:left="0" w:right="0" w:firstLine="0"/>
        <w:jc w:val="both"/>
        <w:rPr>
          <w:sz w:val="22"/>
          <w:szCs w:val="22"/>
        </w:rPr>
        <w:sectPr>
          <w:footnotePr>
            <w:pos w:val="pageBottom"/>
            <w:numFmt w:val="decimal"/>
            <w:numRestart w:val="continuous"/>
          </w:footnotePr>
          <w:pgSz w:w="11900" w:h="16840"/>
          <w:pgMar w:top="1758" w:right="990" w:bottom="1758" w:left="1957" w:header="0" w:footer="3" w:gutter="0"/>
          <w:cols w:space="720"/>
          <w:noEndnote/>
          <w:rtlGutter w:val="0"/>
          <w:docGrid w:linePitch="360"/>
        </w:sectPr>
      </w:pPr>
      <w:r>
        <w:rPr>
          <w:b w:val="0"/>
          <w:bCs w:val="0"/>
          <w:color w:val="000000"/>
          <w:spacing w:val="0"/>
          <w:w w:val="100"/>
          <w:position w:val="0"/>
          <w:sz w:val="22"/>
          <w:szCs w:val="22"/>
        </w:rPr>
        <w:t>记账本位币为人民币。</w:t>
      </w:r>
    </w:p>
    <w:p>
      <w:pPr>
        <w:pStyle w:val="Style27"/>
        <w:keepNext/>
        <w:keepLines/>
        <w:widowControl w:val="0"/>
        <w:shd w:val="clear" w:color="auto" w:fill="auto"/>
        <w:bidi w:val="0"/>
        <w:spacing w:before="0" w:after="300" w:line="322" w:lineRule="exact"/>
        <w:ind w:left="0" w:right="0" w:firstLine="0"/>
        <w:jc w:val="both"/>
        <w:rPr>
          <w:sz w:val="28"/>
          <w:szCs w:val="28"/>
        </w:rPr>
      </w:pPr>
      <w:bookmarkStart w:id="551" w:name="bookmark551"/>
      <w:bookmarkStart w:id="552" w:name="bookmark552"/>
      <w:bookmarkStart w:id="553" w:name="bookmark553"/>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51"/>
      <w:bookmarkEnd w:id="552"/>
      <w:bookmarkEnd w:id="553"/>
    </w:p>
    <w:p>
      <w:pPr>
        <w:pStyle w:val="Style27"/>
        <w:keepNext/>
        <w:keepLines/>
        <w:widowControl w:val="0"/>
        <w:numPr>
          <w:ilvl w:val="0"/>
          <w:numId w:val="9"/>
        </w:numPr>
        <w:shd w:val="clear" w:color="auto" w:fill="auto"/>
        <w:tabs>
          <w:tab w:pos="439" w:val="left"/>
        </w:tabs>
        <w:bidi w:val="0"/>
        <w:spacing w:before="0" w:after="300" w:line="276" w:lineRule="auto"/>
        <w:ind w:left="0" w:right="0" w:firstLine="0"/>
        <w:jc w:val="both"/>
        <w:rPr>
          <w:sz w:val="22"/>
          <w:szCs w:val="22"/>
        </w:rPr>
      </w:pPr>
      <w:bookmarkStart w:id="551" w:name="bookmark551"/>
      <w:bookmarkStart w:id="552" w:name="bookmark552"/>
      <w:bookmarkStart w:id="554" w:name="bookmark554"/>
      <w:bookmarkStart w:id="555" w:name="bookmark555"/>
      <w:bookmarkEnd w:id="554"/>
      <w:r>
        <w:rPr>
          <w:color w:val="000000"/>
          <w:spacing w:val="0"/>
          <w:w w:val="100"/>
          <w:position w:val="0"/>
          <w:sz w:val="22"/>
          <w:szCs w:val="22"/>
        </w:rPr>
        <w:t>企业合并</w:t>
      </w:r>
      <w:bookmarkEnd w:id="551"/>
      <w:bookmarkEnd w:id="552"/>
      <w:bookmarkEnd w:id="555"/>
    </w:p>
    <w:p>
      <w:pPr>
        <w:pStyle w:val="Style33"/>
        <w:keepNext w:val="0"/>
        <w:keepLines w:val="0"/>
        <w:widowControl w:val="0"/>
        <w:numPr>
          <w:ilvl w:val="0"/>
          <w:numId w:val="13"/>
        </w:numPr>
        <w:shd w:val="clear" w:color="auto" w:fill="auto"/>
        <w:tabs>
          <w:tab w:pos="439" w:val="left"/>
        </w:tabs>
        <w:bidi w:val="0"/>
        <w:spacing w:before="0" w:after="300" w:line="322" w:lineRule="exact"/>
        <w:ind w:left="0" w:right="0" w:firstLine="0"/>
        <w:jc w:val="both"/>
        <w:rPr>
          <w:sz w:val="22"/>
          <w:szCs w:val="22"/>
        </w:rPr>
      </w:pPr>
      <w:bookmarkStart w:id="556" w:name="bookmark556"/>
      <w:bookmarkEnd w:id="556"/>
      <w:r>
        <w:rPr>
          <w:b w:val="0"/>
          <w:bCs w:val="0"/>
          <w:color w:val="000000"/>
          <w:spacing w:val="0"/>
          <w:w w:val="100"/>
          <w:position w:val="0"/>
          <w:sz w:val="22"/>
          <w:szCs w:val="22"/>
        </w:rPr>
        <w:t>同一控制下的企业合并</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合并方支付的合并对价及取得的净资产均按账面价值计量。合并方取得的净资产账面 价值与支付的合并对价账面价值的差额，调整资本公积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股本溢价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；资本公积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股本溢 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不足以冲减的，调整留存收益。为进行企业合并发生的直接相关费用于发生时计 入当期损益。为企业合并而发行权益性证券或债务性证券的交易费用，计入权益性证 券或债务性证券的初始确认金额。</w:t>
      </w:r>
    </w:p>
    <w:p>
      <w:pPr>
        <w:pStyle w:val="Style33"/>
        <w:keepNext w:val="0"/>
        <w:keepLines w:val="0"/>
        <w:widowControl w:val="0"/>
        <w:numPr>
          <w:ilvl w:val="0"/>
          <w:numId w:val="13"/>
        </w:numPr>
        <w:shd w:val="clear" w:color="auto" w:fill="auto"/>
        <w:tabs>
          <w:tab w:pos="439" w:val="left"/>
        </w:tabs>
        <w:bidi w:val="0"/>
        <w:spacing w:before="0" w:after="300" w:line="322" w:lineRule="exact"/>
        <w:ind w:left="0" w:right="0" w:firstLine="0"/>
        <w:jc w:val="both"/>
        <w:rPr>
          <w:sz w:val="22"/>
          <w:szCs w:val="22"/>
        </w:rPr>
      </w:pPr>
      <w:bookmarkStart w:id="557" w:name="bookmark557"/>
      <w:bookmarkEnd w:id="557"/>
      <w:r>
        <w:rPr>
          <w:b w:val="0"/>
          <w:bCs w:val="0"/>
          <w:color w:val="000000"/>
          <w:spacing w:val="0"/>
          <w:w w:val="100"/>
          <w:position w:val="0"/>
          <w:sz w:val="22"/>
          <w:szCs w:val="22"/>
        </w:rPr>
        <w:t>非同一控制下的企业合并</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购买方发生的合并成本及在合并中取得的可辨认净资产按购买日的公允价值计量。合 并成本大于合并中取得的被购买方于购买日可辨认净资产公允价值份额的差额，确认 为商誉；合并成本小于合并中取得的被购买方可辨认净资产公允价值份额的差额，计 入当期损益。为进行企业合并发生的直接相关费用于发生时计入当期损益。为企业合 并而发行权益性证券或债务性证券的交易费用，计入权益性证券或债务性证券的初始 确认金额。</w:t>
      </w:r>
    </w:p>
    <w:p>
      <w:pPr>
        <w:pStyle w:val="Style27"/>
        <w:keepNext/>
        <w:keepLines/>
        <w:widowControl w:val="0"/>
        <w:numPr>
          <w:ilvl w:val="0"/>
          <w:numId w:val="9"/>
        </w:numPr>
        <w:shd w:val="clear" w:color="auto" w:fill="auto"/>
        <w:tabs>
          <w:tab w:pos="439" w:val="left"/>
        </w:tabs>
        <w:bidi w:val="0"/>
        <w:spacing w:before="0" w:after="300" w:line="322" w:lineRule="exact"/>
        <w:ind w:left="0" w:right="0" w:firstLine="0"/>
        <w:jc w:val="both"/>
        <w:rPr>
          <w:sz w:val="22"/>
          <w:szCs w:val="22"/>
        </w:rPr>
      </w:pPr>
      <w:bookmarkStart w:id="558" w:name="bookmark558"/>
      <w:bookmarkStart w:id="559" w:name="bookmark559"/>
      <w:bookmarkStart w:id="560" w:name="bookmark560"/>
      <w:bookmarkStart w:id="561" w:name="bookmark561"/>
      <w:bookmarkEnd w:id="560"/>
      <w:r>
        <w:rPr>
          <w:color w:val="000000"/>
          <w:spacing w:val="0"/>
          <w:w w:val="100"/>
          <w:position w:val="0"/>
          <w:sz w:val="22"/>
          <w:szCs w:val="22"/>
        </w:rPr>
        <w:t>合并财务报表的编制方法</w:t>
      </w:r>
      <w:bookmarkEnd w:id="558"/>
      <w:bookmarkEnd w:id="559"/>
      <w:bookmarkEnd w:id="561"/>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编制合并财务报表时，合并范围包括本公司及全部子公司。</w:t>
      </w:r>
    </w:p>
    <w:p>
      <w:pPr>
        <w:pStyle w:val="Style33"/>
        <w:keepNext w:val="0"/>
        <w:keepLines w:val="0"/>
        <w:widowControl w:val="0"/>
        <w:shd w:val="clear" w:color="auto" w:fill="auto"/>
        <w:bidi w:val="0"/>
        <w:spacing w:before="0" w:after="300" w:line="323" w:lineRule="exact"/>
        <w:ind w:left="0" w:right="0" w:firstLine="0"/>
        <w:jc w:val="both"/>
        <w:rPr>
          <w:sz w:val="22"/>
          <w:szCs w:val="22"/>
        </w:rPr>
      </w:pPr>
      <w:r>
        <w:rPr>
          <w:b w:val="0"/>
          <w:bCs w:val="0"/>
          <w:color w:val="000000"/>
          <w:spacing w:val="0"/>
          <w:w w:val="100"/>
          <w:position w:val="0"/>
          <w:sz w:val="22"/>
          <w:szCs w:val="22"/>
        </w:rPr>
        <w:t>从取得子公司的实际控制权之日起，本集团开始将其纳入合并范围；从丧失实际控制 权之日起停止纳入合并范围。对于同一控制下企业合并取得的子公司，自其与本公司 同受最终控制方控制之日起纳入本公司合并范围，并将其在合并日前实现的净利润在 合并利润表中单列项目反映。</w:t>
      </w:r>
    </w:p>
    <w:p>
      <w:pPr>
        <w:pStyle w:val="Style33"/>
        <w:keepNext w:val="0"/>
        <w:keepLines w:val="0"/>
        <w:widowControl w:val="0"/>
        <w:shd w:val="clear" w:color="auto" w:fill="auto"/>
        <w:bidi w:val="0"/>
        <w:spacing w:before="0" w:after="300" w:line="315" w:lineRule="exact"/>
        <w:ind w:left="0" w:right="0" w:firstLine="0"/>
        <w:jc w:val="both"/>
        <w:rPr>
          <w:sz w:val="22"/>
          <w:szCs w:val="22"/>
        </w:rPr>
        <w:sectPr>
          <w:footnotePr>
            <w:pos w:val="pageBottom"/>
            <w:numFmt w:val="decimal"/>
            <w:numRestart w:val="continuous"/>
          </w:footnotePr>
          <w:pgSz w:w="11900" w:h="16840"/>
          <w:pgMar w:top="1762" w:right="990" w:bottom="1762" w:left="1957" w:header="0" w:footer="3" w:gutter="0"/>
          <w:cols w:space="720"/>
          <w:noEndnote/>
          <w:rtlGutter w:val="0"/>
          <w:docGrid w:linePitch="360"/>
        </w:sectPr>
      </w:pPr>
      <w:r>
        <w:rPr>
          <w:b w:val="0"/>
          <w:bCs w:val="0"/>
          <w:color w:val="000000"/>
          <w:spacing w:val="0"/>
          <w:w w:val="100"/>
          <w:position w:val="0"/>
          <w:sz w:val="22"/>
          <w:szCs w:val="22"/>
        </w:rPr>
        <w:t>在编制合并财务报表时，子公司与本公司采用的会计政策或会计期间不一致的，按照 本公司的会计政策和会计期间对子公司财务报表进行必要的调整。对于非同一控制下 企业合并取得的子公司，以购买日可辨认净资产公允价值为基础对其财务报表进行调 整。</w:t>
      </w:r>
    </w:p>
    <w:p>
      <w:pPr>
        <w:pStyle w:val="Style27"/>
        <w:keepNext/>
        <w:keepLines/>
        <w:widowControl w:val="0"/>
        <w:shd w:val="clear" w:color="auto" w:fill="auto"/>
        <w:bidi w:val="0"/>
        <w:spacing w:before="0" w:after="300" w:line="320" w:lineRule="exact"/>
        <w:ind w:left="0" w:right="0" w:firstLine="0"/>
        <w:jc w:val="left"/>
        <w:rPr>
          <w:sz w:val="28"/>
          <w:szCs w:val="28"/>
        </w:rPr>
      </w:pPr>
      <w:bookmarkStart w:id="562" w:name="bookmark562"/>
      <w:bookmarkStart w:id="563" w:name="bookmark563"/>
      <w:bookmarkStart w:id="564" w:name="bookmark564"/>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62"/>
      <w:bookmarkEnd w:id="563"/>
      <w:bookmarkEnd w:id="564"/>
    </w:p>
    <w:p>
      <w:pPr>
        <w:pStyle w:val="Style27"/>
        <w:keepNext/>
        <w:keepLines/>
        <w:widowControl w:val="0"/>
        <w:numPr>
          <w:ilvl w:val="0"/>
          <w:numId w:val="15"/>
        </w:numPr>
        <w:shd w:val="clear" w:color="auto" w:fill="auto"/>
        <w:tabs>
          <w:tab w:pos="441" w:val="left"/>
        </w:tabs>
        <w:bidi w:val="0"/>
        <w:spacing w:before="0" w:after="300" w:line="320" w:lineRule="exact"/>
        <w:ind w:left="0" w:right="0" w:firstLine="0"/>
        <w:jc w:val="both"/>
        <w:rPr>
          <w:sz w:val="28"/>
          <w:szCs w:val="28"/>
        </w:rPr>
      </w:pPr>
      <w:bookmarkStart w:id="562" w:name="bookmark562"/>
      <w:bookmarkStart w:id="563" w:name="bookmark563"/>
      <w:bookmarkStart w:id="565" w:name="bookmark565"/>
      <w:bookmarkStart w:id="566" w:name="bookmark566"/>
      <w:bookmarkEnd w:id="565"/>
      <w:r>
        <w:rPr>
          <w:color w:val="000000"/>
          <w:spacing w:val="0"/>
          <w:w w:val="100"/>
          <w:position w:val="0"/>
          <w:sz w:val="22"/>
          <w:szCs w:val="22"/>
        </w:rPr>
        <w:t>合并财务报表的编制方法</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62"/>
      <w:bookmarkEnd w:id="563"/>
      <w:bookmarkEnd w:id="566"/>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集团内所有重大往来余额、交易及未实现利润在合并财务报表编制时予以抵销。子公 司的股东权益、当期净损益及综合收益中不属于本公司所拥有的部分分别作为少数股 东权益、少数股东损益及归属于少数股东的综合收益总额在合并财务报表中股东权益、 净利润及综合收益总额项下单独列示。本公司向子公司出售资产所发生的未实现内部 交易损益，全额抵销归属于母公司股东的净利润；子公司向本公司出售资产所发生的 未实现内部交易损益，按本公司对该子公司的分配比例在归属于母公司股东的净利润 和少数股东损益之间分配抵销。子公司之间出售资产所发生的未实现内部交易损益， 按照母公司对出售方子公司的分配比例在归属于母公司股东的净利润和少数股东损 益之间分配抵销。</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如果以本集团为会计主体与以本公司或子公司为会计主体对同一交易的认定不同时， 从本集团的角度对该交易予以调整。</w:t>
      </w:r>
    </w:p>
    <w:p>
      <w:pPr>
        <w:pStyle w:val="Style27"/>
        <w:keepNext/>
        <w:keepLines/>
        <w:widowControl w:val="0"/>
        <w:numPr>
          <w:ilvl w:val="0"/>
          <w:numId w:val="15"/>
        </w:numPr>
        <w:shd w:val="clear" w:color="auto" w:fill="auto"/>
        <w:tabs>
          <w:tab w:pos="441" w:val="left"/>
        </w:tabs>
        <w:bidi w:val="0"/>
        <w:spacing w:before="0" w:after="300" w:line="320" w:lineRule="exact"/>
        <w:ind w:left="0" w:right="0" w:firstLine="0"/>
        <w:jc w:val="both"/>
        <w:rPr>
          <w:sz w:val="22"/>
          <w:szCs w:val="22"/>
        </w:rPr>
      </w:pPr>
      <w:bookmarkStart w:id="567" w:name="bookmark567"/>
      <w:bookmarkStart w:id="568" w:name="bookmark568"/>
      <w:bookmarkStart w:id="569" w:name="bookmark569"/>
      <w:bookmarkStart w:id="570" w:name="bookmark570"/>
      <w:bookmarkEnd w:id="569"/>
      <w:r>
        <w:rPr>
          <w:color w:val="000000"/>
          <w:spacing w:val="0"/>
          <w:w w:val="100"/>
          <w:position w:val="0"/>
          <w:sz w:val="22"/>
          <w:szCs w:val="22"/>
        </w:rPr>
        <w:t>现金及现金等价物</w:t>
      </w:r>
      <w:bookmarkEnd w:id="567"/>
      <w:bookmarkEnd w:id="568"/>
      <w:bookmarkEnd w:id="570"/>
    </w:p>
    <w:p>
      <w:pPr>
        <w:pStyle w:val="Style33"/>
        <w:keepNext w:val="0"/>
        <w:keepLines w:val="0"/>
        <w:widowControl w:val="0"/>
        <w:shd w:val="clear" w:color="auto" w:fill="auto"/>
        <w:bidi w:val="0"/>
        <w:spacing w:before="0" w:after="360" w:line="322" w:lineRule="exact"/>
        <w:ind w:left="0" w:right="0" w:firstLine="0"/>
        <w:jc w:val="both"/>
        <w:rPr>
          <w:sz w:val="22"/>
          <w:szCs w:val="22"/>
        </w:rPr>
      </w:pPr>
      <w:r>
        <w:rPr>
          <w:b w:val="0"/>
          <w:bCs w:val="0"/>
          <w:color w:val="000000"/>
          <w:spacing w:val="0"/>
          <w:w w:val="100"/>
          <w:position w:val="0"/>
          <w:sz w:val="22"/>
          <w:szCs w:val="22"/>
        </w:rPr>
        <w:t>现金及现金等价物是指库存现金，可随时用于支付的存款，以及持有的期限短、流动 性强、易于转换为已知金额现金、价值变动风险很小的投资。</w:t>
      </w:r>
    </w:p>
    <w:p>
      <w:pPr>
        <w:pStyle w:val="Style33"/>
        <w:keepNext w:val="0"/>
        <w:keepLines w:val="0"/>
        <w:widowControl w:val="0"/>
        <w:numPr>
          <w:ilvl w:val="0"/>
          <w:numId w:val="15"/>
        </w:numPr>
        <w:shd w:val="clear" w:color="auto" w:fill="auto"/>
        <w:tabs>
          <w:tab w:pos="441" w:val="left"/>
        </w:tabs>
        <w:bidi w:val="0"/>
        <w:spacing w:before="0" w:after="300" w:line="276" w:lineRule="auto"/>
        <w:ind w:left="0" w:right="0" w:firstLine="0"/>
        <w:jc w:val="both"/>
        <w:rPr>
          <w:sz w:val="22"/>
          <w:szCs w:val="22"/>
        </w:rPr>
      </w:pPr>
      <w:bookmarkStart w:id="571" w:name="bookmark571"/>
      <w:bookmarkEnd w:id="571"/>
      <w:r>
        <w:rPr>
          <w:color w:val="000000"/>
          <w:spacing w:val="0"/>
          <w:w w:val="100"/>
          <w:position w:val="0"/>
          <w:sz w:val="22"/>
          <w:szCs w:val="22"/>
        </w:rPr>
        <w:t>外币折算</w:t>
      </w:r>
    </w:p>
    <w:p>
      <w:pPr>
        <w:pStyle w:val="Style33"/>
        <w:keepNext w:val="0"/>
        <w:keepLines w:val="0"/>
        <w:widowControl w:val="0"/>
        <w:numPr>
          <w:ilvl w:val="0"/>
          <w:numId w:val="17"/>
        </w:numPr>
        <w:shd w:val="clear" w:color="auto" w:fill="auto"/>
        <w:bidi w:val="0"/>
        <w:spacing w:before="0" w:after="300" w:line="276" w:lineRule="auto"/>
        <w:ind w:left="0" w:right="0" w:firstLine="0"/>
        <w:jc w:val="both"/>
        <w:rPr>
          <w:sz w:val="22"/>
          <w:szCs w:val="22"/>
        </w:rPr>
      </w:pPr>
      <w:bookmarkStart w:id="572" w:name="bookmark572"/>
      <w:bookmarkEnd w:id="572"/>
      <w:r>
        <w:rPr>
          <w:b w:val="0"/>
          <w:bCs w:val="0"/>
          <w:color w:val="000000"/>
          <w:spacing w:val="0"/>
          <w:w w:val="100"/>
          <w:position w:val="0"/>
          <w:sz w:val="22"/>
          <w:szCs w:val="22"/>
        </w:rPr>
        <w:t>外币交易</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外币交易按交易发生日的即期汇率及即期汇率的近似汇率将外币金额折算为人民币 入账。</w:t>
      </w:r>
    </w:p>
    <w:p>
      <w:pPr>
        <w:pStyle w:val="Style33"/>
        <w:keepNext w:val="0"/>
        <w:keepLines w:val="0"/>
        <w:widowControl w:val="0"/>
        <w:shd w:val="clear" w:color="auto" w:fill="auto"/>
        <w:bidi w:val="0"/>
        <w:spacing w:before="0" w:after="300" w:line="319" w:lineRule="exact"/>
        <w:ind w:left="0" w:right="0" w:firstLine="0"/>
        <w:jc w:val="both"/>
        <w:rPr>
          <w:sz w:val="22"/>
          <w:szCs w:val="22"/>
        </w:rPr>
        <w:sectPr>
          <w:footnotePr>
            <w:pos w:val="pageBottom"/>
            <w:numFmt w:val="decimal"/>
            <w:numRestart w:val="continuous"/>
          </w:footnotePr>
          <w:pgSz w:w="11900" w:h="16840"/>
          <w:pgMar w:top="1762" w:right="871" w:bottom="1762" w:left="1962" w:header="0" w:footer="3" w:gutter="0"/>
          <w:cols w:space="720"/>
          <w:noEndnote/>
          <w:rtlGutter w:val="0"/>
          <w:docGrid w:linePitch="360"/>
        </w:sectPr>
      </w:pPr>
      <w:r>
        <w:rPr>
          <w:b w:val="0"/>
          <w:bCs w:val="0"/>
          <w:color w:val="000000"/>
          <w:spacing w:val="0"/>
          <w:w w:val="100"/>
          <w:position w:val="0"/>
          <w:sz w:val="22"/>
          <w:szCs w:val="22"/>
        </w:rPr>
        <w:t>于资产负债表日，外币货币性项目采用资产负债表日的即期汇率折算为人民币。为购 建符合借款费用资本化条件的资产而借入的外币专门借款产生的汇兑差额在资本化 期间内予以资本化；其他汇兑差额直接计入当期损益。以历史成本计量的外币非货币 性项目，于资产负债表日采用交易发生日的即期汇率折算。汇率变动对现金的影响额 在现金流量表中单独列示。</w:t>
      </w:r>
    </w:p>
    <w:p>
      <w:pPr>
        <w:pStyle w:val="Style27"/>
        <w:keepNext/>
        <w:keepLines/>
        <w:widowControl w:val="0"/>
        <w:shd w:val="clear" w:color="auto" w:fill="auto"/>
        <w:bidi w:val="0"/>
        <w:spacing w:before="0" w:after="300" w:line="320" w:lineRule="exact"/>
        <w:ind w:left="0" w:right="0" w:firstLine="0"/>
        <w:jc w:val="both"/>
        <w:rPr>
          <w:sz w:val="28"/>
          <w:szCs w:val="28"/>
        </w:rPr>
      </w:pPr>
      <w:bookmarkStart w:id="573" w:name="bookmark573"/>
      <w:bookmarkStart w:id="574" w:name="bookmark574"/>
      <w:bookmarkStart w:id="575" w:name="bookmark575"/>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73"/>
      <w:bookmarkEnd w:id="574"/>
      <w:bookmarkEnd w:id="575"/>
    </w:p>
    <w:p>
      <w:pPr>
        <w:pStyle w:val="Style94"/>
        <w:keepNext w:val="0"/>
        <w:keepLines w:val="0"/>
        <w:widowControl w:val="0"/>
        <w:numPr>
          <w:ilvl w:val="0"/>
          <w:numId w:val="19"/>
        </w:numPr>
        <w:shd w:val="clear" w:color="auto" w:fill="auto"/>
        <w:tabs>
          <w:tab w:pos="464" w:val="left"/>
        </w:tabs>
        <w:bidi w:val="0"/>
        <w:spacing w:before="0" w:after="300"/>
        <w:ind w:left="0" w:right="0" w:firstLine="0"/>
        <w:jc w:val="both"/>
        <w:rPr>
          <w:sz w:val="28"/>
          <w:szCs w:val="28"/>
        </w:rPr>
      </w:pPr>
      <w:bookmarkStart w:id="576" w:name="bookmark576"/>
      <w:bookmarkEnd w:id="576"/>
      <w:r>
        <w:rPr>
          <w:rFonts w:ascii="SimSun" w:eastAsia="SimSun" w:hAnsi="SimSun" w:cs="SimSun"/>
          <w:b/>
          <w:bCs/>
          <w:color w:val="000000"/>
          <w:spacing w:val="0"/>
          <w:w w:val="100"/>
          <w:position w:val="0"/>
          <w:sz w:val="22"/>
          <w:szCs w:val="22"/>
        </w:rPr>
        <w:t>外币折算</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numPr>
          <w:ilvl w:val="0"/>
          <w:numId w:val="17"/>
        </w:numPr>
        <w:shd w:val="clear" w:color="auto" w:fill="auto"/>
        <w:bidi w:val="0"/>
        <w:spacing w:before="0" w:after="300" w:line="320" w:lineRule="exact"/>
        <w:ind w:left="0" w:right="0" w:firstLine="0"/>
        <w:jc w:val="both"/>
        <w:rPr>
          <w:sz w:val="22"/>
          <w:szCs w:val="22"/>
        </w:rPr>
      </w:pPr>
      <w:bookmarkStart w:id="577" w:name="bookmark577"/>
      <w:bookmarkEnd w:id="577"/>
      <w:r>
        <w:rPr>
          <w:b w:val="0"/>
          <w:bCs w:val="0"/>
          <w:color w:val="000000"/>
          <w:spacing w:val="0"/>
          <w:w w:val="100"/>
          <w:position w:val="0"/>
          <w:sz w:val="22"/>
          <w:szCs w:val="22"/>
        </w:rPr>
        <w:t>外币财务报表的折算</w:t>
      </w:r>
    </w:p>
    <w:p>
      <w:pPr>
        <w:pStyle w:val="Style33"/>
        <w:keepNext w:val="0"/>
        <w:keepLines w:val="0"/>
        <w:widowControl w:val="0"/>
        <w:shd w:val="clear" w:color="auto" w:fill="auto"/>
        <w:bidi w:val="0"/>
        <w:spacing w:before="0" w:after="380" w:line="311" w:lineRule="exact"/>
        <w:ind w:left="0" w:right="0" w:firstLine="0"/>
        <w:jc w:val="both"/>
        <w:rPr>
          <w:sz w:val="22"/>
          <w:szCs w:val="22"/>
        </w:rPr>
      </w:pPr>
      <w:r>
        <w:rPr>
          <w:b w:val="0"/>
          <w:bCs w:val="0"/>
          <w:color w:val="000000"/>
          <w:spacing w:val="0"/>
          <w:w w:val="100"/>
          <w:position w:val="0"/>
          <w:sz w:val="22"/>
          <w:szCs w:val="22"/>
        </w:rPr>
        <w:t>境外经营的资产负债表中的资产和负债项目，采用资产负债表日的即期汇率折算，股 东权益中除未分配利润项目外，其他项目采用发生时的即期汇率折算。境外经营的利 润表中的收入与费用项目，采用交易发生日的即期汇率折算。上述折算产生的外币报 表折算差额，计入其他综合收益。境外经营的现金流量项目，采用现金流量发生日的 即期汇率折算。汇率变动对现金的影响额，在现金流量表中单独列示。</w:t>
      </w:r>
    </w:p>
    <w:p>
      <w:pPr>
        <w:pStyle w:val="Style33"/>
        <w:keepNext w:val="0"/>
        <w:keepLines w:val="0"/>
        <w:widowControl w:val="0"/>
        <w:numPr>
          <w:ilvl w:val="0"/>
          <w:numId w:val="19"/>
        </w:numPr>
        <w:shd w:val="clear" w:color="auto" w:fill="auto"/>
        <w:tabs>
          <w:tab w:pos="464" w:val="left"/>
        </w:tabs>
        <w:bidi w:val="0"/>
        <w:spacing w:before="0" w:after="300" w:line="276" w:lineRule="auto"/>
        <w:ind w:left="0" w:right="0" w:firstLine="0"/>
        <w:jc w:val="both"/>
        <w:rPr>
          <w:sz w:val="22"/>
          <w:szCs w:val="22"/>
        </w:rPr>
      </w:pPr>
      <w:bookmarkStart w:id="578" w:name="bookmark578"/>
      <w:bookmarkEnd w:id="578"/>
      <w:r>
        <w:rPr>
          <w:color w:val="000000"/>
          <w:spacing w:val="0"/>
          <w:w w:val="100"/>
          <w:position w:val="0"/>
          <w:sz w:val="22"/>
          <w:szCs w:val="22"/>
        </w:rPr>
        <w:t>金融工具</w:t>
      </w:r>
    </w:p>
    <w:p>
      <w:pPr>
        <w:pStyle w:val="Style33"/>
        <w:keepNext w:val="0"/>
        <w:keepLines w:val="0"/>
        <w:widowControl w:val="0"/>
        <w:numPr>
          <w:ilvl w:val="0"/>
          <w:numId w:val="21"/>
        </w:numPr>
        <w:shd w:val="clear" w:color="auto" w:fill="auto"/>
        <w:bidi w:val="0"/>
        <w:spacing w:before="0" w:after="300" w:line="276" w:lineRule="auto"/>
        <w:ind w:left="0" w:right="0" w:firstLine="0"/>
        <w:jc w:val="both"/>
        <w:rPr>
          <w:sz w:val="22"/>
          <w:szCs w:val="22"/>
        </w:rPr>
      </w:pPr>
      <w:bookmarkStart w:id="579" w:name="bookmark579"/>
      <w:bookmarkEnd w:id="579"/>
      <w:r>
        <w:rPr>
          <w:b w:val="0"/>
          <w:bCs w:val="0"/>
          <w:color w:val="000000"/>
          <w:spacing w:val="0"/>
          <w:w w:val="100"/>
          <w:position w:val="0"/>
          <w:sz w:val="22"/>
          <w:szCs w:val="22"/>
        </w:rPr>
        <w:t>金融资产</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⑴金融资产分类</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金融资产于初始确认时分类为：以公允价值计量且其变动计入当期损益的金融资产、 贷款和应收款项、可供出售金融资产和持有至到期投资。金融资产的分类取决于本集 团对金融资产的持有意图和持有能力。于报告期内，本集团持有以公允价值计量且其 变动计入当期损益的金融资产、贷款和应收款项及可供出售金融资产类金融资产。</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以公允价值计量且其变动计入当期损益的金融资产</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以公允价值计量且其变动计入当期损益的金融资产包括持有目的为短期内出售的金 融资产。</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贷款和应收款项</w:t>
      </w:r>
    </w:p>
    <w:p>
      <w:pPr>
        <w:pStyle w:val="Style33"/>
        <w:keepNext w:val="0"/>
        <w:keepLines w:val="0"/>
        <w:widowControl w:val="0"/>
        <w:shd w:val="clear" w:color="auto" w:fill="auto"/>
        <w:bidi w:val="0"/>
        <w:spacing w:before="0" w:after="300" w:line="322" w:lineRule="exact"/>
        <w:ind w:left="0" w:right="0" w:firstLine="0"/>
        <w:jc w:val="both"/>
        <w:rPr>
          <w:sz w:val="22"/>
          <w:szCs w:val="22"/>
        </w:rPr>
        <w:sectPr>
          <w:footnotePr>
            <w:pos w:val="pageBottom"/>
            <w:numFmt w:val="decimal"/>
            <w:numRestart w:val="continuous"/>
          </w:footnotePr>
          <w:pgSz w:w="11900" w:h="16840"/>
          <w:pgMar w:top="1762" w:right="1000" w:bottom="1762" w:left="1962" w:header="0" w:footer="3" w:gutter="0"/>
          <w:cols w:space="720"/>
          <w:noEndnote/>
          <w:rtlGutter w:val="0"/>
          <w:docGrid w:linePitch="360"/>
        </w:sectPr>
      </w:pPr>
      <w:r>
        <w:rPr>
          <w:b w:val="0"/>
          <w:bCs w:val="0"/>
          <w:color w:val="000000"/>
          <w:spacing w:val="0"/>
          <w:w w:val="100"/>
          <w:position w:val="0"/>
          <w:sz w:val="22"/>
          <w:szCs w:val="22"/>
        </w:rPr>
        <w:t>贷款和应收款项，是指在活跃市场中没有报价、回收金额固定或可确定的非衍生金融 资产。对于此类金融资产，采用实际利率法，按照摊余成本进行后续计量，其摊销或 减值产生的利得或损失，均计入当期损益。贷款及应收款项主要包括各类应收款项、 应收保理款、客户贷款及垫款等。</w:t>
      </w:r>
    </w:p>
    <w:p>
      <w:pPr>
        <w:pStyle w:val="Style27"/>
        <w:keepNext/>
        <w:keepLines/>
        <w:widowControl w:val="0"/>
        <w:shd w:val="clear" w:color="auto" w:fill="auto"/>
        <w:bidi w:val="0"/>
        <w:spacing w:before="0" w:line="319" w:lineRule="exact"/>
        <w:ind w:left="0" w:right="0" w:firstLine="0"/>
        <w:jc w:val="both"/>
        <w:rPr>
          <w:sz w:val="28"/>
          <w:szCs w:val="28"/>
        </w:rPr>
      </w:pPr>
      <w:bookmarkStart w:id="580" w:name="bookmark580"/>
      <w:bookmarkStart w:id="581" w:name="bookmark581"/>
      <w:bookmarkStart w:id="582" w:name="bookmark582"/>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80"/>
      <w:bookmarkEnd w:id="581"/>
      <w:bookmarkEnd w:id="582"/>
    </w:p>
    <w:p>
      <w:pPr>
        <w:pStyle w:val="Style27"/>
        <w:keepNext/>
        <w:keepLines/>
        <w:widowControl w:val="0"/>
        <w:shd w:val="clear" w:color="auto" w:fill="auto"/>
        <w:bidi w:val="0"/>
        <w:spacing w:before="0" w:line="276" w:lineRule="auto"/>
        <w:ind w:left="0" w:right="0" w:firstLine="0"/>
        <w:jc w:val="both"/>
        <w:rPr>
          <w:sz w:val="28"/>
          <w:szCs w:val="28"/>
        </w:rPr>
      </w:pPr>
      <w:bookmarkStart w:id="580" w:name="bookmark580"/>
      <w:bookmarkStart w:id="581" w:name="bookmark581"/>
      <w:bookmarkStart w:id="583" w:name="bookmark583"/>
      <w:r>
        <w:rPr>
          <w:rFonts w:ascii="Arial" w:eastAsia="Arial" w:hAnsi="Arial" w:cs="Arial"/>
          <w:b w:val="0"/>
          <w:bCs w:val="0"/>
          <w:color w:val="000000"/>
          <w:spacing w:val="0"/>
          <w:w w:val="100"/>
          <w:position w:val="0"/>
          <w:sz w:val="24"/>
          <w:szCs w:val="24"/>
        </w:rPr>
        <w:t>（9）</w:t>
      </w:r>
      <w:r>
        <w:rPr>
          <w:color w:val="000000"/>
          <w:spacing w:val="0"/>
          <w:w w:val="100"/>
          <w:position w:val="0"/>
          <w:sz w:val="22"/>
          <w:szCs w:val="22"/>
        </w:rPr>
        <w:t>金融工具</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80"/>
      <w:bookmarkEnd w:id="581"/>
      <w:bookmarkEnd w:id="583"/>
    </w:p>
    <w:p>
      <w:pPr>
        <w:pStyle w:val="Style94"/>
        <w:keepNext w:val="0"/>
        <w:keepLines w:val="0"/>
        <w:widowControl w:val="0"/>
        <w:shd w:val="clear" w:color="auto" w:fill="auto"/>
        <w:bidi w:val="0"/>
        <w:spacing w:before="0" w:after="260"/>
        <w:ind w:left="0" w:right="0" w:firstLine="0"/>
        <w:jc w:val="both"/>
        <w:rPr>
          <w:sz w:val="28"/>
          <w:szCs w:val="28"/>
        </w:rPr>
      </w:pPr>
      <w:bookmarkStart w:id="584" w:name="bookmark584"/>
      <w:r>
        <w:rPr>
          <w:color w:val="000000"/>
          <w:spacing w:val="0"/>
          <w:w w:val="100"/>
          <w:position w:val="0"/>
          <w:sz w:val="24"/>
          <w:szCs w:val="24"/>
        </w:rPr>
        <w:t>（</w:t>
      </w:r>
      <w:bookmarkEnd w:id="584"/>
      <w:r>
        <w:rPr>
          <w:color w:val="000000"/>
          <w:spacing w:val="0"/>
          <w:w w:val="100"/>
          <w:position w:val="0"/>
          <w:sz w:val="24"/>
          <w:szCs w:val="24"/>
        </w:rPr>
        <w:t>a）</w:t>
      </w:r>
      <w:r>
        <w:rPr>
          <w:rFonts w:ascii="SimSun" w:eastAsia="SimSun" w:hAnsi="SimSun" w:cs="SimSun"/>
          <w:color w:val="000000"/>
          <w:spacing w:val="0"/>
          <w:w w:val="100"/>
          <w:position w:val="0"/>
          <w:sz w:val="22"/>
          <w:szCs w:val="22"/>
        </w:rPr>
        <w:t>金融资产</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20" w:line="319" w:lineRule="exact"/>
        <w:ind w:left="0" w:right="0" w:firstLine="0"/>
        <w:jc w:val="both"/>
        <w:rPr>
          <w:sz w:val="28"/>
          <w:szCs w:val="28"/>
        </w:rPr>
      </w:pPr>
      <w:r>
        <w:rPr>
          <w:b w:val="0"/>
          <w:bCs w:val="0"/>
          <w:color w:val="000000"/>
          <w:spacing w:val="0"/>
          <w:w w:val="100"/>
          <w:position w:val="0"/>
          <w:sz w:val="22"/>
          <w:szCs w:val="22"/>
        </w:rPr>
        <w:t>⑴金融资产分类</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20" w:line="319" w:lineRule="exact"/>
        <w:ind w:left="0" w:right="0" w:firstLine="0"/>
        <w:jc w:val="both"/>
        <w:rPr>
          <w:sz w:val="22"/>
          <w:szCs w:val="22"/>
        </w:rPr>
      </w:pPr>
      <w:r>
        <w:rPr>
          <w:b w:val="0"/>
          <w:bCs w:val="0"/>
          <w:color w:val="000000"/>
          <w:spacing w:val="0"/>
          <w:w w:val="100"/>
          <w:position w:val="0"/>
          <w:sz w:val="22"/>
          <w:szCs w:val="22"/>
        </w:rPr>
        <w:t>可供出售金融资产</w:t>
      </w:r>
    </w:p>
    <w:p>
      <w:pPr>
        <w:pStyle w:val="Style33"/>
        <w:keepNext w:val="0"/>
        <w:keepLines w:val="0"/>
        <w:widowControl w:val="0"/>
        <w:shd w:val="clear" w:color="auto" w:fill="auto"/>
        <w:bidi w:val="0"/>
        <w:spacing w:before="0" w:after="380" w:line="317" w:lineRule="exact"/>
        <w:ind w:left="0" w:right="0" w:firstLine="0"/>
        <w:jc w:val="both"/>
        <w:rPr>
          <w:sz w:val="22"/>
          <w:szCs w:val="22"/>
        </w:rPr>
      </w:pPr>
      <w:r>
        <w:rPr>
          <w:b w:val="0"/>
          <w:bCs w:val="0"/>
          <w:color w:val="000000"/>
          <w:spacing w:val="0"/>
          <w:w w:val="100"/>
          <w:position w:val="0"/>
          <w:sz w:val="22"/>
          <w:szCs w:val="22"/>
        </w:rPr>
        <w:t>可供出售金融资产包括初始确认时即被指定为可供出售的非衍生金融资产及未被划 分为其他类的金融资产。自资产负债表日起</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个月内将出售的可供出售金融资产在 资产负债表中列示为其他流动资产。</w:t>
      </w:r>
    </w:p>
    <w:p>
      <w:pPr>
        <w:pStyle w:val="Style33"/>
        <w:keepNext w:val="0"/>
        <w:keepLines w:val="0"/>
        <w:widowControl w:val="0"/>
        <w:shd w:val="clear" w:color="auto" w:fill="auto"/>
        <w:bidi w:val="0"/>
        <w:spacing w:before="0" w:after="260" w:line="276" w:lineRule="auto"/>
        <w:ind w:left="0" w:right="0" w:firstLine="0"/>
        <w:jc w:val="both"/>
        <w:rPr>
          <w:sz w:val="22"/>
          <w:szCs w:val="22"/>
        </w:rPr>
      </w:pPr>
      <w:bookmarkStart w:id="585" w:name="bookmark585"/>
      <w:r>
        <w:rPr>
          <w:rFonts w:ascii="Arial" w:eastAsia="Arial" w:hAnsi="Arial" w:cs="Arial"/>
          <w:b w:val="0"/>
          <w:bCs w:val="0"/>
          <w:color w:val="000000"/>
          <w:spacing w:val="0"/>
          <w:w w:val="100"/>
          <w:position w:val="0"/>
          <w:sz w:val="24"/>
          <w:szCs w:val="24"/>
        </w:rPr>
        <w:t>（</w:t>
      </w:r>
      <w:bookmarkEnd w:id="585"/>
      <w:r>
        <w:rPr>
          <w:rFonts w:ascii="Arial" w:eastAsia="Arial" w:hAnsi="Arial" w:cs="Arial"/>
          <w:b w:val="0"/>
          <w:bCs w:val="0"/>
          <w:color w:val="000000"/>
          <w:spacing w:val="0"/>
          <w:w w:val="100"/>
          <w:position w:val="0"/>
          <w:sz w:val="24"/>
          <w:szCs w:val="24"/>
        </w:rPr>
        <w:t>ii）</w:t>
      </w:r>
      <w:r>
        <w:rPr>
          <w:b w:val="0"/>
          <w:bCs w:val="0"/>
          <w:color w:val="000000"/>
          <w:spacing w:val="0"/>
          <w:w w:val="100"/>
          <w:position w:val="0"/>
          <w:sz w:val="22"/>
          <w:szCs w:val="22"/>
        </w:rPr>
        <w:t>确认和计量</w:t>
      </w:r>
    </w:p>
    <w:p>
      <w:pPr>
        <w:pStyle w:val="Style33"/>
        <w:keepNext w:val="0"/>
        <w:keepLines w:val="0"/>
        <w:widowControl w:val="0"/>
        <w:shd w:val="clear" w:color="auto" w:fill="auto"/>
        <w:bidi w:val="0"/>
        <w:spacing w:before="0" w:after="320" w:line="319" w:lineRule="exact"/>
        <w:ind w:left="0" w:right="0" w:firstLine="0"/>
        <w:jc w:val="both"/>
        <w:rPr>
          <w:sz w:val="22"/>
          <w:szCs w:val="22"/>
        </w:rPr>
      </w:pPr>
      <w:r>
        <w:rPr>
          <w:b w:val="0"/>
          <w:bCs w:val="0"/>
          <w:color w:val="000000"/>
          <w:spacing w:val="0"/>
          <w:w w:val="100"/>
          <w:position w:val="0"/>
          <w:sz w:val="22"/>
          <w:szCs w:val="22"/>
        </w:rPr>
        <w:t>金融资产于本集团成为金融工具合同的一方时，按公允价值在资产负债表内确认。以 公允价值计量且其变动计入当期损益的金融资产，取得时发生的相关交易费用计入当 期损益；其他金融资产的相关交易费用计入初始确认金额。</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以公允价值计量且其变动计入当期损益的金融资产和可供出售金融资产按照公允价 值进行后续计量，但在活跃市场中没有报价且其公允价值不能可靠计量的权益工具投 资，按照成本计量;应收款项以及持有至到期投资采用实际利率法，以摊余成本计量。</w:t>
      </w:r>
    </w:p>
    <w:p>
      <w:pPr>
        <w:pStyle w:val="Style33"/>
        <w:keepNext w:val="0"/>
        <w:keepLines w:val="0"/>
        <w:widowControl w:val="0"/>
        <w:shd w:val="clear" w:color="auto" w:fill="auto"/>
        <w:bidi w:val="0"/>
        <w:spacing w:before="0" w:after="320" w:line="317" w:lineRule="exact"/>
        <w:ind w:left="0" w:right="0" w:firstLine="0"/>
        <w:jc w:val="both"/>
        <w:rPr>
          <w:sz w:val="22"/>
          <w:szCs w:val="22"/>
        </w:rPr>
      </w:pPr>
      <w:r>
        <w:rPr>
          <w:b w:val="0"/>
          <w:bCs w:val="0"/>
          <w:color w:val="000000"/>
          <w:spacing w:val="0"/>
          <w:w w:val="100"/>
          <w:position w:val="0"/>
          <w:sz w:val="22"/>
          <w:szCs w:val="22"/>
        </w:rPr>
        <w:t>以公允价值计量且其变动计入当期损益的金融资产的公允价值变动作为公允价值变 动损益计入当期损益；在资产持有期间所取得的利息或现金股利以及处置时产生的处 置损益计入当期损益。</w:t>
      </w:r>
    </w:p>
    <w:p>
      <w:pPr>
        <w:pStyle w:val="Style33"/>
        <w:keepNext w:val="0"/>
        <w:keepLines w:val="0"/>
        <w:widowControl w:val="0"/>
        <w:shd w:val="clear" w:color="auto" w:fill="auto"/>
        <w:bidi w:val="0"/>
        <w:spacing w:before="0" w:after="320" w:line="319" w:lineRule="exact"/>
        <w:ind w:left="0" w:right="0" w:firstLine="0"/>
        <w:jc w:val="both"/>
        <w:rPr>
          <w:sz w:val="22"/>
          <w:szCs w:val="22"/>
        </w:rPr>
        <w:sectPr>
          <w:footnotePr>
            <w:pos w:val="pageBottom"/>
            <w:numFmt w:val="decimal"/>
            <w:numRestart w:val="continuous"/>
          </w:footnotePr>
          <w:pgSz w:w="11900" w:h="16840"/>
          <w:pgMar w:top="1762" w:right="1110" w:bottom="1762" w:left="1962" w:header="0" w:footer="3" w:gutter="0"/>
          <w:cols w:space="720"/>
          <w:noEndnote/>
          <w:rtlGutter w:val="0"/>
          <w:docGrid w:linePitch="360"/>
        </w:sectPr>
      </w:pPr>
      <w:r>
        <w:rPr>
          <w:b w:val="0"/>
          <w:bCs w:val="0"/>
          <w:color w:val="000000"/>
          <w:spacing w:val="0"/>
          <w:w w:val="100"/>
          <w:position w:val="0"/>
          <w:sz w:val="22"/>
          <w:szCs w:val="22"/>
        </w:rPr>
        <w:t>除减值损失及外币货币性金融资产形成的汇兑损益外，可供出售金融资产公允价值变 动直接计入股东权益，待该金融资产终止确认时，原直接计入权益的公允价值变动累 计额转入当期损益。可供出售债务工具投资在持有期间按实际利率法计算的利息，以 及被投资单位已宣告发放的与可供出售权益工具投资相关的现金股利，作为投资收益 计入当期损益。</w:t>
      </w:r>
    </w:p>
    <w:p>
      <w:pPr>
        <w:pStyle w:val="Style27"/>
        <w:keepNext/>
        <w:keepLines/>
        <w:widowControl w:val="0"/>
        <w:shd w:val="clear" w:color="auto" w:fill="auto"/>
        <w:bidi w:val="0"/>
        <w:spacing w:before="0" w:line="321" w:lineRule="exact"/>
        <w:ind w:left="0" w:right="0" w:firstLine="0"/>
        <w:jc w:val="both"/>
        <w:rPr>
          <w:sz w:val="28"/>
          <w:szCs w:val="28"/>
        </w:rPr>
      </w:pPr>
      <w:bookmarkStart w:id="586" w:name="bookmark586"/>
      <w:bookmarkStart w:id="587" w:name="bookmark587"/>
      <w:bookmarkStart w:id="588" w:name="bookmark588"/>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86"/>
      <w:bookmarkEnd w:id="587"/>
      <w:bookmarkEnd w:id="588"/>
    </w:p>
    <w:p>
      <w:pPr>
        <w:pStyle w:val="Style27"/>
        <w:keepNext/>
        <w:keepLines/>
        <w:widowControl w:val="0"/>
        <w:shd w:val="clear" w:color="auto" w:fill="auto"/>
        <w:bidi w:val="0"/>
        <w:spacing w:before="0" w:line="276" w:lineRule="auto"/>
        <w:ind w:left="0" w:right="0" w:firstLine="0"/>
        <w:jc w:val="both"/>
        <w:rPr>
          <w:sz w:val="28"/>
          <w:szCs w:val="28"/>
        </w:rPr>
      </w:pPr>
      <w:bookmarkStart w:id="586" w:name="bookmark586"/>
      <w:bookmarkStart w:id="587" w:name="bookmark587"/>
      <w:bookmarkStart w:id="589" w:name="bookmark589"/>
      <w:r>
        <w:rPr>
          <w:rFonts w:ascii="Arial" w:eastAsia="Arial" w:hAnsi="Arial" w:cs="Arial"/>
          <w:b w:val="0"/>
          <w:bCs w:val="0"/>
          <w:color w:val="000000"/>
          <w:spacing w:val="0"/>
          <w:w w:val="100"/>
          <w:position w:val="0"/>
          <w:sz w:val="24"/>
          <w:szCs w:val="24"/>
        </w:rPr>
        <w:t>（9）</w:t>
      </w:r>
      <w:r>
        <w:rPr>
          <w:color w:val="000000"/>
          <w:spacing w:val="0"/>
          <w:w w:val="100"/>
          <w:position w:val="0"/>
          <w:sz w:val="22"/>
          <w:szCs w:val="22"/>
        </w:rPr>
        <w:t>金融工具</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86"/>
      <w:bookmarkEnd w:id="587"/>
      <w:bookmarkEnd w:id="589"/>
    </w:p>
    <w:p>
      <w:pPr>
        <w:pStyle w:val="Style94"/>
        <w:keepNext w:val="0"/>
        <w:keepLines w:val="0"/>
        <w:widowControl w:val="0"/>
        <w:shd w:val="clear" w:color="auto" w:fill="auto"/>
        <w:bidi w:val="0"/>
        <w:spacing w:before="0" w:after="320"/>
        <w:ind w:left="0" w:right="0" w:firstLine="0"/>
        <w:jc w:val="both"/>
        <w:rPr>
          <w:sz w:val="28"/>
          <w:szCs w:val="28"/>
        </w:rPr>
      </w:pPr>
      <w:bookmarkStart w:id="590" w:name="bookmark590"/>
      <w:r>
        <w:rPr>
          <w:color w:val="000000"/>
          <w:spacing w:val="0"/>
          <w:w w:val="100"/>
          <w:position w:val="0"/>
          <w:sz w:val="24"/>
          <w:szCs w:val="24"/>
        </w:rPr>
        <w:t>（</w:t>
      </w:r>
      <w:bookmarkEnd w:id="590"/>
      <w:r>
        <w:rPr>
          <w:color w:val="000000"/>
          <w:spacing w:val="0"/>
          <w:w w:val="100"/>
          <w:position w:val="0"/>
          <w:sz w:val="24"/>
          <w:szCs w:val="24"/>
        </w:rPr>
        <w:t>a）</w:t>
      </w:r>
      <w:r>
        <w:rPr>
          <w:rFonts w:ascii="SimSun" w:eastAsia="SimSun" w:hAnsi="SimSun" w:cs="SimSun"/>
          <w:color w:val="000000"/>
          <w:spacing w:val="0"/>
          <w:w w:val="100"/>
          <w:position w:val="0"/>
          <w:sz w:val="22"/>
          <w:szCs w:val="22"/>
        </w:rPr>
        <w:t>金融资产</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240" w:line="276" w:lineRule="auto"/>
        <w:ind w:left="0" w:right="0" w:firstLine="0"/>
        <w:jc w:val="both"/>
        <w:rPr>
          <w:sz w:val="22"/>
          <w:szCs w:val="22"/>
        </w:rPr>
      </w:pPr>
      <w:bookmarkStart w:id="591" w:name="bookmark591"/>
      <w:r>
        <w:rPr>
          <w:rFonts w:ascii="Arial" w:eastAsia="Arial" w:hAnsi="Arial" w:cs="Arial"/>
          <w:b w:val="0"/>
          <w:bCs w:val="0"/>
          <w:color w:val="000000"/>
          <w:spacing w:val="0"/>
          <w:w w:val="100"/>
          <w:position w:val="0"/>
          <w:sz w:val="24"/>
          <w:szCs w:val="24"/>
        </w:rPr>
        <w:t>（</w:t>
      </w:r>
      <w:bookmarkEnd w:id="591"/>
      <w:r>
        <w:rPr>
          <w:rFonts w:ascii="Arial" w:eastAsia="Arial" w:hAnsi="Arial" w:cs="Arial"/>
          <w:b w:val="0"/>
          <w:bCs w:val="0"/>
          <w:color w:val="000000"/>
          <w:spacing w:val="0"/>
          <w:w w:val="100"/>
          <w:position w:val="0"/>
          <w:sz w:val="24"/>
          <w:szCs w:val="24"/>
        </w:rPr>
        <w:t>iii）</w:t>
      </w:r>
      <w:r>
        <w:rPr>
          <w:b w:val="0"/>
          <w:bCs w:val="0"/>
          <w:color w:val="000000"/>
          <w:spacing w:val="0"/>
          <w:w w:val="100"/>
          <w:position w:val="0"/>
          <w:sz w:val="22"/>
          <w:szCs w:val="22"/>
        </w:rPr>
        <w:t>金融资产减值</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除以公允价值计量且其变动计入当期损益的金融资产外，本集团于资产负债表日对金 融资产的账面价值进行检查，如果有客观证据表明某项金融资产发生减值的，计提减 值准备。</w:t>
      </w:r>
    </w:p>
    <w:p>
      <w:pPr>
        <w:pStyle w:val="Style33"/>
        <w:keepNext w:val="0"/>
        <w:keepLines w:val="0"/>
        <w:widowControl w:val="0"/>
        <w:shd w:val="clear" w:color="auto" w:fill="auto"/>
        <w:bidi w:val="0"/>
        <w:spacing w:before="0" w:after="320" w:line="326" w:lineRule="exact"/>
        <w:ind w:left="0" w:right="0" w:firstLine="0"/>
        <w:jc w:val="both"/>
        <w:rPr>
          <w:sz w:val="22"/>
          <w:szCs w:val="22"/>
        </w:rPr>
      </w:pPr>
      <w:r>
        <w:rPr>
          <w:b w:val="0"/>
          <w:bCs w:val="0"/>
          <w:color w:val="000000"/>
          <w:spacing w:val="0"/>
          <w:w w:val="100"/>
          <w:position w:val="0"/>
          <w:sz w:val="22"/>
          <w:szCs w:val="22"/>
        </w:rPr>
        <w:t>表明金融资产发生减值的客观证据，是指金融资产初始确认后实际发生的、对该金融 资产的预计未来现金流量有影响，且本集团能够对该影响进行可靠计量的事项。</w:t>
      </w:r>
    </w:p>
    <w:p>
      <w:pPr>
        <w:pStyle w:val="Style33"/>
        <w:keepNext w:val="0"/>
        <w:keepLines w:val="0"/>
        <w:widowControl w:val="0"/>
        <w:shd w:val="clear" w:color="auto" w:fill="auto"/>
        <w:bidi w:val="0"/>
        <w:spacing w:before="0" w:after="320" w:line="320" w:lineRule="exact"/>
        <w:ind w:left="0" w:right="0" w:firstLine="0"/>
        <w:jc w:val="both"/>
        <w:rPr>
          <w:sz w:val="22"/>
          <w:szCs w:val="22"/>
        </w:rPr>
      </w:pPr>
      <w:r>
        <w:rPr>
          <w:b w:val="0"/>
          <w:bCs w:val="0"/>
          <w:color w:val="000000"/>
          <w:spacing w:val="0"/>
          <w:w w:val="100"/>
          <w:position w:val="0"/>
          <w:sz w:val="22"/>
          <w:szCs w:val="22"/>
        </w:rPr>
        <w:t xml:space="preserve">表明可供出售权益工具投资发生减值的客观证据包括权益工具投资的公允价值发生 严重或非暂时性下跌。本集团于资产负债表日对各项可供出售权益工具投资单独进行 检查，若该权益工具投资于资产负债表日的公允价值低于其初始投资成本超过 </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含</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或低于其初始投资成本持续时间超过一年</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含一年</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的，则表明其发生减 值；若该权益工具投资于资产负债表日的公允价值低于其初始投资成本超过</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 xml:space="preserve">含 </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但尚未达到</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的，本集团会综合考虑其他相关因素诸如价格波动率等，判断 该权益工具投资是否发生减值。</w:t>
      </w:r>
    </w:p>
    <w:p>
      <w:pPr>
        <w:pStyle w:val="Style33"/>
        <w:keepNext w:val="0"/>
        <w:keepLines w:val="0"/>
        <w:widowControl w:val="0"/>
        <w:shd w:val="clear" w:color="auto" w:fill="auto"/>
        <w:bidi w:val="0"/>
        <w:spacing w:before="0" w:after="240" w:line="320" w:lineRule="exact"/>
        <w:ind w:left="0" w:right="0" w:firstLine="0"/>
        <w:jc w:val="both"/>
        <w:rPr>
          <w:sz w:val="22"/>
          <w:szCs w:val="22"/>
        </w:rPr>
      </w:pPr>
      <w:r>
        <w:rPr>
          <w:b w:val="0"/>
          <w:bCs w:val="0"/>
          <w:color w:val="000000"/>
          <w:spacing w:val="0"/>
          <w:w w:val="100"/>
          <w:position w:val="0"/>
          <w:sz w:val="22"/>
          <w:szCs w:val="22"/>
        </w:rPr>
        <w:t>以摊余成本计量的金融资产发生减值时，按预计未来现金流量</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不包括尚未发生的未 来信用损失</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现值低于账面价值的差额，计提减值准备。如果有客观证据表明该金融 资产价值已恢复，且客观上与确认该损失后发生的事项有关，原确认的减值损失予以 转回，计入当期损益。</w:t>
      </w:r>
    </w:p>
    <w:p>
      <w:pPr>
        <w:pStyle w:val="Style33"/>
        <w:keepNext w:val="0"/>
        <w:keepLines w:val="0"/>
        <w:widowControl w:val="0"/>
        <w:shd w:val="clear" w:color="auto" w:fill="auto"/>
        <w:bidi w:val="0"/>
        <w:spacing w:before="0" w:after="320" w:line="331" w:lineRule="exact"/>
        <w:ind w:left="0" w:right="0" w:firstLine="0"/>
        <w:jc w:val="both"/>
        <w:rPr>
          <w:sz w:val="22"/>
          <w:szCs w:val="22"/>
        </w:rPr>
        <w:sectPr>
          <w:footnotePr>
            <w:pos w:val="pageBottom"/>
            <w:numFmt w:val="decimal"/>
            <w:numRestart w:val="continuous"/>
          </w:footnotePr>
          <w:pgSz w:w="11900" w:h="16840"/>
          <w:pgMar w:top="1762" w:right="1111" w:bottom="1762" w:left="1958" w:header="0" w:footer="3" w:gutter="0"/>
          <w:cols w:space="720"/>
          <w:noEndnote/>
          <w:rtlGutter w:val="0"/>
          <w:docGrid w:linePitch="360"/>
        </w:sectPr>
      </w:pPr>
      <w:r>
        <w:rPr>
          <w:b w:val="0"/>
          <w:bCs w:val="0"/>
          <w:color w:val="000000"/>
          <w:spacing w:val="0"/>
          <w:w w:val="100"/>
          <w:position w:val="0"/>
          <w:sz w:val="22"/>
          <w:szCs w:val="22"/>
        </w:rPr>
        <w:t>以成本计量的可供出售金融资产发生减值时，将其账面价值与按照类似金融资产当时 市场收益率对未来现金流量折现确定的现值之间的差额，确认为减值损失，计入当期 损益。可供出售权益工具投资发生的减值损失，不得通过损益转回。在活跃市场中没 有报价且其公允价值不能可靠计量的权益工具投资，或与该权益工具挂钩并须通过交 付该权益工具结算的衍生金融资产发生的减值损失，不得转回。</w:t>
      </w:r>
    </w:p>
    <w:p>
      <w:pPr>
        <w:pStyle w:val="Style27"/>
        <w:keepNext/>
        <w:keepLines/>
        <w:widowControl w:val="0"/>
        <w:shd w:val="clear" w:color="auto" w:fill="auto"/>
        <w:bidi w:val="0"/>
        <w:spacing w:before="0" w:line="322" w:lineRule="exact"/>
        <w:ind w:left="0" w:right="0" w:firstLine="0"/>
        <w:jc w:val="left"/>
        <w:rPr>
          <w:sz w:val="28"/>
          <w:szCs w:val="28"/>
        </w:rPr>
      </w:pPr>
      <w:bookmarkStart w:id="592" w:name="bookmark592"/>
      <w:bookmarkStart w:id="593" w:name="bookmark593"/>
      <w:bookmarkStart w:id="594" w:name="bookmark594"/>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92"/>
      <w:bookmarkEnd w:id="593"/>
      <w:bookmarkEnd w:id="594"/>
    </w:p>
    <w:p>
      <w:pPr>
        <w:pStyle w:val="Style27"/>
        <w:keepNext/>
        <w:keepLines/>
        <w:widowControl w:val="0"/>
        <w:shd w:val="clear" w:color="auto" w:fill="auto"/>
        <w:bidi w:val="0"/>
        <w:spacing w:before="0" w:line="276" w:lineRule="auto"/>
        <w:ind w:left="0" w:right="0" w:firstLine="0"/>
        <w:jc w:val="left"/>
        <w:rPr>
          <w:sz w:val="28"/>
          <w:szCs w:val="28"/>
        </w:rPr>
      </w:pPr>
      <w:bookmarkStart w:id="592" w:name="bookmark592"/>
      <w:bookmarkStart w:id="593" w:name="bookmark593"/>
      <w:bookmarkStart w:id="595" w:name="bookmark595"/>
      <w:r>
        <w:rPr>
          <w:rFonts w:ascii="Arial" w:eastAsia="Arial" w:hAnsi="Arial" w:cs="Arial"/>
          <w:b w:val="0"/>
          <w:bCs w:val="0"/>
          <w:color w:val="000000"/>
          <w:spacing w:val="0"/>
          <w:w w:val="100"/>
          <w:position w:val="0"/>
          <w:sz w:val="24"/>
          <w:szCs w:val="24"/>
        </w:rPr>
        <w:t>（9）</w:t>
      </w:r>
      <w:r>
        <w:rPr>
          <w:color w:val="000000"/>
          <w:spacing w:val="0"/>
          <w:w w:val="100"/>
          <w:position w:val="0"/>
          <w:sz w:val="22"/>
          <w:szCs w:val="22"/>
        </w:rPr>
        <w:t>金融工具</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92"/>
      <w:bookmarkEnd w:id="593"/>
      <w:bookmarkEnd w:id="595"/>
    </w:p>
    <w:p>
      <w:pPr>
        <w:pStyle w:val="Style94"/>
        <w:keepNext w:val="0"/>
        <w:keepLines w:val="0"/>
        <w:widowControl w:val="0"/>
        <w:shd w:val="clear" w:color="auto" w:fill="auto"/>
        <w:tabs>
          <w:tab w:pos="464" w:val="left"/>
        </w:tabs>
        <w:bidi w:val="0"/>
        <w:spacing w:before="0" w:after="260"/>
        <w:ind w:left="0" w:right="0" w:firstLine="0"/>
        <w:jc w:val="left"/>
        <w:rPr>
          <w:sz w:val="28"/>
          <w:szCs w:val="28"/>
        </w:rPr>
      </w:pPr>
      <w:bookmarkStart w:id="596" w:name="bookmark596"/>
      <w:r>
        <w:rPr>
          <w:color w:val="000000"/>
          <w:spacing w:val="0"/>
          <w:w w:val="100"/>
          <w:position w:val="0"/>
          <w:sz w:val="24"/>
          <w:szCs w:val="24"/>
        </w:rPr>
        <w:t>（</w:t>
      </w:r>
      <w:bookmarkEnd w:id="596"/>
      <w:r>
        <w:rPr>
          <w:color w:val="000000"/>
          <w:spacing w:val="0"/>
          <w:w w:val="100"/>
          <w:position w:val="0"/>
          <w:sz w:val="24"/>
          <w:szCs w:val="24"/>
        </w:rPr>
        <w:t>a）</w:t>
        <w:tab/>
      </w:r>
      <w:r>
        <w:rPr>
          <w:rFonts w:ascii="SimSun" w:eastAsia="SimSun" w:hAnsi="SimSun" w:cs="SimSun"/>
          <w:color w:val="000000"/>
          <w:spacing w:val="0"/>
          <w:w w:val="100"/>
          <w:position w:val="0"/>
          <w:sz w:val="22"/>
          <w:szCs w:val="22"/>
        </w:rPr>
        <w:t>金融资产</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20" w:line="322" w:lineRule="exact"/>
        <w:ind w:left="0" w:right="0" w:firstLine="0"/>
        <w:jc w:val="left"/>
        <w:rPr>
          <w:sz w:val="22"/>
          <w:szCs w:val="22"/>
        </w:rPr>
      </w:pPr>
      <w:bookmarkStart w:id="597" w:name="bookmark597"/>
      <w:r>
        <w:rPr>
          <w:rFonts w:ascii="Arial" w:eastAsia="Arial" w:hAnsi="Arial" w:cs="Arial"/>
          <w:b w:val="0"/>
          <w:bCs w:val="0"/>
          <w:color w:val="000000"/>
          <w:spacing w:val="0"/>
          <w:w w:val="100"/>
          <w:position w:val="0"/>
          <w:sz w:val="24"/>
          <w:szCs w:val="24"/>
        </w:rPr>
        <w:t>（</w:t>
      </w:r>
      <w:bookmarkEnd w:id="597"/>
      <w:r>
        <w:rPr>
          <w:rFonts w:ascii="Arial" w:eastAsia="Arial" w:hAnsi="Arial" w:cs="Arial"/>
          <w:b w:val="0"/>
          <w:bCs w:val="0"/>
          <w:color w:val="000000"/>
          <w:spacing w:val="0"/>
          <w:w w:val="100"/>
          <w:position w:val="0"/>
          <w:sz w:val="24"/>
          <w:szCs w:val="24"/>
        </w:rPr>
        <w:t>iv）</w:t>
      </w:r>
      <w:r>
        <w:rPr>
          <w:b w:val="0"/>
          <w:bCs w:val="0"/>
          <w:color w:val="000000"/>
          <w:spacing w:val="0"/>
          <w:w w:val="100"/>
          <w:position w:val="0"/>
          <w:sz w:val="22"/>
          <w:szCs w:val="22"/>
        </w:rPr>
        <w:t>金融资产的终止确认</w:t>
      </w:r>
    </w:p>
    <w:p>
      <w:pPr>
        <w:pStyle w:val="Style33"/>
        <w:keepNext w:val="0"/>
        <w:keepLines w:val="0"/>
        <w:widowControl w:val="0"/>
        <w:shd w:val="clear" w:color="auto" w:fill="auto"/>
        <w:bidi w:val="0"/>
        <w:spacing w:before="0" w:after="320" w:line="320" w:lineRule="exact"/>
        <w:ind w:left="0" w:right="0" w:firstLine="0"/>
        <w:jc w:val="both"/>
        <w:rPr>
          <w:sz w:val="22"/>
          <w:szCs w:val="22"/>
        </w:rPr>
      </w:pPr>
      <w:r>
        <w:rPr>
          <w:b w:val="0"/>
          <w:bCs w:val="0"/>
          <w:color w:val="000000"/>
          <w:spacing w:val="0"/>
          <w:w w:val="100"/>
          <w:position w:val="0"/>
          <w:sz w:val="22"/>
          <w:szCs w:val="22"/>
        </w:rPr>
        <w:t>金融资产满足下列条件之一的，予以终止确认：</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收取该金融资产现金流量的合同 权利终止；</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该金融资产已转移，且本集团将金融资产所有权上几乎所有的风险和 报酬转移给转入方；或者</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该金融资产已转移，虽然本集团既没有转移也没有保留 金融资产所有权上几乎所有的风险和报酬，但是放弃了对该金融资产控制。</w:t>
      </w:r>
    </w:p>
    <w:p>
      <w:pPr>
        <w:pStyle w:val="Style33"/>
        <w:keepNext w:val="0"/>
        <w:keepLines w:val="0"/>
        <w:widowControl w:val="0"/>
        <w:shd w:val="clear" w:color="auto" w:fill="auto"/>
        <w:bidi w:val="0"/>
        <w:spacing w:before="0" w:after="360" w:line="322" w:lineRule="exact"/>
        <w:ind w:left="0" w:right="0" w:firstLine="0"/>
        <w:jc w:val="both"/>
        <w:rPr>
          <w:sz w:val="22"/>
          <w:szCs w:val="22"/>
        </w:rPr>
      </w:pPr>
      <w:r>
        <w:rPr>
          <w:b w:val="0"/>
          <w:bCs w:val="0"/>
          <w:color w:val="000000"/>
          <w:spacing w:val="0"/>
          <w:w w:val="100"/>
          <w:position w:val="0"/>
          <w:sz w:val="22"/>
          <w:szCs w:val="22"/>
        </w:rPr>
        <w:t>金融资产终止确认时，其账面价值与收到的对价以及原直接计入股东权益的公允价值 变动累计额之和的差额，计入当期损益。</w:t>
      </w:r>
    </w:p>
    <w:p>
      <w:pPr>
        <w:pStyle w:val="Style33"/>
        <w:keepNext w:val="0"/>
        <w:keepLines w:val="0"/>
        <w:widowControl w:val="0"/>
        <w:shd w:val="clear" w:color="auto" w:fill="auto"/>
        <w:tabs>
          <w:tab w:pos="464" w:val="left"/>
        </w:tabs>
        <w:bidi w:val="0"/>
        <w:spacing w:before="0" w:after="260" w:line="276" w:lineRule="auto"/>
        <w:ind w:left="0" w:right="0" w:firstLine="0"/>
        <w:jc w:val="both"/>
        <w:rPr>
          <w:sz w:val="22"/>
          <w:szCs w:val="22"/>
        </w:rPr>
      </w:pPr>
      <w:bookmarkStart w:id="598" w:name="bookmark598"/>
      <w:r>
        <w:rPr>
          <w:rFonts w:ascii="Arial" w:eastAsia="Arial" w:hAnsi="Arial" w:cs="Arial"/>
          <w:b w:val="0"/>
          <w:bCs w:val="0"/>
          <w:color w:val="000000"/>
          <w:spacing w:val="0"/>
          <w:w w:val="100"/>
          <w:position w:val="0"/>
          <w:sz w:val="24"/>
          <w:szCs w:val="24"/>
        </w:rPr>
        <w:t>（</w:t>
      </w:r>
      <w:bookmarkEnd w:id="598"/>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金融负债</w:t>
      </w:r>
    </w:p>
    <w:p>
      <w:pPr>
        <w:pStyle w:val="Style33"/>
        <w:keepNext w:val="0"/>
        <w:keepLines w:val="0"/>
        <w:widowControl w:val="0"/>
        <w:shd w:val="clear" w:color="auto" w:fill="auto"/>
        <w:bidi w:val="0"/>
        <w:spacing w:before="0" w:after="320" w:line="317" w:lineRule="exact"/>
        <w:ind w:left="0" w:right="0" w:firstLine="0"/>
        <w:jc w:val="both"/>
        <w:rPr>
          <w:sz w:val="22"/>
          <w:szCs w:val="22"/>
        </w:rPr>
      </w:pPr>
      <w:r>
        <w:rPr>
          <w:b w:val="0"/>
          <w:bCs w:val="0"/>
          <w:color w:val="000000"/>
          <w:spacing w:val="0"/>
          <w:w w:val="100"/>
          <w:position w:val="0"/>
          <w:sz w:val="22"/>
          <w:szCs w:val="22"/>
        </w:rPr>
        <w:t>金融负债于初始确认时分类为以公允价值计量且其变动计入当期损益的金融负债和 其他金融负债。本集团的金融负债主要为其他金融负债，包括应付款项、借款等。</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应付款项包括应付账款、其他应付款等，以公允价值进行初始计量，并采用实际利率 法按摊余成本进行后续计量。</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借款按其公允价值扣除交易费用后的金额进行初始计量，并采用实际利率法按摊余成 本进行后续计量。</w:t>
      </w:r>
    </w:p>
    <w:p>
      <w:pPr>
        <w:pStyle w:val="Style33"/>
        <w:keepNext w:val="0"/>
        <w:keepLines w:val="0"/>
        <w:widowControl w:val="0"/>
        <w:shd w:val="clear" w:color="auto" w:fill="auto"/>
        <w:bidi w:val="0"/>
        <w:spacing w:before="0" w:after="320" w:line="322" w:lineRule="exact"/>
        <w:ind w:left="0" w:right="0" w:firstLine="0"/>
        <w:jc w:val="both"/>
        <w:rPr>
          <w:sz w:val="22"/>
          <w:szCs w:val="22"/>
        </w:rPr>
        <w:sectPr>
          <w:footnotePr>
            <w:pos w:val="pageBottom"/>
            <w:numFmt w:val="decimal"/>
            <w:numRestart w:val="continuous"/>
          </w:footnotePr>
          <w:pgSz w:w="11900" w:h="16840"/>
          <w:pgMar w:top="1762" w:right="1110" w:bottom="1762" w:left="1962" w:header="0" w:footer="3" w:gutter="0"/>
          <w:cols w:space="720"/>
          <w:noEndnote/>
          <w:rtlGutter w:val="0"/>
          <w:docGrid w:linePitch="360"/>
        </w:sectPr>
      </w:pPr>
      <w:r>
        <w:rPr>
          <w:b w:val="0"/>
          <w:bCs w:val="0"/>
          <w:color w:val="000000"/>
          <w:spacing w:val="0"/>
          <w:w w:val="100"/>
          <w:position w:val="0"/>
          <w:sz w:val="22"/>
          <w:szCs w:val="22"/>
        </w:rPr>
        <w:t>其他金融负债期限在一年以下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含一年</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的，列示为流动负债；期限在一年以上但自资 产负债表日起一年内</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含一年</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到期的，列示为一年内到期的非流动负债；其余列示为 非流动负债。</w:t>
      </w:r>
    </w:p>
    <w:p>
      <w:pPr>
        <w:pStyle w:val="Style27"/>
        <w:keepNext/>
        <w:keepLines/>
        <w:widowControl w:val="0"/>
        <w:shd w:val="clear" w:color="auto" w:fill="auto"/>
        <w:bidi w:val="0"/>
        <w:spacing w:before="0" w:after="340" w:line="324" w:lineRule="exact"/>
        <w:ind w:left="0" w:right="0" w:firstLine="0"/>
        <w:jc w:val="both"/>
        <w:rPr>
          <w:sz w:val="28"/>
          <w:szCs w:val="28"/>
        </w:rPr>
      </w:pPr>
      <w:bookmarkStart w:id="599" w:name="bookmark599"/>
      <w:bookmarkStart w:id="600" w:name="bookmark600"/>
      <w:bookmarkStart w:id="601" w:name="bookmark601"/>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599"/>
      <w:bookmarkEnd w:id="600"/>
      <w:bookmarkEnd w:id="601"/>
    </w:p>
    <w:p>
      <w:pPr>
        <w:pStyle w:val="Style94"/>
        <w:keepNext w:val="0"/>
        <w:keepLines w:val="0"/>
        <w:widowControl w:val="0"/>
        <w:numPr>
          <w:ilvl w:val="0"/>
          <w:numId w:val="15"/>
        </w:numPr>
        <w:shd w:val="clear" w:color="auto" w:fill="auto"/>
        <w:tabs>
          <w:tab w:pos="464" w:val="left"/>
        </w:tabs>
        <w:bidi w:val="0"/>
        <w:spacing w:before="0" w:after="300" w:line="283" w:lineRule="auto"/>
        <w:ind w:left="0" w:right="0" w:firstLine="0"/>
        <w:jc w:val="both"/>
        <w:rPr>
          <w:sz w:val="28"/>
          <w:szCs w:val="28"/>
        </w:rPr>
      </w:pPr>
      <w:bookmarkStart w:id="602" w:name="bookmark602"/>
      <w:bookmarkEnd w:id="602"/>
      <w:r>
        <w:rPr>
          <w:rFonts w:ascii="SimSun" w:eastAsia="SimSun" w:hAnsi="SimSun" w:cs="SimSun"/>
          <w:b/>
          <w:bCs/>
          <w:color w:val="000000"/>
          <w:spacing w:val="0"/>
          <w:w w:val="100"/>
          <w:position w:val="0"/>
          <w:sz w:val="22"/>
          <w:szCs w:val="22"/>
        </w:rPr>
        <w:t>金融工具</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94"/>
        <w:keepNext w:val="0"/>
        <w:keepLines w:val="0"/>
        <w:widowControl w:val="0"/>
        <w:numPr>
          <w:ilvl w:val="0"/>
          <w:numId w:val="21"/>
        </w:numPr>
        <w:shd w:val="clear" w:color="auto" w:fill="auto"/>
        <w:tabs>
          <w:tab w:pos="464" w:val="left"/>
        </w:tabs>
        <w:bidi w:val="0"/>
        <w:spacing w:before="0" w:after="300" w:line="283" w:lineRule="auto"/>
        <w:ind w:left="0" w:right="0" w:firstLine="0"/>
        <w:jc w:val="both"/>
        <w:rPr>
          <w:sz w:val="28"/>
          <w:szCs w:val="28"/>
        </w:rPr>
      </w:pPr>
      <w:bookmarkStart w:id="603" w:name="bookmark603"/>
      <w:bookmarkEnd w:id="603"/>
      <w:r>
        <w:rPr>
          <w:rFonts w:ascii="SimSun" w:eastAsia="SimSun" w:hAnsi="SimSun" w:cs="SimSun"/>
          <w:color w:val="000000"/>
          <w:spacing w:val="0"/>
          <w:w w:val="100"/>
          <w:position w:val="0"/>
          <w:sz w:val="22"/>
          <w:szCs w:val="22"/>
        </w:rPr>
        <w:t>金融负债</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40" w:line="312" w:lineRule="exact"/>
        <w:ind w:left="0" w:right="0" w:firstLine="0"/>
        <w:jc w:val="both"/>
        <w:rPr>
          <w:sz w:val="22"/>
          <w:szCs w:val="22"/>
        </w:rPr>
      </w:pPr>
      <w:r>
        <w:rPr>
          <w:b w:val="0"/>
          <w:bCs w:val="0"/>
          <w:color w:val="000000"/>
          <w:spacing w:val="0"/>
          <w:w w:val="100"/>
          <w:position w:val="0"/>
          <w:sz w:val="22"/>
          <w:szCs w:val="22"/>
        </w:rPr>
        <w:t>当金融负债的现时义务全部或部分已经解除时，终止确认该金融负债或义务已解除的 部分。终止确认部分的账面价值与支付的对价之间的差额，计入当期损益。</w:t>
      </w:r>
    </w:p>
    <w:p>
      <w:pPr>
        <w:pStyle w:val="Style33"/>
        <w:keepNext w:val="0"/>
        <w:keepLines w:val="0"/>
        <w:widowControl w:val="0"/>
        <w:numPr>
          <w:ilvl w:val="0"/>
          <w:numId w:val="21"/>
        </w:numPr>
        <w:shd w:val="clear" w:color="auto" w:fill="auto"/>
        <w:tabs>
          <w:tab w:pos="464" w:val="left"/>
        </w:tabs>
        <w:bidi w:val="0"/>
        <w:spacing w:before="0" w:after="300" w:line="324" w:lineRule="exact"/>
        <w:ind w:left="0" w:right="0" w:firstLine="0"/>
        <w:jc w:val="both"/>
        <w:rPr>
          <w:sz w:val="22"/>
          <w:szCs w:val="22"/>
        </w:rPr>
      </w:pPr>
      <w:bookmarkStart w:id="604" w:name="bookmark604"/>
      <w:bookmarkEnd w:id="604"/>
      <w:r>
        <w:rPr>
          <w:b w:val="0"/>
          <w:bCs w:val="0"/>
          <w:color w:val="000000"/>
          <w:spacing w:val="0"/>
          <w:w w:val="100"/>
          <w:position w:val="0"/>
          <w:sz w:val="22"/>
          <w:szCs w:val="22"/>
        </w:rPr>
        <w:t>金融工具的公允价值确定</w:t>
      </w:r>
    </w:p>
    <w:p>
      <w:pPr>
        <w:pStyle w:val="Style33"/>
        <w:keepNext w:val="0"/>
        <w:keepLines w:val="0"/>
        <w:widowControl w:val="0"/>
        <w:shd w:val="clear" w:color="auto" w:fill="auto"/>
        <w:bidi w:val="0"/>
        <w:spacing w:before="0" w:after="300" w:line="324" w:lineRule="exact"/>
        <w:ind w:left="0" w:right="0" w:firstLine="0"/>
        <w:jc w:val="both"/>
        <w:rPr>
          <w:sz w:val="22"/>
          <w:szCs w:val="22"/>
        </w:rPr>
      </w:pPr>
      <w:r>
        <w:rPr>
          <w:b w:val="0"/>
          <w:bCs w:val="0"/>
          <w:color w:val="000000"/>
          <w:spacing w:val="0"/>
          <w:w w:val="100"/>
          <w:position w:val="0"/>
          <w:sz w:val="22"/>
          <w:szCs w:val="22"/>
        </w:rPr>
        <w:t>存在活跃市场的金融工具，以活跃市场中的报价确定其公允价值。不存在活跃市场的 金融工具，采用估值技术确定其公允价值。在估值时，本集团采用在当前情况下适用 并且有足够可利用数据和其他信息支持的估值技术，选择与市场参与者在相关资产或 负债的交易中所考虑的资产或负债特征相一致的输入值，并尽可能优先使用相关可观 察输入值。在相关可观察输入值无法取得或取得不切实可行的情况下，使用不可观察 输入值。</w:t>
      </w:r>
    </w:p>
    <w:p>
      <w:pPr>
        <w:pStyle w:val="Style33"/>
        <w:keepNext w:val="0"/>
        <w:keepLines w:val="0"/>
        <w:widowControl w:val="0"/>
        <w:numPr>
          <w:ilvl w:val="0"/>
          <w:numId w:val="15"/>
        </w:numPr>
        <w:shd w:val="clear" w:color="auto" w:fill="auto"/>
        <w:tabs>
          <w:tab w:pos="598" w:val="left"/>
        </w:tabs>
        <w:bidi w:val="0"/>
        <w:spacing w:before="0" w:after="300" w:line="324" w:lineRule="exact"/>
        <w:ind w:left="0" w:right="0" w:firstLine="0"/>
        <w:jc w:val="both"/>
        <w:rPr>
          <w:sz w:val="22"/>
          <w:szCs w:val="22"/>
        </w:rPr>
      </w:pPr>
      <w:bookmarkStart w:id="605" w:name="bookmark605"/>
      <w:bookmarkEnd w:id="605"/>
      <w:r>
        <w:rPr>
          <w:color w:val="000000"/>
          <w:spacing w:val="0"/>
          <w:w w:val="100"/>
          <w:position w:val="0"/>
          <w:sz w:val="22"/>
          <w:szCs w:val="22"/>
        </w:rPr>
        <w:t>贷款及应收款项</w:t>
      </w:r>
    </w:p>
    <w:p>
      <w:pPr>
        <w:pStyle w:val="Style33"/>
        <w:keepNext w:val="0"/>
        <w:keepLines w:val="0"/>
        <w:widowControl w:val="0"/>
        <w:shd w:val="clear" w:color="auto" w:fill="auto"/>
        <w:bidi w:val="0"/>
        <w:spacing w:before="0" w:after="340" w:line="326" w:lineRule="exact"/>
        <w:ind w:left="0" w:right="0" w:firstLine="0"/>
        <w:jc w:val="both"/>
        <w:rPr>
          <w:sz w:val="22"/>
          <w:szCs w:val="22"/>
        </w:rPr>
      </w:pPr>
      <w:r>
        <w:rPr>
          <w:b w:val="0"/>
          <w:bCs w:val="0"/>
          <w:color w:val="000000"/>
          <w:spacing w:val="0"/>
          <w:w w:val="100"/>
          <w:position w:val="0"/>
          <w:sz w:val="22"/>
          <w:szCs w:val="22"/>
        </w:rPr>
        <w:t>贷款及应收款项包括应收账款、应收票据、其他应收款、应收保理款、应收客户贷款 和垫款、长期应收款等。本集团对外销售商品或提供劳务形成的应收账款，按从购货 方或劳务接受方应收的合同或协议价款的公允价值作为初始确认金额。</w:t>
      </w:r>
    </w:p>
    <w:p>
      <w:pPr>
        <w:pStyle w:val="Style33"/>
        <w:keepNext w:val="0"/>
        <w:keepLines w:val="0"/>
        <w:widowControl w:val="0"/>
        <w:numPr>
          <w:ilvl w:val="0"/>
          <w:numId w:val="23"/>
        </w:numPr>
        <w:shd w:val="clear" w:color="auto" w:fill="auto"/>
        <w:bidi w:val="0"/>
        <w:spacing w:before="0" w:after="300" w:line="283" w:lineRule="auto"/>
        <w:ind w:left="0" w:right="0" w:firstLine="0"/>
        <w:jc w:val="both"/>
        <w:rPr>
          <w:sz w:val="22"/>
          <w:szCs w:val="22"/>
        </w:rPr>
      </w:pPr>
      <w:bookmarkStart w:id="606" w:name="bookmark606"/>
      <w:bookmarkEnd w:id="606"/>
      <w:r>
        <w:rPr>
          <w:b w:val="0"/>
          <w:bCs w:val="0"/>
          <w:color w:val="000000"/>
          <w:spacing w:val="0"/>
          <w:w w:val="100"/>
          <w:position w:val="0"/>
          <w:sz w:val="22"/>
          <w:szCs w:val="22"/>
        </w:rPr>
        <w:t>应收款项</w:t>
      </w:r>
    </w:p>
    <w:p>
      <w:pPr>
        <w:pStyle w:val="Style33"/>
        <w:keepNext w:val="0"/>
        <w:keepLines w:val="0"/>
        <w:widowControl w:val="0"/>
        <w:shd w:val="clear" w:color="auto" w:fill="auto"/>
        <w:bidi w:val="0"/>
        <w:spacing w:before="0" w:after="300" w:line="324" w:lineRule="exact"/>
        <w:ind w:left="0" w:right="0" w:firstLine="0"/>
        <w:jc w:val="both"/>
        <w:rPr>
          <w:sz w:val="22"/>
          <w:szCs w:val="22"/>
        </w:rPr>
      </w:pPr>
      <w:r>
        <w:rPr>
          <w:b w:val="0"/>
          <w:bCs w:val="0"/>
          <w:color w:val="000000"/>
          <w:spacing w:val="0"/>
          <w:w w:val="100"/>
          <w:position w:val="0"/>
          <w:sz w:val="22"/>
          <w:szCs w:val="22"/>
        </w:rPr>
        <w:t>单独计提坏账准备的应收款项</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无论单项金额是否重大，当存在客观证据表明本集团将无法按应收款项的原有条款收 回款项时，单独计提坏账准备。</w:t>
      </w:r>
    </w:p>
    <w:p>
      <w:pPr>
        <w:pStyle w:val="Style33"/>
        <w:keepNext w:val="0"/>
        <w:keepLines w:val="0"/>
        <w:widowControl w:val="0"/>
        <w:shd w:val="clear" w:color="auto" w:fill="auto"/>
        <w:bidi w:val="0"/>
        <w:spacing w:before="0" w:after="340" w:line="324" w:lineRule="exact"/>
        <w:ind w:left="0" w:right="0" w:firstLine="0"/>
        <w:jc w:val="both"/>
        <w:rPr>
          <w:sz w:val="22"/>
          <w:szCs w:val="22"/>
        </w:rPr>
      </w:pPr>
      <w:r>
        <w:rPr>
          <w:b w:val="0"/>
          <w:bCs w:val="0"/>
          <w:color w:val="000000"/>
          <w:spacing w:val="0"/>
          <w:w w:val="100"/>
          <w:position w:val="0"/>
          <w:sz w:val="22"/>
          <w:szCs w:val="22"/>
        </w:rPr>
        <w:t>按组合计提坏账准备的应收款项</w:t>
      </w:r>
    </w:p>
    <w:p>
      <w:pPr>
        <w:pStyle w:val="Style33"/>
        <w:keepNext w:val="0"/>
        <w:keepLines w:val="0"/>
        <w:widowControl w:val="0"/>
        <w:shd w:val="clear" w:color="auto" w:fill="auto"/>
        <w:bidi w:val="0"/>
        <w:spacing w:before="0" w:after="340" w:line="314" w:lineRule="exact"/>
        <w:ind w:left="0" w:right="0" w:firstLine="0"/>
        <w:jc w:val="both"/>
        <w:rPr>
          <w:sz w:val="22"/>
          <w:szCs w:val="22"/>
        </w:rPr>
      </w:pPr>
      <w:r>
        <w:rPr>
          <w:b w:val="0"/>
          <w:bCs w:val="0"/>
          <w:color w:val="000000"/>
          <w:spacing w:val="0"/>
          <w:w w:val="100"/>
          <w:position w:val="0"/>
          <w:sz w:val="22"/>
          <w:szCs w:val="22"/>
        </w:rPr>
        <w:t>未单独计提坏账准备的应收款项按信用风险特征划分为以下组合，根据以前年度与之 具有类似信用风险特征的应收款项组合的实际损失率为基础，结合现时情况计提坏账 准备。</w:t>
      </w:r>
    </w:p>
    <w:p>
      <w:pPr>
        <w:pStyle w:val="Style33"/>
        <w:keepNext w:val="0"/>
        <w:keepLines w:val="0"/>
        <w:widowControl w:val="0"/>
        <w:shd w:val="clear" w:color="auto" w:fill="auto"/>
        <w:tabs>
          <w:tab w:pos="1637" w:val="left"/>
        </w:tabs>
        <w:bidi w:val="0"/>
        <w:spacing w:before="0" w:after="0" w:line="324" w:lineRule="exact"/>
        <w:ind w:left="0" w:right="0" w:firstLine="0"/>
        <w:jc w:val="both"/>
        <w:rPr>
          <w:sz w:val="24"/>
          <w:szCs w:val="24"/>
        </w:rPr>
      </w:pPr>
      <w:r>
        <w:rPr>
          <w:b w:val="0"/>
          <w:bCs w:val="0"/>
          <w:color w:val="000000"/>
          <w:spacing w:val="0"/>
          <w:w w:val="100"/>
          <w:position w:val="0"/>
          <w:sz w:val="22"/>
          <w:szCs w:val="22"/>
        </w:rPr>
        <w:t>关联方组合</w:t>
        <w:tab/>
        <w:t>由于历史损失率很低，因此设定的计提比例为</w:t>
      </w:r>
      <w:r>
        <w:rPr>
          <w:rFonts w:ascii="Arial" w:eastAsia="Arial" w:hAnsi="Arial" w:cs="Arial"/>
          <w:b w:val="0"/>
          <w:bCs w:val="0"/>
          <w:color w:val="000000"/>
          <w:spacing w:val="0"/>
          <w:w w:val="100"/>
          <w:position w:val="0"/>
          <w:sz w:val="24"/>
          <w:szCs w:val="24"/>
        </w:rPr>
        <w:t>0%</w:t>
      </w:r>
    </w:p>
    <w:p>
      <w:pPr>
        <w:pStyle w:val="Style33"/>
        <w:keepNext w:val="0"/>
        <w:keepLines w:val="0"/>
        <w:widowControl w:val="0"/>
        <w:shd w:val="clear" w:color="auto" w:fill="auto"/>
        <w:tabs>
          <w:tab w:pos="2050" w:val="left"/>
        </w:tabs>
        <w:bidi w:val="0"/>
        <w:spacing w:before="0" w:after="300" w:line="324" w:lineRule="exact"/>
        <w:ind w:left="0" w:right="0" w:firstLine="0"/>
        <w:jc w:val="both"/>
        <w:rPr>
          <w:sz w:val="22"/>
          <w:szCs w:val="22"/>
        </w:rPr>
      </w:pPr>
      <w:r>
        <w:rPr>
          <w:b w:val="0"/>
          <w:bCs w:val="0"/>
          <w:color w:val="000000"/>
          <w:spacing w:val="0"/>
          <w:w w:val="100"/>
          <w:position w:val="0"/>
          <w:sz w:val="22"/>
          <w:szCs w:val="22"/>
        </w:rPr>
        <w:t>非关联方组合</w:t>
        <w:tab/>
        <w:t>按照余额</w:t>
      </w:r>
      <w:r>
        <w:rPr>
          <w:rFonts w:ascii="Arial" w:eastAsia="Arial" w:hAnsi="Arial" w:cs="Arial"/>
          <w:b w:val="0"/>
          <w:bCs w:val="0"/>
          <w:color w:val="000000"/>
          <w:spacing w:val="0"/>
          <w:w w:val="100"/>
          <w:position w:val="0"/>
          <w:sz w:val="24"/>
          <w:szCs w:val="24"/>
        </w:rPr>
        <w:t>0.5%</w:t>
      </w:r>
      <w:r>
        <w:rPr>
          <w:b w:val="0"/>
          <w:bCs w:val="0"/>
          <w:color w:val="000000"/>
          <w:spacing w:val="0"/>
          <w:w w:val="100"/>
          <w:position w:val="0"/>
          <w:sz w:val="22"/>
          <w:szCs w:val="22"/>
        </w:rPr>
        <w:t>计提组合坏账准备</w:t>
      </w:r>
    </w:p>
    <w:p>
      <w:pPr>
        <w:pStyle w:val="Style27"/>
        <w:keepNext/>
        <w:keepLines/>
        <w:widowControl w:val="0"/>
        <w:shd w:val="clear" w:color="auto" w:fill="auto"/>
        <w:bidi w:val="0"/>
        <w:spacing w:before="0" w:after="300" w:line="240" w:lineRule="auto"/>
        <w:ind w:left="0" w:right="0" w:firstLine="0"/>
        <w:jc w:val="both"/>
      </w:pPr>
      <w:bookmarkStart w:id="607" w:name="bookmark607"/>
      <w:bookmarkStart w:id="608" w:name="bookmark608"/>
      <w:bookmarkStart w:id="609" w:name="bookmark609"/>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607"/>
      <w:bookmarkEnd w:id="608"/>
      <w:bookmarkEnd w:id="609"/>
    </w:p>
    <w:p>
      <w:pPr>
        <w:pStyle w:val="Style27"/>
        <w:keepNext/>
        <w:keepLines/>
        <w:widowControl w:val="0"/>
        <w:numPr>
          <w:ilvl w:val="0"/>
          <w:numId w:val="19"/>
        </w:numPr>
        <w:shd w:val="clear" w:color="auto" w:fill="auto"/>
        <w:tabs>
          <w:tab w:pos="598" w:val="left"/>
        </w:tabs>
        <w:bidi w:val="0"/>
        <w:spacing w:before="0" w:after="300" w:line="320" w:lineRule="exact"/>
        <w:ind w:left="0" w:right="0" w:firstLine="0"/>
        <w:jc w:val="both"/>
        <w:rPr>
          <w:sz w:val="28"/>
          <w:szCs w:val="28"/>
        </w:rPr>
      </w:pPr>
      <w:bookmarkStart w:id="607" w:name="bookmark607"/>
      <w:bookmarkStart w:id="608" w:name="bookmark608"/>
      <w:bookmarkStart w:id="610" w:name="bookmark610"/>
      <w:bookmarkStart w:id="611" w:name="bookmark611"/>
      <w:bookmarkEnd w:id="610"/>
      <w:r>
        <w:rPr>
          <w:color w:val="000000"/>
          <w:spacing w:val="0"/>
          <w:w w:val="100"/>
          <w:position w:val="0"/>
          <w:sz w:val="22"/>
          <w:szCs w:val="22"/>
        </w:rPr>
        <w:t>贷款及应收款项</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07"/>
      <w:bookmarkEnd w:id="608"/>
      <w:bookmarkEnd w:id="611"/>
    </w:p>
    <w:p>
      <w:pPr>
        <w:pStyle w:val="Style33"/>
        <w:keepNext w:val="0"/>
        <w:keepLines w:val="0"/>
        <w:widowControl w:val="0"/>
        <w:numPr>
          <w:ilvl w:val="0"/>
          <w:numId w:val="23"/>
        </w:numPr>
        <w:shd w:val="clear" w:color="auto" w:fill="auto"/>
        <w:bidi w:val="0"/>
        <w:spacing w:before="0" w:after="300" w:line="320" w:lineRule="exact"/>
        <w:ind w:left="0" w:right="0" w:firstLine="0"/>
        <w:jc w:val="both"/>
        <w:rPr>
          <w:sz w:val="28"/>
          <w:szCs w:val="28"/>
        </w:rPr>
      </w:pPr>
      <w:bookmarkStart w:id="612" w:name="bookmark612"/>
      <w:bookmarkEnd w:id="612"/>
      <w:r>
        <w:rPr>
          <w:b w:val="0"/>
          <w:bCs w:val="0"/>
          <w:color w:val="000000"/>
          <w:spacing w:val="0"/>
          <w:w w:val="100"/>
          <w:position w:val="0"/>
          <w:sz w:val="22"/>
          <w:szCs w:val="22"/>
        </w:rPr>
        <w:t>应收保理款、客户贷款及垫款、长期应收款</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融资租赁款</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00" w:line="324" w:lineRule="exact"/>
        <w:ind w:left="0" w:right="0" w:firstLine="0"/>
        <w:jc w:val="both"/>
        <w:rPr>
          <w:sz w:val="22"/>
          <w:szCs w:val="22"/>
        </w:rPr>
      </w:pPr>
      <w:r>
        <w:rPr>
          <w:b w:val="0"/>
          <w:bCs w:val="0"/>
          <w:color w:val="000000"/>
          <w:spacing w:val="0"/>
          <w:w w:val="100"/>
          <w:position w:val="0"/>
          <w:sz w:val="22"/>
          <w:szCs w:val="22"/>
        </w:rPr>
        <w:t>本集团对应收保理款、客户贷款及垫款、长期应收款</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融资租赁款</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包括在具有类似信 用风险特征的组合中进行减值测试。对划分为不同信用风险特征的组合规定了相应的 减值准备计提比例。</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根据以前年度与之具有类似信用风险特征的应收款项组合的实际损失率为基础，结合 现时情况确定应计提的坏账准备。</w:t>
      </w:r>
    </w:p>
    <w:p>
      <w:pPr>
        <w:pStyle w:val="Style94"/>
        <w:keepNext w:val="0"/>
        <w:keepLines w:val="0"/>
        <w:widowControl w:val="0"/>
        <w:numPr>
          <w:ilvl w:val="0"/>
          <w:numId w:val="19"/>
        </w:numPr>
        <w:shd w:val="clear" w:color="auto" w:fill="auto"/>
        <w:tabs>
          <w:tab w:pos="598" w:val="left"/>
        </w:tabs>
        <w:bidi w:val="0"/>
        <w:spacing w:before="0" w:after="300" w:line="320" w:lineRule="exact"/>
        <w:ind w:left="0" w:right="0" w:firstLine="0"/>
        <w:jc w:val="both"/>
        <w:rPr>
          <w:sz w:val="22"/>
          <w:szCs w:val="22"/>
        </w:rPr>
      </w:pPr>
      <w:bookmarkStart w:id="613" w:name="bookmark613"/>
      <w:bookmarkEnd w:id="613"/>
      <w:r>
        <w:rPr>
          <w:rFonts w:ascii="SimSun" w:eastAsia="SimSun" w:hAnsi="SimSun" w:cs="SimSun"/>
          <w:b/>
          <w:bCs/>
          <w:color w:val="000000"/>
          <w:spacing w:val="0"/>
          <w:w w:val="100"/>
          <w:position w:val="0"/>
          <w:sz w:val="22"/>
          <w:szCs w:val="22"/>
        </w:rPr>
        <w:t>存货</w:t>
      </w:r>
    </w:p>
    <w:p>
      <w:pPr>
        <w:pStyle w:val="Style94"/>
        <w:keepNext w:val="0"/>
        <w:keepLines w:val="0"/>
        <w:widowControl w:val="0"/>
        <w:numPr>
          <w:ilvl w:val="0"/>
          <w:numId w:val="25"/>
        </w:numPr>
        <w:shd w:val="clear" w:color="auto" w:fill="auto"/>
        <w:tabs>
          <w:tab w:pos="464" w:val="left"/>
        </w:tabs>
        <w:bidi w:val="0"/>
        <w:spacing w:before="0" w:after="300" w:line="320" w:lineRule="exact"/>
        <w:ind w:left="0" w:right="0" w:firstLine="0"/>
        <w:jc w:val="both"/>
        <w:rPr>
          <w:sz w:val="22"/>
          <w:szCs w:val="22"/>
        </w:rPr>
      </w:pPr>
      <w:bookmarkStart w:id="614" w:name="bookmark614"/>
      <w:bookmarkEnd w:id="614"/>
      <w:r>
        <w:rPr>
          <w:rFonts w:ascii="SimSun" w:eastAsia="SimSun" w:hAnsi="SimSun" w:cs="SimSun"/>
          <w:color w:val="000000"/>
          <w:spacing w:val="0"/>
          <w:w w:val="100"/>
          <w:position w:val="0"/>
          <w:sz w:val="22"/>
          <w:szCs w:val="22"/>
        </w:rPr>
        <w:t>分类</w:t>
      </w:r>
    </w:p>
    <w:p>
      <w:pPr>
        <w:pStyle w:val="Style33"/>
        <w:keepNext w:val="0"/>
        <w:keepLines w:val="0"/>
        <w:widowControl w:val="0"/>
        <w:shd w:val="clear" w:color="auto" w:fill="auto"/>
        <w:bidi w:val="0"/>
        <w:spacing w:before="0" w:after="300" w:line="326" w:lineRule="exact"/>
        <w:ind w:left="0" w:right="0" w:firstLine="0"/>
        <w:jc w:val="both"/>
        <w:rPr>
          <w:sz w:val="22"/>
          <w:szCs w:val="22"/>
        </w:rPr>
      </w:pPr>
      <w:r>
        <w:rPr>
          <w:b w:val="0"/>
          <w:bCs w:val="0"/>
          <w:color w:val="000000"/>
          <w:spacing w:val="0"/>
          <w:w w:val="100"/>
          <w:position w:val="0"/>
          <w:sz w:val="22"/>
          <w:szCs w:val="22"/>
        </w:rPr>
        <w:t>存货包括低值易耗品、库存材料、库存商品和航材消耗件等，按成本与可变现净值孰 低计量。</w:t>
      </w:r>
    </w:p>
    <w:p>
      <w:pPr>
        <w:pStyle w:val="Style33"/>
        <w:keepNext w:val="0"/>
        <w:keepLines w:val="0"/>
        <w:widowControl w:val="0"/>
        <w:numPr>
          <w:ilvl w:val="0"/>
          <w:numId w:val="25"/>
        </w:numPr>
        <w:shd w:val="clear" w:color="auto" w:fill="auto"/>
        <w:tabs>
          <w:tab w:pos="464" w:val="left"/>
        </w:tabs>
        <w:bidi w:val="0"/>
        <w:spacing w:before="0" w:after="300" w:line="320" w:lineRule="exact"/>
        <w:ind w:left="0" w:right="0" w:firstLine="0"/>
        <w:jc w:val="both"/>
        <w:rPr>
          <w:sz w:val="22"/>
          <w:szCs w:val="22"/>
        </w:rPr>
      </w:pPr>
      <w:bookmarkStart w:id="615" w:name="bookmark615"/>
      <w:bookmarkEnd w:id="615"/>
      <w:r>
        <w:rPr>
          <w:b w:val="0"/>
          <w:bCs w:val="0"/>
          <w:color w:val="000000"/>
          <w:spacing w:val="0"/>
          <w:w w:val="100"/>
          <w:position w:val="0"/>
          <w:sz w:val="22"/>
          <w:szCs w:val="22"/>
        </w:rPr>
        <w:t>发出存货的计价方法</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库存材料和库存商品发出时的成本按加权平均法核算。航材消耗件发出时的成本按个 别计价法核算。</w:t>
      </w:r>
    </w:p>
    <w:p>
      <w:pPr>
        <w:pStyle w:val="Style33"/>
        <w:keepNext w:val="0"/>
        <w:keepLines w:val="0"/>
        <w:widowControl w:val="0"/>
        <w:numPr>
          <w:ilvl w:val="0"/>
          <w:numId w:val="25"/>
        </w:numPr>
        <w:shd w:val="clear" w:color="auto" w:fill="auto"/>
        <w:tabs>
          <w:tab w:pos="464" w:val="left"/>
        </w:tabs>
        <w:bidi w:val="0"/>
        <w:spacing w:before="0" w:after="300" w:line="320" w:lineRule="exact"/>
        <w:ind w:left="0" w:right="0" w:firstLine="0"/>
        <w:jc w:val="both"/>
        <w:rPr>
          <w:sz w:val="22"/>
          <w:szCs w:val="22"/>
        </w:rPr>
      </w:pPr>
      <w:bookmarkStart w:id="616" w:name="bookmark616"/>
      <w:bookmarkEnd w:id="616"/>
      <w:r>
        <w:rPr>
          <w:b w:val="0"/>
          <w:bCs w:val="0"/>
          <w:color w:val="000000"/>
          <w:spacing w:val="0"/>
          <w:w w:val="100"/>
          <w:position w:val="0"/>
          <w:sz w:val="22"/>
          <w:szCs w:val="22"/>
        </w:rPr>
        <w:t>存货可变现净值的确定依据及存货跌价准备的计提方法</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存货跌价准备按存货成本高于其可变现净值的差额计提。可变现净值按日常活动中， 以存货的估计售价减去估计将要发生的成本、销售费用以及相关税费后的金额确定。</w:t>
      </w:r>
    </w:p>
    <w:p>
      <w:pPr>
        <w:pStyle w:val="Style33"/>
        <w:keepNext w:val="0"/>
        <w:keepLines w:val="0"/>
        <w:widowControl w:val="0"/>
        <w:numPr>
          <w:ilvl w:val="0"/>
          <w:numId w:val="25"/>
        </w:numPr>
        <w:shd w:val="clear" w:color="auto" w:fill="auto"/>
        <w:tabs>
          <w:tab w:pos="464" w:val="left"/>
        </w:tabs>
        <w:bidi w:val="0"/>
        <w:spacing w:before="0" w:after="300" w:line="320" w:lineRule="exact"/>
        <w:ind w:left="0" w:right="0" w:firstLine="0"/>
        <w:jc w:val="both"/>
        <w:rPr>
          <w:sz w:val="22"/>
          <w:szCs w:val="22"/>
        </w:rPr>
      </w:pPr>
      <w:bookmarkStart w:id="617" w:name="bookmark617"/>
      <w:bookmarkEnd w:id="617"/>
      <w:r>
        <w:rPr>
          <w:b w:val="0"/>
          <w:bCs w:val="0"/>
          <w:color w:val="000000"/>
          <w:spacing w:val="0"/>
          <w:w w:val="100"/>
          <w:position w:val="0"/>
          <w:sz w:val="22"/>
          <w:szCs w:val="22"/>
        </w:rPr>
        <w:t>本集团的存货盘存制度采用永续盘存制。</w:t>
      </w:r>
    </w:p>
    <w:p>
      <w:pPr>
        <w:pStyle w:val="Style33"/>
        <w:keepNext w:val="0"/>
        <w:keepLines w:val="0"/>
        <w:widowControl w:val="0"/>
        <w:numPr>
          <w:ilvl w:val="0"/>
          <w:numId w:val="25"/>
        </w:numPr>
        <w:shd w:val="clear" w:color="auto" w:fill="auto"/>
        <w:tabs>
          <w:tab w:pos="464" w:val="left"/>
        </w:tabs>
        <w:bidi w:val="0"/>
        <w:spacing w:before="0" w:after="300" w:line="320" w:lineRule="exact"/>
        <w:ind w:left="0" w:right="0" w:firstLine="0"/>
        <w:jc w:val="both"/>
        <w:rPr>
          <w:sz w:val="22"/>
          <w:szCs w:val="22"/>
        </w:rPr>
      </w:pPr>
      <w:bookmarkStart w:id="618" w:name="bookmark618"/>
      <w:bookmarkEnd w:id="618"/>
      <w:r>
        <w:rPr>
          <w:b w:val="0"/>
          <w:bCs w:val="0"/>
          <w:color w:val="000000"/>
          <w:spacing w:val="0"/>
          <w:w w:val="100"/>
          <w:position w:val="0"/>
          <w:sz w:val="22"/>
          <w:szCs w:val="22"/>
        </w:rPr>
        <w:t>低值易耗品的摊销方法</w:t>
      </w:r>
    </w:p>
    <w:p>
      <w:pPr>
        <w:pStyle w:val="Style33"/>
        <w:keepNext w:val="0"/>
        <w:keepLines w:val="0"/>
        <w:widowControl w:val="0"/>
        <w:shd w:val="clear" w:color="auto" w:fill="auto"/>
        <w:bidi w:val="0"/>
        <w:spacing w:before="0" w:after="300" w:line="320" w:lineRule="exact"/>
        <w:ind w:left="0" w:right="0" w:firstLine="0"/>
        <w:jc w:val="both"/>
        <w:rPr>
          <w:sz w:val="22"/>
          <w:szCs w:val="22"/>
        </w:rPr>
        <w:sectPr>
          <w:footnotePr>
            <w:pos w:val="pageBottom"/>
            <w:numFmt w:val="decimal"/>
            <w:numRestart w:val="continuous"/>
          </w:footnotePr>
          <w:pgSz w:w="11900" w:h="16840"/>
          <w:pgMar w:top="1758" w:right="1024" w:bottom="2588" w:left="1934" w:header="0" w:footer="3" w:gutter="0"/>
          <w:cols w:space="720"/>
          <w:noEndnote/>
          <w:rtlGutter w:val="0"/>
          <w:docGrid w:linePitch="360"/>
        </w:sectPr>
      </w:pPr>
      <w:r>
        <w:rPr>
          <w:b w:val="0"/>
          <w:bCs w:val="0"/>
          <w:color w:val="000000"/>
          <w:spacing w:val="0"/>
          <w:w w:val="100"/>
          <w:position w:val="0"/>
          <w:sz w:val="22"/>
          <w:szCs w:val="22"/>
        </w:rPr>
        <w:t>低值易耗品于领用时采用一次转销法进行摊销。</w:t>
      </w:r>
    </w:p>
    <w:p>
      <w:pPr>
        <w:pStyle w:val="Style27"/>
        <w:keepNext/>
        <w:keepLines/>
        <w:widowControl w:val="0"/>
        <w:shd w:val="clear" w:color="auto" w:fill="auto"/>
        <w:bidi w:val="0"/>
        <w:spacing w:before="0" w:after="360" w:line="322" w:lineRule="exact"/>
        <w:ind w:left="0" w:right="0" w:firstLine="0"/>
        <w:jc w:val="both"/>
        <w:rPr>
          <w:sz w:val="28"/>
          <w:szCs w:val="28"/>
        </w:rPr>
      </w:pPr>
      <w:bookmarkStart w:id="619" w:name="bookmark619"/>
      <w:bookmarkStart w:id="620" w:name="bookmark620"/>
      <w:bookmarkStart w:id="621" w:name="bookmark621"/>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19"/>
      <w:bookmarkEnd w:id="620"/>
      <w:bookmarkEnd w:id="621"/>
    </w:p>
    <w:p>
      <w:pPr>
        <w:pStyle w:val="Style27"/>
        <w:keepNext/>
        <w:keepLines/>
        <w:widowControl w:val="0"/>
        <w:shd w:val="clear" w:color="auto" w:fill="auto"/>
        <w:tabs>
          <w:tab w:pos="816" w:val="left"/>
        </w:tabs>
        <w:bidi w:val="0"/>
        <w:spacing w:before="0" w:after="300" w:line="276" w:lineRule="auto"/>
        <w:ind w:left="0" w:right="0" w:firstLine="0"/>
        <w:jc w:val="both"/>
        <w:rPr>
          <w:sz w:val="22"/>
          <w:szCs w:val="22"/>
        </w:rPr>
      </w:pPr>
      <w:bookmarkStart w:id="619" w:name="bookmark619"/>
      <w:bookmarkStart w:id="620" w:name="bookmark620"/>
      <w:bookmarkStart w:id="622" w:name="bookmark622"/>
      <w:r>
        <w:rPr>
          <w:rFonts w:ascii="Arial" w:eastAsia="Arial" w:hAnsi="Arial" w:cs="Arial"/>
          <w:b w:val="0"/>
          <w:bCs w:val="0"/>
          <w:color w:val="000000"/>
          <w:spacing w:val="0"/>
          <w:w w:val="100"/>
          <w:position w:val="0"/>
          <w:sz w:val="24"/>
          <w:szCs w:val="24"/>
        </w:rPr>
        <w:t>(12)</w:t>
        <w:tab/>
      </w:r>
      <w:r>
        <w:rPr>
          <w:color w:val="000000"/>
          <w:spacing w:val="0"/>
          <w:w w:val="100"/>
          <w:position w:val="0"/>
          <w:sz w:val="22"/>
          <w:szCs w:val="22"/>
        </w:rPr>
        <w:t>长期股权投资</w:t>
      </w:r>
      <w:bookmarkEnd w:id="619"/>
      <w:bookmarkEnd w:id="620"/>
      <w:bookmarkEnd w:id="622"/>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长期股权投资包括：本公司对子公司的长期股权投资；本集团对合营企业和联营企业 的长期股权投资。</w:t>
      </w:r>
    </w:p>
    <w:p>
      <w:pPr>
        <w:pStyle w:val="Style33"/>
        <w:keepNext w:val="0"/>
        <w:keepLines w:val="0"/>
        <w:widowControl w:val="0"/>
        <w:shd w:val="clear" w:color="auto" w:fill="auto"/>
        <w:bidi w:val="0"/>
        <w:spacing w:before="0" w:after="300" w:line="323" w:lineRule="exact"/>
        <w:ind w:left="0" w:right="0" w:firstLine="0"/>
        <w:jc w:val="both"/>
        <w:rPr>
          <w:sz w:val="22"/>
          <w:szCs w:val="22"/>
        </w:rPr>
      </w:pPr>
      <w:r>
        <w:rPr>
          <w:b w:val="0"/>
          <w:bCs w:val="0"/>
          <w:color w:val="000000"/>
          <w:spacing w:val="0"/>
          <w:w w:val="100"/>
          <w:position w:val="0"/>
          <w:sz w:val="22"/>
          <w:szCs w:val="22"/>
        </w:rPr>
        <w:t>子公司为本公司能够对其实施控制的被投资单位。合营企业为本集团通过单独主体达 成，能够与其他方实施共同控制，且基于法律形式、合同条款及其他事实与情况仅对 其净资产享有权利的合营安排。联营企业为本集团能够对其财务和经营决策具有重大 影响的被投资单位。</w:t>
      </w:r>
    </w:p>
    <w:p>
      <w:pPr>
        <w:pStyle w:val="Style33"/>
        <w:keepNext w:val="0"/>
        <w:keepLines w:val="0"/>
        <w:widowControl w:val="0"/>
        <w:shd w:val="clear" w:color="auto" w:fill="auto"/>
        <w:bidi w:val="0"/>
        <w:spacing w:before="0" w:after="360" w:line="326" w:lineRule="exact"/>
        <w:ind w:left="0" w:right="0" w:firstLine="0"/>
        <w:jc w:val="both"/>
        <w:rPr>
          <w:sz w:val="22"/>
          <w:szCs w:val="22"/>
        </w:rPr>
      </w:pPr>
      <w:r>
        <w:rPr>
          <w:b w:val="0"/>
          <w:bCs w:val="0"/>
          <w:color w:val="000000"/>
          <w:spacing w:val="0"/>
          <w:w w:val="100"/>
          <w:position w:val="0"/>
          <w:sz w:val="22"/>
          <w:szCs w:val="22"/>
        </w:rPr>
        <w:t>对子公司的投资，在公司财务报表中按照成本法确定的金额列示，在编制合并财务报 表时按权益法调整后进行合并；对合营企业和联营企业投资采用权益法核算。</w:t>
      </w:r>
    </w:p>
    <w:p>
      <w:pPr>
        <w:pStyle w:val="Style33"/>
        <w:keepNext w:val="0"/>
        <w:keepLines w:val="0"/>
        <w:widowControl w:val="0"/>
        <w:numPr>
          <w:ilvl w:val="0"/>
          <w:numId w:val="27"/>
        </w:numPr>
        <w:shd w:val="clear" w:color="auto" w:fill="auto"/>
        <w:tabs>
          <w:tab w:pos="455" w:val="left"/>
        </w:tabs>
        <w:bidi w:val="0"/>
        <w:spacing w:before="0" w:after="300" w:line="276" w:lineRule="auto"/>
        <w:ind w:left="0" w:right="0" w:firstLine="0"/>
        <w:jc w:val="both"/>
        <w:rPr>
          <w:sz w:val="22"/>
          <w:szCs w:val="22"/>
        </w:rPr>
      </w:pPr>
      <w:bookmarkStart w:id="623" w:name="bookmark623"/>
      <w:bookmarkEnd w:id="623"/>
      <w:r>
        <w:rPr>
          <w:b w:val="0"/>
          <w:bCs w:val="0"/>
          <w:color w:val="000000"/>
          <w:spacing w:val="0"/>
          <w:w w:val="100"/>
          <w:position w:val="0"/>
          <w:sz w:val="22"/>
          <w:szCs w:val="22"/>
        </w:rPr>
        <w:t>投资成本确定</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对于企业合并形成的长期股权投资：同一控制下企业合并取得的长期股权投资，在合 并日按照取得被合并方所有者权益在最终控制方合并财务报表中账面价值的份额作 为长期股权投资的初始投资成本；非同一控制下企业合并取得的长期股权投资，按照 合并成本作为长期股权投资的投资成本。</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对于以企业合并以外的其他方式取得的长期股权投资：支付现金取得的长期股权投资, 按照实际支付的购买价款作为初始投资成本；发行权益性证券取得的长期股权投资， 以发行权益性证券的公允价值作为初始投资成本。</w:t>
      </w:r>
    </w:p>
    <w:p>
      <w:pPr>
        <w:pStyle w:val="Style33"/>
        <w:keepNext w:val="0"/>
        <w:keepLines w:val="0"/>
        <w:widowControl w:val="0"/>
        <w:numPr>
          <w:ilvl w:val="0"/>
          <w:numId w:val="27"/>
        </w:numPr>
        <w:shd w:val="clear" w:color="auto" w:fill="auto"/>
        <w:tabs>
          <w:tab w:pos="455" w:val="left"/>
        </w:tabs>
        <w:bidi w:val="0"/>
        <w:spacing w:before="0" w:after="300" w:line="322" w:lineRule="exact"/>
        <w:ind w:left="0" w:right="0" w:firstLine="0"/>
        <w:jc w:val="both"/>
        <w:rPr>
          <w:sz w:val="22"/>
          <w:szCs w:val="22"/>
        </w:rPr>
      </w:pPr>
      <w:bookmarkStart w:id="624" w:name="bookmark624"/>
      <w:bookmarkEnd w:id="624"/>
      <w:r>
        <w:rPr>
          <w:b w:val="0"/>
          <w:bCs w:val="0"/>
          <w:color w:val="000000"/>
          <w:spacing w:val="0"/>
          <w:w w:val="100"/>
          <w:position w:val="0"/>
          <w:sz w:val="22"/>
          <w:szCs w:val="22"/>
        </w:rPr>
        <w:t>后续计量及损益确认方法</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采用成本法核算的长期股权投资，按照初始投资成本计量，被投资单位宣告分派的现 金股利或利润，确认为投资收益计入当期损益。</w:t>
      </w:r>
    </w:p>
    <w:p>
      <w:pPr>
        <w:pStyle w:val="Style33"/>
        <w:keepNext w:val="0"/>
        <w:keepLines w:val="0"/>
        <w:widowControl w:val="0"/>
        <w:shd w:val="clear" w:color="auto" w:fill="auto"/>
        <w:bidi w:val="0"/>
        <w:spacing w:before="0" w:after="300" w:line="322" w:lineRule="exact"/>
        <w:ind w:left="0" w:right="0" w:firstLine="0"/>
        <w:jc w:val="both"/>
        <w:rPr>
          <w:sz w:val="22"/>
          <w:szCs w:val="22"/>
        </w:rPr>
        <w:sectPr>
          <w:footnotePr>
            <w:pos w:val="pageBottom"/>
            <w:numFmt w:val="decimal"/>
            <w:numRestart w:val="continuous"/>
          </w:footnotePr>
          <w:pgSz w:w="11900" w:h="16840"/>
          <w:pgMar w:top="1758" w:right="871" w:bottom="1758" w:left="1962" w:header="0" w:footer="3" w:gutter="0"/>
          <w:cols w:space="720"/>
          <w:noEndnote/>
          <w:rtlGutter w:val="0"/>
          <w:docGrid w:linePitch="360"/>
        </w:sectPr>
      </w:pPr>
      <w:r>
        <w:rPr>
          <w:b w:val="0"/>
          <w:bCs w:val="0"/>
          <w:color w:val="000000"/>
          <w:spacing w:val="0"/>
          <w:w w:val="100"/>
          <w:position w:val="0"/>
          <w:sz w:val="22"/>
          <w:szCs w:val="22"/>
        </w:rPr>
        <w:t>采用权益法核算的长期股权投资，初始投资成本大于投资时应享有被投资单位可辨认 净资产公允价值份额的，以初始投资成本作为长期股权投资成本；初始投资成本小于 投资时应享有被投资单位可辨认净资产公允价值份额的，其差额计入当期损益，并相 应调增长期股权投资成本。</w:t>
      </w:r>
    </w:p>
    <w:p>
      <w:pPr>
        <w:pStyle w:val="Style27"/>
        <w:keepNext/>
        <w:keepLines/>
        <w:widowControl w:val="0"/>
        <w:shd w:val="clear" w:color="auto" w:fill="auto"/>
        <w:bidi w:val="0"/>
        <w:spacing w:before="0" w:after="300" w:line="320" w:lineRule="exact"/>
        <w:ind w:left="0" w:right="0" w:firstLine="0"/>
        <w:jc w:val="left"/>
        <w:rPr>
          <w:sz w:val="28"/>
          <w:szCs w:val="28"/>
        </w:rPr>
      </w:pPr>
      <w:bookmarkStart w:id="625" w:name="bookmark625"/>
      <w:bookmarkStart w:id="626" w:name="bookmark626"/>
      <w:bookmarkStart w:id="627" w:name="bookmark627"/>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25"/>
      <w:bookmarkEnd w:id="626"/>
      <w:bookmarkEnd w:id="627"/>
    </w:p>
    <w:p>
      <w:pPr>
        <w:pStyle w:val="Style27"/>
        <w:keepNext/>
        <w:keepLines/>
        <w:widowControl w:val="0"/>
        <w:shd w:val="clear" w:color="auto" w:fill="auto"/>
        <w:tabs>
          <w:tab w:pos="797" w:val="left"/>
        </w:tabs>
        <w:bidi w:val="0"/>
        <w:spacing w:before="0" w:after="300" w:line="320" w:lineRule="exact"/>
        <w:ind w:left="0" w:right="0" w:firstLine="0"/>
        <w:jc w:val="left"/>
        <w:rPr>
          <w:sz w:val="28"/>
          <w:szCs w:val="28"/>
        </w:rPr>
      </w:pPr>
      <w:bookmarkStart w:id="625" w:name="bookmark625"/>
      <w:bookmarkStart w:id="626" w:name="bookmark626"/>
      <w:bookmarkStart w:id="628" w:name="bookmark628"/>
      <w:r>
        <w:rPr>
          <w:rFonts w:ascii="Arial" w:eastAsia="Arial" w:hAnsi="Arial" w:cs="Arial"/>
          <w:b w:val="0"/>
          <w:bCs w:val="0"/>
          <w:color w:val="000000"/>
          <w:spacing w:val="0"/>
          <w:w w:val="100"/>
          <w:position w:val="0"/>
          <w:sz w:val="24"/>
          <w:szCs w:val="24"/>
        </w:rPr>
        <w:t>(12)</w:t>
        <w:tab/>
      </w:r>
      <w:r>
        <w:rPr>
          <w:color w:val="000000"/>
          <w:spacing w:val="0"/>
          <w:w w:val="100"/>
          <w:position w:val="0"/>
          <w:sz w:val="22"/>
          <w:szCs w:val="22"/>
        </w:rPr>
        <w:t>长期股权投资</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25"/>
      <w:bookmarkEnd w:id="626"/>
      <w:bookmarkEnd w:id="628"/>
    </w:p>
    <w:p>
      <w:pPr>
        <w:pStyle w:val="Style33"/>
        <w:keepNext w:val="0"/>
        <w:keepLines w:val="0"/>
        <w:widowControl w:val="0"/>
        <w:numPr>
          <w:ilvl w:val="0"/>
          <w:numId w:val="29"/>
        </w:numPr>
        <w:shd w:val="clear" w:color="auto" w:fill="auto"/>
        <w:tabs>
          <w:tab w:pos="454" w:val="left"/>
        </w:tabs>
        <w:bidi w:val="0"/>
        <w:spacing w:before="0" w:after="300" w:line="320" w:lineRule="exact"/>
        <w:ind w:left="0" w:right="0" w:firstLine="0"/>
        <w:jc w:val="left"/>
        <w:rPr>
          <w:sz w:val="28"/>
          <w:szCs w:val="28"/>
        </w:rPr>
      </w:pPr>
      <w:bookmarkStart w:id="629" w:name="bookmark629"/>
      <w:bookmarkEnd w:id="629"/>
      <w:r>
        <w:rPr>
          <w:b w:val="0"/>
          <w:bCs w:val="0"/>
          <w:color w:val="000000"/>
          <w:spacing w:val="0"/>
          <w:w w:val="100"/>
          <w:position w:val="0"/>
          <w:sz w:val="22"/>
          <w:szCs w:val="22"/>
        </w:rPr>
        <w:t>后续计量及损益确认方法</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采用权益法核算的长期股权投资，本集团按应享有或应分担的被投资单位的净损益份 额确认当期投资损益。确认被投资单位发生的净亏损，以长期股权投资的账面价值以 及其他实质上构成对被投资单位净投资的长期权益减记至零为限，但本集团负有承担 额外损失义务且符合或有事项准则所规定的预计负债确认条件的，继续确认投资损失 并作为预计负债核算。被投资单位除净损益、其他综合收益和利润分配以外所有者权 益的其他变动，调整长期股权投资的账面价值并计入资本公积。被投资单位分派的利 润或现金股利于宣告分派时按照本集团应分得的部分，相应减少长期股权投资的账面 价值。本集团与被投资单位之间未实现的内部交易损益按照持股比例计算归属于本集 团的部分，予以抵销，在此基础上确认投资损益。本集团与被投资单位发生的内部交 易损失，其中属于资产减值损失的部分，相应的未实现损失不予抵销。</w:t>
      </w:r>
    </w:p>
    <w:p>
      <w:pPr>
        <w:pStyle w:val="Style33"/>
        <w:keepNext w:val="0"/>
        <w:keepLines w:val="0"/>
        <w:widowControl w:val="0"/>
        <w:numPr>
          <w:ilvl w:val="0"/>
          <w:numId w:val="29"/>
        </w:numPr>
        <w:shd w:val="clear" w:color="auto" w:fill="auto"/>
        <w:tabs>
          <w:tab w:pos="454" w:val="left"/>
        </w:tabs>
        <w:bidi w:val="0"/>
        <w:spacing w:before="0" w:after="300" w:line="320" w:lineRule="exact"/>
        <w:ind w:left="0" w:right="0" w:firstLine="0"/>
        <w:jc w:val="both"/>
        <w:rPr>
          <w:sz w:val="22"/>
          <w:szCs w:val="22"/>
        </w:rPr>
      </w:pPr>
      <w:bookmarkStart w:id="630" w:name="bookmark630"/>
      <w:bookmarkEnd w:id="630"/>
      <w:r>
        <w:rPr>
          <w:b w:val="0"/>
          <w:bCs w:val="0"/>
          <w:color w:val="000000"/>
          <w:spacing w:val="0"/>
          <w:w w:val="100"/>
          <w:position w:val="0"/>
          <w:sz w:val="22"/>
          <w:szCs w:val="22"/>
        </w:rPr>
        <w:t>确定对被投资单位具有控制、共同控制、重大影响的依据</w:t>
      </w:r>
    </w:p>
    <w:p>
      <w:pPr>
        <w:pStyle w:val="Style33"/>
        <w:keepNext w:val="0"/>
        <w:keepLines w:val="0"/>
        <w:widowControl w:val="0"/>
        <w:shd w:val="clear" w:color="auto" w:fill="auto"/>
        <w:bidi w:val="0"/>
        <w:spacing w:before="0" w:after="300" w:line="312" w:lineRule="exact"/>
        <w:ind w:left="0" w:right="0" w:firstLine="0"/>
        <w:jc w:val="both"/>
        <w:rPr>
          <w:sz w:val="22"/>
          <w:szCs w:val="22"/>
        </w:rPr>
      </w:pPr>
      <w:r>
        <w:rPr>
          <w:b w:val="0"/>
          <w:bCs w:val="0"/>
          <w:color w:val="000000"/>
          <w:spacing w:val="0"/>
          <w:w w:val="100"/>
          <w:position w:val="0"/>
          <w:sz w:val="22"/>
          <w:szCs w:val="22"/>
        </w:rPr>
        <w:t>控制是指拥有对被投资单位的权力，通过参与被投资单位的相关活动而享有可变回报, 并且有能力运用对被投资单位的权力影响其回报金额。</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共同控制是指按照相关约定对某项安排所共有的控制，并且该安排的相关活动必须经 过本集团及分享控制权的其他参与方一致同意后才能决策。</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重大影响是指对被投资单位的财务和经营政策有参与决策的权力，但并不能够控制或 者与其他方一起共同控制这些政策的制定。</w:t>
      </w:r>
    </w:p>
    <w:p>
      <w:pPr>
        <w:pStyle w:val="Style33"/>
        <w:keepNext w:val="0"/>
        <w:keepLines w:val="0"/>
        <w:widowControl w:val="0"/>
        <w:numPr>
          <w:ilvl w:val="0"/>
          <w:numId w:val="29"/>
        </w:numPr>
        <w:shd w:val="clear" w:color="auto" w:fill="auto"/>
        <w:tabs>
          <w:tab w:pos="454" w:val="left"/>
        </w:tabs>
        <w:bidi w:val="0"/>
        <w:spacing w:before="0" w:after="300" w:line="320" w:lineRule="exact"/>
        <w:ind w:left="0" w:right="0" w:firstLine="0"/>
        <w:jc w:val="both"/>
        <w:rPr>
          <w:sz w:val="22"/>
          <w:szCs w:val="22"/>
        </w:rPr>
      </w:pPr>
      <w:bookmarkStart w:id="631" w:name="bookmark631"/>
      <w:bookmarkEnd w:id="631"/>
      <w:r>
        <w:rPr>
          <w:b w:val="0"/>
          <w:bCs w:val="0"/>
          <w:color w:val="000000"/>
          <w:spacing w:val="0"/>
          <w:w w:val="100"/>
          <w:position w:val="0"/>
          <w:sz w:val="22"/>
          <w:szCs w:val="22"/>
        </w:rPr>
        <w:t>长期股权投资减值</w:t>
      </w:r>
    </w:p>
    <w:p>
      <w:pPr>
        <w:pStyle w:val="Style33"/>
        <w:keepNext w:val="0"/>
        <w:keepLines w:val="0"/>
        <w:widowControl w:val="0"/>
        <w:shd w:val="clear" w:color="auto" w:fill="auto"/>
        <w:bidi w:val="0"/>
        <w:spacing w:before="0" w:after="300" w:line="322" w:lineRule="exact"/>
        <w:ind w:left="0" w:right="0" w:firstLine="0"/>
        <w:jc w:val="both"/>
        <w:rPr>
          <w:sz w:val="22"/>
          <w:szCs w:val="22"/>
        </w:rPr>
        <w:sectPr>
          <w:footnotePr>
            <w:pos w:val="pageBottom"/>
            <w:numFmt w:val="decimal"/>
            <w:numRestart w:val="continuous"/>
          </w:footnotePr>
          <w:pgSz w:w="11900" w:h="16840"/>
          <w:pgMar w:top="1762" w:right="871" w:bottom="1762" w:left="1962" w:header="0" w:footer="3" w:gutter="0"/>
          <w:cols w:space="720"/>
          <w:noEndnote/>
          <w:rtlGutter w:val="0"/>
          <w:docGrid w:linePitch="360"/>
        </w:sectPr>
      </w:pPr>
      <w:r>
        <w:rPr>
          <w:b w:val="0"/>
          <w:bCs w:val="0"/>
          <w:color w:val="000000"/>
          <w:spacing w:val="0"/>
          <w:w w:val="100"/>
          <w:position w:val="0"/>
          <w:sz w:val="22"/>
          <w:szCs w:val="22"/>
        </w:rPr>
        <w:t>对子公司、合营企业、联营企业的长期股权投资，当其可收回金额低于其账面价值时， 账面价值减记至可收回金额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w:t>
      </w:r>
    </w:p>
    <w:p>
      <w:pPr>
        <w:pStyle w:val="Style27"/>
        <w:keepNext/>
        <w:keepLines/>
        <w:widowControl w:val="0"/>
        <w:shd w:val="clear" w:color="auto" w:fill="auto"/>
        <w:bidi w:val="0"/>
        <w:spacing w:before="0" w:after="340" w:line="322" w:lineRule="exact"/>
        <w:ind w:left="0" w:right="0" w:firstLine="0"/>
        <w:jc w:val="both"/>
        <w:rPr>
          <w:sz w:val="28"/>
          <w:szCs w:val="28"/>
        </w:rPr>
      </w:pPr>
      <w:bookmarkStart w:id="632" w:name="bookmark632"/>
      <w:bookmarkStart w:id="633" w:name="bookmark633"/>
      <w:bookmarkStart w:id="634" w:name="bookmark634"/>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32"/>
      <w:bookmarkEnd w:id="633"/>
      <w:bookmarkEnd w:id="634"/>
    </w:p>
    <w:p>
      <w:pPr>
        <w:pStyle w:val="Style27"/>
        <w:keepNext/>
        <w:keepLines/>
        <w:widowControl w:val="0"/>
        <w:shd w:val="clear" w:color="auto" w:fill="auto"/>
        <w:tabs>
          <w:tab w:pos="842" w:val="left"/>
        </w:tabs>
        <w:bidi w:val="0"/>
        <w:spacing w:before="0" w:after="300" w:line="276" w:lineRule="auto"/>
        <w:ind w:left="0" w:right="0" w:firstLine="0"/>
        <w:jc w:val="both"/>
        <w:rPr>
          <w:sz w:val="22"/>
          <w:szCs w:val="22"/>
        </w:rPr>
      </w:pPr>
      <w:bookmarkStart w:id="632" w:name="bookmark632"/>
      <w:bookmarkStart w:id="633" w:name="bookmark633"/>
      <w:bookmarkStart w:id="635" w:name="bookmark635"/>
      <w:bookmarkStart w:id="636" w:name="bookmark636"/>
      <w:r>
        <w:rPr>
          <w:rFonts w:ascii="Arial" w:eastAsia="Arial" w:hAnsi="Arial" w:cs="Arial"/>
          <w:b w:val="0"/>
          <w:bCs w:val="0"/>
          <w:color w:val="000000"/>
          <w:spacing w:val="0"/>
          <w:w w:val="100"/>
          <w:position w:val="0"/>
          <w:sz w:val="24"/>
          <w:szCs w:val="24"/>
        </w:rPr>
        <w:t>（</w:t>
      </w:r>
      <w:bookmarkEnd w:id="635"/>
      <w:r>
        <w:rPr>
          <w:rFonts w:ascii="Arial" w:eastAsia="Arial" w:hAnsi="Arial" w:cs="Arial"/>
          <w:b w:val="0"/>
          <w:bCs w:val="0"/>
          <w:color w:val="000000"/>
          <w:spacing w:val="0"/>
          <w:w w:val="100"/>
          <w:position w:val="0"/>
          <w:sz w:val="24"/>
          <w:szCs w:val="24"/>
        </w:rPr>
        <w:t>13）</w:t>
        <w:tab/>
      </w:r>
      <w:r>
        <w:rPr>
          <w:color w:val="000000"/>
          <w:spacing w:val="0"/>
          <w:w w:val="100"/>
          <w:position w:val="0"/>
          <w:sz w:val="22"/>
          <w:szCs w:val="22"/>
        </w:rPr>
        <w:t>投资性房地产</w:t>
      </w:r>
      <w:bookmarkEnd w:id="632"/>
      <w:bookmarkEnd w:id="633"/>
      <w:bookmarkEnd w:id="636"/>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投资性房地产包括已出租的土地使用权和以出租为目的的建筑物以及正在建造或开 发过程中将用于出租的建筑物，以成本进行初始计量。与投资性房地产有关的后续支 出，在相关的经济利益很可能流入本集团且其成本能够可靠的计量时，计入投资性房 地产成本；否则，于发生时计入当期损益。</w:t>
      </w:r>
    </w:p>
    <w:p>
      <w:pPr>
        <w:pStyle w:val="Style33"/>
        <w:keepNext w:val="0"/>
        <w:keepLines w:val="0"/>
        <w:widowControl w:val="0"/>
        <w:shd w:val="clear" w:color="auto" w:fill="auto"/>
        <w:bidi w:val="0"/>
        <w:spacing w:before="0" w:after="300" w:line="319" w:lineRule="exact"/>
        <w:ind w:left="0" w:right="0" w:firstLine="0"/>
        <w:jc w:val="both"/>
        <w:rPr>
          <w:sz w:val="22"/>
          <w:szCs w:val="22"/>
        </w:rPr>
      </w:pPr>
      <w:r>
        <w:rPr>
          <w:b w:val="0"/>
          <w:bCs w:val="0"/>
          <w:color w:val="000000"/>
          <w:spacing w:val="0"/>
          <w:w w:val="100"/>
          <w:position w:val="0"/>
          <w:sz w:val="22"/>
          <w:szCs w:val="22"/>
        </w:rPr>
        <w:t>本集团对所有投资性房地产采用成本模式进行后续计量，按其预计使用寿命及净残值 率对建筑物和土地使用权计提折旧或摊销。投资性房地产的预计使用寿命、净残值率 及年折旧</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摊销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率列示如下：</w:t>
      </w:r>
    </w:p>
    <w:p>
      <w:pPr>
        <w:pStyle w:val="Style33"/>
        <w:keepNext w:val="0"/>
        <w:keepLines w:val="0"/>
        <w:widowControl w:val="0"/>
        <w:shd w:val="clear" w:color="auto" w:fill="auto"/>
        <w:tabs>
          <w:tab w:pos="5238" w:val="left"/>
        </w:tabs>
        <w:bidi w:val="0"/>
        <w:spacing w:before="0" w:after="300" w:line="322" w:lineRule="exact"/>
        <w:ind w:left="3260" w:right="0" w:firstLine="0"/>
        <w:jc w:val="left"/>
        <w:rPr>
          <w:sz w:val="22"/>
          <w:szCs w:val="22"/>
        </w:rPr>
      </w:pPr>
      <w:r>
        <w:rPr>
          <w:b w:val="0"/>
          <w:bCs w:val="0"/>
          <w:color w:val="000000"/>
          <w:spacing w:val="0"/>
          <w:w w:val="100"/>
          <w:position w:val="0"/>
          <w:sz w:val="22"/>
          <w:szCs w:val="22"/>
        </w:rPr>
        <w:t>预计使用寿命</w:t>
        <w:tab/>
        <w:t>预计净残值率年折旧</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摊销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率</w:t>
      </w:r>
    </w:p>
    <w:p>
      <w:pPr>
        <w:pStyle w:val="Style94"/>
        <w:keepNext w:val="0"/>
        <w:keepLines w:val="0"/>
        <w:widowControl w:val="0"/>
        <w:shd w:val="clear" w:color="auto" w:fill="auto"/>
        <w:tabs>
          <w:tab w:pos="3773" w:val="left"/>
          <w:tab w:pos="6281" w:val="left"/>
          <w:tab w:pos="7140" w:val="left"/>
        </w:tabs>
        <w:bidi w:val="0"/>
        <w:spacing w:before="0" w:after="0" w:line="322" w:lineRule="exact"/>
        <w:ind w:left="0" w:right="0" w:firstLine="0"/>
        <w:jc w:val="left"/>
      </w:pPr>
      <w:r>
        <w:rPr>
          <w:rFonts w:ascii="SimSun" w:eastAsia="SimSun" w:hAnsi="SimSun" w:cs="SimSun"/>
          <w:color w:val="000000"/>
          <w:spacing w:val="0"/>
          <w:w w:val="100"/>
          <w:position w:val="0"/>
          <w:sz w:val="22"/>
          <w:szCs w:val="22"/>
        </w:rPr>
        <w:t>建筑物</w:t>
        <w:tab/>
      </w:r>
      <w:r>
        <w:rPr>
          <w:color w:val="000000"/>
          <w:spacing w:val="0"/>
          <w:w w:val="100"/>
          <w:position w:val="0"/>
          <w:sz w:val="24"/>
          <w:szCs w:val="24"/>
        </w:rPr>
        <w:t xml:space="preserve">10-50 </w:t>
      </w:r>
      <w:r>
        <w:rPr>
          <w:rFonts w:ascii="SimSun" w:eastAsia="SimSun" w:hAnsi="SimSun" w:cs="SimSun"/>
          <w:color w:val="000000"/>
          <w:spacing w:val="0"/>
          <w:w w:val="100"/>
          <w:position w:val="0"/>
          <w:sz w:val="22"/>
          <w:szCs w:val="22"/>
        </w:rPr>
        <w:t>年</w:t>
        <w:tab/>
      </w:r>
      <w:r>
        <w:rPr>
          <w:color w:val="000000"/>
          <w:spacing w:val="0"/>
          <w:w w:val="100"/>
          <w:position w:val="0"/>
          <w:sz w:val="24"/>
          <w:szCs w:val="24"/>
        </w:rPr>
        <w:t>5%</w:t>
        <w:tab/>
        <w:t>9.50%-1.90%</w:t>
      </w:r>
    </w:p>
    <w:p>
      <w:pPr>
        <w:pStyle w:val="Style94"/>
        <w:keepNext w:val="0"/>
        <w:keepLines w:val="0"/>
        <w:widowControl w:val="0"/>
        <w:shd w:val="clear" w:color="auto" w:fill="auto"/>
        <w:tabs>
          <w:tab w:pos="3389" w:val="left"/>
          <w:tab w:pos="6281" w:val="left"/>
          <w:tab w:pos="7140" w:val="left"/>
        </w:tabs>
        <w:bidi w:val="0"/>
        <w:spacing w:before="0" w:after="300" w:line="322" w:lineRule="exact"/>
        <w:ind w:left="0" w:right="0" w:firstLine="0"/>
        <w:jc w:val="left"/>
      </w:pPr>
      <w:r>
        <w:rPr>
          <w:rFonts w:ascii="SimSun" w:eastAsia="SimSun" w:hAnsi="SimSun" w:cs="SimSun"/>
          <w:color w:val="000000"/>
          <w:spacing w:val="0"/>
          <w:w w:val="100"/>
          <w:position w:val="0"/>
          <w:sz w:val="22"/>
          <w:szCs w:val="22"/>
        </w:rPr>
        <w:t>土地使用权</w:t>
        <w:tab/>
      </w:r>
      <w:r>
        <w:rPr>
          <w:color w:val="000000"/>
          <w:spacing w:val="0"/>
          <w:w w:val="100"/>
          <w:position w:val="0"/>
          <w:sz w:val="24"/>
          <w:szCs w:val="24"/>
        </w:rPr>
        <w:t xml:space="preserve">39.75-50 </w:t>
      </w:r>
      <w:r>
        <w:rPr>
          <w:rFonts w:ascii="SimSun" w:eastAsia="SimSun" w:hAnsi="SimSun" w:cs="SimSun"/>
          <w:color w:val="000000"/>
          <w:spacing w:val="0"/>
          <w:w w:val="100"/>
          <w:position w:val="0"/>
          <w:sz w:val="22"/>
          <w:szCs w:val="22"/>
        </w:rPr>
        <w:t>年</w:t>
        <w:tab/>
      </w:r>
      <w:r>
        <w:rPr>
          <w:color w:val="000000"/>
          <w:spacing w:val="0"/>
          <w:w w:val="100"/>
          <w:position w:val="0"/>
          <w:sz w:val="24"/>
          <w:szCs w:val="24"/>
        </w:rPr>
        <w:t>0%</w:t>
        <w:tab/>
        <w:t>2.52%-2.00%</w:t>
      </w:r>
    </w:p>
    <w:p>
      <w:pPr>
        <w:pStyle w:val="Style33"/>
        <w:keepNext w:val="0"/>
        <w:keepLines w:val="0"/>
        <w:widowControl w:val="0"/>
        <w:shd w:val="clear" w:color="auto" w:fill="auto"/>
        <w:bidi w:val="0"/>
        <w:spacing w:before="0" w:after="300" w:line="322" w:lineRule="exact"/>
        <w:ind w:left="0" w:right="0" w:firstLine="0"/>
        <w:jc w:val="left"/>
        <w:rPr>
          <w:sz w:val="22"/>
          <w:szCs w:val="22"/>
        </w:rPr>
      </w:pPr>
      <w:r>
        <w:rPr>
          <w:b w:val="0"/>
          <w:bCs w:val="0"/>
          <w:color w:val="000000"/>
          <w:spacing w:val="0"/>
          <w:w w:val="100"/>
          <w:position w:val="0"/>
          <w:sz w:val="22"/>
          <w:szCs w:val="22"/>
        </w:rPr>
        <w:t>对投资性房地产的预计使用寿命、预计净残值和折旧</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摊销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方法于每年年度终了进行 复核并作适当调整。</w:t>
      </w:r>
    </w:p>
    <w:p>
      <w:pPr>
        <w:pStyle w:val="Style33"/>
        <w:keepNext w:val="0"/>
        <w:keepLines w:val="0"/>
        <w:widowControl w:val="0"/>
        <w:shd w:val="clear" w:color="auto" w:fill="auto"/>
        <w:bidi w:val="0"/>
        <w:spacing w:before="0" w:after="340" w:line="319" w:lineRule="exact"/>
        <w:ind w:left="0" w:right="0" w:firstLine="0"/>
        <w:jc w:val="left"/>
        <w:rPr>
          <w:sz w:val="22"/>
          <w:szCs w:val="22"/>
        </w:rPr>
      </w:pPr>
      <w:r>
        <w:rPr>
          <w:b w:val="0"/>
          <w:bCs w:val="0"/>
          <w:color w:val="000000"/>
          <w:spacing w:val="0"/>
          <w:w w:val="100"/>
          <w:position w:val="0"/>
          <w:sz w:val="22"/>
          <w:szCs w:val="22"/>
        </w:rPr>
        <w:t>当投资性房地产被处置、或者永久退出使用且预计不能从其处置中取得经济利益时， 终止确认该项投资性房地产。投资性房地产出售、转让、报废或毁损的处置收入扣除 其账面价值和相关税费后计入当期损益。</w:t>
      </w:r>
    </w:p>
    <w:p>
      <w:pPr>
        <w:pStyle w:val="Style94"/>
        <w:keepNext w:val="0"/>
        <w:keepLines w:val="0"/>
        <w:widowControl w:val="0"/>
        <w:shd w:val="clear" w:color="auto" w:fill="auto"/>
        <w:tabs>
          <w:tab w:pos="842" w:val="left"/>
        </w:tabs>
        <w:bidi w:val="0"/>
        <w:spacing w:before="0" w:after="300"/>
        <w:ind w:left="0" w:right="0" w:firstLine="0"/>
        <w:jc w:val="left"/>
        <w:rPr>
          <w:sz w:val="22"/>
          <w:szCs w:val="22"/>
        </w:rPr>
      </w:pPr>
      <w:bookmarkStart w:id="637" w:name="bookmark637"/>
      <w:r>
        <w:rPr>
          <w:color w:val="000000"/>
          <w:spacing w:val="0"/>
          <w:w w:val="100"/>
          <w:position w:val="0"/>
          <w:sz w:val="24"/>
          <w:szCs w:val="24"/>
        </w:rPr>
        <w:t>（</w:t>
      </w:r>
      <w:bookmarkEnd w:id="637"/>
      <w:r>
        <w:rPr>
          <w:color w:val="000000"/>
          <w:spacing w:val="0"/>
          <w:w w:val="100"/>
          <w:position w:val="0"/>
          <w:sz w:val="24"/>
          <w:szCs w:val="24"/>
        </w:rPr>
        <w:t>14）</w:t>
        <w:tab/>
      </w:r>
      <w:r>
        <w:rPr>
          <w:rFonts w:ascii="SimSun" w:eastAsia="SimSun" w:hAnsi="SimSun" w:cs="SimSun"/>
          <w:b/>
          <w:bCs/>
          <w:color w:val="000000"/>
          <w:spacing w:val="0"/>
          <w:w w:val="100"/>
          <w:position w:val="0"/>
          <w:sz w:val="22"/>
          <w:szCs w:val="22"/>
        </w:rPr>
        <w:t>固定资产</w:t>
      </w:r>
    </w:p>
    <w:p>
      <w:pPr>
        <w:pStyle w:val="Style33"/>
        <w:keepNext w:val="0"/>
        <w:keepLines w:val="0"/>
        <w:widowControl w:val="0"/>
        <w:shd w:val="clear" w:color="auto" w:fill="auto"/>
        <w:bidi w:val="0"/>
        <w:spacing w:before="0" w:after="300" w:line="322" w:lineRule="exact"/>
        <w:ind w:left="0" w:right="0" w:firstLine="0"/>
        <w:jc w:val="left"/>
        <w:rPr>
          <w:sz w:val="22"/>
          <w:szCs w:val="22"/>
        </w:rPr>
      </w:pPr>
      <w:bookmarkStart w:id="638" w:name="bookmark638"/>
      <w:r>
        <w:rPr>
          <w:rFonts w:ascii="Arial" w:eastAsia="Arial" w:hAnsi="Arial" w:cs="Arial"/>
          <w:b w:val="0"/>
          <w:bCs w:val="0"/>
          <w:color w:val="000000"/>
          <w:spacing w:val="0"/>
          <w:w w:val="100"/>
          <w:position w:val="0"/>
          <w:sz w:val="24"/>
          <w:szCs w:val="24"/>
        </w:rPr>
        <w:t>（</w:t>
      </w:r>
      <w:bookmarkEnd w:id="638"/>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固定资产确认及初始计量</w:t>
      </w:r>
    </w:p>
    <w:p>
      <w:pPr>
        <w:pStyle w:val="Style33"/>
        <w:keepNext w:val="0"/>
        <w:keepLines w:val="0"/>
        <w:widowControl w:val="0"/>
        <w:shd w:val="clear" w:color="auto" w:fill="auto"/>
        <w:bidi w:val="0"/>
        <w:spacing w:before="0" w:after="300" w:line="326" w:lineRule="exact"/>
        <w:ind w:left="0" w:right="0" w:firstLine="0"/>
        <w:jc w:val="left"/>
        <w:rPr>
          <w:sz w:val="22"/>
          <w:szCs w:val="22"/>
        </w:rPr>
      </w:pPr>
      <w:r>
        <w:rPr>
          <w:b w:val="0"/>
          <w:bCs w:val="0"/>
          <w:color w:val="000000"/>
          <w:spacing w:val="0"/>
          <w:w w:val="100"/>
          <w:position w:val="0"/>
          <w:sz w:val="22"/>
          <w:szCs w:val="22"/>
        </w:rPr>
        <w:t>固定资产包括房屋及建筑物、运输工具、计算机及电子设备、飞机及飞机发动机、周 转件及高价维修工具、机器设备、办公设备及其他设备等。</w:t>
      </w:r>
    </w:p>
    <w:p>
      <w:pPr>
        <w:pStyle w:val="Style33"/>
        <w:keepNext w:val="0"/>
        <w:keepLines w:val="0"/>
        <w:widowControl w:val="0"/>
        <w:shd w:val="clear" w:color="auto" w:fill="auto"/>
        <w:bidi w:val="0"/>
        <w:spacing w:before="0" w:after="300" w:line="322" w:lineRule="exact"/>
        <w:ind w:left="0" w:right="0" w:firstLine="0"/>
        <w:jc w:val="left"/>
        <w:rPr>
          <w:sz w:val="22"/>
          <w:szCs w:val="22"/>
        </w:rPr>
      </w:pPr>
      <w:r>
        <w:rPr>
          <w:b w:val="0"/>
          <w:bCs w:val="0"/>
          <w:color w:val="000000"/>
          <w:spacing w:val="0"/>
          <w:w w:val="100"/>
          <w:position w:val="0"/>
          <w:sz w:val="22"/>
          <w:szCs w:val="22"/>
        </w:rPr>
        <w:t>固定资产在与其有关的经济利益很可能流入本集团、且其成本能够可靠计量时予以确 认。购置或新建的固定资产按取得时的成本进行初始计量。</w:t>
      </w:r>
    </w:p>
    <w:p>
      <w:pPr>
        <w:pStyle w:val="Style33"/>
        <w:keepNext w:val="0"/>
        <w:keepLines w:val="0"/>
        <w:widowControl w:val="0"/>
        <w:shd w:val="clear" w:color="auto" w:fill="auto"/>
        <w:bidi w:val="0"/>
        <w:spacing w:before="0" w:after="300" w:line="331" w:lineRule="exact"/>
        <w:ind w:left="0" w:right="0" w:firstLine="0"/>
        <w:jc w:val="left"/>
        <w:rPr>
          <w:sz w:val="22"/>
          <w:szCs w:val="22"/>
        </w:rPr>
      </w:pPr>
      <w:r>
        <w:rPr>
          <w:b w:val="0"/>
          <w:bCs w:val="0"/>
          <w:color w:val="000000"/>
          <w:spacing w:val="0"/>
          <w:w w:val="100"/>
          <w:position w:val="0"/>
          <w:sz w:val="22"/>
          <w:szCs w:val="22"/>
        </w:rPr>
        <w:t>与固定资产有关的后续支出，在与其有关的经济利益很可能流入本集团且其成本能够 可靠计量时，计入固定资产成本；对于被替换的部分，终止确认其账面价值；所有其 他后续支出于发生时计入当期损益。</w:t>
      </w:r>
    </w:p>
    <w:p>
      <w:pPr>
        <w:pStyle w:val="Style27"/>
        <w:keepNext/>
        <w:keepLines/>
        <w:widowControl w:val="0"/>
        <w:shd w:val="clear" w:color="auto" w:fill="auto"/>
        <w:bidi w:val="0"/>
        <w:spacing w:before="0" w:line="240" w:lineRule="auto"/>
        <w:ind w:left="0" w:right="0" w:firstLine="0"/>
        <w:jc w:val="both"/>
      </w:pPr>
      <w:bookmarkStart w:id="639" w:name="bookmark639"/>
      <w:bookmarkStart w:id="640" w:name="bookmark640"/>
      <w:bookmarkStart w:id="641" w:name="bookmark641"/>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639"/>
      <w:bookmarkEnd w:id="640"/>
      <w:bookmarkEnd w:id="641"/>
    </w:p>
    <w:p>
      <w:pPr>
        <w:pStyle w:val="Style94"/>
        <w:keepNext w:val="0"/>
        <w:keepLines w:val="0"/>
        <w:widowControl w:val="0"/>
        <w:shd w:val="clear" w:color="auto" w:fill="auto"/>
        <w:tabs>
          <w:tab w:pos="821" w:val="left"/>
        </w:tabs>
        <w:bidi w:val="0"/>
        <w:spacing w:before="0" w:after="320" w:line="240" w:lineRule="auto"/>
        <w:ind w:left="0" w:right="0" w:firstLine="0"/>
        <w:jc w:val="both"/>
      </w:pPr>
      <w:r>
        <w:rPr>
          <w:color w:val="000000"/>
          <w:spacing w:val="0"/>
          <w:w w:val="100"/>
          <w:position w:val="0"/>
          <w:sz w:val="24"/>
          <w:szCs w:val="24"/>
        </w:rPr>
        <w:t>（14）</w:t>
        <w:tab/>
      </w:r>
      <w:r>
        <w:rPr>
          <w:rFonts w:ascii="SimSun" w:eastAsia="SimSun" w:hAnsi="SimSun" w:cs="SimSun"/>
          <w:b/>
          <w:bCs/>
          <w:color w:val="000000"/>
          <w:spacing w:val="0"/>
          <w:w w:val="100"/>
          <w:position w:val="0"/>
          <w:sz w:val="22"/>
          <w:szCs w:val="22"/>
        </w:rPr>
        <w:t>固定资产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color w:val="000000"/>
          <w:spacing w:val="0"/>
          <w:w w:val="100"/>
          <w:position w:val="0"/>
          <w:sz w:val="24"/>
          <w:szCs w:val="24"/>
        </w:rPr>
        <w:t>）</w:t>
      </w:r>
    </w:p>
    <w:p>
      <w:pPr>
        <w:pStyle w:val="Style33"/>
        <w:keepNext w:val="0"/>
        <w:keepLines w:val="0"/>
        <w:widowControl w:val="0"/>
        <w:shd w:val="clear" w:color="auto" w:fill="auto"/>
        <w:bidi w:val="0"/>
        <w:spacing w:before="0" w:after="320" w:line="322" w:lineRule="exact"/>
        <w:ind w:left="0" w:right="0" w:firstLine="0"/>
        <w:jc w:val="both"/>
        <w:rPr>
          <w:sz w:val="22"/>
          <w:szCs w:val="22"/>
        </w:rPr>
      </w:pPr>
      <w:bookmarkStart w:id="642" w:name="bookmark642"/>
      <w:r>
        <w:rPr>
          <w:rFonts w:ascii="Arial" w:eastAsia="Arial" w:hAnsi="Arial" w:cs="Arial"/>
          <w:b w:val="0"/>
          <w:bCs w:val="0"/>
          <w:color w:val="000000"/>
          <w:spacing w:val="0"/>
          <w:w w:val="100"/>
          <w:position w:val="0"/>
          <w:sz w:val="24"/>
          <w:szCs w:val="24"/>
        </w:rPr>
        <w:t>（</w:t>
      </w:r>
      <w:bookmarkEnd w:id="642"/>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固定资产的折旧方法</w:t>
      </w:r>
    </w:p>
    <w:p>
      <w:pPr>
        <w:pStyle w:val="Style33"/>
        <w:keepNext w:val="0"/>
        <w:keepLines w:val="0"/>
        <w:widowControl w:val="0"/>
        <w:shd w:val="clear" w:color="auto" w:fill="auto"/>
        <w:bidi w:val="0"/>
        <w:spacing w:before="0" w:after="360" w:line="322" w:lineRule="exact"/>
        <w:ind w:left="0" w:right="0" w:firstLine="0"/>
        <w:jc w:val="both"/>
        <w:rPr>
          <w:sz w:val="22"/>
          <w:szCs w:val="22"/>
        </w:rPr>
      </w:pPr>
      <w:r>
        <w:rPr>
          <w:b w:val="0"/>
          <w:bCs w:val="0"/>
          <w:color w:val="000000"/>
          <w:spacing w:val="0"/>
          <w:w w:val="100"/>
          <w:position w:val="0"/>
          <w:sz w:val="22"/>
          <w:szCs w:val="22"/>
        </w:rPr>
        <w:t>除发动机机身大修替换件外，固定资产折旧采用年限平均法并按其入账价值减去预计 净残值后在预计使用寿命内计提。对计提了减值准备的固定资产，则在未来期间按扣 除减值准备后的账面价值及依据尚可使用年限确定折旧额。</w:t>
      </w:r>
    </w:p>
    <w:p>
      <w:pPr>
        <w:pStyle w:val="Style29"/>
        <w:keepNext w:val="0"/>
        <w:keepLines w:val="0"/>
        <w:widowControl w:val="0"/>
        <w:shd w:val="clear" w:color="auto" w:fill="auto"/>
        <w:bidi w:val="0"/>
        <w:spacing w:before="0" w:after="0" w:line="240" w:lineRule="auto"/>
        <w:ind w:left="19" w:right="0" w:firstLine="0"/>
        <w:jc w:val="left"/>
        <w:rPr>
          <w:sz w:val="22"/>
          <w:szCs w:val="22"/>
        </w:rPr>
      </w:pPr>
      <w:r>
        <w:rPr>
          <w:color w:val="000000"/>
          <w:spacing w:val="0"/>
          <w:w w:val="100"/>
          <w:position w:val="0"/>
          <w:sz w:val="22"/>
          <w:szCs w:val="22"/>
        </w:rPr>
        <w:t>固定资产的预计使用寿命、净残值率及年折旧率列示如下:</w:t>
      </w:r>
    </w:p>
    <w:tbl>
      <w:tblPr>
        <w:tblOverlap w:val="never"/>
        <w:jc w:val="center"/>
        <w:tblLayout w:type="fixed"/>
      </w:tblPr>
      <w:tblGrid>
        <w:gridCol w:w="3355"/>
        <w:gridCol w:w="1771"/>
        <w:gridCol w:w="1800"/>
        <w:gridCol w:w="1766"/>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预计使用寿命</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预计净残值率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年折旧率</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房屋及建筑物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 xml:space="preserve">10-50 </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9.50%-1.90%</w:t>
            </w: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2"/>
                <w:szCs w:val="22"/>
              </w:rPr>
              <w:t>运输工具</w:t>
            </w:r>
            <w:r>
              <w:rPr>
                <w:rFonts w:ascii="Arial" w:eastAsia="Arial" w:hAnsi="Arial" w:cs="Arial"/>
                <w:color w:val="000000"/>
                <w:spacing w:val="0"/>
                <w:w w:val="100"/>
                <w:position w:val="0"/>
                <w:sz w:val="24"/>
                <w:szCs w:val="24"/>
              </w:rPr>
              <w:t>（</w:t>
            </w:r>
            <w:r>
              <w:rPr>
                <w:color w:val="000000"/>
                <w:spacing w:val="0"/>
                <w:w w:val="100"/>
                <w:position w:val="0"/>
                <w:sz w:val="22"/>
                <w:szCs w:val="22"/>
              </w:rPr>
              <w:t>除电动车外</w:t>
            </w:r>
            <w:r>
              <w:rPr>
                <w:color w:val="000000"/>
                <w:spacing w:val="0"/>
                <w:w w:val="100"/>
                <w:position w:val="0"/>
                <w:sz w:val="28"/>
                <w:szCs w:val="2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4"/>
                <w:szCs w:val="24"/>
              </w:rPr>
              <w:t>4</w:t>
            </w:r>
            <w:r>
              <w:rPr>
                <w:color w:val="000000"/>
                <w:spacing w:val="0"/>
                <w:w w:val="100"/>
                <w:position w:val="0"/>
                <w:sz w:val="22"/>
                <w:szCs w:val="22"/>
              </w:rPr>
              <w:t>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23.75%</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2"/>
                <w:szCs w:val="22"/>
              </w:rPr>
              <w:t>运输工具</w:t>
            </w:r>
            <w:r>
              <w:rPr>
                <w:rFonts w:ascii="Arial" w:eastAsia="Arial" w:hAnsi="Arial" w:cs="Arial"/>
                <w:color w:val="000000"/>
                <w:spacing w:val="0"/>
                <w:w w:val="100"/>
                <w:position w:val="0"/>
                <w:sz w:val="24"/>
                <w:szCs w:val="24"/>
              </w:rPr>
              <w:t>（</w:t>
            </w:r>
            <w:r>
              <w:rPr>
                <w:color w:val="000000"/>
                <w:spacing w:val="0"/>
                <w:w w:val="100"/>
                <w:position w:val="0"/>
                <w:sz w:val="22"/>
                <w:szCs w:val="22"/>
              </w:rPr>
              <w:t>电动车</w:t>
            </w:r>
            <w:r>
              <w:rPr>
                <w:color w:val="000000"/>
                <w:spacing w:val="0"/>
                <w:w w:val="100"/>
                <w:position w:val="0"/>
                <w:sz w:val="28"/>
                <w:szCs w:val="28"/>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4"/>
                <w:szCs w:val="24"/>
              </w:rPr>
              <w:t>2</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47.50%</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机器设备</w:t>
            </w:r>
            <w:r>
              <w:rPr>
                <w:rFonts w:ascii="Arial" w:eastAsia="Arial" w:hAnsi="Arial" w:cs="Arial"/>
                <w:color w:val="000000"/>
                <w:spacing w:val="0"/>
                <w:w w:val="100"/>
                <w:position w:val="0"/>
                <w:sz w:val="24"/>
                <w:szCs w:val="24"/>
              </w:rPr>
              <w:t>（</w:t>
            </w:r>
            <w:r>
              <w:rPr>
                <w:color w:val="000000"/>
                <w:spacing w:val="0"/>
                <w:w w:val="100"/>
                <w:position w:val="0"/>
                <w:sz w:val="22"/>
                <w:szCs w:val="22"/>
              </w:rPr>
              <w:t>除国外进口自动化分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28"/>
                <w:szCs w:val="28"/>
              </w:rPr>
            </w:pPr>
            <w:r>
              <w:rPr>
                <w:color w:val="000000"/>
                <w:spacing w:val="0"/>
                <w:w w:val="100"/>
                <w:position w:val="0"/>
                <w:sz w:val="22"/>
                <w:szCs w:val="22"/>
              </w:rPr>
              <w:t>拣设备外</w:t>
            </w:r>
            <w:r>
              <w:rPr>
                <w:color w:val="000000"/>
                <w:spacing w:val="0"/>
                <w:w w:val="100"/>
                <w:position w:val="0"/>
                <w:sz w:val="28"/>
                <w:szCs w:val="28"/>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10</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9.50%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机器设备</w:t>
            </w:r>
            <w:r>
              <w:rPr>
                <w:rFonts w:ascii="Arial" w:eastAsia="Arial" w:hAnsi="Arial" w:cs="Arial"/>
                <w:color w:val="000000"/>
                <w:spacing w:val="0"/>
                <w:w w:val="100"/>
                <w:position w:val="0"/>
                <w:sz w:val="24"/>
                <w:szCs w:val="24"/>
              </w:rPr>
              <w:t>（</w:t>
            </w:r>
            <w:r>
              <w:rPr>
                <w:color w:val="000000"/>
                <w:spacing w:val="0"/>
                <w:w w:val="100"/>
                <w:position w:val="0"/>
                <w:sz w:val="22"/>
                <w:szCs w:val="22"/>
              </w:rPr>
              <w:t>国外进口自动化分拣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28"/>
                <w:szCs w:val="28"/>
              </w:rPr>
            </w:pPr>
            <w:r>
              <w:rPr>
                <w:color w:val="000000"/>
                <w:spacing w:val="0"/>
                <w:w w:val="100"/>
                <w:position w:val="0"/>
                <w:sz w:val="22"/>
                <w:szCs w:val="22"/>
              </w:rPr>
              <w:t>设备</w:t>
            </w:r>
            <w:r>
              <w:rPr>
                <w:color w:val="000000"/>
                <w:spacing w:val="0"/>
                <w:w w:val="100"/>
                <w:position w:val="0"/>
                <w:sz w:val="28"/>
                <w:szCs w:val="28"/>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15</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6.33%</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计算机及电子设备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4"/>
                <w:szCs w:val="24"/>
              </w:rPr>
              <w:t>3</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31.67%</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飞机及发动机机身</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10</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9.50%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飞机机身大修替换件</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4"/>
                <w:szCs w:val="24"/>
              </w:rPr>
              <w:t xml:space="preserve">1.5-12 </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66.67%-8.33%</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周转件</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10</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9.50%</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高价飞机维修工具</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4"/>
                <w:szCs w:val="24"/>
              </w:rPr>
              <w:t>5</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19.00%</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办公设备及其他设备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4"/>
                <w:szCs w:val="24"/>
              </w:rPr>
              <w:t>5</w:t>
            </w:r>
            <w:r>
              <w:rPr>
                <w:color w:val="000000"/>
                <w:spacing w:val="0"/>
                <w:w w:val="100"/>
                <w:position w:val="0"/>
                <w:sz w:val="22"/>
                <w:szCs w:val="22"/>
              </w:rPr>
              <w:t>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19.00%</w:t>
            </w:r>
          </w:p>
        </w:tc>
      </w:tr>
    </w:tbl>
    <w:p>
      <w:pPr>
        <w:widowControl w:val="0"/>
        <w:spacing w:after="139" w:line="1" w:lineRule="exact"/>
      </w:pPr>
    </w:p>
    <w:p>
      <w:pPr>
        <w:pStyle w:val="Style33"/>
        <w:keepNext w:val="0"/>
        <w:keepLines w:val="0"/>
        <w:widowControl w:val="0"/>
        <w:shd w:val="clear" w:color="auto" w:fill="auto"/>
        <w:bidi w:val="0"/>
        <w:spacing w:before="0" w:after="360" w:line="482" w:lineRule="exact"/>
        <w:ind w:left="0" w:right="0" w:firstLine="0"/>
        <w:jc w:val="both"/>
        <w:rPr>
          <w:sz w:val="22"/>
          <w:szCs w:val="22"/>
        </w:rPr>
      </w:pPr>
      <w:r>
        <w:rPr>
          <w:b w:val="0"/>
          <w:bCs w:val="0"/>
          <w:color w:val="000000"/>
          <w:spacing w:val="0"/>
          <w:w w:val="100"/>
          <w:position w:val="0"/>
          <w:sz w:val="22"/>
          <w:szCs w:val="22"/>
        </w:rPr>
        <w:t>发动机机身大修替换件采用工作量法，以预计可使用循环数为工作量单位计提折旧。 对固定资产的预计使用寿命</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预计可使用循环、预计净残值和折旧方法于每年年度终 了进行复核并作适当调整。</w:t>
      </w:r>
    </w:p>
    <w:p>
      <w:pPr>
        <w:pStyle w:val="Style33"/>
        <w:keepNext w:val="0"/>
        <w:keepLines w:val="0"/>
        <w:widowControl w:val="0"/>
        <w:shd w:val="clear" w:color="auto" w:fill="auto"/>
        <w:bidi w:val="0"/>
        <w:spacing w:before="0" w:after="320" w:line="300" w:lineRule="auto"/>
        <w:ind w:left="0" w:right="0" w:firstLine="0"/>
        <w:jc w:val="both"/>
        <w:rPr>
          <w:sz w:val="22"/>
          <w:szCs w:val="22"/>
        </w:rPr>
        <w:sectPr>
          <w:footnotePr>
            <w:pos w:val="pageBottom"/>
            <w:numFmt w:val="decimal"/>
            <w:numRestart w:val="continuous"/>
          </w:footnotePr>
          <w:pgSz w:w="11900" w:h="16840"/>
          <w:pgMar w:top="1762" w:right="997" w:bottom="2914" w:left="1961" w:header="0" w:footer="3" w:gutter="0"/>
          <w:cols w:space="720"/>
          <w:noEndnote/>
          <w:rtlGutter w:val="0"/>
          <w:docGrid w:linePitch="360"/>
        </w:sectPr>
      </w:pPr>
      <w:bookmarkStart w:id="643" w:name="bookmark643"/>
      <w:r>
        <w:rPr>
          <w:rFonts w:ascii="Arial" w:eastAsia="Arial" w:hAnsi="Arial" w:cs="Arial"/>
          <w:b w:val="0"/>
          <w:bCs w:val="0"/>
          <w:color w:val="000000"/>
          <w:spacing w:val="0"/>
          <w:w w:val="100"/>
          <w:position w:val="0"/>
          <w:sz w:val="24"/>
          <w:szCs w:val="24"/>
        </w:rPr>
        <w:t>（</w:t>
      </w:r>
      <w:bookmarkEnd w:id="643"/>
      <w:r>
        <w:rPr>
          <w:rFonts w:ascii="Arial" w:eastAsia="Arial" w:hAnsi="Arial" w:cs="Arial"/>
          <w:b w:val="0"/>
          <w:bCs w:val="0"/>
          <w:color w:val="000000"/>
          <w:spacing w:val="0"/>
          <w:w w:val="100"/>
          <w:position w:val="0"/>
          <w:sz w:val="24"/>
          <w:szCs w:val="24"/>
        </w:rPr>
        <w:t>c）</w:t>
      </w:r>
      <w:r>
        <w:rPr>
          <w:b w:val="0"/>
          <w:bCs w:val="0"/>
          <w:color w:val="000000"/>
          <w:spacing w:val="0"/>
          <w:w w:val="100"/>
          <w:position w:val="0"/>
          <w:sz w:val="22"/>
          <w:szCs w:val="22"/>
        </w:rPr>
        <w:t>当固定资产的可收回金额低于其账面价值时,账面价值减记至可收回金额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附注二 </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w:t>
      </w:r>
    </w:p>
    <w:p>
      <w:pPr>
        <w:pStyle w:val="Style27"/>
        <w:keepNext/>
        <w:keepLines/>
        <w:widowControl w:val="0"/>
        <w:shd w:val="clear" w:color="auto" w:fill="auto"/>
        <w:bidi w:val="0"/>
        <w:spacing w:before="0" w:after="360" w:line="319" w:lineRule="exact"/>
        <w:ind w:left="0" w:right="0" w:firstLine="0"/>
        <w:jc w:val="both"/>
        <w:rPr>
          <w:sz w:val="28"/>
          <w:szCs w:val="28"/>
        </w:rPr>
      </w:pPr>
      <w:bookmarkStart w:id="644" w:name="bookmark644"/>
      <w:bookmarkStart w:id="645" w:name="bookmark645"/>
      <w:bookmarkStart w:id="646" w:name="bookmark646"/>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44"/>
      <w:bookmarkEnd w:id="645"/>
      <w:bookmarkEnd w:id="646"/>
    </w:p>
    <w:p>
      <w:pPr>
        <w:pStyle w:val="Style94"/>
        <w:keepNext w:val="0"/>
        <w:keepLines w:val="0"/>
        <w:widowControl w:val="0"/>
        <w:numPr>
          <w:ilvl w:val="0"/>
          <w:numId w:val="31"/>
        </w:numPr>
        <w:shd w:val="clear" w:color="auto" w:fill="auto"/>
        <w:tabs>
          <w:tab w:pos="840" w:val="left"/>
        </w:tabs>
        <w:bidi w:val="0"/>
        <w:spacing w:before="0"/>
        <w:ind w:left="0" w:right="0" w:firstLine="0"/>
        <w:jc w:val="both"/>
        <w:rPr>
          <w:sz w:val="28"/>
          <w:szCs w:val="28"/>
        </w:rPr>
      </w:pPr>
      <w:bookmarkStart w:id="647" w:name="bookmark647"/>
      <w:bookmarkEnd w:id="647"/>
      <w:r>
        <w:rPr>
          <w:rFonts w:ascii="SimSun" w:eastAsia="SimSun" w:hAnsi="SimSun" w:cs="SimSun"/>
          <w:b/>
          <w:bCs/>
          <w:color w:val="000000"/>
          <w:spacing w:val="0"/>
          <w:w w:val="100"/>
          <w:position w:val="0"/>
          <w:sz w:val="22"/>
          <w:szCs w:val="22"/>
        </w:rPr>
        <w:t>固定资产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numPr>
          <w:ilvl w:val="0"/>
          <w:numId w:val="21"/>
        </w:numPr>
        <w:shd w:val="clear" w:color="auto" w:fill="auto"/>
        <w:tabs>
          <w:tab w:pos="447" w:val="left"/>
        </w:tabs>
        <w:bidi w:val="0"/>
        <w:spacing w:before="0" w:after="280" w:line="319" w:lineRule="exact"/>
        <w:ind w:left="0" w:right="0" w:firstLine="0"/>
        <w:jc w:val="both"/>
        <w:rPr>
          <w:sz w:val="22"/>
          <w:szCs w:val="22"/>
        </w:rPr>
      </w:pPr>
      <w:bookmarkStart w:id="648" w:name="bookmark648"/>
      <w:bookmarkEnd w:id="648"/>
      <w:r>
        <w:rPr>
          <w:b w:val="0"/>
          <w:bCs w:val="0"/>
          <w:color w:val="000000"/>
          <w:spacing w:val="0"/>
          <w:w w:val="100"/>
          <w:position w:val="0"/>
          <w:sz w:val="22"/>
          <w:szCs w:val="22"/>
        </w:rPr>
        <w:t>融资租入固定资产的认定依据和计量方法</w:t>
      </w:r>
    </w:p>
    <w:p>
      <w:pPr>
        <w:pStyle w:val="Style33"/>
        <w:keepNext w:val="0"/>
        <w:keepLines w:val="0"/>
        <w:widowControl w:val="0"/>
        <w:shd w:val="clear" w:color="auto" w:fill="auto"/>
        <w:bidi w:val="0"/>
        <w:spacing w:before="0" w:after="280" w:line="314" w:lineRule="exact"/>
        <w:ind w:left="0" w:right="0" w:firstLine="0"/>
        <w:jc w:val="both"/>
        <w:rPr>
          <w:sz w:val="22"/>
          <w:szCs w:val="22"/>
        </w:rPr>
      </w:pPr>
      <w:r>
        <w:rPr>
          <w:b w:val="0"/>
          <w:bCs w:val="0"/>
          <w:color w:val="000000"/>
          <w:spacing w:val="0"/>
          <w:w w:val="100"/>
          <w:position w:val="0"/>
          <w:sz w:val="22"/>
          <w:szCs w:val="22"/>
        </w:rPr>
        <w:t xml:space="preserve">实质上转移了与资产所有权有关的全部风险和报酬的租赁为融资租赁。融资租入固定 资产以租赁资产的公允价值与最低租赁付款额的现值两者中的较低者作为租入资产 的入账价值。租入资产的入账价值与最低租赁付款额之间的差额作为未确认融资费用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(28)(b))</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360" w:line="324" w:lineRule="exact"/>
        <w:ind w:left="0" w:right="0" w:firstLine="0"/>
        <w:jc w:val="both"/>
        <w:rPr>
          <w:sz w:val="22"/>
          <w:szCs w:val="22"/>
        </w:rPr>
      </w:pPr>
      <w:r>
        <w:rPr>
          <w:b w:val="0"/>
          <w:bCs w:val="0"/>
          <w:color w:val="000000"/>
          <w:spacing w:val="0"/>
          <w:w w:val="100"/>
          <w:position w:val="0"/>
          <w:sz w:val="22"/>
          <w:szCs w:val="22"/>
        </w:rPr>
        <w:t>融资租入的固定资产采用与自有固定资产相一致的折旧政策。能够合理确定租赁期届 满时将取得租入资产所有权的，租入固定资产在其预计使用寿命内计提折旧；否则， 租入固定资产在租赁期与该资产预计使用寿命两者中较短的期间内计提折旧。</w:t>
      </w:r>
    </w:p>
    <w:p>
      <w:pPr>
        <w:pStyle w:val="Style33"/>
        <w:keepNext w:val="0"/>
        <w:keepLines w:val="0"/>
        <w:widowControl w:val="0"/>
        <w:numPr>
          <w:ilvl w:val="0"/>
          <w:numId w:val="21"/>
        </w:numPr>
        <w:shd w:val="clear" w:color="auto" w:fill="auto"/>
        <w:tabs>
          <w:tab w:pos="447" w:val="left"/>
        </w:tabs>
        <w:bidi w:val="0"/>
        <w:spacing w:before="0" w:after="280" w:line="276" w:lineRule="auto"/>
        <w:ind w:left="0" w:right="0" w:firstLine="0"/>
        <w:jc w:val="both"/>
        <w:rPr>
          <w:sz w:val="22"/>
          <w:szCs w:val="22"/>
        </w:rPr>
      </w:pPr>
      <w:bookmarkStart w:id="649" w:name="bookmark649"/>
      <w:bookmarkEnd w:id="649"/>
      <w:r>
        <w:rPr>
          <w:b w:val="0"/>
          <w:bCs w:val="0"/>
          <w:color w:val="000000"/>
          <w:spacing w:val="0"/>
          <w:w w:val="100"/>
          <w:position w:val="0"/>
          <w:sz w:val="22"/>
          <w:szCs w:val="22"/>
        </w:rPr>
        <w:t>固定资产的处置</w:t>
      </w:r>
    </w:p>
    <w:p>
      <w:pPr>
        <w:pStyle w:val="Style33"/>
        <w:keepNext w:val="0"/>
        <w:keepLines w:val="0"/>
        <w:widowControl w:val="0"/>
        <w:shd w:val="clear" w:color="auto" w:fill="auto"/>
        <w:bidi w:val="0"/>
        <w:spacing w:before="0" w:after="360" w:line="319" w:lineRule="exact"/>
        <w:ind w:left="0" w:right="0" w:firstLine="0"/>
        <w:jc w:val="both"/>
        <w:rPr>
          <w:sz w:val="22"/>
          <w:szCs w:val="22"/>
        </w:rPr>
      </w:pPr>
      <w:r>
        <w:rPr>
          <w:b w:val="0"/>
          <w:bCs w:val="0"/>
          <w:color w:val="000000"/>
          <w:spacing w:val="0"/>
          <w:w w:val="100"/>
          <w:position w:val="0"/>
          <w:sz w:val="22"/>
          <w:szCs w:val="22"/>
        </w:rPr>
        <w:t>当固定资产被处置、或者预期通过使用或处置不能产生经济利益时，终止确认该固定 资产。固定资产出售、转让、报废或毁损的处置收入扣除其账面价值和相关税费后的 金额计入当期损益。</w:t>
      </w:r>
    </w:p>
    <w:p>
      <w:pPr>
        <w:pStyle w:val="Style94"/>
        <w:keepNext w:val="0"/>
        <w:keepLines w:val="0"/>
        <w:widowControl w:val="0"/>
        <w:numPr>
          <w:ilvl w:val="0"/>
          <w:numId w:val="31"/>
        </w:numPr>
        <w:shd w:val="clear" w:color="auto" w:fill="auto"/>
        <w:tabs>
          <w:tab w:pos="840" w:val="left"/>
        </w:tabs>
        <w:bidi w:val="0"/>
        <w:spacing w:before="0"/>
        <w:ind w:left="0" w:right="0" w:firstLine="0"/>
        <w:jc w:val="both"/>
        <w:rPr>
          <w:sz w:val="22"/>
          <w:szCs w:val="22"/>
        </w:rPr>
      </w:pPr>
      <w:bookmarkStart w:id="650" w:name="bookmark650"/>
      <w:bookmarkEnd w:id="650"/>
      <w:r>
        <w:rPr>
          <w:rFonts w:ascii="SimSun" w:eastAsia="SimSun" w:hAnsi="SimSun" w:cs="SimSun"/>
          <w:b/>
          <w:bCs/>
          <w:color w:val="000000"/>
          <w:spacing w:val="0"/>
          <w:w w:val="100"/>
          <w:position w:val="0"/>
          <w:sz w:val="22"/>
          <w:szCs w:val="22"/>
        </w:rPr>
        <w:t>在建工程</w:t>
      </w:r>
    </w:p>
    <w:p>
      <w:pPr>
        <w:pStyle w:val="Style33"/>
        <w:keepNext w:val="0"/>
        <w:keepLines w:val="0"/>
        <w:widowControl w:val="0"/>
        <w:shd w:val="clear" w:color="auto" w:fill="auto"/>
        <w:bidi w:val="0"/>
        <w:spacing w:before="0" w:after="360" w:line="318" w:lineRule="exact"/>
        <w:ind w:left="0" w:right="0" w:firstLine="0"/>
        <w:jc w:val="both"/>
        <w:rPr>
          <w:sz w:val="22"/>
          <w:szCs w:val="22"/>
        </w:rPr>
      </w:pPr>
      <w:r>
        <w:rPr>
          <w:b w:val="0"/>
          <w:bCs w:val="0"/>
          <w:color w:val="000000"/>
          <w:spacing w:val="0"/>
          <w:w w:val="100"/>
          <w:position w:val="0"/>
          <w:sz w:val="22"/>
          <w:szCs w:val="22"/>
        </w:rPr>
        <w:t>在建工程按实际发生的成本计量。实际成本包括建筑成本、安装成本、符合资本化条 件的借款费用以及其他为使在建工程达到预定可使用状态所发生的必要支出。在建工 程在达到预定可使用状态时，转入固定资产并自次月起开始计提折旧。当在建工程的 可收回金额低于其账面价值时，账面价值减记至可收回金额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附注二</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w:t>
      </w:r>
    </w:p>
    <w:p>
      <w:pPr>
        <w:pStyle w:val="Style94"/>
        <w:keepNext w:val="0"/>
        <w:keepLines w:val="0"/>
        <w:widowControl w:val="0"/>
        <w:numPr>
          <w:ilvl w:val="0"/>
          <w:numId w:val="31"/>
        </w:numPr>
        <w:shd w:val="clear" w:color="auto" w:fill="auto"/>
        <w:tabs>
          <w:tab w:pos="840" w:val="left"/>
        </w:tabs>
        <w:bidi w:val="0"/>
        <w:spacing w:before="0"/>
        <w:ind w:left="0" w:right="0" w:firstLine="0"/>
        <w:jc w:val="both"/>
        <w:rPr>
          <w:sz w:val="22"/>
          <w:szCs w:val="22"/>
        </w:rPr>
      </w:pPr>
      <w:bookmarkStart w:id="651" w:name="bookmark651"/>
      <w:bookmarkEnd w:id="651"/>
      <w:r>
        <w:rPr>
          <w:rFonts w:ascii="SimSun" w:eastAsia="SimSun" w:hAnsi="SimSun" w:cs="SimSun"/>
          <w:b/>
          <w:bCs/>
          <w:color w:val="000000"/>
          <w:spacing w:val="0"/>
          <w:w w:val="100"/>
          <w:position w:val="0"/>
          <w:sz w:val="22"/>
          <w:szCs w:val="22"/>
        </w:rPr>
        <w:t>借款费用</w:t>
      </w:r>
    </w:p>
    <w:p>
      <w:pPr>
        <w:pStyle w:val="Style33"/>
        <w:keepNext w:val="0"/>
        <w:keepLines w:val="0"/>
        <w:widowControl w:val="0"/>
        <w:shd w:val="clear" w:color="auto" w:fill="auto"/>
        <w:bidi w:val="0"/>
        <w:spacing w:before="0" w:after="280" w:line="321" w:lineRule="exact"/>
        <w:ind w:left="0" w:right="0" w:firstLine="0"/>
        <w:jc w:val="both"/>
        <w:rPr>
          <w:sz w:val="22"/>
          <w:szCs w:val="22"/>
        </w:rPr>
        <w:sectPr>
          <w:footnotePr>
            <w:pos w:val="pageBottom"/>
            <w:numFmt w:val="decimal"/>
            <w:numRestart w:val="continuous"/>
          </w:footnotePr>
          <w:pgSz w:w="11900" w:h="16840"/>
          <w:pgMar w:top="1762" w:right="990" w:bottom="1762" w:left="1962" w:header="0" w:footer="3" w:gutter="0"/>
          <w:cols w:space="720"/>
          <w:noEndnote/>
          <w:rtlGutter w:val="0"/>
          <w:docGrid w:linePitch="360"/>
        </w:sectPr>
      </w:pPr>
      <w:r>
        <w:rPr>
          <w:b w:val="0"/>
          <w:bCs w:val="0"/>
          <w:color w:val="000000"/>
          <w:spacing w:val="0"/>
          <w:w w:val="100"/>
          <w:position w:val="0"/>
          <w:sz w:val="22"/>
          <w:szCs w:val="22"/>
        </w:rPr>
        <w:t>发生的可直接归属于需要经过相当长时间的购建活动才能达到预定可使用状态之固 定资产的购建的借款费用，在资产支出及借款费用已经发生、为使资产达到预定可使 用状态所必要的购建活动已经开始时，开始资本化并计入该资产的成本。当购建的资 产达到预定可使用状态时停止资本化，其后发生的借款费用计入当期损益。如果资产 的购建活动发生非正常中断，并且中断时间连续超过</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个月，暂停借款费用的资本化, 直至资产的购建活动重新开始。</w:t>
      </w:r>
    </w:p>
    <w:p>
      <w:pPr>
        <w:pStyle w:val="Style27"/>
        <w:keepNext/>
        <w:keepLines/>
        <w:widowControl w:val="0"/>
        <w:shd w:val="clear" w:color="auto" w:fill="auto"/>
        <w:bidi w:val="0"/>
        <w:spacing w:before="0" w:line="318" w:lineRule="exact"/>
        <w:ind w:left="0" w:right="0" w:firstLine="0"/>
        <w:jc w:val="both"/>
        <w:rPr>
          <w:sz w:val="28"/>
          <w:szCs w:val="28"/>
        </w:rPr>
      </w:pPr>
      <w:bookmarkStart w:id="652" w:name="bookmark652"/>
      <w:bookmarkStart w:id="653" w:name="bookmark653"/>
      <w:bookmarkStart w:id="654" w:name="bookmark654"/>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52"/>
      <w:bookmarkEnd w:id="653"/>
      <w:bookmarkEnd w:id="654"/>
    </w:p>
    <w:p>
      <w:pPr>
        <w:pStyle w:val="Style94"/>
        <w:keepNext w:val="0"/>
        <w:keepLines w:val="0"/>
        <w:widowControl w:val="0"/>
        <w:numPr>
          <w:ilvl w:val="0"/>
          <w:numId w:val="33"/>
        </w:numPr>
        <w:shd w:val="clear" w:color="auto" w:fill="auto"/>
        <w:tabs>
          <w:tab w:pos="838" w:val="left"/>
        </w:tabs>
        <w:bidi w:val="0"/>
        <w:spacing w:before="0" w:after="260"/>
        <w:ind w:left="0" w:right="0" w:firstLine="0"/>
        <w:jc w:val="both"/>
        <w:rPr>
          <w:sz w:val="28"/>
          <w:szCs w:val="28"/>
        </w:rPr>
      </w:pPr>
      <w:bookmarkStart w:id="655" w:name="bookmark655"/>
      <w:bookmarkEnd w:id="655"/>
      <w:r>
        <w:rPr>
          <w:rFonts w:ascii="SimSun" w:eastAsia="SimSun" w:hAnsi="SimSun" w:cs="SimSun"/>
          <w:b/>
          <w:bCs/>
          <w:color w:val="000000"/>
          <w:spacing w:val="0"/>
          <w:w w:val="100"/>
          <w:position w:val="0"/>
          <w:sz w:val="22"/>
          <w:szCs w:val="22"/>
        </w:rPr>
        <w:t>借款费用</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20" w:line="319" w:lineRule="exact"/>
        <w:ind w:left="0" w:right="0" w:firstLine="0"/>
        <w:jc w:val="both"/>
        <w:rPr>
          <w:sz w:val="22"/>
          <w:szCs w:val="22"/>
        </w:rPr>
      </w:pPr>
      <w:r>
        <w:rPr>
          <w:b w:val="0"/>
          <w:bCs w:val="0"/>
          <w:color w:val="000000"/>
          <w:spacing w:val="0"/>
          <w:w w:val="100"/>
          <w:position w:val="0"/>
          <w:sz w:val="22"/>
          <w:szCs w:val="22"/>
        </w:rPr>
        <w:t>对于为购建符合资本化条件的资产而借入的专门借款，以专门借款当期实际发生的利 息费用减去尚未动用的借款资金存入银行取得的利息收入或进行暂时性投资取得的 投资收益后的金额确定专门借款借款费用的资本化金额。</w:t>
      </w:r>
    </w:p>
    <w:p>
      <w:pPr>
        <w:pStyle w:val="Style33"/>
        <w:keepNext w:val="0"/>
        <w:keepLines w:val="0"/>
        <w:widowControl w:val="0"/>
        <w:shd w:val="clear" w:color="auto" w:fill="auto"/>
        <w:bidi w:val="0"/>
        <w:spacing w:before="0" w:after="380" w:line="318" w:lineRule="exact"/>
        <w:ind w:left="0" w:right="0" w:firstLine="0"/>
        <w:jc w:val="both"/>
        <w:rPr>
          <w:sz w:val="22"/>
          <w:szCs w:val="22"/>
        </w:rPr>
      </w:pPr>
      <w:r>
        <w:rPr>
          <w:b w:val="0"/>
          <w:bCs w:val="0"/>
          <w:color w:val="000000"/>
          <w:spacing w:val="0"/>
          <w:w w:val="100"/>
          <w:position w:val="0"/>
          <w:sz w:val="22"/>
          <w:szCs w:val="22"/>
        </w:rPr>
        <w:t>对于为购建符合资本化条件的资产而占用的一般借款，按照累计资产支出超过专门借 款部分的资本支出加权平均数乘以所占用一般借款的加权平均实际利率计算确定一 般借款借款费用的资本化金额。实际利率为将借款在预期存续期间或适用的更短期间 内的未来现金流量折现为该借款初始确认金额所使用的利率。</w:t>
      </w:r>
    </w:p>
    <w:p>
      <w:pPr>
        <w:pStyle w:val="Style94"/>
        <w:keepNext w:val="0"/>
        <w:keepLines w:val="0"/>
        <w:widowControl w:val="0"/>
        <w:numPr>
          <w:ilvl w:val="0"/>
          <w:numId w:val="33"/>
        </w:numPr>
        <w:shd w:val="clear" w:color="auto" w:fill="auto"/>
        <w:tabs>
          <w:tab w:pos="838" w:val="left"/>
        </w:tabs>
        <w:bidi w:val="0"/>
        <w:spacing w:before="0" w:after="260"/>
        <w:ind w:left="0" w:right="0" w:firstLine="0"/>
        <w:jc w:val="both"/>
        <w:rPr>
          <w:sz w:val="22"/>
          <w:szCs w:val="22"/>
        </w:rPr>
      </w:pPr>
      <w:bookmarkStart w:id="656" w:name="bookmark656"/>
      <w:bookmarkEnd w:id="656"/>
      <w:r>
        <w:rPr>
          <w:rFonts w:ascii="SimSun" w:eastAsia="SimSun" w:hAnsi="SimSun" w:cs="SimSun"/>
          <w:b/>
          <w:bCs/>
          <w:color w:val="000000"/>
          <w:spacing w:val="0"/>
          <w:w w:val="100"/>
          <w:position w:val="0"/>
          <w:sz w:val="22"/>
          <w:szCs w:val="22"/>
        </w:rPr>
        <w:t>无形资产</w:t>
      </w:r>
    </w:p>
    <w:p>
      <w:pPr>
        <w:pStyle w:val="Style33"/>
        <w:keepNext w:val="0"/>
        <w:keepLines w:val="0"/>
        <w:widowControl w:val="0"/>
        <w:shd w:val="clear" w:color="auto" w:fill="auto"/>
        <w:bidi w:val="0"/>
        <w:spacing w:before="0" w:after="380" w:line="314" w:lineRule="exact"/>
        <w:ind w:left="0" w:right="0" w:firstLine="0"/>
        <w:jc w:val="both"/>
        <w:rPr>
          <w:sz w:val="22"/>
          <w:szCs w:val="22"/>
        </w:rPr>
      </w:pPr>
      <w:r>
        <w:rPr>
          <w:b w:val="0"/>
          <w:bCs w:val="0"/>
          <w:color w:val="000000"/>
          <w:spacing w:val="0"/>
          <w:w w:val="100"/>
          <w:position w:val="0"/>
          <w:sz w:val="22"/>
          <w:szCs w:val="22"/>
        </w:rPr>
        <w:t>无形资产包括软件使用权、土地使用权、商标权及专利权，以成本计量。对于使用寿 命有限的无形资产，在为企业带来经济利益的期限内按直线法摊销；无法预见无形资 产为企业带来经济利益期限的，视为使用寿命不确定的无形资产，不予摊销。</w:t>
      </w:r>
    </w:p>
    <w:p>
      <w:pPr>
        <w:pStyle w:val="Style33"/>
        <w:keepNext w:val="0"/>
        <w:keepLines w:val="0"/>
        <w:widowControl w:val="0"/>
        <w:numPr>
          <w:ilvl w:val="0"/>
          <w:numId w:val="35"/>
        </w:numPr>
        <w:shd w:val="clear" w:color="auto" w:fill="auto"/>
        <w:tabs>
          <w:tab w:pos="464" w:val="left"/>
        </w:tabs>
        <w:bidi w:val="0"/>
        <w:spacing w:before="0" w:after="260" w:line="276" w:lineRule="auto"/>
        <w:ind w:left="0" w:right="0" w:firstLine="0"/>
        <w:jc w:val="both"/>
        <w:rPr>
          <w:sz w:val="22"/>
          <w:szCs w:val="22"/>
        </w:rPr>
      </w:pPr>
      <w:bookmarkStart w:id="657" w:name="bookmark657"/>
      <w:bookmarkEnd w:id="657"/>
      <w:r>
        <w:rPr>
          <w:b w:val="0"/>
          <w:bCs w:val="0"/>
          <w:color w:val="000000"/>
          <w:spacing w:val="0"/>
          <w:w w:val="100"/>
          <w:position w:val="0"/>
          <w:sz w:val="22"/>
          <w:szCs w:val="22"/>
        </w:rPr>
        <w:t>软件使用权</w:t>
      </w:r>
    </w:p>
    <w:p>
      <w:pPr>
        <w:pStyle w:val="Style33"/>
        <w:keepNext w:val="0"/>
        <w:keepLines w:val="0"/>
        <w:widowControl w:val="0"/>
        <w:shd w:val="clear" w:color="auto" w:fill="auto"/>
        <w:bidi w:val="0"/>
        <w:spacing w:before="0" w:after="380" w:line="318" w:lineRule="exact"/>
        <w:ind w:left="0" w:right="0" w:firstLine="0"/>
        <w:jc w:val="both"/>
        <w:rPr>
          <w:sz w:val="22"/>
          <w:szCs w:val="22"/>
        </w:rPr>
      </w:pPr>
      <w:r>
        <w:rPr>
          <w:b w:val="0"/>
          <w:bCs w:val="0"/>
          <w:color w:val="000000"/>
          <w:spacing w:val="0"/>
          <w:w w:val="100"/>
          <w:position w:val="0"/>
          <w:sz w:val="22"/>
          <w:szCs w:val="22"/>
        </w:rPr>
        <w:t>软件使用权按</w:t>
      </w:r>
      <w:r>
        <w:rPr>
          <w:rFonts w:ascii="Arial" w:eastAsia="Arial" w:hAnsi="Arial" w:cs="Arial"/>
          <w:b w:val="0"/>
          <w:bCs w:val="0"/>
          <w:color w:val="000000"/>
          <w:spacing w:val="0"/>
          <w:w w:val="100"/>
          <w:position w:val="0"/>
          <w:sz w:val="24"/>
          <w:szCs w:val="24"/>
        </w:rPr>
        <w:t>5-10</w:t>
      </w:r>
      <w:r>
        <w:rPr>
          <w:b w:val="0"/>
          <w:bCs w:val="0"/>
          <w:color w:val="000000"/>
          <w:spacing w:val="0"/>
          <w:w w:val="100"/>
          <w:position w:val="0"/>
          <w:sz w:val="22"/>
          <w:szCs w:val="22"/>
        </w:rPr>
        <w:t>年平均摊销。</w:t>
      </w:r>
    </w:p>
    <w:p>
      <w:pPr>
        <w:pStyle w:val="Style33"/>
        <w:keepNext w:val="0"/>
        <w:keepLines w:val="0"/>
        <w:widowControl w:val="0"/>
        <w:numPr>
          <w:ilvl w:val="0"/>
          <w:numId w:val="35"/>
        </w:numPr>
        <w:shd w:val="clear" w:color="auto" w:fill="auto"/>
        <w:tabs>
          <w:tab w:pos="464" w:val="left"/>
        </w:tabs>
        <w:bidi w:val="0"/>
        <w:spacing w:before="0" w:after="260" w:line="276" w:lineRule="auto"/>
        <w:ind w:left="0" w:right="0" w:firstLine="0"/>
        <w:jc w:val="both"/>
        <w:rPr>
          <w:sz w:val="22"/>
          <w:szCs w:val="22"/>
        </w:rPr>
      </w:pPr>
      <w:bookmarkStart w:id="658" w:name="bookmark658"/>
      <w:bookmarkEnd w:id="658"/>
      <w:r>
        <w:rPr>
          <w:b w:val="0"/>
          <w:bCs w:val="0"/>
          <w:color w:val="000000"/>
          <w:spacing w:val="0"/>
          <w:w w:val="100"/>
          <w:position w:val="0"/>
          <w:sz w:val="22"/>
          <w:szCs w:val="22"/>
        </w:rPr>
        <w:t>土地使用权</w:t>
      </w:r>
    </w:p>
    <w:p>
      <w:pPr>
        <w:pStyle w:val="Style33"/>
        <w:keepNext w:val="0"/>
        <w:keepLines w:val="0"/>
        <w:widowControl w:val="0"/>
        <w:shd w:val="clear" w:color="auto" w:fill="auto"/>
        <w:bidi w:val="0"/>
        <w:spacing w:before="0" w:after="380" w:line="326" w:lineRule="exact"/>
        <w:ind w:left="0" w:right="0" w:firstLine="0"/>
        <w:jc w:val="both"/>
        <w:rPr>
          <w:sz w:val="22"/>
          <w:szCs w:val="22"/>
        </w:rPr>
      </w:pPr>
      <w:r>
        <w:rPr>
          <w:b w:val="0"/>
          <w:bCs w:val="0"/>
          <w:color w:val="000000"/>
          <w:spacing w:val="0"/>
          <w:w w:val="100"/>
          <w:position w:val="0"/>
          <w:sz w:val="22"/>
          <w:szCs w:val="22"/>
        </w:rPr>
        <w:t>土地使用权按</w:t>
      </w:r>
      <w:r>
        <w:rPr>
          <w:rFonts w:ascii="Arial" w:eastAsia="Arial" w:hAnsi="Arial" w:cs="Arial"/>
          <w:b w:val="0"/>
          <w:bCs w:val="0"/>
          <w:color w:val="000000"/>
          <w:spacing w:val="0"/>
          <w:w w:val="100"/>
          <w:position w:val="0"/>
          <w:sz w:val="24"/>
          <w:szCs w:val="24"/>
        </w:rPr>
        <w:t>39.75-50</w:t>
      </w:r>
      <w:r>
        <w:rPr>
          <w:b w:val="0"/>
          <w:bCs w:val="0"/>
          <w:color w:val="000000"/>
          <w:spacing w:val="0"/>
          <w:w w:val="100"/>
          <w:position w:val="0"/>
          <w:sz w:val="22"/>
          <w:szCs w:val="22"/>
        </w:rPr>
        <w:t>年平均摊销。外购土地及建筑物的价款难以在土地使用权与 建筑物之间合理分配的，全部作为固定资产。</w:t>
      </w:r>
    </w:p>
    <w:p>
      <w:pPr>
        <w:pStyle w:val="Style94"/>
        <w:keepNext w:val="0"/>
        <w:keepLines w:val="0"/>
        <w:widowControl w:val="0"/>
        <w:numPr>
          <w:ilvl w:val="0"/>
          <w:numId w:val="35"/>
        </w:numPr>
        <w:shd w:val="clear" w:color="auto" w:fill="auto"/>
        <w:tabs>
          <w:tab w:pos="464" w:val="left"/>
        </w:tabs>
        <w:bidi w:val="0"/>
        <w:spacing w:before="0" w:after="260"/>
        <w:ind w:left="0" w:right="0" w:firstLine="0"/>
        <w:jc w:val="both"/>
        <w:rPr>
          <w:sz w:val="22"/>
          <w:szCs w:val="22"/>
        </w:rPr>
      </w:pPr>
      <w:bookmarkStart w:id="659" w:name="bookmark659"/>
      <w:bookmarkEnd w:id="659"/>
      <w:r>
        <w:rPr>
          <w:rFonts w:ascii="SimSun" w:eastAsia="SimSun" w:hAnsi="SimSun" w:cs="SimSun"/>
          <w:color w:val="000000"/>
          <w:spacing w:val="0"/>
          <w:w w:val="100"/>
          <w:position w:val="0"/>
          <w:sz w:val="22"/>
          <w:szCs w:val="22"/>
        </w:rPr>
        <w:t>商标权</w:t>
      </w:r>
    </w:p>
    <w:p>
      <w:pPr>
        <w:pStyle w:val="Style33"/>
        <w:keepNext w:val="0"/>
        <w:keepLines w:val="0"/>
        <w:widowControl w:val="0"/>
        <w:shd w:val="clear" w:color="auto" w:fill="auto"/>
        <w:bidi w:val="0"/>
        <w:spacing w:before="0" w:after="320" w:line="318" w:lineRule="exact"/>
        <w:ind w:left="0" w:right="0" w:firstLine="0"/>
        <w:jc w:val="both"/>
        <w:rPr>
          <w:sz w:val="22"/>
          <w:szCs w:val="22"/>
        </w:rPr>
        <w:sectPr>
          <w:footnotePr>
            <w:pos w:val="pageBottom"/>
            <w:numFmt w:val="decimal"/>
            <w:numRestart w:val="continuous"/>
          </w:footnotePr>
          <w:pgSz w:w="11900" w:h="16840"/>
          <w:pgMar w:top="1762" w:right="1000" w:bottom="1762" w:left="1962" w:header="0" w:footer="3" w:gutter="0"/>
          <w:cols w:space="720"/>
          <w:noEndnote/>
          <w:rtlGutter w:val="0"/>
          <w:docGrid w:linePitch="360"/>
        </w:sectPr>
      </w:pPr>
      <w:r>
        <w:rPr>
          <w:b w:val="0"/>
          <w:bCs w:val="0"/>
          <w:color w:val="000000"/>
          <w:spacing w:val="0"/>
          <w:w w:val="100"/>
          <w:position w:val="0"/>
          <w:sz w:val="22"/>
          <w:szCs w:val="22"/>
        </w:rPr>
        <w:t>商标权按</w:t>
      </w:r>
      <w:r>
        <w:rPr>
          <w:rFonts w:ascii="Arial" w:eastAsia="Arial" w:hAnsi="Arial" w:cs="Arial"/>
          <w:b w:val="0"/>
          <w:bCs w:val="0"/>
          <w:color w:val="000000"/>
          <w:spacing w:val="0"/>
          <w:w w:val="100"/>
          <w:position w:val="0"/>
          <w:sz w:val="24"/>
          <w:szCs w:val="24"/>
        </w:rPr>
        <w:t>5-10</w:t>
      </w:r>
      <w:r>
        <w:rPr>
          <w:b w:val="0"/>
          <w:bCs w:val="0"/>
          <w:color w:val="000000"/>
          <w:spacing w:val="0"/>
          <w:w w:val="100"/>
          <w:position w:val="0"/>
          <w:sz w:val="22"/>
          <w:szCs w:val="22"/>
        </w:rPr>
        <w:t>年平均摊销。</w:t>
      </w:r>
    </w:p>
    <w:p>
      <w:pPr>
        <w:pStyle w:val="Style27"/>
        <w:keepNext/>
        <w:keepLines/>
        <w:widowControl w:val="0"/>
        <w:shd w:val="clear" w:color="auto" w:fill="auto"/>
        <w:bidi w:val="0"/>
        <w:spacing w:before="0" w:line="322" w:lineRule="exact"/>
        <w:ind w:left="0" w:right="0" w:firstLine="0"/>
        <w:jc w:val="both"/>
        <w:rPr>
          <w:sz w:val="28"/>
          <w:szCs w:val="28"/>
        </w:rPr>
      </w:pPr>
      <w:bookmarkStart w:id="660" w:name="bookmark660"/>
      <w:bookmarkStart w:id="661" w:name="bookmark661"/>
      <w:bookmarkStart w:id="662" w:name="bookmark662"/>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60"/>
      <w:bookmarkEnd w:id="661"/>
      <w:bookmarkEnd w:id="662"/>
    </w:p>
    <w:p>
      <w:pPr>
        <w:pStyle w:val="Style94"/>
        <w:keepNext w:val="0"/>
        <w:keepLines w:val="0"/>
        <w:widowControl w:val="0"/>
        <w:numPr>
          <w:ilvl w:val="0"/>
          <w:numId w:val="31"/>
        </w:numPr>
        <w:shd w:val="clear" w:color="auto" w:fill="auto"/>
        <w:tabs>
          <w:tab w:pos="838" w:val="left"/>
        </w:tabs>
        <w:bidi w:val="0"/>
        <w:spacing w:before="0" w:after="320"/>
        <w:ind w:left="0" w:right="0" w:firstLine="0"/>
        <w:jc w:val="both"/>
        <w:rPr>
          <w:sz w:val="28"/>
          <w:szCs w:val="28"/>
        </w:rPr>
      </w:pPr>
      <w:bookmarkStart w:id="663" w:name="bookmark663"/>
      <w:bookmarkEnd w:id="663"/>
      <w:r>
        <w:rPr>
          <w:rFonts w:ascii="SimSun" w:eastAsia="SimSun" w:hAnsi="SimSun" w:cs="SimSun"/>
          <w:b/>
          <w:bCs/>
          <w:color w:val="000000"/>
          <w:spacing w:val="0"/>
          <w:w w:val="100"/>
          <w:position w:val="0"/>
          <w:sz w:val="22"/>
          <w:szCs w:val="22"/>
        </w:rPr>
        <w:t>无形资产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94"/>
        <w:keepNext w:val="0"/>
        <w:keepLines w:val="0"/>
        <w:widowControl w:val="0"/>
        <w:numPr>
          <w:ilvl w:val="0"/>
          <w:numId w:val="35"/>
        </w:numPr>
        <w:shd w:val="clear" w:color="auto" w:fill="auto"/>
        <w:tabs>
          <w:tab w:pos="464" w:val="left"/>
        </w:tabs>
        <w:bidi w:val="0"/>
        <w:spacing w:before="0" w:after="260"/>
        <w:ind w:left="0" w:right="0" w:firstLine="0"/>
        <w:jc w:val="both"/>
        <w:rPr>
          <w:sz w:val="22"/>
          <w:szCs w:val="22"/>
        </w:rPr>
      </w:pPr>
      <w:bookmarkStart w:id="664" w:name="bookmark664"/>
      <w:bookmarkEnd w:id="664"/>
      <w:r>
        <w:rPr>
          <w:rFonts w:ascii="SimSun" w:eastAsia="SimSun" w:hAnsi="SimSun" w:cs="SimSun"/>
          <w:color w:val="000000"/>
          <w:spacing w:val="0"/>
          <w:w w:val="100"/>
          <w:position w:val="0"/>
          <w:sz w:val="22"/>
          <w:szCs w:val="22"/>
        </w:rPr>
        <w:t>专利权</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专利权按</w:t>
      </w:r>
      <w:r>
        <w:rPr>
          <w:rFonts w:ascii="Arial" w:eastAsia="Arial" w:hAnsi="Arial" w:cs="Arial"/>
          <w:b w:val="0"/>
          <w:bCs w:val="0"/>
          <w:color w:val="000000"/>
          <w:spacing w:val="0"/>
          <w:w w:val="100"/>
          <w:position w:val="0"/>
          <w:sz w:val="24"/>
          <w:szCs w:val="24"/>
        </w:rPr>
        <w:t>5-10</w:t>
      </w:r>
      <w:r>
        <w:rPr>
          <w:b w:val="0"/>
          <w:bCs w:val="0"/>
          <w:color w:val="000000"/>
          <w:spacing w:val="0"/>
          <w:w w:val="100"/>
          <w:position w:val="0"/>
          <w:sz w:val="22"/>
          <w:szCs w:val="22"/>
        </w:rPr>
        <w:t>年平均摊销。</w:t>
      </w:r>
    </w:p>
    <w:p>
      <w:pPr>
        <w:pStyle w:val="Style33"/>
        <w:keepNext w:val="0"/>
        <w:keepLines w:val="0"/>
        <w:widowControl w:val="0"/>
        <w:numPr>
          <w:ilvl w:val="0"/>
          <w:numId w:val="35"/>
        </w:numPr>
        <w:shd w:val="clear" w:color="auto" w:fill="auto"/>
        <w:tabs>
          <w:tab w:pos="464" w:val="left"/>
        </w:tabs>
        <w:bidi w:val="0"/>
        <w:spacing w:before="0" w:after="320" w:line="322" w:lineRule="exact"/>
        <w:ind w:left="0" w:right="0" w:firstLine="0"/>
        <w:jc w:val="both"/>
        <w:rPr>
          <w:sz w:val="22"/>
          <w:szCs w:val="22"/>
        </w:rPr>
      </w:pPr>
      <w:bookmarkStart w:id="665" w:name="bookmark665"/>
      <w:bookmarkEnd w:id="665"/>
      <w:r>
        <w:rPr>
          <w:b w:val="0"/>
          <w:bCs w:val="0"/>
          <w:color w:val="000000"/>
          <w:spacing w:val="0"/>
          <w:w w:val="100"/>
          <w:position w:val="0"/>
          <w:sz w:val="22"/>
          <w:szCs w:val="22"/>
        </w:rPr>
        <w:t>定期复核使用寿命和摊销方法</w:t>
      </w:r>
    </w:p>
    <w:p>
      <w:pPr>
        <w:pStyle w:val="Style33"/>
        <w:keepNext w:val="0"/>
        <w:keepLines w:val="0"/>
        <w:widowControl w:val="0"/>
        <w:shd w:val="clear" w:color="auto" w:fill="auto"/>
        <w:bidi w:val="0"/>
        <w:spacing w:before="0" w:after="380" w:line="312" w:lineRule="exact"/>
        <w:ind w:left="0" w:right="0" w:firstLine="0"/>
        <w:jc w:val="both"/>
        <w:rPr>
          <w:sz w:val="22"/>
          <w:szCs w:val="22"/>
        </w:rPr>
      </w:pPr>
      <w:r>
        <w:rPr>
          <w:b w:val="0"/>
          <w:bCs w:val="0"/>
          <w:color w:val="000000"/>
          <w:spacing w:val="0"/>
          <w:w w:val="100"/>
          <w:position w:val="0"/>
          <w:sz w:val="22"/>
          <w:szCs w:val="22"/>
        </w:rPr>
        <w:t>对使用寿命有限的无形资产的预计使用寿命及摊销方法于每年年度终了进行复核并 作适当调整。</w:t>
      </w:r>
    </w:p>
    <w:p>
      <w:pPr>
        <w:pStyle w:val="Style33"/>
        <w:keepNext w:val="0"/>
        <w:keepLines w:val="0"/>
        <w:widowControl w:val="0"/>
        <w:numPr>
          <w:ilvl w:val="0"/>
          <w:numId w:val="35"/>
        </w:numPr>
        <w:shd w:val="clear" w:color="auto" w:fill="auto"/>
        <w:tabs>
          <w:tab w:pos="464" w:val="left"/>
        </w:tabs>
        <w:bidi w:val="0"/>
        <w:spacing w:before="0" w:after="260" w:line="276" w:lineRule="auto"/>
        <w:ind w:left="0" w:right="0" w:firstLine="0"/>
        <w:jc w:val="both"/>
        <w:rPr>
          <w:sz w:val="22"/>
          <w:szCs w:val="22"/>
        </w:rPr>
      </w:pPr>
      <w:bookmarkStart w:id="666" w:name="bookmark666"/>
      <w:bookmarkEnd w:id="666"/>
      <w:r>
        <w:rPr>
          <w:b w:val="0"/>
          <w:bCs w:val="0"/>
          <w:color w:val="000000"/>
          <w:spacing w:val="0"/>
          <w:w w:val="100"/>
          <w:position w:val="0"/>
          <w:sz w:val="22"/>
          <w:szCs w:val="22"/>
        </w:rPr>
        <w:t>无形资产减值</w:t>
      </w:r>
    </w:p>
    <w:p>
      <w:pPr>
        <w:pStyle w:val="Style33"/>
        <w:keepNext w:val="0"/>
        <w:keepLines w:val="0"/>
        <w:widowControl w:val="0"/>
        <w:shd w:val="clear" w:color="auto" w:fill="auto"/>
        <w:bidi w:val="0"/>
        <w:spacing w:before="0" w:after="320" w:line="336" w:lineRule="exact"/>
        <w:ind w:left="0" w:right="0" w:firstLine="0"/>
        <w:jc w:val="both"/>
        <w:rPr>
          <w:sz w:val="22"/>
          <w:szCs w:val="22"/>
        </w:rPr>
      </w:pPr>
      <w:r>
        <w:rPr>
          <w:b w:val="0"/>
          <w:bCs w:val="0"/>
          <w:color w:val="000000"/>
          <w:spacing w:val="0"/>
          <w:w w:val="100"/>
          <w:position w:val="0"/>
          <w:sz w:val="22"/>
          <w:szCs w:val="22"/>
        </w:rPr>
        <w:t>当无形资产的可收回金额低于其账面价值时，账面价值减记至可收回金额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附注二 </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w:t>
      </w:r>
    </w:p>
    <w:p>
      <w:pPr>
        <w:pStyle w:val="Style33"/>
        <w:keepNext w:val="0"/>
        <w:keepLines w:val="0"/>
        <w:widowControl w:val="0"/>
        <w:numPr>
          <w:ilvl w:val="0"/>
          <w:numId w:val="31"/>
        </w:numPr>
        <w:shd w:val="clear" w:color="auto" w:fill="auto"/>
        <w:tabs>
          <w:tab w:pos="838" w:val="left"/>
        </w:tabs>
        <w:bidi w:val="0"/>
        <w:spacing w:before="0" w:after="260" w:line="276" w:lineRule="auto"/>
        <w:ind w:left="0" w:right="0" w:firstLine="0"/>
        <w:jc w:val="both"/>
        <w:rPr>
          <w:sz w:val="22"/>
          <w:szCs w:val="22"/>
        </w:rPr>
      </w:pPr>
      <w:bookmarkStart w:id="667" w:name="bookmark667"/>
      <w:bookmarkEnd w:id="667"/>
      <w:r>
        <w:rPr>
          <w:color w:val="000000"/>
          <w:spacing w:val="0"/>
          <w:w w:val="100"/>
          <w:position w:val="0"/>
          <w:sz w:val="22"/>
          <w:szCs w:val="22"/>
        </w:rPr>
        <w:t>研究与开发</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内部研究开发项目支出根据其性质以及研发活动最终形成无形资产是否具有较大不 确定性，被分为研究阶段支出和开发阶段支出。</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研究阶段的支出，于发生时计入当期损益；开发阶段的支出，同时满足下列条件的， 予以资本化：</w:t>
      </w:r>
    </w:p>
    <w:p>
      <w:pPr>
        <w:pStyle w:val="Style33"/>
        <w:keepNext w:val="0"/>
        <w:keepLines w:val="0"/>
        <w:widowControl w:val="0"/>
        <w:shd w:val="clear" w:color="auto" w:fill="auto"/>
        <w:bidi w:val="0"/>
        <w:spacing w:before="0" w:after="0" w:line="307" w:lineRule="exact"/>
        <w:ind w:left="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完成该无形资产以使其能够使用或出售在技术上具有可行性；</w:t>
      </w:r>
    </w:p>
    <w:p>
      <w:pPr>
        <w:pStyle w:val="Style33"/>
        <w:keepNext w:val="0"/>
        <w:keepLines w:val="0"/>
        <w:widowControl w:val="0"/>
        <w:shd w:val="clear" w:color="auto" w:fill="auto"/>
        <w:bidi w:val="0"/>
        <w:spacing w:before="0" w:after="0" w:line="307" w:lineRule="exact"/>
        <w:ind w:left="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管理层具有完成该无形资产并使用或出售的意图；</w:t>
      </w:r>
    </w:p>
    <w:p>
      <w:pPr>
        <w:pStyle w:val="Style33"/>
        <w:keepNext w:val="0"/>
        <w:keepLines w:val="0"/>
        <w:widowControl w:val="0"/>
        <w:shd w:val="clear" w:color="auto" w:fill="auto"/>
        <w:bidi w:val="0"/>
        <w:spacing w:before="0" w:after="0" w:line="307" w:lineRule="exact"/>
        <w:ind w:left="0" w:right="0" w:firstLine="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能够证明该无形资产将如何产生经济利益；</w:t>
      </w:r>
    </w:p>
    <w:p>
      <w:pPr>
        <w:pStyle w:val="Style33"/>
        <w:keepNext w:val="0"/>
        <w:keepLines w:val="0"/>
        <w:widowControl w:val="0"/>
        <w:shd w:val="clear" w:color="auto" w:fill="auto"/>
        <w:bidi w:val="0"/>
        <w:spacing w:before="0" w:after="0" w:line="307" w:lineRule="exact"/>
        <w:ind w:left="360" w:right="0" w:hanging="36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有足够的技术、财务资源和其他资源支持，以完成该无形资产的开发，并有能力 使用或出售该无形资产；以及</w:t>
      </w:r>
    </w:p>
    <w:p>
      <w:pPr>
        <w:pStyle w:val="Style33"/>
        <w:keepNext w:val="0"/>
        <w:keepLines w:val="0"/>
        <w:widowControl w:val="0"/>
        <w:shd w:val="clear" w:color="auto" w:fill="auto"/>
        <w:bidi w:val="0"/>
        <w:spacing w:before="0" w:after="260" w:line="322" w:lineRule="exact"/>
        <w:ind w:left="0" w:right="0" w:firstLine="0"/>
        <w:jc w:val="left"/>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归属于该无形资产开发阶段的支出能够可靠地计量。</w:t>
      </w:r>
    </w:p>
    <w:p>
      <w:pPr>
        <w:pStyle w:val="Style33"/>
        <w:keepNext w:val="0"/>
        <w:keepLines w:val="0"/>
        <w:widowControl w:val="0"/>
        <w:shd w:val="clear" w:color="auto" w:fill="auto"/>
        <w:bidi w:val="0"/>
        <w:spacing w:before="0" w:after="280" w:line="322" w:lineRule="exact"/>
        <w:ind w:left="0" w:right="0" w:firstLine="0"/>
        <w:jc w:val="left"/>
        <w:rPr>
          <w:sz w:val="22"/>
          <w:szCs w:val="22"/>
        </w:rPr>
        <w:sectPr>
          <w:footnotePr>
            <w:pos w:val="pageBottom"/>
            <w:numFmt w:val="decimal"/>
            <w:numRestart w:val="continuous"/>
          </w:footnotePr>
          <w:pgSz w:w="11900" w:h="16840"/>
          <w:pgMar w:top="1762" w:right="990" w:bottom="1762" w:left="1962" w:header="0" w:footer="3" w:gutter="0"/>
          <w:cols w:space="720"/>
          <w:noEndnote/>
          <w:rtlGutter w:val="0"/>
          <w:docGrid w:linePitch="360"/>
        </w:sectPr>
      </w:pPr>
      <w:r>
        <w:rPr>
          <w:b w:val="0"/>
          <w:bCs w:val="0"/>
          <w:color w:val="000000"/>
          <w:spacing w:val="0"/>
          <w:w w:val="100"/>
          <w:position w:val="0"/>
          <w:sz w:val="22"/>
          <w:szCs w:val="22"/>
        </w:rPr>
        <w:t>不满足上述条件的开发阶段的支出，于发生时计入当期损益。以前期间已计入损益的 开发支出不在以后期间重新确认为资产。已资本化的开发阶段的支出在资产负债表上 列示为开发支出，自该项目达到预定用途之日起转为无形资产。</w:t>
      </w:r>
    </w:p>
    <w:p>
      <w:pPr>
        <w:pStyle w:val="Style27"/>
        <w:keepNext/>
        <w:keepLines/>
        <w:widowControl w:val="0"/>
        <w:shd w:val="clear" w:color="auto" w:fill="auto"/>
        <w:bidi w:val="0"/>
        <w:spacing w:before="0" w:after="360" w:line="319" w:lineRule="exact"/>
        <w:ind w:left="0" w:right="0" w:firstLine="0"/>
        <w:jc w:val="both"/>
        <w:rPr>
          <w:sz w:val="28"/>
          <w:szCs w:val="28"/>
        </w:rPr>
      </w:pPr>
      <w:bookmarkStart w:id="668" w:name="bookmark668"/>
      <w:bookmarkStart w:id="669" w:name="bookmark669"/>
      <w:bookmarkStart w:id="670" w:name="bookmark670"/>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68"/>
      <w:bookmarkEnd w:id="669"/>
      <w:bookmarkEnd w:id="670"/>
    </w:p>
    <w:p>
      <w:pPr>
        <w:pStyle w:val="Style27"/>
        <w:keepNext/>
        <w:keepLines/>
        <w:widowControl w:val="0"/>
        <w:numPr>
          <w:ilvl w:val="0"/>
          <w:numId w:val="31"/>
        </w:numPr>
        <w:shd w:val="clear" w:color="auto" w:fill="auto"/>
        <w:tabs>
          <w:tab w:pos="840" w:val="left"/>
        </w:tabs>
        <w:bidi w:val="0"/>
        <w:spacing w:before="0" w:after="300" w:line="276" w:lineRule="auto"/>
        <w:ind w:left="0" w:right="0" w:firstLine="0"/>
        <w:jc w:val="both"/>
        <w:rPr>
          <w:sz w:val="22"/>
          <w:szCs w:val="22"/>
        </w:rPr>
      </w:pPr>
      <w:bookmarkStart w:id="668" w:name="bookmark668"/>
      <w:bookmarkStart w:id="669" w:name="bookmark669"/>
      <w:bookmarkStart w:id="671" w:name="bookmark671"/>
      <w:bookmarkStart w:id="672" w:name="bookmark672"/>
      <w:bookmarkEnd w:id="671"/>
      <w:r>
        <w:rPr>
          <w:color w:val="000000"/>
          <w:spacing w:val="0"/>
          <w:w w:val="100"/>
          <w:position w:val="0"/>
          <w:sz w:val="22"/>
          <w:szCs w:val="22"/>
        </w:rPr>
        <w:t>长期待摊费用</w:t>
      </w:r>
      <w:bookmarkEnd w:id="668"/>
      <w:bookmarkEnd w:id="669"/>
      <w:bookmarkEnd w:id="672"/>
    </w:p>
    <w:p>
      <w:pPr>
        <w:pStyle w:val="Style33"/>
        <w:keepNext w:val="0"/>
        <w:keepLines w:val="0"/>
        <w:widowControl w:val="0"/>
        <w:shd w:val="clear" w:color="auto" w:fill="auto"/>
        <w:bidi w:val="0"/>
        <w:spacing w:before="0" w:after="360" w:line="310" w:lineRule="exact"/>
        <w:ind w:left="0" w:right="0" w:firstLine="0"/>
        <w:jc w:val="both"/>
        <w:rPr>
          <w:sz w:val="22"/>
          <w:szCs w:val="22"/>
        </w:rPr>
      </w:pPr>
      <w:r>
        <w:rPr>
          <w:b w:val="0"/>
          <w:bCs w:val="0"/>
          <w:color w:val="000000"/>
          <w:spacing w:val="0"/>
          <w:w w:val="100"/>
          <w:position w:val="0"/>
          <w:sz w:val="22"/>
          <w:szCs w:val="22"/>
        </w:rPr>
        <w:t>长期待摊费用包括飞行员安家费及引进费、经营性租入固定资产改良支出及其他已经 发生但应由本期和以后各期负担的、分摊期限在一年以上的各项费用。长期待摊费用 按预计受益期间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至</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分期平均摊销，并以实际支出减去累计摊销后的净额列示。</w:t>
      </w:r>
    </w:p>
    <w:p>
      <w:pPr>
        <w:pStyle w:val="Style33"/>
        <w:keepNext w:val="0"/>
        <w:keepLines w:val="0"/>
        <w:widowControl w:val="0"/>
        <w:numPr>
          <w:ilvl w:val="0"/>
          <w:numId w:val="31"/>
        </w:numPr>
        <w:shd w:val="clear" w:color="auto" w:fill="auto"/>
        <w:tabs>
          <w:tab w:pos="840" w:val="left"/>
        </w:tabs>
        <w:bidi w:val="0"/>
        <w:spacing w:before="0" w:after="300" w:line="276" w:lineRule="auto"/>
        <w:ind w:left="0" w:right="0" w:firstLine="0"/>
        <w:jc w:val="both"/>
        <w:rPr>
          <w:sz w:val="22"/>
          <w:szCs w:val="22"/>
        </w:rPr>
      </w:pPr>
      <w:bookmarkStart w:id="673" w:name="bookmark673"/>
      <w:bookmarkEnd w:id="673"/>
      <w:r>
        <w:rPr>
          <w:color w:val="000000"/>
          <w:spacing w:val="0"/>
          <w:w w:val="100"/>
          <w:position w:val="0"/>
          <w:sz w:val="22"/>
          <w:szCs w:val="22"/>
        </w:rPr>
        <w:t>长期资产减值</w:t>
      </w:r>
    </w:p>
    <w:p>
      <w:pPr>
        <w:pStyle w:val="Style33"/>
        <w:keepNext w:val="0"/>
        <w:keepLines w:val="0"/>
        <w:widowControl w:val="0"/>
        <w:shd w:val="clear" w:color="auto" w:fill="auto"/>
        <w:bidi w:val="0"/>
        <w:spacing w:before="0" w:after="300" w:line="319" w:lineRule="exact"/>
        <w:ind w:left="0" w:right="0" w:firstLine="0"/>
        <w:jc w:val="both"/>
        <w:rPr>
          <w:sz w:val="22"/>
          <w:szCs w:val="22"/>
        </w:rPr>
      </w:pPr>
      <w:r>
        <w:rPr>
          <w:b w:val="0"/>
          <w:bCs w:val="0"/>
          <w:color w:val="000000"/>
          <w:spacing w:val="0"/>
          <w:w w:val="100"/>
          <w:position w:val="0"/>
          <w:sz w:val="22"/>
          <w:szCs w:val="22"/>
        </w:rPr>
        <w:t>固定资产、在建工程、使用寿命有限的无形资产、以成本模式计量的投资性房地产及 对子公司、合营企业、联营企业的长期股权投资等,于资产负债表日存在减值迹象的， 进行减值测试；尚未达到可使用状态的无形资产，无论是否存在减值迹象，至少每年 进行减值测试。减值测试结果表明资产的可收回金额低于其账面价值的，按其差额计 提减值准备并计入减值损失。可收回金额为资产的公允价值减去处置费用后的净额与 资产预计未来现金流量的现值两者之间的较高者。资产减值准备按单项资产为基础计 算并确认，如果难以对单项资产的可收回金额进行估计的，以该资产所属的资产组确 定资产组的可收回金额。资产组是能够独立产生现金流入的最小资产组合。</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在财务报表中单独列示的商誉，无论是否存在减值迹象，至少每年进行减值测试。减 值测试时，商誉的账面价值分摊至预期从企业合并的协同效应中受益的资产组或资产 组组合。测试结果表明包含分摊的商誉的资产组或资产组组合的可收回金额低于其账 面价值的，确认相应的减值损失。减值损失金额先抵减分摊至该资产组或资产组组合 的商誉的账面价值，再根据资产组或资产组组合中除商誉以外的其他各项资产的账面 价值所占比重，按比例抵减其他各项资产的账面价值。</w:t>
      </w:r>
    </w:p>
    <w:p>
      <w:pPr>
        <w:pStyle w:val="Style33"/>
        <w:keepNext w:val="0"/>
        <w:keepLines w:val="0"/>
        <w:widowControl w:val="0"/>
        <w:shd w:val="clear" w:color="auto" w:fill="auto"/>
        <w:bidi w:val="0"/>
        <w:spacing w:before="0" w:after="300" w:line="319" w:lineRule="exact"/>
        <w:ind w:left="0" w:right="0" w:firstLine="0"/>
        <w:jc w:val="both"/>
        <w:rPr>
          <w:sz w:val="22"/>
          <w:szCs w:val="22"/>
        </w:rPr>
        <w:sectPr>
          <w:footnotePr>
            <w:pos w:val="pageBottom"/>
            <w:numFmt w:val="decimal"/>
            <w:numRestart w:val="continuous"/>
          </w:footnotePr>
          <w:pgSz w:w="11900" w:h="16840"/>
          <w:pgMar w:top="1762" w:right="990" w:bottom="1762" w:left="1962" w:header="0" w:footer="3" w:gutter="0"/>
          <w:cols w:space="720"/>
          <w:noEndnote/>
          <w:rtlGutter w:val="0"/>
          <w:docGrid w:linePitch="360"/>
        </w:sectPr>
      </w:pPr>
      <w:r>
        <w:rPr>
          <w:b w:val="0"/>
          <w:bCs w:val="0"/>
          <w:color w:val="000000"/>
          <w:spacing w:val="0"/>
          <w:w w:val="100"/>
          <w:position w:val="0"/>
          <w:sz w:val="22"/>
          <w:szCs w:val="22"/>
        </w:rPr>
        <w:t>上述资产减值损失一经确认，以后期间不予转回价值得以恢复的部分。</w:t>
      </w:r>
    </w:p>
    <w:p>
      <w:pPr>
        <w:pStyle w:val="Style27"/>
        <w:keepNext/>
        <w:keepLines/>
        <w:widowControl w:val="0"/>
        <w:shd w:val="clear" w:color="auto" w:fill="auto"/>
        <w:bidi w:val="0"/>
        <w:spacing w:before="0" w:after="360" w:line="323" w:lineRule="exact"/>
        <w:ind w:left="0" w:right="0" w:firstLine="0"/>
        <w:jc w:val="both"/>
        <w:rPr>
          <w:sz w:val="28"/>
          <w:szCs w:val="28"/>
        </w:rPr>
      </w:pPr>
      <w:bookmarkStart w:id="674" w:name="bookmark674"/>
      <w:bookmarkStart w:id="675" w:name="bookmark675"/>
      <w:bookmarkStart w:id="676" w:name="bookmark676"/>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74"/>
      <w:bookmarkEnd w:id="675"/>
      <w:bookmarkEnd w:id="676"/>
    </w:p>
    <w:p>
      <w:pPr>
        <w:pStyle w:val="Style27"/>
        <w:keepNext/>
        <w:keepLines/>
        <w:widowControl w:val="0"/>
        <w:shd w:val="clear" w:color="auto" w:fill="auto"/>
        <w:tabs>
          <w:tab w:pos="834" w:val="left"/>
        </w:tabs>
        <w:bidi w:val="0"/>
        <w:spacing w:before="0" w:after="280" w:line="276" w:lineRule="auto"/>
        <w:ind w:left="0" w:right="0" w:firstLine="0"/>
        <w:jc w:val="both"/>
        <w:rPr>
          <w:sz w:val="22"/>
          <w:szCs w:val="22"/>
        </w:rPr>
      </w:pPr>
      <w:bookmarkStart w:id="674" w:name="bookmark674"/>
      <w:bookmarkStart w:id="675" w:name="bookmark675"/>
      <w:bookmarkStart w:id="677" w:name="bookmark677"/>
      <w:r>
        <w:rPr>
          <w:rFonts w:ascii="Arial" w:eastAsia="Arial" w:hAnsi="Arial" w:cs="Arial"/>
          <w:b w:val="0"/>
          <w:bCs w:val="0"/>
          <w:color w:val="000000"/>
          <w:spacing w:val="0"/>
          <w:w w:val="100"/>
          <w:position w:val="0"/>
          <w:sz w:val="24"/>
          <w:szCs w:val="24"/>
        </w:rPr>
        <w:t>(21)</w:t>
        <w:tab/>
      </w:r>
      <w:r>
        <w:rPr>
          <w:color w:val="000000"/>
          <w:spacing w:val="0"/>
          <w:w w:val="100"/>
          <w:position w:val="0"/>
          <w:sz w:val="22"/>
          <w:szCs w:val="22"/>
        </w:rPr>
        <w:t>职工薪酬</w:t>
      </w:r>
      <w:bookmarkEnd w:id="674"/>
      <w:bookmarkEnd w:id="675"/>
      <w:bookmarkEnd w:id="677"/>
    </w:p>
    <w:p>
      <w:pPr>
        <w:pStyle w:val="Style33"/>
        <w:keepNext w:val="0"/>
        <w:keepLines w:val="0"/>
        <w:widowControl w:val="0"/>
        <w:shd w:val="clear" w:color="auto" w:fill="auto"/>
        <w:bidi w:val="0"/>
        <w:spacing w:before="0" w:after="360" w:line="312" w:lineRule="exact"/>
        <w:ind w:left="0" w:right="0" w:firstLine="0"/>
        <w:jc w:val="both"/>
        <w:rPr>
          <w:sz w:val="22"/>
          <w:szCs w:val="22"/>
        </w:rPr>
      </w:pPr>
      <w:r>
        <w:rPr>
          <w:b w:val="0"/>
          <w:bCs w:val="0"/>
          <w:color w:val="000000"/>
          <w:spacing w:val="0"/>
          <w:w w:val="100"/>
          <w:position w:val="0"/>
          <w:sz w:val="22"/>
          <w:szCs w:val="22"/>
        </w:rPr>
        <w:t>职工薪酬是本集团为获得职工提供的服务或解除劳动关系而给予的各种形式的报酬 或补偿，包括短期薪酬、离职后福利、辞退福利和其他长期职工福利等。</w:t>
      </w:r>
    </w:p>
    <w:p>
      <w:pPr>
        <w:pStyle w:val="Style33"/>
        <w:keepNext w:val="0"/>
        <w:keepLines w:val="0"/>
        <w:widowControl w:val="0"/>
        <w:numPr>
          <w:ilvl w:val="0"/>
          <w:numId w:val="37"/>
        </w:numPr>
        <w:shd w:val="clear" w:color="auto" w:fill="auto"/>
        <w:tabs>
          <w:tab w:pos="834" w:val="left"/>
        </w:tabs>
        <w:bidi w:val="0"/>
        <w:spacing w:before="0" w:after="280" w:line="276" w:lineRule="auto"/>
        <w:ind w:left="0" w:right="0" w:firstLine="0"/>
        <w:jc w:val="both"/>
        <w:rPr>
          <w:sz w:val="22"/>
          <w:szCs w:val="22"/>
        </w:rPr>
      </w:pPr>
      <w:bookmarkStart w:id="678" w:name="bookmark678"/>
      <w:bookmarkEnd w:id="678"/>
      <w:r>
        <w:rPr>
          <w:b w:val="0"/>
          <w:bCs w:val="0"/>
          <w:color w:val="000000"/>
          <w:spacing w:val="0"/>
          <w:w w:val="100"/>
          <w:position w:val="0"/>
          <w:sz w:val="22"/>
          <w:szCs w:val="22"/>
        </w:rPr>
        <w:t>短期薪酬</w:t>
      </w:r>
    </w:p>
    <w:p>
      <w:pPr>
        <w:pStyle w:val="Style33"/>
        <w:keepNext w:val="0"/>
        <w:keepLines w:val="0"/>
        <w:widowControl w:val="0"/>
        <w:shd w:val="clear" w:color="auto" w:fill="auto"/>
        <w:bidi w:val="0"/>
        <w:spacing w:before="0" w:after="360" w:line="323" w:lineRule="exact"/>
        <w:ind w:left="0" w:right="0" w:firstLine="0"/>
        <w:jc w:val="both"/>
        <w:rPr>
          <w:sz w:val="22"/>
          <w:szCs w:val="22"/>
        </w:rPr>
      </w:pPr>
      <w:r>
        <w:rPr>
          <w:b w:val="0"/>
          <w:bCs w:val="0"/>
          <w:color w:val="000000"/>
          <w:spacing w:val="0"/>
          <w:w w:val="100"/>
          <w:position w:val="0"/>
          <w:sz w:val="22"/>
          <w:szCs w:val="22"/>
        </w:rPr>
        <w:t>短期薪酬包括工资、奖金、津贴和补贴、职工福利费、医疗保险费、工伤保险费、生 育保险费、住房公积金、工会和教育经费、短期带薪缺勤等。本集团在职工提供服务 的会计期间，将实际发生的短期薪酬确认为负债，并计入当期损益或相关资产成本。 其中，非货币性福利按照公允价值计量。</w:t>
      </w:r>
    </w:p>
    <w:p>
      <w:pPr>
        <w:pStyle w:val="Style33"/>
        <w:keepNext w:val="0"/>
        <w:keepLines w:val="0"/>
        <w:widowControl w:val="0"/>
        <w:numPr>
          <w:ilvl w:val="0"/>
          <w:numId w:val="37"/>
        </w:numPr>
        <w:shd w:val="clear" w:color="auto" w:fill="auto"/>
        <w:tabs>
          <w:tab w:pos="834" w:val="left"/>
        </w:tabs>
        <w:bidi w:val="0"/>
        <w:spacing w:before="0" w:after="280" w:line="276" w:lineRule="auto"/>
        <w:ind w:left="0" w:right="0" w:firstLine="0"/>
        <w:jc w:val="both"/>
        <w:rPr>
          <w:sz w:val="22"/>
          <w:szCs w:val="22"/>
        </w:rPr>
      </w:pPr>
      <w:bookmarkStart w:id="679" w:name="bookmark679"/>
      <w:bookmarkEnd w:id="679"/>
      <w:r>
        <w:rPr>
          <w:b w:val="0"/>
          <w:bCs w:val="0"/>
          <w:color w:val="000000"/>
          <w:spacing w:val="0"/>
          <w:w w:val="100"/>
          <w:position w:val="0"/>
          <w:sz w:val="22"/>
          <w:szCs w:val="22"/>
        </w:rPr>
        <w:t>离职后福利</w:t>
      </w:r>
    </w:p>
    <w:p>
      <w:pPr>
        <w:pStyle w:val="Style33"/>
        <w:keepNext w:val="0"/>
        <w:keepLines w:val="0"/>
        <w:widowControl w:val="0"/>
        <w:shd w:val="clear" w:color="auto" w:fill="auto"/>
        <w:bidi w:val="0"/>
        <w:spacing w:before="0" w:after="280" w:line="318" w:lineRule="exact"/>
        <w:ind w:left="0" w:right="0" w:firstLine="0"/>
        <w:jc w:val="both"/>
        <w:rPr>
          <w:sz w:val="22"/>
          <w:szCs w:val="22"/>
        </w:rPr>
      </w:pPr>
      <w:r>
        <w:rPr>
          <w:b w:val="0"/>
          <w:bCs w:val="0"/>
          <w:color w:val="000000"/>
          <w:spacing w:val="0"/>
          <w:w w:val="100"/>
          <w:position w:val="0"/>
          <w:sz w:val="22"/>
          <w:szCs w:val="22"/>
        </w:rPr>
        <w:t>本集团将离职后福利计划分类为设定提存计划和设定受益计划。设定提存计划是本集 团向独立的基金缴存固定费用后，不再承担进一步支付义务的离职后福利计划；设定 受益计划是除设定提存计划以外的离职后福利计划。于报告期内，本集团的离职后福 利主要是为员工缴纳的基本养老保险和失业保险，均属于设定提存计划。</w:t>
      </w:r>
    </w:p>
    <w:p>
      <w:pPr>
        <w:pStyle w:val="Style33"/>
        <w:keepNext w:val="0"/>
        <w:keepLines w:val="0"/>
        <w:widowControl w:val="0"/>
        <w:shd w:val="clear" w:color="auto" w:fill="auto"/>
        <w:bidi w:val="0"/>
        <w:spacing w:before="0" w:after="280" w:line="323" w:lineRule="exact"/>
        <w:ind w:left="0" w:right="0" w:firstLine="0"/>
        <w:jc w:val="both"/>
        <w:rPr>
          <w:sz w:val="22"/>
          <w:szCs w:val="22"/>
        </w:rPr>
      </w:pPr>
      <w:r>
        <w:rPr>
          <w:b w:val="0"/>
          <w:bCs w:val="0"/>
          <w:color w:val="000000"/>
          <w:spacing w:val="0"/>
          <w:w w:val="100"/>
          <w:position w:val="0"/>
          <w:sz w:val="22"/>
          <w:szCs w:val="22"/>
        </w:rPr>
        <w:t>基本养老保险</w:t>
      </w:r>
    </w:p>
    <w:p>
      <w:pPr>
        <w:pStyle w:val="Style33"/>
        <w:keepNext w:val="0"/>
        <w:keepLines w:val="0"/>
        <w:widowControl w:val="0"/>
        <w:shd w:val="clear" w:color="auto" w:fill="auto"/>
        <w:bidi w:val="0"/>
        <w:spacing w:before="0" w:after="280" w:line="323" w:lineRule="exact"/>
        <w:ind w:left="0" w:right="0" w:firstLine="0"/>
        <w:jc w:val="both"/>
        <w:rPr>
          <w:sz w:val="22"/>
          <w:szCs w:val="22"/>
        </w:rPr>
        <w:sectPr>
          <w:footnotePr>
            <w:pos w:val="pageBottom"/>
            <w:numFmt w:val="decimal"/>
            <w:numRestart w:val="continuous"/>
          </w:footnotePr>
          <w:pgSz w:w="11900" w:h="16840"/>
          <w:pgMar w:top="1758" w:right="1000" w:bottom="1758" w:left="1962" w:header="0" w:footer="3" w:gutter="0"/>
          <w:cols w:space="720"/>
          <w:noEndnote/>
          <w:rtlGutter w:val="0"/>
          <w:docGrid w:linePitch="360"/>
        </w:sectPr>
      </w:pPr>
      <w:r>
        <w:rPr>
          <w:b w:val="0"/>
          <w:bCs w:val="0"/>
          <w:color w:val="000000"/>
          <w:spacing w:val="0"/>
          <w:w w:val="100"/>
          <w:position w:val="0"/>
          <w:sz w:val="22"/>
          <w:szCs w:val="22"/>
        </w:rPr>
        <w:t>本集团职工参加了由当地劳动和社会保障部门组织实施的社会基本养老保险。本集团 以当地规定的社会基本养老保险缴纳基数和比例，按月向当地社会基本养老保险经办 机构缴纳养老保险费。职工退休后，当地劳动及社会保障部门有责任向已退休员工支 付社会基本养老金。本集团在职工提供服务的会计期间，将根据上述社保规定计算应 缴纳的金额确认为负债，并计入当期损益或相关资产成本。</w:t>
      </w:r>
    </w:p>
    <w:p>
      <w:pPr>
        <w:pStyle w:val="Style27"/>
        <w:keepNext/>
        <w:keepLines/>
        <w:widowControl w:val="0"/>
        <w:shd w:val="clear" w:color="auto" w:fill="auto"/>
        <w:bidi w:val="0"/>
        <w:spacing w:before="0" w:after="340" w:line="322" w:lineRule="exact"/>
        <w:ind w:left="0" w:right="0" w:firstLine="0"/>
        <w:jc w:val="both"/>
        <w:rPr>
          <w:sz w:val="28"/>
          <w:szCs w:val="28"/>
        </w:rPr>
      </w:pPr>
      <w:bookmarkStart w:id="680" w:name="bookmark680"/>
      <w:bookmarkStart w:id="681" w:name="bookmark681"/>
      <w:bookmarkStart w:id="682" w:name="bookmark682"/>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80"/>
      <w:bookmarkEnd w:id="681"/>
      <w:bookmarkEnd w:id="682"/>
    </w:p>
    <w:p>
      <w:pPr>
        <w:pStyle w:val="Style94"/>
        <w:keepNext w:val="0"/>
        <w:keepLines w:val="0"/>
        <w:widowControl w:val="0"/>
        <w:numPr>
          <w:ilvl w:val="0"/>
          <w:numId w:val="31"/>
        </w:numPr>
        <w:shd w:val="clear" w:color="auto" w:fill="auto"/>
        <w:tabs>
          <w:tab w:pos="815" w:val="left"/>
        </w:tabs>
        <w:bidi w:val="0"/>
        <w:spacing w:before="0" w:after="340"/>
        <w:ind w:left="0" w:right="0" w:firstLine="0"/>
        <w:jc w:val="both"/>
        <w:rPr>
          <w:sz w:val="28"/>
          <w:szCs w:val="28"/>
        </w:rPr>
      </w:pPr>
      <w:bookmarkStart w:id="683" w:name="bookmark683"/>
      <w:bookmarkEnd w:id="683"/>
      <w:r>
        <w:rPr>
          <w:rFonts w:ascii="SimSun" w:eastAsia="SimSun" w:hAnsi="SimSun" w:cs="SimSun"/>
          <w:b/>
          <w:bCs/>
          <w:color w:val="000000"/>
          <w:spacing w:val="0"/>
          <w:w w:val="100"/>
          <w:position w:val="0"/>
          <w:sz w:val="22"/>
          <w:szCs w:val="22"/>
        </w:rPr>
        <w:t>职工薪酬</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numPr>
          <w:ilvl w:val="0"/>
          <w:numId w:val="37"/>
        </w:numPr>
        <w:shd w:val="clear" w:color="auto" w:fill="auto"/>
        <w:tabs>
          <w:tab w:pos="815" w:val="left"/>
        </w:tabs>
        <w:bidi w:val="0"/>
        <w:spacing w:before="0" w:after="280" w:line="276" w:lineRule="auto"/>
        <w:ind w:left="0" w:right="0" w:firstLine="0"/>
        <w:jc w:val="both"/>
        <w:rPr>
          <w:sz w:val="22"/>
          <w:szCs w:val="22"/>
        </w:rPr>
      </w:pPr>
      <w:bookmarkStart w:id="684" w:name="bookmark684"/>
      <w:bookmarkEnd w:id="684"/>
      <w:r>
        <w:rPr>
          <w:b w:val="0"/>
          <w:bCs w:val="0"/>
          <w:color w:val="000000"/>
          <w:spacing w:val="0"/>
          <w:w w:val="100"/>
          <w:position w:val="0"/>
          <w:sz w:val="22"/>
          <w:szCs w:val="22"/>
        </w:rPr>
        <w:t>辞退福利</w:t>
      </w:r>
    </w:p>
    <w:p>
      <w:pPr>
        <w:pStyle w:val="Style33"/>
        <w:keepNext w:val="0"/>
        <w:keepLines w:val="0"/>
        <w:widowControl w:val="0"/>
        <w:shd w:val="clear" w:color="auto" w:fill="auto"/>
        <w:bidi w:val="0"/>
        <w:spacing w:before="0" w:after="280" w:line="323" w:lineRule="exact"/>
        <w:ind w:left="0" w:right="0" w:firstLine="0"/>
        <w:jc w:val="both"/>
        <w:rPr>
          <w:sz w:val="22"/>
          <w:szCs w:val="22"/>
        </w:rPr>
      </w:pPr>
      <w:r>
        <w:rPr>
          <w:b w:val="0"/>
          <w:bCs w:val="0"/>
          <w:color w:val="000000"/>
          <w:spacing w:val="0"/>
          <w:w w:val="100"/>
          <w:position w:val="0"/>
          <w:sz w:val="22"/>
          <w:szCs w:val="22"/>
        </w:rPr>
        <w:t>本集团在职工劳动合同到期之前解除与职工的劳动关系、或者为鼓励职工自愿接受裁 减而提出给予补偿，在本集团不能单方面撤回解除劳动关系计划或裁减建议时和确认 与涉及支付辞退福利的重组相关的成本费用时两者孰早日，确认因解除与职工的劳动 关系给予补偿而产生的负债，同时计入当期损益。</w:t>
      </w:r>
    </w:p>
    <w:p>
      <w:pPr>
        <w:pStyle w:val="Style33"/>
        <w:keepNext w:val="0"/>
        <w:keepLines w:val="0"/>
        <w:widowControl w:val="0"/>
        <w:shd w:val="clear" w:color="auto" w:fill="auto"/>
        <w:bidi w:val="0"/>
        <w:spacing w:before="0" w:after="340" w:line="322" w:lineRule="exact"/>
        <w:ind w:left="0" w:right="0" w:firstLine="0"/>
        <w:jc w:val="both"/>
        <w:rPr>
          <w:sz w:val="22"/>
          <w:szCs w:val="22"/>
        </w:rPr>
      </w:pPr>
      <w:r>
        <w:rPr>
          <w:b w:val="0"/>
          <w:bCs w:val="0"/>
          <w:color w:val="000000"/>
          <w:spacing w:val="0"/>
          <w:w w:val="100"/>
          <w:position w:val="0"/>
          <w:sz w:val="22"/>
          <w:szCs w:val="22"/>
        </w:rPr>
        <w:t>预期在资产负债表日起一年内需支付的辞退福利，列示为流动负债。</w:t>
      </w:r>
    </w:p>
    <w:p>
      <w:pPr>
        <w:pStyle w:val="Style33"/>
        <w:keepNext w:val="0"/>
        <w:keepLines w:val="0"/>
        <w:widowControl w:val="0"/>
        <w:numPr>
          <w:ilvl w:val="0"/>
          <w:numId w:val="37"/>
        </w:numPr>
        <w:shd w:val="clear" w:color="auto" w:fill="auto"/>
        <w:tabs>
          <w:tab w:pos="815" w:val="left"/>
        </w:tabs>
        <w:bidi w:val="0"/>
        <w:spacing w:before="0" w:after="280" w:line="276" w:lineRule="auto"/>
        <w:ind w:left="0" w:right="0" w:firstLine="0"/>
        <w:jc w:val="both"/>
        <w:rPr>
          <w:sz w:val="22"/>
          <w:szCs w:val="22"/>
        </w:rPr>
      </w:pPr>
      <w:bookmarkStart w:id="685" w:name="bookmark685"/>
      <w:bookmarkEnd w:id="685"/>
      <w:r>
        <w:rPr>
          <w:b w:val="0"/>
          <w:bCs w:val="0"/>
          <w:color w:val="000000"/>
          <w:spacing w:val="0"/>
          <w:w w:val="100"/>
          <w:position w:val="0"/>
          <w:sz w:val="22"/>
          <w:szCs w:val="22"/>
        </w:rPr>
        <w:t>员工激励金</w:t>
      </w:r>
    </w:p>
    <w:p>
      <w:pPr>
        <w:pStyle w:val="Style33"/>
        <w:keepNext w:val="0"/>
        <w:keepLines w:val="0"/>
        <w:widowControl w:val="0"/>
        <w:shd w:val="clear" w:color="auto" w:fill="auto"/>
        <w:bidi w:val="0"/>
        <w:spacing w:before="0" w:after="340" w:line="320" w:lineRule="exact"/>
        <w:ind w:left="0" w:right="0" w:firstLine="0"/>
        <w:jc w:val="both"/>
        <w:rPr>
          <w:sz w:val="22"/>
          <w:szCs w:val="22"/>
        </w:rPr>
      </w:pPr>
      <w:r>
        <w:rPr>
          <w:b w:val="0"/>
          <w:bCs w:val="0"/>
          <w:color w:val="000000"/>
          <w:spacing w:val="0"/>
          <w:w w:val="100"/>
          <w:position w:val="0"/>
          <w:sz w:val="22"/>
          <w:szCs w:val="22"/>
        </w:rPr>
        <w:t>本集团向符合一定条件的在职员工提供激励金计划，并根据预定时间表支付。本集团 按照履行相关现时义务所需支出的最佳估计数进行员工激励金负债的初始计量并计 入当期费用。于初始计量时，本公司综合考虑离职率和货币时间价值等因素。货币时 间价值影响重大的，通过对相关未来现金流出进行折现后确定最佳估计数；因随着时 间推移所进行的折现还原而导致的预计负债账面价值的增加金额，确认为当期费用。 于资产负债表日，对员工激励金负债的账面价值进行复核并作适当调整，以反映当前 的最佳估计数。</w:t>
      </w:r>
    </w:p>
    <w:p>
      <w:pPr>
        <w:pStyle w:val="Style94"/>
        <w:keepNext w:val="0"/>
        <w:keepLines w:val="0"/>
        <w:widowControl w:val="0"/>
        <w:numPr>
          <w:ilvl w:val="0"/>
          <w:numId w:val="31"/>
        </w:numPr>
        <w:shd w:val="clear" w:color="auto" w:fill="auto"/>
        <w:tabs>
          <w:tab w:pos="815" w:val="left"/>
        </w:tabs>
        <w:bidi w:val="0"/>
        <w:spacing w:before="0"/>
        <w:ind w:left="0" w:right="0" w:firstLine="0"/>
        <w:jc w:val="both"/>
        <w:rPr>
          <w:sz w:val="22"/>
          <w:szCs w:val="22"/>
        </w:rPr>
      </w:pPr>
      <w:bookmarkStart w:id="686" w:name="bookmark686"/>
      <w:bookmarkEnd w:id="686"/>
      <w:r>
        <w:rPr>
          <w:rFonts w:ascii="SimSun" w:eastAsia="SimSun" w:hAnsi="SimSun" w:cs="SimSun"/>
          <w:b/>
          <w:bCs/>
          <w:color w:val="000000"/>
          <w:spacing w:val="0"/>
          <w:w w:val="100"/>
          <w:position w:val="0"/>
          <w:sz w:val="22"/>
          <w:szCs w:val="22"/>
        </w:rPr>
        <w:t>股利分配</w:t>
      </w:r>
    </w:p>
    <w:p>
      <w:pPr>
        <w:pStyle w:val="Style33"/>
        <w:keepNext w:val="0"/>
        <w:keepLines w:val="0"/>
        <w:widowControl w:val="0"/>
        <w:shd w:val="clear" w:color="auto" w:fill="auto"/>
        <w:bidi w:val="0"/>
        <w:spacing w:before="0" w:after="340" w:line="322" w:lineRule="exact"/>
        <w:ind w:left="0" w:right="0" w:firstLine="0"/>
        <w:jc w:val="both"/>
        <w:rPr>
          <w:sz w:val="22"/>
          <w:szCs w:val="22"/>
        </w:rPr>
      </w:pPr>
      <w:r>
        <w:rPr>
          <w:b w:val="0"/>
          <w:bCs w:val="0"/>
          <w:color w:val="000000"/>
          <w:spacing w:val="0"/>
          <w:w w:val="100"/>
          <w:position w:val="0"/>
          <w:sz w:val="22"/>
          <w:szCs w:val="22"/>
        </w:rPr>
        <w:t>现金股利于股东大会批准的当期，确认为负债。</w:t>
      </w:r>
    </w:p>
    <w:p>
      <w:pPr>
        <w:pStyle w:val="Style94"/>
        <w:keepNext w:val="0"/>
        <w:keepLines w:val="0"/>
        <w:widowControl w:val="0"/>
        <w:numPr>
          <w:ilvl w:val="0"/>
          <w:numId w:val="31"/>
        </w:numPr>
        <w:shd w:val="clear" w:color="auto" w:fill="auto"/>
        <w:tabs>
          <w:tab w:pos="815" w:val="left"/>
        </w:tabs>
        <w:bidi w:val="0"/>
        <w:spacing w:before="0"/>
        <w:ind w:left="0" w:right="0" w:firstLine="0"/>
        <w:jc w:val="both"/>
        <w:rPr>
          <w:sz w:val="22"/>
          <w:szCs w:val="22"/>
        </w:rPr>
      </w:pPr>
      <w:bookmarkStart w:id="687" w:name="bookmark687"/>
      <w:bookmarkEnd w:id="687"/>
      <w:r>
        <w:rPr>
          <w:rFonts w:ascii="SimSun" w:eastAsia="SimSun" w:hAnsi="SimSun" w:cs="SimSun"/>
          <w:b/>
          <w:bCs/>
          <w:color w:val="000000"/>
          <w:spacing w:val="0"/>
          <w:w w:val="100"/>
          <w:position w:val="0"/>
          <w:sz w:val="22"/>
          <w:szCs w:val="22"/>
        </w:rPr>
        <w:t>预计负债</w:t>
      </w:r>
    </w:p>
    <w:p>
      <w:pPr>
        <w:pStyle w:val="Style33"/>
        <w:keepNext w:val="0"/>
        <w:keepLines w:val="0"/>
        <w:widowControl w:val="0"/>
        <w:shd w:val="clear" w:color="auto" w:fill="auto"/>
        <w:bidi w:val="0"/>
        <w:spacing w:before="0" w:after="280" w:line="322" w:lineRule="exact"/>
        <w:ind w:left="0" w:right="0" w:firstLine="0"/>
        <w:jc w:val="both"/>
        <w:rPr>
          <w:sz w:val="22"/>
          <w:szCs w:val="22"/>
        </w:rPr>
      </w:pPr>
      <w:r>
        <w:rPr>
          <w:b w:val="0"/>
          <w:bCs w:val="0"/>
          <w:color w:val="000000"/>
          <w:spacing w:val="0"/>
          <w:w w:val="100"/>
          <w:position w:val="0"/>
          <w:sz w:val="22"/>
          <w:szCs w:val="22"/>
        </w:rPr>
        <w:t>因产品质量保证、亏损合同等形成的现时义务，当履行该义务很可能导致经济利益的 流出，且其金额能够可靠计量时，确认为预计负债。</w:t>
      </w:r>
    </w:p>
    <w:p>
      <w:pPr>
        <w:pStyle w:val="Style33"/>
        <w:keepNext w:val="0"/>
        <w:keepLines w:val="0"/>
        <w:widowControl w:val="0"/>
        <w:shd w:val="clear" w:color="auto" w:fill="auto"/>
        <w:bidi w:val="0"/>
        <w:spacing w:before="0" w:after="340" w:line="323" w:lineRule="exact"/>
        <w:ind w:left="0" w:right="0" w:firstLine="0"/>
        <w:jc w:val="both"/>
        <w:rPr>
          <w:sz w:val="22"/>
          <w:szCs w:val="22"/>
        </w:rPr>
      </w:pPr>
      <w:r>
        <w:rPr>
          <w:b w:val="0"/>
          <w:bCs w:val="0"/>
          <w:color w:val="000000"/>
          <w:spacing w:val="0"/>
          <w:w w:val="100"/>
          <w:position w:val="0"/>
          <w:sz w:val="22"/>
          <w:szCs w:val="22"/>
        </w:rPr>
        <w:t>预计负债按照履行相关现时义务所需支出的最佳估计数进行初始计量，并综合考虑与 或有事项有关的风险、不确定性和货币时间价值等因素。货币时间价值影响重大的， 通过对相关未来现金流出进行折现后确定最佳估计数；因随着时间推移所进行的折现 还原而导致的预计负债账面价值的增加金额，确认为利息费用。</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于资产负债表日，对预计负债的账面价值进行复核并作适当调整，以反映当前的最佳 估计数。</w:t>
      </w:r>
    </w:p>
    <w:p>
      <w:pPr>
        <w:pStyle w:val="Style27"/>
        <w:keepNext/>
        <w:keepLines/>
        <w:widowControl w:val="0"/>
        <w:shd w:val="clear" w:color="auto" w:fill="auto"/>
        <w:bidi w:val="0"/>
        <w:spacing w:before="0" w:after="300" w:line="240" w:lineRule="auto"/>
        <w:ind w:left="0" w:right="0" w:firstLine="0"/>
        <w:jc w:val="both"/>
      </w:pPr>
      <w:bookmarkStart w:id="688" w:name="bookmark688"/>
      <w:bookmarkStart w:id="689" w:name="bookmark689"/>
      <w:bookmarkStart w:id="690" w:name="bookmark690"/>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688"/>
      <w:bookmarkEnd w:id="689"/>
      <w:bookmarkEnd w:id="690"/>
    </w:p>
    <w:p>
      <w:pPr>
        <w:pStyle w:val="Style27"/>
        <w:keepNext/>
        <w:keepLines/>
        <w:widowControl w:val="0"/>
        <w:shd w:val="clear" w:color="auto" w:fill="auto"/>
        <w:tabs>
          <w:tab w:pos="811" w:val="left"/>
        </w:tabs>
        <w:bidi w:val="0"/>
        <w:spacing w:before="0" w:after="300" w:line="319" w:lineRule="exact"/>
        <w:ind w:left="0" w:right="0" w:firstLine="0"/>
        <w:jc w:val="both"/>
        <w:rPr>
          <w:sz w:val="22"/>
          <w:szCs w:val="22"/>
        </w:rPr>
      </w:pPr>
      <w:bookmarkStart w:id="688" w:name="bookmark688"/>
      <w:bookmarkStart w:id="689" w:name="bookmark689"/>
      <w:bookmarkStart w:id="691" w:name="bookmark691"/>
      <w:r>
        <w:rPr>
          <w:rFonts w:ascii="Arial" w:eastAsia="Arial" w:hAnsi="Arial" w:cs="Arial"/>
          <w:b w:val="0"/>
          <w:bCs w:val="0"/>
          <w:color w:val="000000"/>
          <w:spacing w:val="0"/>
          <w:w w:val="100"/>
          <w:position w:val="0"/>
          <w:sz w:val="24"/>
          <w:szCs w:val="24"/>
        </w:rPr>
        <w:t>(24)</w:t>
        <w:tab/>
      </w:r>
      <w:r>
        <w:rPr>
          <w:color w:val="000000"/>
          <w:spacing w:val="0"/>
          <w:w w:val="100"/>
          <w:position w:val="0"/>
          <w:sz w:val="22"/>
          <w:szCs w:val="22"/>
        </w:rPr>
        <w:t>收入确认</w:t>
      </w:r>
      <w:bookmarkEnd w:id="688"/>
      <w:bookmarkEnd w:id="689"/>
      <w:bookmarkEnd w:id="691"/>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收入的金额按照本集团在日常经营活动中销售商品和提供劳务时，已收或应收合同或 协议价款的公允价值确定。收入按扣除销售折让及销售退回的净额列示。</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与交易相关的经济利益能够流入本集团，相关的收入能够可靠计量且满足下列各项经 营活动的特定收入确认标准时，确认相关的收入。</w:t>
      </w:r>
    </w:p>
    <w:p>
      <w:pPr>
        <w:pStyle w:val="Style33"/>
        <w:keepNext w:val="0"/>
        <w:keepLines w:val="0"/>
        <w:widowControl w:val="0"/>
        <w:numPr>
          <w:ilvl w:val="0"/>
          <w:numId w:val="39"/>
        </w:numPr>
        <w:shd w:val="clear" w:color="auto" w:fill="auto"/>
        <w:tabs>
          <w:tab w:pos="464" w:val="left"/>
        </w:tabs>
        <w:bidi w:val="0"/>
        <w:spacing w:before="0" w:after="300" w:line="319" w:lineRule="exact"/>
        <w:ind w:left="0" w:right="0" w:firstLine="0"/>
        <w:jc w:val="both"/>
        <w:rPr>
          <w:sz w:val="22"/>
          <w:szCs w:val="22"/>
        </w:rPr>
      </w:pPr>
      <w:bookmarkStart w:id="692" w:name="bookmark692"/>
      <w:bookmarkEnd w:id="692"/>
      <w:r>
        <w:rPr>
          <w:b w:val="0"/>
          <w:bCs w:val="0"/>
          <w:color w:val="000000"/>
          <w:spacing w:val="0"/>
          <w:w w:val="100"/>
          <w:position w:val="0"/>
          <w:sz w:val="22"/>
          <w:szCs w:val="22"/>
        </w:rPr>
        <w:t>提供劳务</w:t>
      </w:r>
    </w:p>
    <w:p>
      <w:pPr>
        <w:pStyle w:val="Style33"/>
        <w:keepNext w:val="0"/>
        <w:keepLines w:val="0"/>
        <w:widowControl w:val="0"/>
        <w:shd w:val="clear" w:color="auto" w:fill="auto"/>
        <w:bidi w:val="0"/>
        <w:spacing w:before="0" w:after="300" w:line="319" w:lineRule="exact"/>
        <w:ind w:left="0" w:right="0" w:firstLine="0"/>
        <w:jc w:val="both"/>
        <w:rPr>
          <w:sz w:val="22"/>
          <w:szCs w:val="22"/>
        </w:rPr>
      </w:pPr>
      <w:r>
        <w:rPr>
          <w:b w:val="0"/>
          <w:bCs w:val="0"/>
          <w:color w:val="000000"/>
          <w:spacing w:val="0"/>
          <w:w w:val="100"/>
          <w:position w:val="0"/>
          <w:sz w:val="22"/>
          <w:szCs w:val="22"/>
        </w:rPr>
        <w:t>速运收入包括国内、国际快递；国际货代服务的代理服务收入；国内、国际航空货邮 运输服务收入及快递代理服务。在服务已经完成，并且取得收取服务收入的权利时确 认。</w:t>
      </w:r>
    </w:p>
    <w:p>
      <w:pPr>
        <w:pStyle w:val="Style33"/>
        <w:keepNext w:val="0"/>
        <w:keepLines w:val="0"/>
        <w:widowControl w:val="0"/>
        <w:numPr>
          <w:ilvl w:val="0"/>
          <w:numId w:val="39"/>
        </w:numPr>
        <w:shd w:val="clear" w:color="auto" w:fill="auto"/>
        <w:tabs>
          <w:tab w:pos="464" w:val="left"/>
        </w:tabs>
        <w:bidi w:val="0"/>
        <w:spacing w:before="0" w:after="300" w:line="319" w:lineRule="exact"/>
        <w:ind w:left="0" w:right="0" w:firstLine="0"/>
        <w:jc w:val="both"/>
        <w:rPr>
          <w:sz w:val="22"/>
          <w:szCs w:val="22"/>
        </w:rPr>
      </w:pPr>
      <w:bookmarkStart w:id="693" w:name="bookmark693"/>
      <w:bookmarkEnd w:id="693"/>
      <w:r>
        <w:rPr>
          <w:b w:val="0"/>
          <w:bCs w:val="0"/>
          <w:color w:val="000000"/>
          <w:spacing w:val="0"/>
          <w:w w:val="100"/>
          <w:position w:val="0"/>
          <w:sz w:val="22"/>
          <w:szCs w:val="22"/>
        </w:rPr>
        <w:t>销售商品</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在已将商品所有权上的主要风险和报酬转移给购货方，并且不再对该商品实施继续管 理和控制，与交易相关的经济利益能够流入本集团，相关的收入和成本能够可靠计量 时确认销售收入的实现。</w:t>
      </w:r>
    </w:p>
    <w:p>
      <w:pPr>
        <w:pStyle w:val="Style33"/>
        <w:keepNext w:val="0"/>
        <w:keepLines w:val="0"/>
        <w:widowControl w:val="0"/>
        <w:numPr>
          <w:ilvl w:val="0"/>
          <w:numId w:val="39"/>
        </w:numPr>
        <w:shd w:val="clear" w:color="auto" w:fill="auto"/>
        <w:tabs>
          <w:tab w:pos="464" w:val="left"/>
        </w:tabs>
        <w:bidi w:val="0"/>
        <w:spacing w:before="0" w:after="300" w:line="319" w:lineRule="exact"/>
        <w:ind w:left="0" w:right="0" w:firstLine="0"/>
        <w:jc w:val="both"/>
        <w:rPr>
          <w:sz w:val="22"/>
          <w:szCs w:val="22"/>
        </w:rPr>
      </w:pPr>
      <w:bookmarkStart w:id="694" w:name="bookmark694"/>
      <w:bookmarkEnd w:id="694"/>
      <w:r>
        <w:rPr>
          <w:b w:val="0"/>
          <w:bCs w:val="0"/>
          <w:color w:val="000000"/>
          <w:spacing w:val="0"/>
          <w:w w:val="100"/>
          <w:position w:val="0"/>
          <w:sz w:val="22"/>
          <w:szCs w:val="22"/>
        </w:rPr>
        <w:t>利息收入</w:t>
      </w:r>
    </w:p>
    <w:p>
      <w:pPr>
        <w:pStyle w:val="Style33"/>
        <w:keepNext w:val="0"/>
        <w:keepLines w:val="0"/>
        <w:widowControl w:val="0"/>
        <w:shd w:val="clear" w:color="auto" w:fill="auto"/>
        <w:bidi w:val="0"/>
        <w:spacing w:before="0" w:after="300" w:line="319" w:lineRule="exact"/>
        <w:ind w:left="0" w:right="0" w:firstLine="0"/>
        <w:jc w:val="both"/>
        <w:rPr>
          <w:sz w:val="22"/>
          <w:szCs w:val="22"/>
        </w:rPr>
      </w:pPr>
      <w:r>
        <w:rPr>
          <w:b w:val="0"/>
          <w:bCs w:val="0"/>
          <w:color w:val="000000"/>
          <w:spacing w:val="0"/>
          <w:w w:val="100"/>
          <w:position w:val="0"/>
          <w:sz w:val="22"/>
          <w:szCs w:val="22"/>
        </w:rPr>
        <w:t>利息收入金额，按照他人使用本集团货币资金的时间和实际利率计算确定。</w:t>
      </w:r>
    </w:p>
    <w:p>
      <w:pPr>
        <w:pStyle w:val="Style33"/>
        <w:keepNext w:val="0"/>
        <w:keepLines w:val="0"/>
        <w:widowControl w:val="0"/>
        <w:numPr>
          <w:ilvl w:val="0"/>
          <w:numId w:val="39"/>
        </w:numPr>
        <w:shd w:val="clear" w:color="auto" w:fill="auto"/>
        <w:tabs>
          <w:tab w:pos="464" w:val="left"/>
        </w:tabs>
        <w:bidi w:val="0"/>
        <w:spacing w:before="0" w:after="300" w:line="319" w:lineRule="exact"/>
        <w:ind w:left="0" w:right="0" w:firstLine="0"/>
        <w:jc w:val="both"/>
        <w:rPr>
          <w:sz w:val="22"/>
          <w:szCs w:val="22"/>
        </w:rPr>
      </w:pPr>
      <w:bookmarkStart w:id="695" w:name="bookmark695"/>
      <w:bookmarkEnd w:id="695"/>
      <w:r>
        <w:rPr>
          <w:b w:val="0"/>
          <w:bCs w:val="0"/>
          <w:color w:val="000000"/>
          <w:spacing w:val="0"/>
          <w:w w:val="100"/>
          <w:position w:val="0"/>
          <w:sz w:val="22"/>
          <w:szCs w:val="22"/>
        </w:rPr>
        <w:t>租赁收入</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融资租赁在分配未实现融资收益时，本集团采用实际利率法计算确定在租赁期内各个 期间应确认的融资租赁收入。</w:t>
      </w:r>
    </w:p>
    <w:p>
      <w:pPr>
        <w:pStyle w:val="Style33"/>
        <w:keepNext w:val="0"/>
        <w:keepLines w:val="0"/>
        <w:widowControl w:val="0"/>
        <w:shd w:val="clear" w:color="auto" w:fill="auto"/>
        <w:bidi w:val="0"/>
        <w:spacing w:before="0" w:after="300" w:line="319" w:lineRule="exact"/>
        <w:ind w:left="0" w:right="0" w:firstLine="0"/>
        <w:jc w:val="both"/>
        <w:rPr>
          <w:sz w:val="22"/>
          <w:szCs w:val="22"/>
        </w:rPr>
        <w:sectPr>
          <w:footnotePr>
            <w:pos w:val="pageBottom"/>
            <w:numFmt w:val="decimal"/>
            <w:numRestart w:val="continuous"/>
          </w:footnotePr>
          <w:pgSz w:w="11900" w:h="16840"/>
          <w:pgMar w:top="1762" w:right="1028" w:bottom="2597" w:left="1935" w:header="0" w:footer="3" w:gutter="0"/>
          <w:cols w:space="720"/>
          <w:noEndnote/>
          <w:rtlGutter w:val="0"/>
          <w:docGrid w:linePitch="360"/>
        </w:sectPr>
      </w:pPr>
      <w:r>
        <w:rPr>
          <w:b w:val="0"/>
          <w:bCs w:val="0"/>
          <w:color w:val="000000"/>
          <w:spacing w:val="0"/>
          <w:w w:val="100"/>
          <w:position w:val="0"/>
          <w:sz w:val="22"/>
          <w:szCs w:val="22"/>
        </w:rPr>
        <w:t>经营租赁的租金收入在租赁期内按照直线法确认租赁收入。</w:t>
      </w:r>
    </w:p>
    <w:p>
      <w:pPr>
        <w:pStyle w:val="Style27"/>
        <w:keepNext/>
        <w:keepLines/>
        <w:widowControl w:val="0"/>
        <w:shd w:val="clear" w:color="auto" w:fill="auto"/>
        <w:bidi w:val="0"/>
        <w:spacing w:before="0" w:after="360" w:line="320" w:lineRule="exact"/>
        <w:ind w:left="0" w:right="0" w:firstLine="0"/>
        <w:jc w:val="both"/>
        <w:rPr>
          <w:sz w:val="28"/>
          <w:szCs w:val="28"/>
        </w:rPr>
      </w:pPr>
      <w:bookmarkStart w:id="696" w:name="bookmark696"/>
      <w:bookmarkStart w:id="697" w:name="bookmark697"/>
      <w:bookmarkStart w:id="698" w:name="bookmark698"/>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696"/>
      <w:bookmarkEnd w:id="697"/>
      <w:bookmarkEnd w:id="698"/>
    </w:p>
    <w:p>
      <w:pPr>
        <w:pStyle w:val="Style27"/>
        <w:keepNext/>
        <w:keepLines/>
        <w:widowControl w:val="0"/>
        <w:numPr>
          <w:ilvl w:val="0"/>
          <w:numId w:val="41"/>
        </w:numPr>
        <w:shd w:val="clear" w:color="auto" w:fill="auto"/>
        <w:tabs>
          <w:tab w:pos="835" w:val="left"/>
        </w:tabs>
        <w:bidi w:val="0"/>
        <w:spacing w:before="0" w:after="280" w:line="276" w:lineRule="auto"/>
        <w:ind w:left="0" w:right="0" w:firstLine="0"/>
        <w:jc w:val="both"/>
        <w:rPr>
          <w:sz w:val="22"/>
          <w:szCs w:val="22"/>
        </w:rPr>
      </w:pPr>
      <w:bookmarkStart w:id="696" w:name="bookmark696"/>
      <w:bookmarkStart w:id="697" w:name="bookmark697"/>
      <w:bookmarkStart w:id="699" w:name="bookmark699"/>
      <w:bookmarkStart w:id="700" w:name="bookmark700"/>
      <w:bookmarkEnd w:id="699"/>
      <w:r>
        <w:rPr>
          <w:color w:val="000000"/>
          <w:spacing w:val="0"/>
          <w:w w:val="100"/>
          <w:position w:val="0"/>
          <w:sz w:val="22"/>
          <w:szCs w:val="22"/>
        </w:rPr>
        <w:t>保理业务</w:t>
      </w:r>
      <w:bookmarkEnd w:id="696"/>
      <w:bookmarkEnd w:id="697"/>
      <w:bookmarkEnd w:id="700"/>
    </w:p>
    <w:p>
      <w:pPr>
        <w:pStyle w:val="Style33"/>
        <w:keepNext w:val="0"/>
        <w:keepLines w:val="0"/>
        <w:widowControl w:val="0"/>
        <w:shd w:val="clear" w:color="auto" w:fill="auto"/>
        <w:bidi w:val="0"/>
        <w:spacing w:before="0" w:after="360" w:line="318" w:lineRule="exact"/>
        <w:ind w:left="0" w:right="0" w:firstLine="0"/>
        <w:jc w:val="both"/>
        <w:rPr>
          <w:sz w:val="22"/>
          <w:szCs w:val="22"/>
        </w:rPr>
      </w:pPr>
      <w:r>
        <w:rPr>
          <w:b w:val="0"/>
          <w:bCs w:val="0"/>
          <w:color w:val="000000"/>
          <w:spacing w:val="0"/>
          <w:w w:val="100"/>
          <w:position w:val="0"/>
          <w:sz w:val="22"/>
          <w:szCs w:val="22"/>
        </w:rPr>
        <w:t>本集团从事的保理业务包括有追索权的保理以及无追索权的保理。有追索权的保理即 客户根据购销合同以及相关协议，将符合条件且经本集团认可的应收账款债权转让给 本集团，取得短期贸易融资，应收长款回收管理服务，并约定债权如不能如期足额回 收，由客户负责全额回购的融资业务。无追索权的保理下，客户将应收债权转让本集 团，本集团放弃对客户的追索权利，并承担买方拒绝付款或无力还款的风险，但对于 商务合同纠纷争议而导致应收账款不能收回时，本集团对客户仍享有追索权。本集团 保理业务按购买应收账款债权所支付的金额计入应收保理款。</w:t>
      </w:r>
    </w:p>
    <w:p>
      <w:pPr>
        <w:pStyle w:val="Style94"/>
        <w:keepNext w:val="0"/>
        <w:keepLines w:val="0"/>
        <w:widowControl w:val="0"/>
        <w:numPr>
          <w:ilvl w:val="0"/>
          <w:numId w:val="41"/>
        </w:numPr>
        <w:shd w:val="clear" w:color="auto" w:fill="auto"/>
        <w:tabs>
          <w:tab w:pos="835" w:val="left"/>
        </w:tabs>
        <w:bidi w:val="0"/>
        <w:spacing w:before="0"/>
        <w:ind w:left="0" w:right="0" w:firstLine="0"/>
        <w:jc w:val="both"/>
        <w:rPr>
          <w:sz w:val="22"/>
          <w:szCs w:val="22"/>
        </w:rPr>
      </w:pPr>
      <w:bookmarkStart w:id="701" w:name="bookmark701"/>
      <w:bookmarkEnd w:id="701"/>
      <w:r>
        <w:rPr>
          <w:rFonts w:ascii="SimSun" w:eastAsia="SimSun" w:hAnsi="SimSun" w:cs="SimSun"/>
          <w:b/>
          <w:bCs/>
          <w:color w:val="000000"/>
          <w:spacing w:val="0"/>
          <w:w w:val="100"/>
          <w:position w:val="0"/>
          <w:sz w:val="22"/>
          <w:szCs w:val="22"/>
        </w:rPr>
        <w:t>政府补助</w:t>
      </w:r>
    </w:p>
    <w:p>
      <w:pPr>
        <w:pStyle w:val="Style33"/>
        <w:keepNext w:val="0"/>
        <w:keepLines w:val="0"/>
        <w:widowControl w:val="0"/>
        <w:shd w:val="clear" w:color="auto" w:fill="auto"/>
        <w:bidi w:val="0"/>
        <w:spacing w:before="0" w:after="280" w:line="326" w:lineRule="exact"/>
        <w:ind w:left="0" w:right="0" w:firstLine="0"/>
        <w:jc w:val="both"/>
        <w:rPr>
          <w:sz w:val="22"/>
          <w:szCs w:val="22"/>
        </w:rPr>
      </w:pPr>
      <w:r>
        <w:rPr>
          <w:b w:val="0"/>
          <w:bCs w:val="0"/>
          <w:color w:val="000000"/>
          <w:spacing w:val="0"/>
          <w:w w:val="100"/>
          <w:position w:val="0"/>
          <w:sz w:val="22"/>
          <w:szCs w:val="22"/>
        </w:rPr>
        <w:t>政府补助为本集团从政府无偿取得的货币性资产或非货币性资产，包括税费返还、财 政补贴等。</w:t>
      </w:r>
    </w:p>
    <w:p>
      <w:pPr>
        <w:pStyle w:val="Style33"/>
        <w:keepNext w:val="0"/>
        <w:keepLines w:val="0"/>
        <w:widowControl w:val="0"/>
        <w:shd w:val="clear" w:color="auto" w:fill="auto"/>
        <w:bidi w:val="0"/>
        <w:spacing w:before="0" w:after="280" w:line="324" w:lineRule="exact"/>
        <w:ind w:left="0" w:right="0" w:firstLine="0"/>
        <w:jc w:val="both"/>
        <w:rPr>
          <w:sz w:val="22"/>
          <w:szCs w:val="22"/>
        </w:rPr>
      </w:pPr>
      <w:r>
        <w:rPr>
          <w:b w:val="0"/>
          <w:bCs w:val="0"/>
          <w:color w:val="000000"/>
          <w:spacing w:val="0"/>
          <w:w w:val="100"/>
          <w:position w:val="0"/>
          <w:sz w:val="22"/>
          <w:szCs w:val="22"/>
        </w:rPr>
        <w:t>政府补助在本集团能够满足其所附的条件并且能够收到时，予以确认。政府补助为货 币性资产的，按照收到或应收的金额计量。政府补助为非货币性资产的，按照公允价 值计量；公允价值不能可靠取得的，按照名义金额计量。</w:t>
      </w:r>
    </w:p>
    <w:p>
      <w:pPr>
        <w:pStyle w:val="Style33"/>
        <w:keepNext w:val="0"/>
        <w:keepLines w:val="0"/>
        <w:widowControl w:val="0"/>
        <w:shd w:val="clear" w:color="auto" w:fill="auto"/>
        <w:bidi w:val="0"/>
        <w:spacing w:before="0" w:after="280" w:line="326" w:lineRule="exact"/>
        <w:ind w:left="0" w:right="0" w:firstLine="0"/>
        <w:jc w:val="both"/>
        <w:rPr>
          <w:sz w:val="22"/>
          <w:szCs w:val="22"/>
        </w:rPr>
      </w:pPr>
      <w:r>
        <w:rPr>
          <w:b w:val="0"/>
          <w:bCs w:val="0"/>
          <w:color w:val="000000"/>
          <w:spacing w:val="0"/>
          <w:w w:val="100"/>
          <w:position w:val="0"/>
          <w:sz w:val="22"/>
          <w:szCs w:val="22"/>
        </w:rPr>
        <w:t>与资产相关的政府补助，是指企业取得的、用于购建或以其他方式形成长期资产的政 府补助。与收益相关的政府补助是指除与资产相关的政府补助之外的政府补助。</w:t>
      </w:r>
    </w:p>
    <w:p>
      <w:pPr>
        <w:pStyle w:val="Style33"/>
        <w:keepNext w:val="0"/>
        <w:keepLines w:val="0"/>
        <w:widowControl w:val="0"/>
        <w:shd w:val="clear" w:color="auto" w:fill="auto"/>
        <w:bidi w:val="0"/>
        <w:spacing w:before="0" w:after="280" w:line="322" w:lineRule="exact"/>
        <w:ind w:left="0" w:right="0" w:firstLine="0"/>
        <w:jc w:val="both"/>
        <w:rPr>
          <w:sz w:val="22"/>
          <w:szCs w:val="22"/>
        </w:rPr>
      </w:pPr>
      <w:r>
        <w:rPr>
          <w:b w:val="0"/>
          <w:bCs w:val="0"/>
          <w:color w:val="000000"/>
          <w:spacing w:val="0"/>
          <w:w w:val="100"/>
          <w:position w:val="0"/>
          <w:sz w:val="22"/>
          <w:szCs w:val="22"/>
        </w:rPr>
        <w:t>与资产相关的政府补助，确认为递延收益，并在相关资产使用寿命内平均分配，计入 当期损益。按照名义金额计量的政府补助，直接计入当期损益。</w:t>
      </w:r>
    </w:p>
    <w:p>
      <w:pPr>
        <w:pStyle w:val="Style33"/>
        <w:keepNext w:val="0"/>
        <w:keepLines w:val="0"/>
        <w:widowControl w:val="0"/>
        <w:shd w:val="clear" w:color="auto" w:fill="auto"/>
        <w:bidi w:val="0"/>
        <w:spacing w:before="0" w:after="280" w:line="317" w:lineRule="exact"/>
        <w:ind w:left="0" w:right="0" w:firstLine="0"/>
        <w:jc w:val="both"/>
        <w:rPr>
          <w:sz w:val="22"/>
          <w:szCs w:val="22"/>
        </w:rPr>
        <w:sectPr>
          <w:footnotePr>
            <w:pos w:val="pageBottom"/>
            <w:numFmt w:val="decimal"/>
            <w:numRestart w:val="continuous"/>
          </w:footnotePr>
          <w:pgSz w:w="11900" w:h="16840"/>
          <w:pgMar w:top="1762" w:right="1000" w:bottom="1762" w:left="1962" w:header="0" w:footer="3" w:gutter="0"/>
          <w:cols w:space="720"/>
          <w:noEndnote/>
          <w:rtlGutter w:val="0"/>
          <w:docGrid w:linePitch="360"/>
        </w:sectPr>
      </w:pPr>
      <w:r>
        <w:rPr>
          <w:b w:val="0"/>
          <w:bCs w:val="0"/>
          <w:color w:val="000000"/>
          <w:spacing w:val="0"/>
          <w:w w:val="100"/>
          <w:position w:val="0"/>
          <w:sz w:val="22"/>
          <w:szCs w:val="22"/>
        </w:rPr>
        <w:t>与收益相关的政府补助，用于补偿以后期间的相关费用或损失的，确认为递延收益， 并在确认相关费用的期间，计入当期损益；用于补偿已发生的相关费用或损失的，直 接计入当期损益。</w:t>
      </w:r>
    </w:p>
    <w:p>
      <w:pPr>
        <w:pStyle w:val="Style27"/>
        <w:keepNext/>
        <w:keepLines/>
        <w:widowControl w:val="0"/>
        <w:shd w:val="clear" w:color="auto" w:fill="auto"/>
        <w:bidi w:val="0"/>
        <w:spacing w:before="0" w:line="320" w:lineRule="exact"/>
        <w:ind w:left="0" w:right="0" w:firstLine="0"/>
        <w:jc w:val="both"/>
        <w:rPr>
          <w:sz w:val="28"/>
          <w:szCs w:val="28"/>
        </w:rPr>
      </w:pPr>
      <w:bookmarkStart w:id="702" w:name="bookmark702"/>
      <w:bookmarkStart w:id="703" w:name="bookmark703"/>
      <w:bookmarkStart w:id="704" w:name="bookmark704"/>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02"/>
      <w:bookmarkEnd w:id="703"/>
      <w:bookmarkEnd w:id="704"/>
    </w:p>
    <w:p>
      <w:pPr>
        <w:pStyle w:val="Style27"/>
        <w:keepNext/>
        <w:keepLines/>
        <w:widowControl w:val="0"/>
        <w:shd w:val="clear" w:color="auto" w:fill="auto"/>
        <w:tabs>
          <w:tab w:pos="811" w:val="left"/>
        </w:tabs>
        <w:bidi w:val="0"/>
        <w:spacing w:before="0" w:line="320" w:lineRule="exact"/>
        <w:ind w:left="0" w:right="0" w:firstLine="0"/>
        <w:jc w:val="both"/>
        <w:rPr>
          <w:sz w:val="22"/>
          <w:szCs w:val="22"/>
        </w:rPr>
      </w:pPr>
      <w:bookmarkStart w:id="702" w:name="bookmark702"/>
      <w:bookmarkStart w:id="703" w:name="bookmark703"/>
      <w:bookmarkStart w:id="705" w:name="bookmark705"/>
      <w:r>
        <w:rPr>
          <w:rFonts w:ascii="Arial" w:eastAsia="Arial" w:hAnsi="Arial" w:cs="Arial"/>
          <w:b w:val="0"/>
          <w:bCs w:val="0"/>
          <w:color w:val="000000"/>
          <w:spacing w:val="0"/>
          <w:w w:val="100"/>
          <w:position w:val="0"/>
          <w:sz w:val="24"/>
          <w:szCs w:val="24"/>
        </w:rPr>
        <w:t>（27）</w:t>
        <w:tab/>
      </w:r>
      <w:r>
        <w:rPr>
          <w:color w:val="000000"/>
          <w:spacing w:val="0"/>
          <w:w w:val="100"/>
          <w:position w:val="0"/>
          <w:sz w:val="22"/>
          <w:szCs w:val="22"/>
        </w:rPr>
        <w:t>递延所得税资产和递延所得税负债</w:t>
      </w:r>
      <w:bookmarkEnd w:id="702"/>
      <w:bookmarkEnd w:id="703"/>
      <w:bookmarkEnd w:id="705"/>
    </w:p>
    <w:p>
      <w:pPr>
        <w:pStyle w:val="Style33"/>
        <w:keepNext w:val="0"/>
        <w:keepLines w:val="0"/>
        <w:widowControl w:val="0"/>
        <w:shd w:val="clear" w:color="auto" w:fill="auto"/>
        <w:bidi w:val="0"/>
        <w:spacing w:before="0" w:after="320" w:line="320" w:lineRule="exact"/>
        <w:ind w:left="0" w:right="0" w:firstLine="0"/>
        <w:jc w:val="both"/>
        <w:rPr>
          <w:sz w:val="22"/>
          <w:szCs w:val="22"/>
        </w:rPr>
      </w:pPr>
      <w:r>
        <w:rPr>
          <w:b w:val="0"/>
          <w:bCs w:val="0"/>
          <w:color w:val="000000"/>
          <w:spacing w:val="0"/>
          <w:w w:val="100"/>
          <w:position w:val="0"/>
          <w:sz w:val="22"/>
          <w:szCs w:val="22"/>
        </w:rPr>
        <w:t xml:space="preserve">递延所得税资产和递延所得税负债根据资产和负债的计税基础与其账面价值的差额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暂时性差异</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计算确认。对于按照税法规定能够于以后年度抵减应纳税所得额的可抵 扣亏损，确认相应的递延所得税资产。对于商誉的初始确认产生的暂时性差异，不确 认相应的递延所得税负债。对于既不影响会计利润也不影响应纳税所得额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或可抵扣 亏损</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的非企业合并的交易中产生的资产或负债的初始确认形成的暂时性差异，不确 认相应的递延所得税资产和递延所得税负债。于资产负债表日，递延所得税资产和递 延所得税负债，按照预期收回该资产或清偿该负债期间的适用税率计量。</w:t>
      </w:r>
    </w:p>
    <w:p>
      <w:pPr>
        <w:pStyle w:val="Style33"/>
        <w:keepNext w:val="0"/>
        <w:keepLines w:val="0"/>
        <w:widowControl w:val="0"/>
        <w:shd w:val="clear" w:color="auto" w:fill="auto"/>
        <w:bidi w:val="0"/>
        <w:spacing w:before="0" w:after="320" w:line="312" w:lineRule="exact"/>
        <w:ind w:left="0" w:right="0" w:firstLine="0"/>
        <w:jc w:val="both"/>
        <w:rPr>
          <w:sz w:val="22"/>
          <w:szCs w:val="22"/>
        </w:rPr>
      </w:pPr>
      <w:r>
        <w:rPr>
          <w:b w:val="0"/>
          <w:bCs w:val="0"/>
          <w:color w:val="000000"/>
          <w:spacing w:val="0"/>
          <w:w w:val="100"/>
          <w:position w:val="0"/>
          <w:sz w:val="22"/>
          <w:szCs w:val="22"/>
        </w:rPr>
        <w:t>递延所得税资产的确认以很可能取得用来抵扣可抵扣暂时性差异、可抵扣亏损和税款 抵减的应纳税所得额为限。</w:t>
      </w:r>
    </w:p>
    <w:p>
      <w:pPr>
        <w:pStyle w:val="Style33"/>
        <w:keepNext w:val="0"/>
        <w:keepLines w:val="0"/>
        <w:widowControl w:val="0"/>
        <w:shd w:val="clear" w:color="auto" w:fill="auto"/>
        <w:bidi w:val="0"/>
        <w:spacing w:before="0" w:after="320" w:line="320" w:lineRule="exact"/>
        <w:ind w:left="0" w:right="0" w:firstLine="0"/>
        <w:jc w:val="both"/>
        <w:rPr>
          <w:sz w:val="22"/>
          <w:szCs w:val="22"/>
        </w:rPr>
      </w:pPr>
      <w:r>
        <w:rPr>
          <w:b w:val="0"/>
          <w:bCs w:val="0"/>
          <w:color w:val="000000"/>
          <w:spacing w:val="0"/>
          <w:w w:val="100"/>
          <w:position w:val="0"/>
          <w:sz w:val="22"/>
          <w:szCs w:val="22"/>
        </w:rPr>
        <w:t>对与子公司、联营企业及合营企业投资相关的应纳税暂时性差异，确认递延所得税负 债，除非本集团能够控制该暂时性差异转回的时间且该暂时性差异在可预见的未来很 可能不会转回。对与子公司、联营企业及合营企业投资相关的可抵扣暂时性差异，当 该暂时性差异在可预见的未来很可能转回且未来很可能获得用来抵扣可抵扣暂时性 差异的应纳税所得额时，确认递延所得税资产。</w:t>
      </w:r>
    </w:p>
    <w:p>
      <w:pPr>
        <w:pStyle w:val="Style33"/>
        <w:keepNext w:val="0"/>
        <w:keepLines w:val="0"/>
        <w:widowControl w:val="0"/>
        <w:shd w:val="clear" w:color="auto" w:fill="auto"/>
        <w:bidi w:val="0"/>
        <w:spacing w:before="0" w:after="320" w:line="320" w:lineRule="exact"/>
        <w:ind w:left="0" w:right="0" w:firstLine="0"/>
        <w:jc w:val="both"/>
        <w:rPr>
          <w:sz w:val="22"/>
          <w:szCs w:val="22"/>
        </w:rPr>
      </w:pPr>
      <w:r>
        <w:rPr>
          <w:b w:val="0"/>
          <w:bCs w:val="0"/>
          <w:color w:val="000000"/>
          <w:spacing w:val="0"/>
          <w:w w:val="100"/>
          <w:position w:val="0"/>
          <w:sz w:val="22"/>
          <w:szCs w:val="22"/>
        </w:rPr>
        <w:t>同时满足下列条件的递延所得税资产和递延所得税负债以抵销后的净额列示：</w:t>
      </w:r>
    </w:p>
    <w:p>
      <w:pPr>
        <w:pStyle w:val="Style33"/>
        <w:keepNext w:val="0"/>
        <w:keepLines w:val="0"/>
        <w:widowControl w:val="0"/>
        <w:shd w:val="clear" w:color="auto" w:fill="auto"/>
        <w:bidi w:val="0"/>
        <w:spacing w:before="0" w:after="0" w:line="319" w:lineRule="exact"/>
        <w:ind w:left="360" w:right="0" w:hanging="360"/>
        <w:jc w:val="both"/>
        <w:rPr>
          <w:sz w:val="22"/>
          <w:szCs w:val="22"/>
        </w:r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递延所得税资产和递延所得税负债与同一税收征管部门对本集团内同一纳税主体 征收的所得税相关；</w:t>
      </w:r>
    </w:p>
    <w:p>
      <w:pPr>
        <w:pStyle w:val="Style33"/>
        <w:keepNext w:val="0"/>
        <w:keepLines w:val="0"/>
        <w:widowControl w:val="0"/>
        <w:shd w:val="clear" w:color="auto" w:fill="auto"/>
        <w:bidi w:val="0"/>
        <w:spacing w:before="0" w:after="320" w:line="319" w:lineRule="exact"/>
        <w:ind w:left="360" w:right="0" w:hanging="360"/>
        <w:jc w:val="both"/>
        <w:rPr>
          <w:sz w:val="22"/>
          <w:szCs w:val="22"/>
        </w:rPr>
        <w:sectPr>
          <w:footnotePr>
            <w:pos w:val="pageBottom"/>
            <w:numFmt w:val="decimal"/>
            <w:numRestart w:val="continuous"/>
          </w:footnotePr>
          <w:pgSz w:w="11900" w:h="16840"/>
          <w:pgMar w:top="1762" w:right="1110" w:bottom="1762" w:left="1962" w:header="0" w:footer="3" w:gutter="0"/>
          <w:cols w:space="720"/>
          <w:noEndnote/>
          <w:rtlGutter w:val="0"/>
          <w:docGrid w:linePitch="360"/>
        </w:sectPr>
      </w:pPr>
      <w:r>
        <w:rPr>
          <w:rFonts w:ascii="Arial Unicode MS" w:eastAsia="Arial Unicode MS" w:hAnsi="Arial Unicode MS" w:cs="Arial Unicode MS"/>
          <w:b w:val="0"/>
          <w:bCs w:val="0"/>
          <w:color w:val="000000"/>
          <w:spacing w:val="0"/>
          <w:w w:val="100"/>
          <w:position w:val="0"/>
          <w:sz w:val="19"/>
          <w:szCs w:val="19"/>
        </w:rPr>
        <w:t>・</w:t>
      </w:r>
      <w:r>
        <w:rPr>
          <w:b w:val="0"/>
          <w:bCs w:val="0"/>
          <w:color w:val="000000"/>
          <w:spacing w:val="0"/>
          <w:w w:val="100"/>
          <w:position w:val="0"/>
          <w:sz w:val="22"/>
          <w:szCs w:val="22"/>
        </w:rPr>
        <w:t>本集团内该纳税主体拥有以净额结算当期所得税资产及当期所得税负债的法定权 利。</w:t>
      </w:r>
    </w:p>
    <w:p>
      <w:pPr>
        <w:pStyle w:val="Style27"/>
        <w:keepNext/>
        <w:keepLines/>
        <w:widowControl w:val="0"/>
        <w:shd w:val="clear" w:color="auto" w:fill="auto"/>
        <w:bidi w:val="0"/>
        <w:spacing w:before="0" w:after="360" w:line="319" w:lineRule="exact"/>
        <w:ind w:left="0" w:right="0" w:firstLine="0"/>
        <w:jc w:val="both"/>
        <w:rPr>
          <w:sz w:val="28"/>
          <w:szCs w:val="28"/>
        </w:rPr>
      </w:pPr>
      <w:bookmarkStart w:id="706" w:name="bookmark706"/>
      <w:bookmarkStart w:id="707" w:name="bookmark707"/>
      <w:bookmarkStart w:id="708" w:name="bookmark708"/>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06"/>
      <w:bookmarkEnd w:id="707"/>
      <w:bookmarkEnd w:id="708"/>
    </w:p>
    <w:p>
      <w:pPr>
        <w:pStyle w:val="Style94"/>
        <w:keepNext w:val="0"/>
        <w:keepLines w:val="0"/>
        <w:widowControl w:val="0"/>
        <w:shd w:val="clear" w:color="auto" w:fill="auto"/>
        <w:tabs>
          <w:tab w:pos="838" w:val="left"/>
        </w:tabs>
        <w:bidi w:val="0"/>
        <w:spacing w:before="0"/>
        <w:ind w:left="0" w:right="0" w:firstLine="0"/>
        <w:jc w:val="both"/>
        <w:rPr>
          <w:sz w:val="22"/>
          <w:szCs w:val="22"/>
        </w:rPr>
      </w:pPr>
      <w:bookmarkStart w:id="709" w:name="bookmark709"/>
      <w:r>
        <w:rPr>
          <w:color w:val="000000"/>
          <w:spacing w:val="0"/>
          <w:w w:val="100"/>
          <w:position w:val="0"/>
          <w:sz w:val="24"/>
          <w:szCs w:val="24"/>
        </w:rPr>
        <w:t>（</w:t>
      </w:r>
      <w:bookmarkEnd w:id="709"/>
      <w:r>
        <w:rPr>
          <w:color w:val="000000"/>
          <w:spacing w:val="0"/>
          <w:w w:val="100"/>
          <w:position w:val="0"/>
          <w:sz w:val="24"/>
          <w:szCs w:val="24"/>
        </w:rPr>
        <w:t>28）</w:t>
        <w:tab/>
      </w:r>
      <w:r>
        <w:rPr>
          <w:rFonts w:ascii="SimSun" w:eastAsia="SimSun" w:hAnsi="SimSun" w:cs="SimSun"/>
          <w:b/>
          <w:bCs/>
          <w:color w:val="000000"/>
          <w:spacing w:val="0"/>
          <w:w w:val="100"/>
          <w:position w:val="0"/>
          <w:sz w:val="22"/>
          <w:szCs w:val="22"/>
        </w:rPr>
        <w:t>租赁</w:t>
      </w:r>
    </w:p>
    <w:p>
      <w:pPr>
        <w:pStyle w:val="Style33"/>
        <w:keepNext w:val="0"/>
        <w:keepLines w:val="0"/>
        <w:widowControl w:val="0"/>
        <w:shd w:val="clear" w:color="auto" w:fill="auto"/>
        <w:bidi w:val="0"/>
        <w:spacing w:before="0" w:after="360" w:line="322" w:lineRule="exact"/>
        <w:ind w:left="0" w:right="0" w:firstLine="0"/>
        <w:jc w:val="both"/>
        <w:rPr>
          <w:sz w:val="22"/>
          <w:szCs w:val="22"/>
        </w:rPr>
      </w:pPr>
      <w:r>
        <w:rPr>
          <w:b w:val="0"/>
          <w:bCs w:val="0"/>
          <w:color w:val="000000"/>
          <w:spacing w:val="0"/>
          <w:w w:val="100"/>
          <w:position w:val="0"/>
          <w:sz w:val="22"/>
          <w:szCs w:val="22"/>
        </w:rPr>
        <w:t>实质上转移了与资产所有权有关的全部风险和报酬的租赁为融资租赁。其他的租赁为 经营租赁。</w:t>
      </w:r>
    </w:p>
    <w:p>
      <w:pPr>
        <w:pStyle w:val="Style33"/>
        <w:keepNext w:val="0"/>
        <w:keepLines w:val="0"/>
        <w:widowControl w:val="0"/>
        <w:shd w:val="clear" w:color="auto" w:fill="auto"/>
        <w:tabs>
          <w:tab w:pos="464" w:val="left"/>
        </w:tabs>
        <w:bidi w:val="0"/>
        <w:spacing w:before="0" w:after="280" w:line="276" w:lineRule="auto"/>
        <w:ind w:left="0" w:right="0" w:firstLine="0"/>
        <w:jc w:val="both"/>
        <w:rPr>
          <w:sz w:val="22"/>
          <w:szCs w:val="22"/>
        </w:rPr>
      </w:pPr>
      <w:bookmarkStart w:id="710" w:name="bookmark710"/>
      <w:r>
        <w:rPr>
          <w:rFonts w:ascii="Arial" w:eastAsia="Arial" w:hAnsi="Arial" w:cs="Arial"/>
          <w:b w:val="0"/>
          <w:bCs w:val="0"/>
          <w:color w:val="000000"/>
          <w:spacing w:val="0"/>
          <w:w w:val="100"/>
          <w:position w:val="0"/>
          <w:sz w:val="24"/>
          <w:szCs w:val="24"/>
        </w:rPr>
        <w:t>（</w:t>
      </w:r>
      <w:bookmarkEnd w:id="710"/>
      <w:r>
        <w:rPr>
          <w:rFonts w:ascii="Arial" w:eastAsia="Arial" w:hAnsi="Arial" w:cs="Arial"/>
          <w:b w:val="0"/>
          <w:bCs w:val="0"/>
          <w:color w:val="000000"/>
          <w:spacing w:val="0"/>
          <w:w w:val="100"/>
          <w:position w:val="0"/>
          <w:sz w:val="24"/>
          <w:szCs w:val="24"/>
        </w:rPr>
        <w:t>a）</w:t>
        <w:tab/>
      </w:r>
      <w:r>
        <w:rPr>
          <w:b w:val="0"/>
          <w:bCs w:val="0"/>
          <w:color w:val="000000"/>
          <w:spacing w:val="0"/>
          <w:w w:val="100"/>
          <w:position w:val="0"/>
          <w:sz w:val="22"/>
          <w:szCs w:val="22"/>
        </w:rPr>
        <w:t>经营租赁</w:t>
      </w:r>
    </w:p>
    <w:p>
      <w:pPr>
        <w:pStyle w:val="Style33"/>
        <w:keepNext w:val="0"/>
        <w:keepLines w:val="0"/>
        <w:widowControl w:val="0"/>
        <w:shd w:val="clear" w:color="auto" w:fill="auto"/>
        <w:bidi w:val="0"/>
        <w:spacing w:before="0" w:after="360" w:line="319" w:lineRule="exact"/>
        <w:ind w:left="0" w:right="0" w:firstLine="0"/>
        <w:jc w:val="both"/>
        <w:rPr>
          <w:sz w:val="22"/>
          <w:szCs w:val="22"/>
        </w:rPr>
      </w:pPr>
      <w:r>
        <w:rPr>
          <w:b w:val="0"/>
          <w:bCs w:val="0"/>
          <w:color w:val="000000"/>
          <w:spacing w:val="0"/>
          <w:w w:val="100"/>
          <w:position w:val="0"/>
          <w:sz w:val="22"/>
          <w:szCs w:val="22"/>
        </w:rPr>
        <w:t>经营租赁的租金支出在租赁期内按照直线法计入相关资产成本或当期损益。</w:t>
      </w:r>
    </w:p>
    <w:p>
      <w:pPr>
        <w:pStyle w:val="Style33"/>
        <w:keepNext w:val="0"/>
        <w:keepLines w:val="0"/>
        <w:widowControl w:val="0"/>
        <w:shd w:val="clear" w:color="auto" w:fill="auto"/>
        <w:tabs>
          <w:tab w:pos="464" w:val="left"/>
        </w:tabs>
        <w:bidi w:val="0"/>
        <w:spacing w:before="0" w:after="280" w:line="276" w:lineRule="auto"/>
        <w:ind w:left="0" w:right="0" w:firstLine="0"/>
        <w:jc w:val="both"/>
        <w:rPr>
          <w:sz w:val="22"/>
          <w:szCs w:val="22"/>
        </w:rPr>
      </w:pPr>
      <w:bookmarkStart w:id="711" w:name="bookmark711"/>
      <w:r>
        <w:rPr>
          <w:rFonts w:ascii="Arial" w:eastAsia="Arial" w:hAnsi="Arial" w:cs="Arial"/>
          <w:b w:val="0"/>
          <w:bCs w:val="0"/>
          <w:color w:val="000000"/>
          <w:spacing w:val="0"/>
          <w:w w:val="100"/>
          <w:position w:val="0"/>
          <w:sz w:val="24"/>
          <w:szCs w:val="24"/>
        </w:rPr>
        <w:t>（</w:t>
      </w:r>
      <w:bookmarkEnd w:id="711"/>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融资租入</w:t>
      </w:r>
    </w:p>
    <w:p>
      <w:pPr>
        <w:pStyle w:val="Style33"/>
        <w:keepNext w:val="0"/>
        <w:keepLines w:val="0"/>
        <w:widowControl w:val="0"/>
        <w:shd w:val="clear" w:color="auto" w:fill="auto"/>
        <w:bidi w:val="0"/>
        <w:spacing w:before="0" w:after="360" w:line="318" w:lineRule="exact"/>
        <w:ind w:left="0" w:right="0" w:firstLine="0"/>
        <w:jc w:val="both"/>
        <w:rPr>
          <w:sz w:val="22"/>
          <w:szCs w:val="22"/>
        </w:rPr>
      </w:pPr>
      <w:r>
        <w:rPr>
          <w:b w:val="0"/>
          <w:bCs w:val="0"/>
          <w:color w:val="000000"/>
          <w:spacing w:val="0"/>
          <w:w w:val="100"/>
          <w:position w:val="0"/>
          <w:sz w:val="22"/>
          <w:szCs w:val="22"/>
        </w:rPr>
        <w:t>以租赁资产的公允价值与最低租赁付款额的现值两者中较低者作为租入资产的入账 价值，租入资产的入账价值与最低租赁付款额之间的差额作为未确认融资费用，在租 赁期内按实际利率法摊销。最低租赁付款额扣除未确认融资费用后的余额作为长期应 付款列示。</w:t>
      </w:r>
    </w:p>
    <w:p>
      <w:pPr>
        <w:pStyle w:val="Style33"/>
        <w:keepNext w:val="0"/>
        <w:keepLines w:val="0"/>
        <w:widowControl w:val="0"/>
        <w:shd w:val="clear" w:color="auto" w:fill="auto"/>
        <w:tabs>
          <w:tab w:pos="464" w:val="left"/>
        </w:tabs>
        <w:bidi w:val="0"/>
        <w:spacing w:before="0" w:after="280" w:line="276" w:lineRule="auto"/>
        <w:ind w:left="0" w:right="0" w:firstLine="0"/>
        <w:jc w:val="both"/>
        <w:rPr>
          <w:sz w:val="22"/>
          <w:szCs w:val="22"/>
        </w:rPr>
      </w:pPr>
      <w:bookmarkStart w:id="712" w:name="bookmark712"/>
      <w:r>
        <w:rPr>
          <w:rFonts w:ascii="Arial" w:eastAsia="Arial" w:hAnsi="Arial" w:cs="Arial"/>
          <w:b w:val="0"/>
          <w:bCs w:val="0"/>
          <w:color w:val="000000"/>
          <w:spacing w:val="0"/>
          <w:w w:val="100"/>
          <w:position w:val="0"/>
          <w:sz w:val="24"/>
          <w:szCs w:val="24"/>
        </w:rPr>
        <w:t>（</w:t>
      </w:r>
      <w:bookmarkEnd w:id="712"/>
      <w:r>
        <w:rPr>
          <w:rFonts w:ascii="Arial" w:eastAsia="Arial" w:hAnsi="Arial" w:cs="Arial"/>
          <w:b w:val="0"/>
          <w:bCs w:val="0"/>
          <w:color w:val="000000"/>
          <w:spacing w:val="0"/>
          <w:w w:val="100"/>
          <w:position w:val="0"/>
          <w:sz w:val="24"/>
          <w:szCs w:val="24"/>
        </w:rPr>
        <w:t>c）</w:t>
        <w:tab/>
      </w:r>
      <w:r>
        <w:rPr>
          <w:b w:val="0"/>
          <w:bCs w:val="0"/>
          <w:color w:val="000000"/>
          <w:spacing w:val="0"/>
          <w:w w:val="100"/>
          <w:position w:val="0"/>
          <w:sz w:val="22"/>
          <w:szCs w:val="22"/>
        </w:rPr>
        <w:t>融资租出</w:t>
      </w:r>
    </w:p>
    <w:p>
      <w:pPr>
        <w:pStyle w:val="Style33"/>
        <w:keepNext w:val="0"/>
        <w:keepLines w:val="0"/>
        <w:widowControl w:val="0"/>
        <w:shd w:val="clear" w:color="auto" w:fill="auto"/>
        <w:bidi w:val="0"/>
        <w:spacing w:before="0" w:after="280" w:line="319" w:lineRule="exact"/>
        <w:ind w:left="0" w:right="0" w:firstLine="0"/>
        <w:jc w:val="both"/>
        <w:rPr>
          <w:sz w:val="22"/>
          <w:szCs w:val="22"/>
        </w:rPr>
      </w:pPr>
      <w:r>
        <w:rPr>
          <w:b w:val="0"/>
          <w:bCs w:val="0"/>
          <w:color w:val="000000"/>
          <w:spacing w:val="0"/>
          <w:w w:val="100"/>
          <w:position w:val="0"/>
          <w:sz w:val="22"/>
          <w:szCs w:val="22"/>
        </w:rPr>
        <w:t>于租赁期开始日，本集团将租赁开始日最低租赁收款额与初始直接费用之和作为应收 融资租赁款的入账价值；将最低租赁收款额、初始直接费用之和与其现值之和的差额 确认为未实现融资收益。</w:t>
      </w:r>
    </w:p>
    <w:p>
      <w:pPr>
        <w:pStyle w:val="Style33"/>
        <w:keepNext w:val="0"/>
        <w:keepLines w:val="0"/>
        <w:widowControl w:val="0"/>
        <w:shd w:val="clear" w:color="auto" w:fill="auto"/>
        <w:tabs>
          <w:tab w:pos="838" w:val="left"/>
        </w:tabs>
        <w:bidi w:val="0"/>
        <w:spacing w:before="0" w:after="280" w:line="319" w:lineRule="exact"/>
        <w:ind w:left="0" w:right="0" w:firstLine="0"/>
        <w:jc w:val="both"/>
        <w:rPr>
          <w:sz w:val="22"/>
          <w:szCs w:val="22"/>
        </w:rPr>
      </w:pPr>
      <w:bookmarkStart w:id="713" w:name="bookmark713"/>
      <w:r>
        <w:rPr>
          <w:rFonts w:ascii="Arial" w:eastAsia="Arial" w:hAnsi="Arial" w:cs="Arial"/>
          <w:b w:val="0"/>
          <w:bCs w:val="0"/>
          <w:color w:val="000000"/>
          <w:spacing w:val="0"/>
          <w:w w:val="100"/>
          <w:position w:val="0"/>
          <w:sz w:val="24"/>
          <w:szCs w:val="24"/>
        </w:rPr>
        <w:t>（</w:t>
      </w:r>
      <w:bookmarkEnd w:id="713"/>
      <w:r>
        <w:rPr>
          <w:rFonts w:ascii="Arial" w:eastAsia="Arial" w:hAnsi="Arial" w:cs="Arial"/>
          <w:b w:val="0"/>
          <w:bCs w:val="0"/>
          <w:color w:val="000000"/>
          <w:spacing w:val="0"/>
          <w:w w:val="100"/>
          <w:position w:val="0"/>
          <w:sz w:val="24"/>
          <w:szCs w:val="24"/>
        </w:rPr>
        <w:t>29）</w:t>
        <w:tab/>
      </w:r>
      <w:r>
        <w:rPr>
          <w:color w:val="000000"/>
          <w:spacing w:val="0"/>
          <w:w w:val="100"/>
          <w:position w:val="0"/>
          <w:sz w:val="22"/>
          <w:szCs w:val="22"/>
        </w:rPr>
        <w:t>持有待售及终止经营</w:t>
      </w:r>
    </w:p>
    <w:p>
      <w:pPr>
        <w:pStyle w:val="Style33"/>
        <w:keepNext w:val="0"/>
        <w:keepLines w:val="0"/>
        <w:widowControl w:val="0"/>
        <w:shd w:val="clear" w:color="auto" w:fill="auto"/>
        <w:bidi w:val="0"/>
        <w:spacing w:before="0" w:after="360" w:line="318" w:lineRule="exact"/>
        <w:ind w:left="0" w:right="0" w:firstLine="0"/>
        <w:jc w:val="both"/>
        <w:rPr>
          <w:sz w:val="22"/>
          <w:szCs w:val="22"/>
        </w:rPr>
      </w:pPr>
      <w:r>
        <w:rPr>
          <w:b w:val="0"/>
          <w:bCs w:val="0"/>
          <w:color w:val="000000"/>
          <w:spacing w:val="0"/>
          <w:w w:val="100"/>
          <w:position w:val="0"/>
          <w:sz w:val="22"/>
          <w:szCs w:val="22"/>
        </w:rPr>
        <w:t>同时满足下列条件的非流动资产或处置组划分为持有待售：</w:t>
      </w:r>
      <w:r>
        <w:rPr>
          <w:b w:val="0"/>
          <w:bCs w:val="0"/>
          <w:color w:val="000000"/>
          <w:spacing w:val="0"/>
          <w:w w:val="100"/>
          <w:position w:val="0"/>
          <w:sz w:val="28"/>
          <w:szCs w:val="28"/>
        </w:rPr>
        <w:t>（</w:t>
      </w:r>
      <w:r>
        <w:rPr>
          <w:b w:val="0"/>
          <w:bCs w:val="0"/>
          <w:color w:val="000000"/>
          <w:spacing w:val="0"/>
          <w:w w:val="100"/>
          <w:position w:val="0"/>
          <w:sz w:val="22"/>
          <w:szCs w:val="22"/>
        </w:rPr>
        <w:t>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该非流动资产或该处 置组在其当前状况下仅根据出售此类资产或处置组的惯常条款即可立即出售；</w:t>
      </w:r>
      <w:r>
        <w:rPr>
          <w:b w:val="0"/>
          <w:bCs w:val="0"/>
          <w:color w:val="000000"/>
          <w:spacing w:val="0"/>
          <w:w w:val="100"/>
          <w:position w:val="0"/>
          <w:sz w:val="28"/>
          <w:szCs w:val="28"/>
        </w:rPr>
        <w:t>（</w:t>
      </w:r>
      <w:r>
        <w:rPr>
          <w:b w:val="0"/>
          <w:bCs w:val="0"/>
          <w:color w:val="000000"/>
          <w:spacing w:val="0"/>
          <w:w w:val="100"/>
          <w:position w:val="0"/>
          <w:sz w:val="22"/>
          <w:szCs w:val="22"/>
        </w:rPr>
        <w:t>二</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本 集团已经就处置该非流动资产或该处置组作出决议并取得适当批准；</w:t>
      </w:r>
      <w:r>
        <w:rPr>
          <w:b w:val="0"/>
          <w:bCs w:val="0"/>
          <w:color w:val="000000"/>
          <w:spacing w:val="0"/>
          <w:w w:val="100"/>
          <w:position w:val="0"/>
          <w:sz w:val="28"/>
          <w:szCs w:val="28"/>
        </w:rPr>
        <w:t>（</w:t>
      </w:r>
      <w:r>
        <w:rPr>
          <w:b w:val="0"/>
          <w:bCs w:val="0"/>
          <w:color w:val="000000"/>
          <w:spacing w:val="0"/>
          <w:w w:val="100"/>
          <w:position w:val="0"/>
          <w:sz w:val="22"/>
          <w:szCs w:val="22"/>
        </w:rPr>
        <w:t>三</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本集团已经 与受让方签订了不可撤销的转让协议；</w:t>
      </w:r>
      <w:r>
        <w:rPr>
          <w:b w:val="0"/>
          <w:bCs w:val="0"/>
          <w:color w:val="000000"/>
          <w:spacing w:val="0"/>
          <w:w w:val="100"/>
          <w:position w:val="0"/>
          <w:sz w:val="28"/>
          <w:szCs w:val="28"/>
        </w:rPr>
        <w:t>（</w:t>
      </w:r>
      <w:r>
        <w:rPr>
          <w:b w:val="0"/>
          <w:bCs w:val="0"/>
          <w:color w:val="000000"/>
          <w:spacing w:val="0"/>
          <w:w w:val="100"/>
          <w:position w:val="0"/>
          <w:sz w:val="22"/>
          <w:szCs w:val="22"/>
        </w:rPr>
        <w:t>四</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该项转让将在一年内完成。</w:t>
      </w:r>
    </w:p>
    <w:p>
      <w:pPr>
        <w:pStyle w:val="Style33"/>
        <w:keepNext w:val="0"/>
        <w:keepLines w:val="0"/>
        <w:widowControl w:val="0"/>
        <w:shd w:val="clear" w:color="auto" w:fill="auto"/>
        <w:bidi w:val="0"/>
        <w:spacing w:before="0" w:after="280" w:line="319" w:lineRule="exact"/>
        <w:ind w:left="0" w:right="0" w:firstLine="0"/>
        <w:jc w:val="both"/>
        <w:rPr>
          <w:sz w:val="22"/>
          <w:szCs w:val="22"/>
        </w:rPr>
      </w:pPr>
      <w:r>
        <w:rPr>
          <w:b w:val="0"/>
          <w:bCs w:val="0"/>
          <w:color w:val="000000"/>
          <w:spacing w:val="0"/>
          <w:w w:val="100"/>
          <w:position w:val="0"/>
          <w:sz w:val="22"/>
          <w:szCs w:val="22"/>
        </w:rPr>
        <w:t>符合持有待售条件的非流动资产</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不包括金融资产、以公允价值计量的投资性房地产 以及递延所得税资产</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，以账面价值与公允价值减去处置费用孰低的金额计量，公允 价值减去处置费用低于原账面价值的金额，确认为资产减值损失。</w:t>
      </w:r>
    </w:p>
    <w:p>
      <w:pPr>
        <w:pStyle w:val="Style33"/>
        <w:keepNext w:val="0"/>
        <w:keepLines w:val="0"/>
        <w:widowControl w:val="0"/>
        <w:shd w:val="clear" w:color="auto" w:fill="auto"/>
        <w:bidi w:val="0"/>
        <w:spacing w:before="0" w:after="280" w:line="322" w:lineRule="exact"/>
        <w:ind w:left="0" w:right="0" w:firstLine="0"/>
        <w:jc w:val="both"/>
        <w:rPr>
          <w:sz w:val="22"/>
          <w:szCs w:val="22"/>
        </w:rPr>
      </w:pPr>
      <w:r>
        <w:rPr>
          <w:b w:val="0"/>
          <w:bCs w:val="0"/>
          <w:color w:val="000000"/>
          <w:spacing w:val="0"/>
          <w:w w:val="100"/>
          <w:position w:val="0"/>
          <w:sz w:val="22"/>
          <w:szCs w:val="22"/>
        </w:rPr>
        <w:t>被划分为持有待售的非流动资产和处置组中的资产和负债，分类为流动资产和流动负 债</w:t>
      </w:r>
      <w:r>
        <w:rPr>
          <w:b w:val="0"/>
          <w:bCs w:val="0"/>
          <w:color w:val="000000"/>
          <w:spacing w:val="0"/>
          <w:w w:val="100"/>
          <w:position w:val="0"/>
          <w:sz w:val="19"/>
          <w:szCs w:val="19"/>
        </w:rPr>
        <w:t>，</w:t>
      </w:r>
      <w:r>
        <w:rPr>
          <w:b w:val="0"/>
          <w:bCs w:val="0"/>
          <w:color w:val="000000"/>
          <w:spacing w:val="0"/>
          <w:w w:val="100"/>
          <w:position w:val="0"/>
          <w:sz w:val="22"/>
          <w:szCs w:val="22"/>
        </w:rPr>
        <w:t>并在资产负债表中单独列示。</w:t>
      </w:r>
    </w:p>
    <w:p>
      <w:pPr>
        <w:pStyle w:val="Style27"/>
        <w:keepNext/>
        <w:keepLines/>
        <w:widowControl w:val="0"/>
        <w:shd w:val="clear" w:color="auto" w:fill="auto"/>
        <w:bidi w:val="0"/>
        <w:spacing w:before="0" w:after="300" w:line="320" w:lineRule="exact"/>
        <w:ind w:left="0" w:right="0" w:firstLine="0"/>
        <w:jc w:val="left"/>
        <w:rPr>
          <w:sz w:val="28"/>
          <w:szCs w:val="28"/>
        </w:rPr>
      </w:pPr>
      <w:bookmarkStart w:id="714" w:name="bookmark714"/>
      <w:bookmarkStart w:id="715" w:name="bookmark715"/>
      <w:bookmarkStart w:id="716" w:name="bookmark716"/>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14"/>
      <w:bookmarkEnd w:id="715"/>
      <w:bookmarkEnd w:id="716"/>
    </w:p>
    <w:p>
      <w:pPr>
        <w:pStyle w:val="Style27"/>
        <w:keepNext/>
        <w:keepLines/>
        <w:widowControl w:val="0"/>
        <w:shd w:val="clear" w:color="auto" w:fill="auto"/>
        <w:tabs>
          <w:tab w:pos="838" w:val="left"/>
        </w:tabs>
        <w:bidi w:val="0"/>
        <w:spacing w:before="0" w:after="300" w:line="320" w:lineRule="exact"/>
        <w:ind w:left="0" w:right="0" w:firstLine="0"/>
        <w:jc w:val="left"/>
        <w:rPr>
          <w:sz w:val="28"/>
          <w:szCs w:val="28"/>
        </w:rPr>
      </w:pPr>
      <w:bookmarkStart w:id="714" w:name="bookmark714"/>
      <w:bookmarkStart w:id="715" w:name="bookmark715"/>
      <w:bookmarkStart w:id="717" w:name="bookmark717"/>
      <w:bookmarkStart w:id="718" w:name="bookmark718"/>
      <w:r>
        <w:rPr>
          <w:rFonts w:ascii="Arial" w:eastAsia="Arial" w:hAnsi="Arial" w:cs="Arial"/>
          <w:b w:val="0"/>
          <w:bCs w:val="0"/>
          <w:color w:val="000000"/>
          <w:spacing w:val="0"/>
          <w:w w:val="100"/>
          <w:position w:val="0"/>
          <w:sz w:val="24"/>
          <w:szCs w:val="24"/>
        </w:rPr>
        <w:t>（</w:t>
      </w:r>
      <w:bookmarkEnd w:id="717"/>
      <w:r>
        <w:rPr>
          <w:rFonts w:ascii="Arial" w:eastAsia="Arial" w:hAnsi="Arial" w:cs="Arial"/>
          <w:b w:val="0"/>
          <w:bCs w:val="0"/>
          <w:color w:val="000000"/>
          <w:spacing w:val="0"/>
          <w:w w:val="100"/>
          <w:position w:val="0"/>
          <w:sz w:val="24"/>
          <w:szCs w:val="24"/>
        </w:rPr>
        <w:t>29）</w:t>
        <w:tab/>
      </w:r>
      <w:r>
        <w:rPr>
          <w:color w:val="000000"/>
          <w:spacing w:val="0"/>
          <w:w w:val="100"/>
          <w:position w:val="0"/>
          <w:sz w:val="22"/>
          <w:szCs w:val="22"/>
        </w:rPr>
        <w:t>持有待售及终止经营</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14"/>
      <w:bookmarkEnd w:id="715"/>
      <w:bookmarkEnd w:id="718"/>
    </w:p>
    <w:p>
      <w:pPr>
        <w:pStyle w:val="Style33"/>
        <w:keepNext w:val="0"/>
        <w:keepLines w:val="0"/>
        <w:widowControl w:val="0"/>
        <w:shd w:val="clear" w:color="auto" w:fill="auto"/>
        <w:bidi w:val="0"/>
        <w:spacing w:before="0" w:after="360" w:line="320" w:lineRule="exact"/>
        <w:ind w:left="0" w:right="0" w:firstLine="0"/>
        <w:jc w:val="both"/>
        <w:rPr>
          <w:sz w:val="22"/>
          <w:szCs w:val="22"/>
        </w:rPr>
      </w:pPr>
      <w:r>
        <w:rPr>
          <w:b w:val="0"/>
          <w:bCs w:val="0"/>
          <w:color w:val="000000"/>
          <w:spacing w:val="0"/>
          <w:w w:val="100"/>
          <w:position w:val="0"/>
          <w:sz w:val="22"/>
          <w:szCs w:val="22"/>
        </w:rPr>
        <w:t>终止经营为满足下列条件之一的已被处置或被划归为持有待售的、于经营上和编制财 务报表时能够在本集团内单独区分的组成部分：</w:t>
      </w:r>
      <w:r>
        <w:rPr>
          <w:b w:val="0"/>
          <w:bCs w:val="0"/>
          <w:color w:val="000000"/>
          <w:spacing w:val="0"/>
          <w:w w:val="100"/>
          <w:position w:val="0"/>
          <w:sz w:val="28"/>
          <w:szCs w:val="28"/>
        </w:rPr>
        <w:t>（</w:t>
      </w:r>
      <w:r>
        <w:rPr>
          <w:b w:val="0"/>
          <w:bCs w:val="0"/>
          <w:color w:val="000000"/>
          <w:spacing w:val="0"/>
          <w:w w:val="100"/>
          <w:position w:val="0"/>
          <w:sz w:val="22"/>
          <w:szCs w:val="22"/>
        </w:rPr>
        <w:t>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该组成部分代表一项独立的主要 业务或一个主要经营地区；</w:t>
      </w:r>
      <w:r>
        <w:rPr>
          <w:b w:val="0"/>
          <w:bCs w:val="0"/>
          <w:color w:val="000000"/>
          <w:spacing w:val="0"/>
          <w:w w:val="100"/>
          <w:position w:val="0"/>
          <w:sz w:val="28"/>
          <w:szCs w:val="28"/>
        </w:rPr>
        <w:t>（</w:t>
      </w:r>
      <w:r>
        <w:rPr>
          <w:b w:val="0"/>
          <w:bCs w:val="0"/>
          <w:color w:val="000000"/>
          <w:spacing w:val="0"/>
          <w:w w:val="100"/>
          <w:position w:val="0"/>
          <w:sz w:val="22"/>
          <w:szCs w:val="22"/>
        </w:rPr>
        <w:t>二</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该组成部分是拟对一项独立的主要业务或一个主要经 营地区进行处置计划的一部分；</w:t>
      </w:r>
      <w:r>
        <w:rPr>
          <w:b w:val="0"/>
          <w:bCs w:val="0"/>
          <w:color w:val="000000"/>
          <w:spacing w:val="0"/>
          <w:w w:val="100"/>
          <w:position w:val="0"/>
          <w:sz w:val="28"/>
          <w:szCs w:val="28"/>
        </w:rPr>
        <w:t>（</w:t>
      </w:r>
      <w:r>
        <w:rPr>
          <w:b w:val="0"/>
          <w:bCs w:val="0"/>
          <w:color w:val="000000"/>
          <w:spacing w:val="0"/>
          <w:w w:val="100"/>
          <w:position w:val="0"/>
          <w:sz w:val="22"/>
          <w:szCs w:val="22"/>
        </w:rPr>
        <w:t>三</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该组成部分是仅仅为了再出售而取得的子公司。</w:t>
      </w:r>
    </w:p>
    <w:p>
      <w:pPr>
        <w:pStyle w:val="Style94"/>
        <w:keepNext w:val="0"/>
        <w:keepLines w:val="0"/>
        <w:widowControl w:val="0"/>
        <w:shd w:val="clear" w:color="auto" w:fill="auto"/>
        <w:tabs>
          <w:tab w:pos="838" w:val="left"/>
        </w:tabs>
        <w:bidi w:val="0"/>
        <w:spacing w:before="0" w:after="300"/>
        <w:ind w:left="0" w:right="0" w:firstLine="0"/>
        <w:jc w:val="both"/>
        <w:rPr>
          <w:sz w:val="22"/>
          <w:szCs w:val="22"/>
        </w:rPr>
      </w:pPr>
      <w:bookmarkStart w:id="719" w:name="bookmark719"/>
      <w:r>
        <w:rPr>
          <w:color w:val="000000"/>
          <w:spacing w:val="0"/>
          <w:w w:val="100"/>
          <w:position w:val="0"/>
          <w:sz w:val="24"/>
          <w:szCs w:val="24"/>
        </w:rPr>
        <w:t>（</w:t>
      </w:r>
      <w:bookmarkEnd w:id="719"/>
      <w:r>
        <w:rPr>
          <w:color w:val="000000"/>
          <w:spacing w:val="0"/>
          <w:w w:val="100"/>
          <w:position w:val="0"/>
          <w:sz w:val="24"/>
          <w:szCs w:val="24"/>
        </w:rPr>
        <w:t>30）</w:t>
        <w:tab/>
      </w:r>
      <w:r>
        <w:rPr>
          <w:rFonts w:ascii="SimSun" w:eastAsia="SimSun" w:hAnsi="SimSun" w:cs="SimSun"/>
          <w:b/>
          <w:bCs/>
          <w:color w:val="000000"/>
          <w:spacing w:val="0"/>
          <w:w w:val="100"/>
          <w:position w:val="0"/>
          <w:sz w:val="22"/>
          <w:szCs w:val="22"/>
        </w:rPr>
        <w:t>分部信息</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本集团以内部组织结构、管理要求、内部报告制度为依据确定经营分部，以经营分部 为基础确定报告分部并披露分部信息。</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经营分部是指本集团内同时满足下列条件的组成部分：</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该组成部分能够在日常活 动中产生收入、发生费用；</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本集团管理层能够定期评价该组成部分的经营成果， 以决定向其配置资源、评价其业绩；</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本集团能够取得该组成部分的财务状况、经 营成果和现金流量等有关会计信息。两个或多个经营分部具有相似的经济特征，并且 满足一定条件的，则可合并为一个经营分部。</w:t>
      </w:r>
    </w:p>
    <w:p>
      <w:pPr>
        <w:pStyle w:val="Style33"/>
        <w:keepNext w:val="0"/>
        <w:keepLines w:val="0"/>
        <w:widowControl w:val="0"/>
        <w:shd w:val="clear" w:color="auto" w:fill="auto"/>
        <w:tabs>
          <w:tab w:pos="838" w:val="left"/>
        </w:tabs>
        <w:bidi w:val="0"/>
        <w:spacing w:before="0" w:after="300" w:line="320" w:lineRule="exact"/>
        <w:ind w:left="0" w:right="0" w:firstLine="0"/>
        <w:jc w:val="both"/>
        <w:rPr>
          <w:sz w:val="22"/>
          <w:szCs w:val="22"/>
        </w:rPr>
      </w:pPr>
      <w:bookmarkStart w:id="720" w:name="bookmark720"/>
      <w:r>
        <w:rPr>
          <w:rFonts w:ascii="Arial" w:eastAsia="Arial" w:hAnsi="Arial" w:cs="Arial"/>
          <w:b w:val="0"/>
          <w:bCs w:val="0"/>
          <w:color w:val="000000"/>
          <w:spacing w:val="0"/>
          <w:w w:val="100"/>
          <w:position w:val="0"/>
          <w:sz w:val="24"/>
          <w:szCs w:val="24"/>
        </w:rPr>
        <w:t>（</w:t>
      </w:r>
      <w:bookmarkEnd w:id="720"/>
      <w:r>
        <w:rPr>
          <w:rFonts w:ascii="Arial" w:eastAsia="Arial" w:hAnsi="Arial" w:cs="Arial"/>
          <w:b w:val="0"/>
          <w:bCs w:val="0"/>
          <w:color w:val="000000"/>
          <w:spacing w:val="0"/>
          <w:w w:val="100"/>
          <w:position w:val="0"/>
          <w:sz w:val="24"/>
          <w:szCs w:val="24"/>
        </w:rPr>
        <w:t>31）</w:t>
        <w:tab/>
      </w:r>
      <w:r>
        <w:rPr>
          <w:color w:val="000000"/>
          <w:spacing w:val="0"/>
          <w:w w:val="100"/>
          <w:position w:val="0"/>
          <w:sz w:val="22"/>
          <w:szCs w:val="22"/>
        </w:rPr>
        <w:t>重要会计估计和判断</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本集团根据历史经验和其他因素，包括对未来事项的合理预期，对所采用的重要会计 估计和关键判断进行持续的评价。</w:t>
      </w:r>
    </w:p>
    <w:p>
      <w:pPr>
        <w:pStyle w:val="Style33"/>
        <w:keepNext w:val="0"/>
        <w:keepLines w:val="0"/>
        <w:widowControl w:val="0"/>
        <w:shd w:val="clear" w:color="auto" w:fill="auto"/>
        <w:bidi w:val="0"/>
        <w:spacing w:before="0" w:after="300" w:line="317" w:lineRule="exact"/>
        <w:ind w:left="0" w:right="0" w:firstLine="0"/>
        <w:jc w:val="both"/>
        <w:rPr>
          <w:sz w:val="22"/>
          <w:szCs w:val="22"/>
        </w:rPr>
        <w:sectPr>
          <w:footnotePr>
            <w:pos w:val="pageBottom"/>
            <w:numFmt w:val="decimal"/>
            <w:numRestart w:val="continuous"/>
          </w:footnotePr>
          <w:pgSz w:w="11900" w:h="16840"/>
          <w:pgMar w:top="1762" w:right="1028" w:bottom="3236" w:left="1935" w:header="0" w:footer="3" w:gutter="0"/>
          <w:cols w:space="720"/>
          <w:noEndnote/>
          <w:rtlGutter w:val="0"/>
          <w:docGrid w:linePitch="360"/>
        </w:sectPr>
      </w:pPr>
      <w:r>
        <w:rPr>
          <w:b w:val="0"/>
          <w:bCs w:val="0"/>
          <w:color w:val="000000"/>
          <w:spacing w:val="0"/>
          <w:w w:val="100"/>
          <w:position w:val="0"/>
          <w:sz w:val="22"/>
          <w:szCs w:val="22"/>
        </w:rPr>
        <w:t>下列重要会计估计及关键假设存在会导致下一会计年度资产和负债的账面价值出现 重大调整的重要风险：</w:t>
      </w:r>
    </w:p>
    <w:p>
      <w:pPr>
        <w:pStyle w:val="Style27"/>
        <w:keepNext/>
        <w:keepLines/>
        <w:widowControl w:val="0"/>
        <w:shd w:val="clear" w:color="auto" w:fill="auto"/>
        <w:bidi w:val="0"/>
        <w:spacing w:before="0" w:after="300" w:line="321" w:lineRule="exact"/>
        <w:ind w:left="0" w:right="0" w:firstLine="0"/>
        <w:jc w:val="both"/>
        <w:rPr>
          <w:sz w:val="28"/>
          <w:szCs w:val="28"/>
        </w:rPr>
      </w:pPr>
      <w:bookmarkStart w:id="721" w:name="bookmark721"/>
      <w:bookmarkStart w:id="722" w:name="bookmark722"/>
      <w:bookmarkStart w:id="723" w:name="bookmark723"/>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21"/>
      <w:bookmarkEnd w:id="722"/>
      <w:bookmarkEnd w:id="723"/>
    </w:p>
    <w:p>
      <w:pPr>
        <w:pStyle w:val="Style27"/>
        <w:keepNext/>
        <w:keepLines/>
        <w:widowControl w:val="0"/>
        <w:shd w:val="clear" w:color="auto" w:fill="auto"/>
        <w:bidi w:val="0"/>
        <w:spacing w:before="0" w:after="300" w:line="321" w:lineRule="exact"/>
        <w:ind w:left="0" w:right="0" w:firstLine="0"/>
        <w:jc w:val="both"/>
        <w:rPr>
          <w:sz w:val="28"/>
          <w:szCs w:val="28"/>
        </w:rPr>
      </w:pPr>
      <w:bookmarkStart w:id="721" w:name="bookmark721"/>
      <w:bookmarkStart w:id="722" w:name="bookmark722"/>
      <w:bookmarkStart w:id="724" w:name="bookmark724"/>
      <w:r>
        <w:rPr>
          <w:rFonts w:ascii="Arial" w:eastAsia="Arial" w:hAnsi="Arial" w:cs="Arial"/>
          <w:b w:val="0"/>
          <w:bCs w:val="0"/>
          <w:color w:val="000000"/>
          <w:spacing w:val="0"/>
          <w:w w:val="100"/>
          <w:position w:val="0"/>
          <w:sz w:val="24"/>
          <w:szCs w:val="24"/>
        </w:rPr>
        <w:t xml:space="preserve">(31) </w:t>
      </w:r>
      <w:r>
        <w:rPr>
          <w:color w:val="000000"/>
          <w:spacing w:val="0"/>
          <w:w w:val="100"/>
          <w:position w:val="0"/>
          <w:sz w:val="22"/>
          <w:szCs w:val="22"/>
        </w:rPr>
        <w:t>重要会计估计和判断</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21"/>
      <w:bookmarkEnd w:id="722"/>
      <w:bookmarkEnd w:id="724"/>
    </w:p>
    <w:p>
      <w:pPr>
        <w:pStyle w:val="Style33"/>
        <w:keepNext w:val="0"/>
        <w:keepLines w:val="0"/>
        <w:widowControl w:val="0"/>
        <w:numPr>
          <w:ilvl w:val="0"/>
          <w:numId w:val="43"/>
        </w:numPr>
        <w:shd w:val="clear" w:color="auto" w:fill="auto"/>
        <w:tabs>
          <w:tab w:pos="442" w:val="left"/>
        </w:tabs>
        <w:bidi w:val="0"/>
        <w:spacing w:before="0" w:after="300" w:line="321" w:lineRule="exact"/>
        <w:ind w:left="0" w:right="0" w:firstLine="0"/>
        <w:jc w:val="both"/>
        <w:rPr>
          <w:sz w:val="22"/>
          <w:szCs w:val="22"/>
        </w:rPr>
      </w:pPr>
      <w:bookmarkStart w:id="725" w:name="bookmark725"/>
      <w:bookmarkEnd w:id="725"/>
      <w:r>
        <w:rPr>
          <w:b w:val="0"/>
          <w:bCs w:val="0"/>
          <w:color w:val="000000"/>
          <w:spacing w:val="0"/>
          <w:w w:val="100"/>
          <w:position w:val="0"/>
          <w:sz w:val="22"/>
          <w:szCs w:val="22"/>
        </w:rPr>
        <w:t>递延所得税资产及负债</w:t>
      </w:r>
    </w:p>
    <w:p>
      <w:pPr>
        <w:pStyle w:val="Style33"/>
        <w:keepNext w:val="0"/>
        <w:keepLines w:val="0"/>
        <w:widowControl w:val="0"/>
        <w:shd w:val="clear" w:color="auto" w:fill="auto"/>
        <w:bidi w:val="0"/>
        <w:spacing w:before="0" w:after="360" w:line="320" w:lineRule="exact"/>
        <w:ind w:left="0" w:right="0" w:firstLine="0"/>
        <w:jc w:val="both"/>
        <w:rPr>
          <w:sz w:val="22"/>
          <w:szCs w:val="22"/>
        </w:rPr>
      </w:pPr>
      <w:r>
        <w:rPr>
          <w:b w:val="0"/>
          <w:bCs w:val="0"/>
          <w:color w:val="000000"/>
          <w:spacing w:val="0"/>
          <w:w w:val="100"/>
          <w:position w:val="0"/>
          <w:sz w:val="22"/>
          <w:szCs w:val="22"/>
        </w:rPr>
        <w:t>本集团对于能够结转以后年度的可抵扣亏损和可抵扣暂时性差异，以很可能获得用来 抵扣可抵扣亏损和可抵扣暂时性差异的未来应纳税所得额为限，确认相应的递延所得 税资产。是否确认可抵扣亏损及可抵扣暂时性差异所产生的递延所得税资产很大程度 上取决于管理层的如下判断和估计：⑴以前年度累计可抵扣亏损和可抵扣暂时性差异 在未来期间是否仍然有效，及</w:t>
      </w:r>
      <w:r>
        <w:rPr>
          <w:rFonts w:ascii="Arial" w:eastAsia="Arial" w:hAnsi="Arial" w:cs="Arial"/>
          <w:b w:val="0"/>
          <w:bCs w:val="0"/>
          <w:color w:val="000000"/>
          <w:spacing w:val="0"/>
          <w:w w:val="100"/>
          <w:position w:val="0"/>
          <w:sz w:val="24"/>
          <w:szCs w:val="24"/>
        </w:rPr>
        <w:t>(ii)</w:t>
      </w:r>
      <w:r>
        <w:rPr>
          <w:b w:val="0"/>
          <w:bCs w:val="0"/>
          <w:color w:val="000000"/>
          <w:spacing w:val="0"/>
          <w:w w:val="100"/>
          <w:position w:val="0"/>
          <w:sz w:val="22"/>
          <w:szCs w:val="22"/>
        </w:rPr>
        <w:t>在未来期间能否获得足够的可用来抵扣可抵扣亏损及 可抵扣暂时性差异的应纳税所得额，当实际情况与原定估计有差异时，则该差异将会 于未来期间内影响递延所得税资产及所得税费用。</w:t>
      </w:r>
    </w:p>
    <w:p>
      <w:pPr>
        <w:pStyle w:val="Style33"/>
        <w:keepNext w:val="0"/>
        <w:keepLines w:val="0"/>
        <w:widowControl w:val="0"/>
        <w:numPr>
          <w:ilvl w:val="0"/>
          <w:numId w:val="43"/>
        </w:numPr>
        <w:shd w:val="clear" w:color="auto" w:fill="auto"/>
        <w:tabs>
          <w:tab w:pos="442" w:val="left"/>
        </w:tabs>
        <w:bidi w:val="0"/>
        <w:spacing w:before="0" w:after="300" w:line="276" w:lineRule="auto"/>
        <w:ind w:left="0" w:right="0" w:firstLine="0"/>
        <w:jc w:val="both"/>
        <w:rPr>
          <w:sz w:val="22"/>
          <w:szCs w:val="22"/>
        </w:rPr>
      </w:pPr>
      <w:bookmarkStart w:id="726" w:name="bookmark726"/>
      <w:bookmarkEnd w:id="726"/>
      <w:r>
        <w:rPr>
          <w:b w:val="0"/>
          <w:bCs w:val="0"/>
          <w:color w:val="000000"/>
          <w:spacing w:val="0"/>
          <w:w w:val="100"/>
          <w:position w:val="0"/>
          <w:sz w:val="22"/>
          <w:szCs w:val="22"/>
        </w:rPr>
        <w:t>员工激励金</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本集团在综合评估过往几年员工实际离职情况和市场的货币时间价值等因素的基础 上计提员工激励金及确认员工激励相关的长期负债。若实际离职率及货币的时间价值 与管理层现时的估计有变化，导致对员工激励金负债的变化，将按未来适用法处理。</w:t>
      </w:r>
    </w:p>
    <w:p>
      <w:pPr>
        <w:pStyle w:val="Style33"/>
        <w:keepNext w:val="0"/>
        <w:keepLines w:val="0"/>
        <w:widowControl w:val="0"/>
        <w:numPr>
          <w:ilvl w:val="0"/>
          <w:numId w:val="43"/>
        </w:numPr>
        <w:shd w:val="clear" w:color="auto" w:fill="auto"/>
        <w:tabs>
          <w:tab w:pos="442" w:val="left"/>
        </w:tabs>
        <w:bidi w:val="0"/>
        <w:spacing w:before="0" w:after="300" w:line="321" w:lineRule="exact"/>
        <w:ind w:left="0" w:right="0" w:firstLine="0"/>
        <w:jc w:val="both"/>
        <w:rPr>
          <w:sz w:val="22"/>
          <w:szCs w:val="22"/>
        </w:rPr>
      </w:pPr>
      <w:bookmarkStart w:id="727" w:name="bookmark727"/>
      <w:bookmarkEnd w:id="727"/>
      <w:r>
        <w:rPr>
          <w:b w:val="0"/>
          <w:bCs w:val="0"/>
          <w:color w:val="000000"/>
          <w:spacing w:val="0"/>
          <w:w w:val="100"/>
          <w:position w:val="0"/>
          <w:sz w:val="22"/>
          <w:szCs w:val="22"/>
        </w:rPr>
        <w:t>应收款项减值准备</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如附注二</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所述，本集团每年资产负债表日对应收款项</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包括应收账款、其他应收款、 应收保理款、贷款及客户垫款</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是否存在减值进行评估。管理层主要从客户的信用情 况、历史还款记录、经营现状和市场情况综合判断和估计。如坏账发生的实际情况与 原估计有差异时，该差异将按未来适用法处理。</w:t>
      </w:r>
    </w:p>
    <w:p>
      <w:pPr>
        <w:pStyle w:val="Style33"/>
        <w:keepNext w:val="0"/>
        <w:keepLines w:val="0"/>
        <w:widowControl w:val="0"/>
        <w:numPr>
          <w:ilvl w:val="0"/>
          <w:numId w:val="43"/>
        </w:numPr>
        <w:shd w:val="clear" w:color="auto" w:fill="auto"/>
        <w:tabs>
          <w:tab w:pos="442" w:val="left"/>
        </w:tabs>
        <w:bidi w:val="0"/>
        <w:spacing w:before="0" w:after="300" w:line="321" w:lineRule="exact"/>
        <w:ind w:left="0" w:right="0" w:firstLine="0"/>
        <w:jc w:val="both"/>
        <w:rPr>
          <w:sz w:val="22"/>
          <w:szCs w:val="22"/>
        </w:rPr>
      </w:pPr>
      <w:bookmarkStart w:id="728" w:name="bookmark728"/>
      <w:bookmarkEnd w:id="728"/>
      <w:r>
        <w:rPr>
          <w:b w:val="0"/>
          <w:bCs w:val="0"/>
          <w:color w:val="000000"/>
          <w:spacing w:val="0"/>
          <w:w w:val="100"/>
          <w:position w:val="0"/>
          <w:sz w:val="22"/>
          <w:szCs w:val="22"/>
        </w:rPr>
        <w:t>长期资产的减值风险</w:t>
      </w:r>
    </w:p>
    <w:p>
      <w:pPr>
        <w:pStyle w:val="Style33"/>
        <w:keepNext w:val="0"/>
        <w:keepLines w:val="0"/>
        <w:widowControl w:val="0"/>
        <w:shd w:val="clear" w:color="auto" w:fill="auto"/>
        <w:bidi w:val="0"/>
        <w:spacing w:before="0" w:after="300" w:line="329" w:lineRule="exact"/>
        <w:ind w:left="0" w:right="0" w:firstLine="0"/>
        <w:jc w:val="both"/>
        <w:rPr>
          <w:sz w:val="22"/>
          <w:szCs w:val="22"/>
        </w:rPr>
      </w:pPr>
      <w:r>
        <w:rPr>
          <w:b w:val="0"/>
          <w:bCs w:val="0"/>
          <w:color w:val="000000"/>
          <w:spacing w:val="0"/>
          <w:w w:val="100"/>
          <w:position w:val="0"/>
          <w:sz w:val="22"/>
          <w:szCs w:val="22"/>
        </w:rPr>
        <w:t>根据附注二</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所述，本集团于每年资产负债表日对商誉和存在减值迹象的固定资产、 在建工程、无形资产、以成本模式计量的投资性房地产和长期股权投资等长期资产， 进行减值测试。</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在判断上述资产是否存在减值时，管理层主要从以下方面进行评估和分析：</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影响 资产减值的事项是否已经发生；</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资产继续使用或处置而预期可以获得的现金流量 现值是否低于资产的账面价值；以及</w:t>
      </w:r>
      <w:r>
        <w:rPr>
          <w:rFonts w:ascii="Arial" w:eastAsia="Arial" w:hAnsi="Arial" w:cs="Arial"/>
          <w:b w:val="0"/>
          <w:bCs w:val="0"/>
          <w:color w:val="000000"/>
          <w:spacing w:val="0"/>
          <w:w w:val="100"/>
          <w:position w:val="0"/>
          <w:sz w:val="24"/>
          <w:szCs w:val="24"/>
        </w:rPr>
        <w:t>(3 )</w:t>
      </w:r>
      <w:r>
        <w:rPr>
          <w:b w:val="0"/>
          <w:bCs w:val="0"/>
          <w:color w:val="000000"/>
          <w:spacing w:val="0"/>
          <w:w w:val="100"/>
          <w:position w:val="0"/>
          <w:sz w:val="22"/>
          <w:szCs w:val="22"/>
        </w:rPr>
        <w:t>预期未来现金流量现值中使用的重要假设是 否适当。</w:t>
      </w:r>
      <w:r>
        <w:br w:type="page"/>
      </w:r>
    </w:p>
    <w:p>
      <w:pPr>
        <w:pStyle w:val="Style33"/>
        <w:keepNext w:val="0"/>
        <w:keepLines w:val="0"/>
        <w:widowControl w:val="0"/>
        <w:shd w:val="clear" w:color="auto" w:fill="auto"/>
        <w:bidi w:val="0"/>
        <w:spacing w:before="0" w:after="320" w:line="240" w:lineRule="auto"/>
        <w:ind w:left="0" w:right="0" w:firstLine="0"/>
        <w:jc w:val="left"/>
        <w:rPr>
          <w:sz w:val="24"/>
          <w:szCs w:val="24"/>
        </w:rPr>
      </w:pPr>
      <w:r>
        <w:rPr>
          <w:color w:val="000000"/>
          <w:spacing w:val="0"/>
          <w:w w:val="100"/>
          <w:position w:val="0"/>
          <w:sz w:val="22"/>
          <w:szCs w:val="22"/>
        </w:rPr>
        <w:t>二主要会计政策和会计估计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tabs>
          <w:tab w:pos="761" w:val="left"/>
        </w:tabs>
        <w:bidi w:val="0"/>
        <w:spacing w:before="0" w:after="32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（31）</w:t>
        <w:tab/>
      </w:r>
      <w:r>
        <w:rPr>
          <w:color w:val="000000"/>
          <w:spacing w:val="0"/>
          <w:w w:val="100"/>
          <w:position w:val="0"/>
          <w:sz w:val="22"/>
          <w:szCs w:val="22"/>
        </w:rPr>
        <w:t>重要会计估计和判断</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tabs>
          <w:tab w:pos="761" w:val="left"/>
        </w:tabs>
        <w:bidi w:val="0"/>
        <w:spacing w:before="0" w:after="320" w:line="319" w:lineRule="exact"/>
        <w:ind w:left="0" w:right="0" w:firstLine="0"/>
        <w:jc w:val="left"/>
        <w:rPr>
          <w:sz w:val="28"/>
          <w:szCs w:val="28"/>
        </w:rPr>
      </w:pPr>
      <w:bookmarkStart w:id="729" w:name="bookmark729"/>
      <w:r>
        <w:rPr>
          <w:rFonts w:ascii="Arial" w:eastAsia="Arial" w:hAnsi="Arial" w:cs="Arial"/>
          <w:b w:val="0"/>
          <w:bCs w:val="0"/>
          <w:color w:val="000000"/>
          <w:spacing w:val="0"/>
          <w:w w:val="100"/>
          <w:position w:val="0"/>
          <w:sz w:val="24"/>
          <w:szCs w:val="24"/>
          <w:shd w:val="clear" w:color="auto" w:fill="FFFFFF"/>
        </w:rPr>
        <w:t>（</w:t>
      </w:r>
      <w:bookmarkEnd w:id="729"/>
      <w:r>
        <w:rPr>
          <w:rFonts w:ascii="Arial" w:eastAsia="Arial" w:hAnsi="Arial" w:cs="Arial"/>
          <w:b w:val="0"/>
          <w:bCs w:val="0"/>
          <w:color w:val="000000"/>
          <w:spacing w:val="0"/>
          <w:w w:val="100"/>
          <w:position w:val="0"/>
          <w:sz w:val="24"/>
          <w:szCs w:val="24"/>
          <w:shd w:val="clear" w:color="auto" w:fill="FFFFFF"/>
        </w:rPr>
        <w:t>d）</w:t>
      </w:r>
      <w:r>
        <w:rPr>
          <w:rFonts w:ascii="Arial" w:eastAsia="Arial" w:hAnsi="Arial" w:cs="Arial"/>
          <w:b w:val="0"/>
          <w:bCs w:val="0"/>
          <w:color w:val="000000"/>
          <w:spacing w:val="0"/>
          <w:w w:val="100"/>
          <w:position w:val="0"/>
          <w:sz w:val="24"/>
          <w:szCs w:val="24"/>
        </w:rPr>
        <w:tab/>
      </w:r>
      <w:r>
        <w:rPr>
          <w:b w:val="0"/>
          <w:bCs w:val="0"/>
          <w:color w:val="000000"/>
          <w:spacing w:val="0"/>
          <w:w w:val="100"/>
          <w:position w:val="0"/>
          <w:sz w:val="22"/>
          <w:szCs w:val="22"/>
        </w:rPr>
        <w:t>长期资产的减值风险</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80" w:line="319" w:lineRule="exact"/>
        <w:ind w:left="0" w:right="0" w:firstLine="0"/>
        <w:jc w:val="left"/>
        <w:rPr>
          <w:sz w:val="22"/>
          <w:szCs w:val="22"/>
        </w:rPr>
      </w:pPr>
      <w:r>
        <w:rPr>
          <w:b w:val="0"/>
          <w:bCs w:val="0"/>
          <w:color w:val="000000"/>
          <w:spacing w:val="0"/>
          <w:w w:val="100"/>
          <w:position w:val="0"/>
          <w:sz w:val="22"/>
          <w:szCs w:val="22"/>
        </w:rPr>
        <w:t>本集团所采用的用于确定减值的相关假设，如未来现金流量现值方法中的折现率及增 长率假设的变化，可能会对减值测试中所使用的现值产生重大影响，并导致本集团的 上述长期资产出现减值。</w:t>
      </w:r>
    </w:p>
    <w:p>
      <w:pPr>
        <w:pStyle w:val="Style27"/>
        <w:keepNext/>
        <w:keepLines/>
        <w:widowControl w:val="0"/>
        <w:shd w:val="clear" w:color="auto" w:fill="auto"/>
        <w:bidi w:val="0"/>
        <w:spacing w:before="0" w:after="380" w:line="240" w:lineRule="auto"/>
        <w:ind w:left="0" w:right="0" w:firstLine="0"/>
        <w:jc w:val="left"/>
        <w:rPr>
          <w:sz w:val="22"/>
          <w:szCs w:val="22"/>
        </w:rPr>
      </w:pPr>
      <w:bookmarkStart w:id="730" w:name="bookmark730"/>
      <w:bookmarkStart w:id="731" w:name="bookmark731"/>
      <w:bookmarkStart w:id="732" w:name="bookmark732"/>
      <w:r>
        <w:rPr>
          <w:color w:val="000000"/>
          <w:spacing w:val="0"/>
          <w:w w:val="100"/>
          <w:position w:val="0"/>
          <w:sz w:val="22"/>
          <w:szCs w:val="22"/>
        </w:rPr>
        <w:t>三税项</w:t>
      </w:r>
      <w:bookmarkEnd w:id="730"/>
      <w:bookmarkEnd w:id="731"/>
      <w:bookmarkEnd w:id="732"/>
    </w:p>
    <w:p>
      <w:pPr>
        <w:pStyle w:val="Style33"/>
        <w:keepNext w:val="0"/>
        <w:keepLines w:val="0"/>
        <w:widowControl w:val="0"/>
        <w:shd w:val="clear" w:color="auto" w:fill="auto"/>
        <w:bidi w:val="0"/>
        <w:spacing w:before="0" w:after="380" w:line="240" w:lineRule="auto"/>
        <w:ind w:left="0" w:right="0" w:firstLine="0"/>
        <w:jc w:val="left"/>
        <w:rPr>
          <w:sz w:val="22"/>
          <w:szCs w:val="22"/>
        </w:rPr>
      </w:pPr>
      <w:r>
        <w:rPr>
          <w:b w:val="0"/>
          <w:bCs w:val="0"/>
          <w:color w:val="000000"/>
          <w:spacing w:val="0"/>
          <w:w w:val="100"/>
          <w:position w:val="0"/>
          <w:sz w:val="22"/>
          <w:szCs w:val="22"/>
        </w:rPr>
        <w:t>本集团适用的主要税种及其税率列示如下:</w:t>
      </w:r>
    </w:p>
    <w:p>
      <w:pPr>
        <w:pStyle w:val="Style33"/>
        <w:keepNext w:val="0"/>
        <w:keepLines w:val="0"/>
        <w:widowControl w:val="0"/>
        <w:shd w:val="clear" w:color="auto" w:fill="auto"/>
        <w:tabs>
          <w:tab w:pos="1925" w:val="left"/>
          <w:tab w:pos="4306" w:val="left"/>
        </w:tabs>
        <w:bidi w:val="0"/>
        <w:spacing w:before="0" w:after="0" w:line="240" w:lineRule="auto"/>
        <w:ind w:left="0" w:right="0" w:firstLine="0"/>
        <w:jc w:val="left"/>
        <w:rPr>
          <w:sz w:val="22"/>
          <w:szCs w:val="22"/>
        </w:rPr>
      </w:pPr>
      <w:r>
        <w:rPr>
          <w:b w:val="0"/>
          <w:bCs w:val="0"/>
          <w:color w:val="000000"/>
          <w:spacing w:val="0"/>
          <w:w w:val="100"/>
          <w:position w:val="0"/>
          <w:sz w:val="22"/>
          <w:szCs w:val="22"/>
        </w:rPr>
        <w:t>税种</w:t>
        <w:tab/>
        <w:t>税率</w:t>
        <w:tab/>
        <w:t>税基</w:t>
      </w:r>
    </w:p>
    <w:p>
      <w:pPr>
        <w:widowControl w:val="0"/>
        <w:spacing w:line="1" w:lineRule="exact"/>
      </w:pPr>
      <w:r>
        <mc:AlternateContent>
          <mc:Choice Requires="wps">
            <w:drawing>
              <wp:anchor distT="154305" distB="9525" distL="0" distR="0" simplePos="0" relativeHeight="125829393" behindDoc="0" locked="0" layoutInCell="1" allowOverlap="1">
                <wp:simplePos x="0" y="0"/>
                <wp:positionH relativeFrom="page">
                  <wp:posOffset>1265555</wp:posOffset>
                </wp:positionH>
                <wp:positionV relativeFrom="paragraph">
                  <wp:posOffset>154305</wp:posOffset>
                </wp:positionV>
                <wp:extent cx="2645410" cy="2005330"/>
                <wp:wrapTopAndBottom/>
                <wp:docPr id="79" name="Shape 79"/>
                <a:graphic xmlns:a="http://schemas.openxmlformats.org/drawingml/2006/main">
                  <a:graphicData uri="http://schemas.microsoft.com/office/word/2010/wordprocessingShape">
                    <wps:wsp>
                      <wps:cNvSpPr txBox="1"/>
                      <wps:spPr>
                        <a:xfrm>
                          <a:ext cx="2645410" cy="2005330"/>
                        </a:xfrm>
                        <a:prstGeom prst="rect"/>
                        <a:noFill/>
                      </wps:spPr>
                      <wps:txbx>
                        <w:txbxContent>
                          <w:tbl>
                            <w:tblPr>
                              <w:tblOverlap w:val="never"/>
                              <w:jc w:val="left"/>
                              <w:tblLayout w:type="fixed"/>
                            </w:tblPr>
                            <w:tblGrid>
                              <w:gridCol w:w="1819"/>
                              <w:gridCol w:w="2347"/>
                            </w:tblGrid>
                            <w:tr>
                              <w:trPr>
                                <w:tblHeader/>
                                <w:trHeight w:val="1267" w:hRule="exact"/>
                              </w:trPr>
                              <w:tc>
                                <w:tcPr>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企业所得税 增值税</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rFonts w:ascii="Arial" w:eastAsia="Arial" w:hAnsi="Arial" w:cs="Arial"/>
                                      <w:color w:val="000000"/>
                                      <w:spacing w:val="0"/>
                                      <w:w w:val="100"/>
                                      <w:position w:val="0"/>
                                      <w:sz w:val="24"/>
                                      <w:szCs w:val="24"/>
                                    </w:rPr>
                                    <w:t>(a)</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17%</w:t>
                                  </w:r>
                                  <w:r>
                                    <w:rPr>
                                      <w:color w:val="000000"/>
                                      <w:spacing w:val="0"/>
                                      <w:w w:val="100"/>
                                      <w:position w:val="0"/>
                                      <w:sz w:val="22"/>
                                      <w:szCs w:val="22"/>
                                    </w:rPr>
                                    <w:t>，</w:t>
                                  </w:r>
                                  <w:r>
                                    <w:rPr>
                                      <w:rFonts w:ascii="Arial" w:eastAsia="Arial" w:hAnsi="Arial" w:cs="Arial"/>
                                      <w:color w:val="000000"/>
                                      <w:spacing w:val="0"/>
                                      <w:w w:val="100"/>
                                      <w:position w:val="0"/>
                                      <w:sz w:val="24"/>
                                      <w:szCs w:val="24"/>
                                    </w:rPr>
                                    <w:t>11%</w:t>
                                  </w:r>
                                  <w:r>
                                    <w:rPr>
                                      <w:color w:val="000000"/>
                                      <w:spacing w:val="0"/>
                                      <w:w w:val="100"/>
                                      <w:position w:val="0"/>
                                      <w:sz w:val="22"/>
                                      <w:szCs w:val="22"/>
                                    </w:rPr>
                                    <w:t>，</w:t>
                                  </w:r>
                                  <w:r>
                                    <w:rPr>
                                      <w:rFonts w:ascii="Arial" w:eastAsia="Arial" w:hAnsi="Arial" w:cs="Arial"/>
                                      <w:color w:val="000000"/>
                                      <w:spacing w:val="0"/>
                                      <w:w w:val="100"/>
                                      <w:position w:val="0"/>
                                      <w:sz w:val="24"/>
                                      <w:szCs w:val="24"/>
                                    </w:rPr>
                                    <w:t>6%</w:t>
                                  </w:r>
                                  <w:r>
                                    <w:rPr>
                                      <w:color w:val="000000"/>
                                      <w:spacing w:val="0"/>
                                      <w:w w:val="100"/>
                                      <w:position w:val="0"/>
                                      <w:sz w:val="22"/>
                                      <w:szCs w:val="22"/>
                                    </w:rPr>
                                    <w:t>，</w:t>
                                  </w:r>
                                  <w:r>
                                    <w:rPr>
                                      <w:rFonts w:ascii="Arial" w:eastAsia="Arial" w:hAnsi="Arial" w:cs="Arial"/>
                                      <w:color w:val="000000"/>
                                      <w:spacing w:val="0"/>
                                      <w:w w:val="100"/>
                                      <w:position w:val="0"/>
                                      <w:sz w:val="24"/>
                                      <w:szCs w:val="24"/>
                                    </w:rPr>
                                    <w:t>5%</w:t>
                                  </w:r>
                                </w:p>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3%</w:t>
                                  </w:r>
                                  <w:r>
                                    <w:rPr>
                                      <w:color w:val="000000"/>
                                      <w:spacing w:val="0"/>
                                      <w:w w:val="100"/>
                                      <w:position w:val="0"/>
                                      <w:sz w:val="22"/>
                                      <w:szCs w:val="22"/>
                                    </w:rPr>
                                    <w:t>，注</w:t>
                                  </w:r>
                                  <w:r>
                                    <w:rPr>
                                      <w:rFonts w:ascii="Arial" w:eastAsia="Arial" w:hAnsi="Arial" w:cs="Arial"/>
                                      <w:color w:val="000000"/>
                                      <w:spacing w:val="0"/>
                                      <w:w w:val="100"/>
                                      <w:position w:val="0"/>
                                      <w:sz w:val="24"/>
                                      <w:szCs w:val="24"/>
                                    </w:rPr>
                                    <w:t>(b)</w:t>
                                  </w:r>
                                </w:p>
                              </w:tc>
                            </w:tr>
                            <w:tr>
                              <w:trPr>
                                <w:trHeight w:val="63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w:t>
                                  </w:r>
                                  <w:r>
                                    <w:rPr>
                                      <w:color w:val="000000"/>
                                      <w:spacing w:val="0"/>
                                      <w:w w:val="100"/>
                                      <w:position w:val="0"/>
                                      <w:sz w:val="22"/>
                                      <w:szCs w:val="22"/>
                                    </w:rPr>
                                    <w:t>，</w:t>
                                  </w:r>
                                  <w:r>
                                    <w:rPr>
                                      <w:rFonts w:ascii="Arial" w:eastAsia="Arial" w:hAnsi="Arial" w:cs="Arial"/>
                                      <w:color w:val="000000"/>
                                      <w:spacing w:val="0"/>
                                      <w:w w:val="100"/>
                                      <w:position w:val="0"/>
                                      <w:sz w:val="24"/>
                                      <w:szCs w:val="24"/>
                                    </w:rPr>
                                    <w:t>3%</w:t>
                                  </w:r>
                                  <w:r>
                                    <w:rPr>
                                      <w:color w:val="000000"/>
                                      <w:spacing w:val="0"/>
                                      <w:w w:val="100"/>
                                      <w:position w:val="0"/>
                                      <w:sz w:val="22"/>
                                      <w:szCs w:val="22"/>
                                    </w:rPr>
                                    <w:t>,注</w:t>
                                  </w:r>
                                  <w:r>
                                    <w:rPr>
                                      <w:rFonts w:ascii="Arial" w:eastAsia="Arial" w:hAnsi="Arial" w:cs="Arial"/>
                                      <w:color w:val="000000"/>
                                      <w:spacing w:val="0"/>
                                      <w:w w:val="100"/>
                                      <w:position w:val="0"/>
                                      <w:sz w:val="24"/>
                                      <w:szCs w:val="24"/>
                                    </w:rPr>
                                    <w:t>(c)</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城市维护建设税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7%</w:t>
                                  </w:r>
                                  <w:r>
                                    <w:rPr>
                                      <w:color w:val="000000"/>
                                      <w:spacing w:val="0"/>
                                      <w:w w:val="100"/>
                                      <w:position w:val="0"/>
                                      <w:sz w:val="22"/>
                                      <w:szCs w:val="22"/>
                                    </w:rPr>
                                    <w:t>，</w:t>
                                  </w:r>
                                  <w:r>
                                    <w:rPr>
                                      <w:rFonts w:ascii="Arial" w:eastAsia="Arial" w:hAnsi="Arial" w:cs="Arial"/>
                                      <w:color w:val="000000"/>
                                      <w:spacing w:val="0"/>
                                      <w:w w:val="100"/>
                                      <w:position w:val="0"/>
                                      <w:sz w:val="24"/>
                                      <w:szCs w:val="24"/>
                                    </w:rPr>
                                    <w:t>5%</w:t>
                                  </w:r>
                                  <w:r>
                                    <w:rPr>
                                      <w:color w:val="000000"/>
                                      <w:spacing w:val="0"/>
                                      <w:w w:val="100"/>
                                      <w:position w:val="0"/>
                                      <w:sz w:val="22"/>
                                      <w:szCs w:val="22"/>
                                    </w:rPr>
                                    <w:t>，</w:t>
                                  </w:r>
                                  <w:r>
                                    <w:rPr>
                                      <w:rFonts w:ascii="Arial" w:eastAsia="Arial" w:hAnsi="Arial" w:cs="Arial"/>
                                      <w:color w:val="000000"/>
                                      <w:spacing w:val="0"/>
                                      <w:w w:val="100"/>
                                      <w:position w:val="0"/>
                                      <w:sz w:val="24"/>
                                      <w:szCs w:val="24"/>
                                    </w:rPr>
                                    <w:t>1%</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教育费附加</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地方教育费附加</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按适用税率</w:t>
                                  </w:r>
                                </w:p>
                              </w:tc>
                            </w:tr>
                          </w:tbl>
                          <w:p>
                            <w:pPr>
                              <w:widowControl w:val="0"/>
                              <w:spacing w:line="1" w:lineRule="exact"/>
                            </w:pPr>
                          </w:p>
                        </w:txbxContent>
                      </wps:txbx>
                      <wps:bodyPr lIns="0" tIns="0" rIns="0" bIns="0">
                        <a:noAutoFit/>
                      </wps:bodyPr>
                    </wps:wsp>
                  </a:graphicData>
                </a:graphic>
              </wp:anchor>
            </w:drawing>
          </mc:Choice>
          <mc:Fallback>
            <w:pict>
              <v:shape id="_x0000_s1105" type="#_x0000_t202" style="position:absolute;margin-left:99.650000000000006pt;margin-top:12.15pt;width:208.30000000000001pt;height:157.90000000000001pt;z-index:-125829360;mso-wrap-distance-left:0;mso-wrap-distance-top:12.15pt;mso-wrap-distance-right:0;mso-wrap-distance-bottom:0.75pt;mso-position-horizontal-relative:page" filled="f" stroked="f">
                <v:textbox inset="0,0,0,0">
                  <w:txbxContent>
                    <w:tbl>
                      <w:tblPr>
                        <w:tblOverlap w:val="never"/>
                        <w:jc w:val="left"/>
                        <w:tblLayout w:type="fixed"/>
                      </w:tblPr>
                      <w:tblGrid>
                        <w:gridCol w:w="1819"/>
                        <w:gridCol w:w="2347"/>
                      </w:tblGrid>
                      <w:tr>
                        <w:trPr>
                          <w:tblHeader/>
                          <w:trHeight w:val="1267" w:hRule="exact"/>
                        </w:trPr>
                        <w:tc>
                          <w:tcPr>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企业所得税 增值税</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注</w:t>
                            </w:r>
                            <w:r>
                              <w:rPr>
                                <w:rFonts w:ascii="Arial" w:eastAsia="Arial" w:hAnsi="Arial" w:cs="Arial"/>
                                <w:color w:val="000000"/>
                                <w:spacing w:val="0"/>
                                <w:w w:val="100"/>
                                <w:position w:val="0"/>
                                <w:sz w:val="24"/>
                                <w:szCs w:val="24"/>
                              </w:rPr>
                              <w:t>(a)</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17%</w:t>
                            </w:r>
                            <w:r>
                              <w:rPr>
                                <w:color w:val="000000"/>
                                <w:spacing w:val="0"/>
                                <w:w w:val="100"/>
                                <w:position w:val="0"/>
                                <w:sz w:val="22"/>
                                <w:szCs w:val="22"/>
                              </w:rPr>
                              <w:t>，</w:t>
                            </w:r>
                            <w:r>
                              <w:rPr>
                                <w:rFonts w:ascii="Arial" w:eastAsia="Arial" w:hAnsi="Arial" w:cs="Arial"/>
                                <w:color w:val="000000"/>
                                <w:spacing w:val="0"/>
                                <w:w w:val="100"/>
                                <w:position w:val="0"/>
                                <w:sz w:val="24"/>
                                <w:szCs w:val="24"/>
                              </w:rPr>
                              <w:t>11%</w:t>
                            </w:r>
                            <w:r>
                              <w:rPr>
                                <w:color w:val="000000"/>
                                <w:spacing w:val="0"/>
                                <w:w w:val="100"/>
                                <w:position w:val="0"/>
                                <w:sz w:val="22"/>
                                <w:szCs w:val="22"/>
                              </w:rPr>
                              <w:t>，</w:t>
                            </w:r>
                            <w:r>
                              <w:rPr>
                                <w:rFonts w:ascii="Arial" w:eastAsia="Arial" w:hAnsi="Arial" w:cs="Arial"/>
                                <w:color w:val="000000"/>
                                <w:spacing w:val="0"/>
                                <w:w w:val="100"/>
                                <w:position w:val="0"/>
                                <w:sz w:val="24"/>
                                <w:szCs w:val="24"/>
                              </w:rPr>
                              <w:t>6%</w:t>
                            </w:r>
                            <w:r>
                              <w:rPr>
                                <w:color w:val="000000"/>
                                <w:spacing w:val="0"/>
                                <w:w w:val="100"/>
                                <w:position w:val="0"/>
                                <w:sz w:val="22"/>
                                <w:szCs w:val="22"/>
                              </w:rPr>
                              <w:t>，</w:t>
                            </w:r>
                            <w:r>
                              <w:rPr>
                                <w:rFonts w:ascii="Arial" w:eastAsia="Arial" w:hAnsi="Arial" w:cs="Arial"/>
                                <w:color w:val="000000"/>
                                <w:spacing w:val="0"/>
                                <w:w w:val="100"/>
                                <w:position w:val="0"/>
                                <w:sz w:val="24"/>
                                <w:szCs w:val="24"/>
                              </w:rPr>
                              <w:t>5%</w:t>
                            </w:r>
                          </w:p>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3%</w:t>
                            </w:r>
                            <w:r>
                              <w:rPr>
                                <w:color w:val="000000"/>
                                <w:spacing w:val="0"/>
                                <w:w w:val="100"/>
                                <w:position w:val="0"/>
                                <w:sz w:val="22"/>
                                <w:szCs w:val="22"/>
                              </w:rPr>
                              <w:t>，注</w:t>
                            </w:r>
                            <w:r>
                              <w:rPr>
                                <w:rFonts w:ascii="Arial" w:eastAsia="Arial" w:hAnsi="Arial" w:cs="Arial"/>
                                <w:color w:val="000000"/>
                                <w:spacing w:val="0"/>
                                <w:w w:val="100"/>
                                <w:position w:val="0"/>
                                <w:sz w:val="24"/>
                                <w:szCs w:val="24"/>
                              </w:rPr>
                              <w:t>(b)</w:t>
                            </w:r>
                          </w:p>
                        </w:tc>
                      </w:tr>
                      <w:tr>
                        <w:trPr>
                          <w:trHeight w:val="63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w:t>
                            </w:r>
                            <w:r>
                              <w:rPr>
                                <w:color w:val="000000"/>
                                <w:spacing w:val="0"/>
                                <w:w w:val="100"/>
                                <w:position w:val="0"/>
                                <w:sz w:val="22"/>
                                <w:szCs w:val="22"/>
                              </w:rPr>
                              <w:t>，</w:t>
                            </w:r>
                            <w:r>
                              <w:rPr>
                                <w:rFonts w:ascii="Arial" w:eastAsia="Arial" w:hAnsi="Arial" w:cs="Arial"/>
                                <w:color w:val="000000"/>
                                <w:spacing w:val="0"/>
                                <w:w w:val="100"/>
                                <w:position w:val="0"/>
                                <w:sz w:val="24"/>
                                <w:szCs w:val="24"/>
                              </w:rPr>
                              <w:t>3%</w:t>
                            </w:r>
                            <w:r>
                              <w:rPr>
                                <w:color w:val="000000"/>
                                <w:spacing w:val="0"/>
                                <w:w w:val="100"/>
                                <w:position w:val="0"/>
                                <w:sz w:val="22"/>
                                <w:szCs w:val="22"/>
                              </w:rPr>
                              <w:t>,注</w:t>
                            </w:r>
                            <w:r>
                              <w:rPr>
                                <w:rFonts w:ascii="Arial" w:eastAsia="Arial" w:hAnsi="Arial" w:cs="Arial"/>
                                <w:color w:val="000000"/>
                                <w:spacing w:val="0"/>
                                <w:w w:val="100"/>
                                <w:position w:val="0"/>
                                <w:sz w:val="24"/>
                                <w:szCs w:val="24"/>
                              </w:rPr>
                              <w:t>(c)</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城市维护建设税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7%</w:t>
                            </w:r>
                            <w:r>
                              <w:rPr>
                                <w:color w:val="000000"/>
                                <w:spacing w:val="0"/>
                                <w:w w:val="100"/>
                                <w:position w:val="0"/>
                                <w:sz w:val="22"/>
                                <w:szCs w:val="22"/>
                              </w:rPr>
                              <w:t>，</w:t>
                            </w:r>
                            <w:r>
                              <w:rPr>
                                <w:rFonts w:ascii="Arial" w:eastAsia="Arial" w:hAnsi="Arial" w:cs="Arial"/>
                                <w:color w:val="000000"/>
                                <w:spacing w:val="0"/>
                                <w:w w:val="100"/>
                                <w:position w:val="0"/>
                                <w:sz w:val="24"/>
                                <w:szCs w:val="24"/>
                              </w:rPr>
                              <w:t>5%</w:t>
                            </w:r>
                            <w:r>
                              <w:rPr>
                                <w:color w:val="000000"/>
                                <w:spacing w:val="0"/>
                                <w:w w:val="100"/>
                                <w:position w:val="0"/>
                                <w:sz w:val="22"/>
                                <w:szCs w:val="22"/>
                              </w:rPr>
                              <w:t>，</w:t>
                            </w:r>
                            <w:r>
                              <w:rPr>
                                <w:rFonts w:ascii="Arial" w:eastAsia="Arial" w:hAnsi="Arial" w:cs="Arial"/>
                                <w:color w:val="000000"/>
                                <w:spacing w:val="0"/>
                                <w:w w:val="100"/>
                                <w:position w:val="0"/>
                                <w:sz w:val="24"/>
                                <w:szCs w:val="24"/>
                              </w:rPr>
                              <w:t>1%</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教育费附加</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地方教育费附加</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按适用税率</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395" behindDoc="0" locked="0" layoutInCell="1" allowOverlap="1">
                <wp:simplePos x="0" y="0"/>
                <wp:positionH relativeFrom="page">
                  <wp:posOffset>4002405</wp:posOffset>
                </wp:positionH>
                <wp:positionV relativeFrom="paragraph">
                  <wp:posOffset>127000</wp:posOffset>
                </wp:positionV>
                <wp:extent cx="2810510" cy="2042160"/>
                <wp:wrapTopAndBottom/>
                <wp:docPr id="81" name="Shape 81"/>
                <a:graphic xmlns:a="http://schemas.openxmlformats.org/drawingml/2006/main">
                  <a:graphicData uri="http://schemas.microsoft.com/office/word/2010/wordprocessingShape">
                    <wps:wsp>
                      <wps:cNvSpPr txBox="1"/>
                      <wps:spPr>
                        <a:xfrm>
                          <a:ext cx="2810510" cy="2042160"/>
                        </a:xfrm>
                        <a:prstGeom prst="rect"/>
                        <a:noFill/>
                      </wps:spPr>
                      <wps:txbx>
                        <w:txbxContent>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应纳税所得额</w:t>
                            </w:r>
                          </w:p>
                          <w:p>
                            <w:pPr>
                              <w:pStyle w:val="Style33"/>
                              <w:keepNext w:val="0"/>
                              <w:keepLines w:val="0"/>
                              <w:widowControl w:val="0"/>
                              <w:shd w:val="clear" w:color="auto" w:fill="auto"/>
                              <w:bidi w:val="0"/>
                              <w:spacing w:before="0" w:after="0" w:line="319" w:lineRule="exact"/>
                              <w:ind w:left="260" w:right="0" w:hanging="260"/>
                              <w:jc w:val="both"/>
                              <w:rPr>
                                <w:sz w:val="28"/>
                                <w:szCs w:val="28"/>
                              </w:rPr>
                            </w:pPr>
                            <w:r>
                              <w:rPr>
                                <w:b w:val="0"/>
                                <w:bCs w:val="0"/>
                                <w:color w:val="000000"/>
                                <w:spacing w:val="0"/>
                                <w:w w:val="100"/>
                                <w:position w:val="0"/>
                                <w:sz w:val="22"/>
                                <w:szCs w:val="22"/>
                              </w:rPr>
                              <w:t>应纳税增值额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应纳税额按应纳税销售额</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应税服务收入乘以适用税率扣除当期允 许抵扣的进项税后的余额或按应纳税营 业额乘以适用增值税征收率计算</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应纳税营业额</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实际缴纳的增值税及营业税税额</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实际缴纳的增值税及营业税税额</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实际缴纳的增值税及营业税税额 海关审定的关税完税价格</w:t>
                            </w:r>
                          </w:p>
                        </w:txbxContent>
                      </wps:txbx>
                      <wps:bodyPr lIns="0" tIns="0" rIns="0" bIns="0">
                        <a:noAutoFit/>
                      </wps:bodyPr>
                    </wps:wsp>
                  </a:graphicData>
                </a:graphic>
              </wp:anchor>
            </w:drawing>
          </mc:Choice>
          <mc:Fallback>
            <w:pict>
              <v:shape id="_x0000_s1107" type="#_x0000_t202" style="position:absolute;margin-left:315.15000000000003pt;margin-top:10.pt;width:221.30000000000001pt;height:160.80000000000001pt;z-index:-125829358;mso-wrap-distance-left:0;mso-wrap-distance-top:10.pt;mso-wrap-distance-right:0;mso-position-horizontal-relative:page" filled="f" stroked="f">
                <v:textbox inset="0,0,0,0">
                  <w:txbxContent>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应纳税所得额</w:t>
                      </w:r>
                    </w:p>
                    <w:p>
                      <w:pPr>
                        <w:pStyle w:val="Style33"/>
                        <w:keepNext w:val="0"/>
                        <w:keepLines w:val="0"/>
                        <w:widowControl w:val="0"/>
                        <w:shd w:val="clear" w:color="auto" w:fill="auto"/>
                        <w:bidi w:val="0"/>
                        <w:spacing w:before="0" w:after="0" w:line="319" w:lineRule="exact"/>
                        <w:ind w:left="260" w:right="0" w:hanging="260"/>
                        <w:jc w:val="both"/>
                        <w:rPr>
                          <w:sz w:val="28"/>
                          <w:szCs w:val="28"/>
                        </w:rPr>
                      </w:pPr>
                      <w:r>
                        <w:rPr>
                          <w:b w:val="0"/>
                          <w:bCs w:val="0"/>
                          <w:color w:val="000000"/>
                          <w:spacing w:val="0"/>
                          <w:w w:val="100"/>
                          <w:position w:val="0"/>
                          <w:sz w:val="22"/>
                          <w:szCs w:val="22"/>
                        </w:rPr>
                        <w:t>应纳税增值额</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应纳税额按应纳税销售额</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应税服务收入乘以适用税率扣除当期允 许抵扣的进项税后的余额或按应纳税营 业额乘以适用增值税征收率计算</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应纳税营业额</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实际缴纳的增值税及营业税税额</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实际缴纳的增值税及营业税税额</w:t>
                      </w:r>
                    </w:p>
                    <w:p>
                      <w:pPr>
                        <w:pStyle w:val="Style33"/>
                        <w:keepNext w:val="0"/>
                        <w:keepLines w:val="0"/>
                        <w:widowControl w:val="0"/>
                        <w:shd w:val="clear" w:color="auto" w:fill="auto"/>
                        <w:bidi w:val="0"/>
                        <w:spacing w:before="0" w:after="0" w:line="319" w:lineRule="exact"/>
                        <w:ind w:left="0" w:right="0" w:firstLine="0"/>
                        <w:jc w:val="both"/>
                        <w:rPr>
                          <w:sz w:val="22"/>
                          <w:szCs w:val="22"/>
                        </w:rPr>
                      </w:pPr>
                      <w:r>
                        <w:rPr>
                          <w:b w:val="0"/>
                          <w:bCs w:val="0"/>
                          <w:color w:val="000000"/>
                          <w:spacing w:val="0"/>
                          <w:w w:val="100"/>
                          <w:position w:val="0"/>
                          <w:sz w:val="22"/>
                          <w:szCs w:val="22"/>
                        </w:rPr>
                        <w:t>实际缴纳的增值税及营业税税额 海关审定的关税完税价格</w:t>
                      </w:r>
                    </w:p>
                  </w:txbxContent>
                </v:textbox>
                <w10:wrap type="topAndBottom" anchorx="page"/>
              </v:shape>
            </w:pict>
          </mc:Fallback>
        </mc:AlternateContent>
      </w:r>
    </w:p>
    <w:p>
      <w:pPr>
        <w:pStyle w:val="Style33"/>
        <w:keepNext w:val="0"/>
        <w:keepLines w:val="0"/>
        <w:widowControl w:val="0"/>
        <w:shd w:val="clear" w:color="auto" w:fill="auto"/>
        <w:bidi w:val="0"/>
        <w:spacing w:before="0" w:after="340" w:line="322" w:lineRule="exact"/>
        <w:ind w:left="0" w:right="0" w:firstLine="0"/>
        <w:jc w:val="left"/>
        <w:rPr>
          <w:sz w:val="22"/>
          <w:szCs w:val="22"/>
        </w:rPr>
      </w:pPr>
      <w:r>
        <w:rPr>
          <w:b w:val="0"/>
          <w:bCs w:val="0"/>
          <w:color w:val="000000"/>
          <w:spacing w:val="0"/>
          <w:w w:val="100"/>
          <w:position w:val="0"/>
          <w:sz w:val="22"/>
          <w:szCs w:val="22"/>
        </w:rPr>
        <w:t>此外，根据财政部财综</w:t>
      </w:r>
      <w:r>
        <w:rPr>
          <w:rFonts w:ascii="Arial" w:eastAsia="Arial" w:hAnsi="Arial" w:cs="Arial"/>
          <w:b w:val="0"/>
          <w:bCs w:val="0"/>
          <w:color w:val="000000"/>
          <w:spacing w:val="0"/>
          <w:w w:val="100"/>
          <w:position w:val="0"/>
          <w:sz w:val="24"/>
          <w:szCs w:val="24"/>
        </w:rPr>
        <w:t>[2012]17</w:t>
      </w:r>
      <w:r>
        <w:rPr>
          <w:b w:val="0"/>
          <w:bCs w:val="0"/>
          <w:color w:val="000000"/>
          <w:spacing w:val="0"/>
          <w:w w:val="100"/>
          <w:position w:val="0"/>
          <w:sz w:val="22"/>
          <w:szCs w:val="22"/>
        </w:rPr>
        <w:t>号《民航发展基金征收使用管理暂行办法》，顺丰 航空有限公司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以下简称“顺丰航空”</w:t>
      </w:r>
      <w:r>
        <w:rPr>
          <w:b w:val="0"/>
          <w:bCs w:val="0"/>
          <w:color w:val="000000"/>
          <w:spacing w:val="0"/>
          <w:w w:val="100"/>
          <w:position w:val="0"/>
          <w:sz w:val="28"/>
          <w:szCs w:val="28"/>
        </w:rPr>
        <w:t>）</w:t>
      </w:r>
      <w:r>
        <w:rPr>
          <w:b w:val="0"/>
          <w:bCs w:val="0"/>
          <w:color w:val="000000"/>
          <w:spacing w:val="0"/>
          <w:w w:val="100"/>
          <w:position w:val="0"/>
          <w:sz w:val="22"/>
          <w:szCs w:val="22"/>
        </w:rPr>
        <w:t>按照飞行航线分类、飞机最大起飞全重、飞行 里程以及适用的征收标准缴纳民航发展基金，并在成本中列支。</w:t>
      </w:r>
    </w:p>
    <w:p>
      <w:pPr>
        <w:pStyle w:val="Style33"/>
        <w:keepNext w:val="0"/>
        <w:keepLines w:val="0"/>
        <w:widowControl w:val="0"/>
        <w:shd w:val="clear" w:color="auto" w:fill="auto"/>
        <w:tabs>
          <w:tab w:pos="715" w:val="left"/>
        </w:tabs>
        <w:bidi w:val="0"/>
        <w:spacing w:before="0" w:after="0" w:line="319" w:lineRule="exact"/>
        <w:ind w:left="740" w:right="0" w:hanging="740"/>
        <w:jc w:val="both"/>
        <w:rPr>
          <w:sz w:val="22"/>
          <w:szCs w:val="22"/>
        </w:rPr>
      </w:pPr>
      <w:bookmarkStart w:id="733" w:name="bookmark733"/>
      <w:r>
        <w:rPr>
          <w:rFonts w:ascii="Arial" w:eastAsia="Arial" w:hAnsi="Arial" w:cs="Arial"/>
          <w:b w:val="0"/>
          <w:bCs w:val="0"/>
          <w:color w:val="000000"/>
          <w:spacing w:val="0"/>
          <w:w w:val="100"/>
          <w:position w:val="0"/>
          <w:sz w:val="24"/>
          <w:szCs w:val="24"/>
          <w:shd w:val="clear" w:color="auto" w:fill="FFFFFF"/>
        </w:rPr>
        <w:t>（</w:t>
      </w:r>
      <w:bookmarkEnd w:id="733"/>
      <w:r>
        <w:rPr>
          <w:rFonts w:ascii="Arial" w:eastAsia="Arial" w:hAnsi="Arial" w:cs="Arial"/>
          <w:b w:val="0"/>
          <w:bCs w:val="0"/>
          <w:color w:val="000000"/>
          <w:spacing w:val="0"/>
          <w:w w:val="100"/>
          <w:position w:val="0"/>
          <w:sz w:val="24"/>
          <w:szCs w:val="24"/>
          <w:shd w:val="clear" w:color="auto" w:fill="FFFFFF"/>
        </w:rPr>
        <w:t>a）</w:t>
      </w:r>
      <w:r>
        <w:rPr>
          <w:rFonts w:ascii="Arial" w:eastAsia="Arial" w:hAnsi="Arial" w:cs="Arial"/>
          <w:b w:val="0"/>
          <w:bCs w:val="0"/>
          <w:color w:val="000000"/>
          <w:spacing w:val="0"/>
          <w:w w:val="100"/>
          <w:position w:val="0"/>
          <w:sz w:val="24"/>
          <w:szCs w:val="24"/>
        </w:rPr>
        <w:tab/>
      </w:r>
      <w:r>
        <w:rPr>
          <w:b w:val="0"/>
          <w:bCs w:val="0"/>
          <w:color w:val="000000"/>
          <w:spacing w:val="0"/>
          <w:w w:val="100"/>
          <w:position w:val="0"/>
          <w:sz w:val="22"/>
          <w:szCs w:val="22"/>
        </w:rPr>
        <w:t>根据财政部、海关总署、国家税务总局《关于深入实施西部大开发战略有关税 收政策问题的通知》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2011</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58</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和财政部、海关总署、国家税务总 局《关于赣州市执行西部大开发税收政策问题的通知》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4</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报告期内本集团下属注册地在重庆市、四川省、贵州省、云南省、西藏自治区、 陕西省、甘肃省、宁夏回族自治区、青海省、新疆维吾尔自治区、内蒙古自治 区、广西壮族自治区和赣州市的部分子公司减按</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的税率征收企业所得税。</w:t>
      </w:r>
    </w:p>
    <w:p>
      <w:pPr>
        <w:pStyle w:val="Style33"/>
        <w:keepNext w:val="0"/>
        <w:keepLines w:val="0"/>
        <w:widowControl w:val="0"/>
        <w:shd w:val="clear" w:color="auto" w:fill="auto"/>
        <w:bidi w:val="0"/>
        <w:spacing w:before="0" w:after="300" w:line="320" w:lineRule="exact"/>
        <w:ind w:left="0" w:right="0" w:firstLine="0"/>
        <w:jc w:val="left"/>
        <w:rPr>
          <w:sz w:val="28"/>
          <w:szCs w:val="28"/>
        </w:rPr>
      </w:pPr>
      <w:r>
        <w:rPr>
          <w:color w:val="000000"/>
          <w:spacing w:val="0"/>
          <w:w w:val="100"/>
          <w:position w:val="0"/>
          <w:sz w:val="22"/>
          <w:szCs w:val="22"/>
        </w:rPr>
        <w:t>三税项</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p>
    <w:p>
      <w:pPr>
        <w:pStyle w:val="Style94"/>
        <w:keepNext w:val="0"/>
        <w:keepLines w:val="0"/>
        <w:widowControl w:val="0"/>
        <w:shd w:val="clear" w:color="auto" w:fill="auto"/>
        <w:bidi w:val="0"/>
        <w:spacing w:before="0" w:after="300" w:line="320" w:lineRule="exact"/>
        <w:ind w:left="0" w:right="0" w:firstLine="0"/>
        <w:jc w:val="left"/>
        <w:rPr>
          <w:sz w:val="28"/>
          <w:szCs w:val="28"/>
        </w:rPr>
      </w:pPr>
      <w:bookmarkStart w:id="734" w:name="bookmark734"/>
      <w:r>
        <w:rPr>
          <w:color w:val="000000"/>
          <w:spacing w:val="0"/>
          <w:w w:val="100"/>
          <w:position w:val="0"/>
          <w:sz w:val="24"/>
          <w:szCs w:val="24"/>
        </w:rPr>
        <w:t>（</w:t>
      </w:r>
      <w:bookmarkEnd w:id="734"/>
      <w:r>
        <w:rPr>
          <w:color w:val="000000"/>
          <w:spacing w:val="0"/>
          <w:w w:val="100"/>
          <w:position w:val="0"/>
          <w:sz w:val="24"/>
          <w:szCs w:val="24"/>
        </w:rPr>
        <w:t>a）</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本公司之子公司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顺丰科技有限公司</w:t>
      </w:r>
      <w:r>
        <w:rPr>
          <w:b w:val="0"/>
          <w:bCs w:val="0"/>
          <w:color w:val="000000"/>
          <w:spacing w:val="0"/>
          <w:w w:val="100"/>
          <w:position w:val="0"/>
          <w:sz w:val="28"/>
          <w:szCs w:val="28"/>
        </w:rPr>
        <w:t>（</w:t>
      </w:r>
      <w:r>
        <w:rPr>
          <w:b w:val="0"/>
          <w:bCs w:val="0"/>
          <w:color w:val="000000"/>
          <w:spacing w:val="0"/>
          <w:w w:val="100"/>
          <w:position w:val="0"/>
          <w:sz w:val="22"/>
          <w:szCs w:val="22"/>
        </w:rPr>
        <w:t>以下简称“顺丰科技”</w:t>
      </w:r>
      <w:r>
        <w:rPr>
          <w:b w:val="0"/>
          <w:bCs w:val="0"/>
          <w:color w:val="000000"/>
          <w:spacing w:val="0"/>
          <w:w w:val="100"/>
          <w:position w:val="0"/>
          <w:sz w:val="28"/>
          <w:szCs w:val="28"/>
        </w:rPr>
        <w:t>）</w:t>
      </w:r>
      <w:r>
        <w:rPr>
          <w:b w:val="0"/>
          <w:bCs w:val="0"/>
          <w:color w:val="000000"/>
          <w:spacing w:val="0"/>
          <w:w w:val="100"/>
          <w:position w:val="0"/>
          <w:sz w:val="22"/>
          <w:szCs w:val="22"/>
        </w:rPr>
        <w:t>为设立于深圳经济特区 的软件企业，自</w:t>
      </w:r>
      <w:r>
        <w:rPr>
          <w:rFonts w:ascii="Arial" w:eastAsia="Arial" w:hAnsi="Arial" w:cs="Arial"/>
          <w:b w:val="0"/>
          <w:bCs w:val="0"/>
          <w:color w:val="000000"/>
          <w:spacing w:val="0"/>
          <w:w w:val="100"/>
          <w:position w:val="0"/>
          <w:sz w:val="24"/>
          <w:szCs w:val="24"/>
        </w:rPr>
        <w:t>2009</w:t>
      </w:r>
      <w:r>
        <w:rPr>
          <w:b w:val="0"/>
          <w:bCs w:val="0"/>
          <w:color w:val="000000"/>
          <w:spacing w:val="0"/>
          <w:w w:val="100"/>
          <w:position w:val="0"/>
          <w:sz w:val="22"/>
          <w:szCs w:val="22"/>
        </w:rPr>
        <w:t>年度起，根据财政部、国家税务总局《关于企业所得税若干优 惠政策的通知》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2008</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和财政部、国家税务总局《关于进一步鼓励软件 产业和集成电路产业发展企业所得税政策的通知》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2012</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27</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，经向深圳 市福田区地方税务局深地税福备告字【</w:t>
      </w:r>
      <w:r>
        <w:rPr>
          <w:rFonts w:ascii="Arial" w:eastAsia="Arial" w:hAnsi="Arial" w:cs="Arial"/>
          <w:b w:val="0"/>
          <w:bCs w:val="0"/>
          <w:color w:val="000000"/>
          <w:spacing w:val="0"/>
          <w:w w:val="100"/>
          <w:position w:val="0"/>
          <w:sz w:val="24"/>
          <w:szCs w:val="24"/>
        </w:rPr>
        <w:t>2010</w:t>
      </w:r>
      <w:r>
        <w:rPr>
          <w:b w:val="0"/>
          <w:bCs w:val="0"/>
          <w:color w:val="000000"/>
          <w:spacing w:val="0"/>
          <w:w w:val="100"/>
          <w:position w:val="0"/>
          <w:sz w:val="22"/>
          <w:szCs w:val="22"/>
        </w:rPr>
        <w:t>】第</w:t>
      </w:r>
      <w:r>
        <w:rPr>
          <w:rFonts w:ascii="Arial" w:eastAsia="Arial" w:hAnsi="Arial" w:cs="Arial"/>
          <w:b w:val="0"/>
          <w:bCs w:val="0"/>
          <w:color w:val="000000"/>
          <w:spacing w:val="0"/>
          <w:w w:val="100"/>
          <w:position w:val="0"/>
          <w:sz w:val="24"/>
          <w:szCs w:val="24"/>
        </w:rPr>
        <w:t>11C0001</w:t>
      </w:r>
      <w:r>
        <w:rPr>
          <w:b w:val="0"/>
          <w:bCs w:val="0"/>
          <w:color w:val="000000"/>
          <w:spacing w:val="0"/>
          <w:w w:val="100"/>
          <w:position w:val="0"/>
          <w:sz w:val="22"/>
          <w:szCs w:val="22"/>
        </w:rPr>
        <w:t>号备案，开始执行“两免 三减半”的税收优惠政策。于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年度为第三个减半年度，适用的企业所得税税率 为</w:t>
      </w:r>
      <w:r>
        <w:rPr>
          <w:rFonts w:ascii="Arial" w:eastAsia="Arial" w:hAnsi="Arial" w:cs="Arial"/>
          <w:b w:val="0"/>
          <w:bCs w:val="0"/>
          <w:color w:val="000000"/>
          <w:spacing w:val="0"/>
          <w:w w:val="100"/>
          <w:position w:val="0"/>
          <w:sz w:val="24"/>
          <w:szCs w:val="24"/>
        </w:rPr>
        <w:t>12.5%</w:t>
      </w:r>
      <w:r>
        <w:rPr>
          <w:b w:val="0"/>
          <w:bCs w:val="0"/>
          <w:color w:val="000000"/>
          <w:spacing w:val="0"/>
          <w:w w:val="100"/>
          <w:position w:val="0"/>
          <w:sz w:val="22"/>
          <w:szCs w:val="22"/>
        </w:rPr>
        <w:t>。该公司于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年度被认定为高新技术企业，</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年度复审为高新技术 企业，根据《中华人民共和国企业所得税法》第二十八条，经向深圳市福田区地方税 务局深地税福备【</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86</w:t>
      </w:r>
      <w:r>
        <w:rPr>
          <w:b w:val="0"/>
          <w:bCs w:val="0"/>
          <w:color w:val="000000"/>
          <w:spacing w:val="0"/>
          <w:w w:val="100"/>
          <w:position w:val="0"/>
          <w:sz w:val="22"/>
          <w:szCs w:val="22"/>
        </w:rPr>
        <w:t>号备案，自</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年度起，减按</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的税率征收企业所 得税。</w:t>
      </w:r>
    </w:p>
    <w:p>
      <w:pPr>
        <w:pStyle w:val="Style33"/>
        <w:keepNext w:val="0"/>
        <w:keepLines w:val="0"/>
        <w:widowControl w:val="0"/>
        <w:shd w:val="clear" w:color="auto" w:fill="auto"/>
        <w:bidi w:val="0"/>
        <w:spacing w:before="0" w:after="300" w:line="307" w:lineRule="exact"/>
        <w:ind w:left="0" w:right="0" w:firstLine="0"/>
        <w:jc w:val="both"/>
        <w:rPr>
          <w:sz w:val="22"/>
          <w:szCs w:val="22"/>
        </w:rPr>
      </w:pPr>
      <w:r>
        <w:rPr>
          <w:b w:val="0"/>
          <w:bCs w:val="0"/>
          <w:color w:val="000000"/>
          <w:spacing w:val="0"/>
          <w:w w:val="100"/>
          <w:position w:val="0"/>
          <w:sz w:val="22"/>
          <w:szCs w:val="22"/>
        </w:rPr>
        <w:t>本公司之间接子公司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顺丰恒通支付有限公司为设立于深圳经济特区的高新技术企业。 根据《中华人民共和国企业所得税法》第二十八条，经向深圳市蛇口地方税务局深地 税蛇备【</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号备案，自</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年度起，减按</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的税率征收企业所得税。</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本公司之子公司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深圳市顺丰供应链有限公司</w:t>
      </w:r>
      <w:r>
        <w:rPr>
          <w:b w:val="0"/>
          <w:bCs w:val="0"/>
          <w:color w:val="000000"/>
          <w:spacing w:val="0"/>
          <w:w w:val="100"/>
          <w:position w:val="0"/>
          <w:sz w:val="28"/>
          <w:szCs w:val="28"/>
        </w:rPr>
        <w:t>（</w:t>
      </w:r>
      <w:r>
        <w:rPr>
          <w:b w:val="0"/>
          <w:bCs w:val="0"/>
          <w:color w:val="000000"/>
          <w:spacing w:val="0"/>
          <w:w w:val="100"/>
          <w:position w:val="0"/>
          <w:sz w:val="22"/>
          <w:szCs w:val="22"/>
        </w:rPr>
        <w:t>以下简称“顺丰供应链”</w:t>
      </w:r>
      <w:r>
        <w:rPr>
          <w:b w:val="0"/>
          <w:bCs w:val="0"/>
          <w:color w:val="000000"/>
          <w:spacing w:val="0"/>
          <w:w w:val="100"/>
          <w:position w:val="0"/>
          <w:sz w:val="28"/>
          <w:szCs w:val="28"/>
        </w:rPr>
        <w:t>）</w:t>
      </w:r>
      <w:r>
        <w:rPr>
          <w:b w:val="0"/>
          <w:bCs w:val="0"/>
          <w:color w:val="000000"/>
          <w:spacing w:val="0"/>
          <w:w w:val="100"/>
          <w:position w:val="0"/>
          <w:sz w:val="22"/>
          <w:szCs w:val="22"/>
        </w:rPr>
        <w:t xml:space="preserve">注册地位于 深圳市前海深港合作区，根据财政部、国家税务总局《关于广东横琴新区福建平潭综 合实验区深圳前海深港现代服务业合作区企业所得税优惠政策及优惠目录的通知》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26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，自</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年度起，减按</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的税率征收企业所得税。</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根据《中华人民共和国企业所得税法》第二十八条，财政部、国家税务总局《关于小 型微利企业所得税优惠政策有关问题的通知》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34</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，财政部、国家 税务总局《关于小型微利企业所得税优惠政策的通知》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34</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和财政 部、国家税务总局《关于进一步扩大小型微利企业所得税优惠政策范围的通知》</w:t>
      </w:r>
      <w:r>
        <w:rPr>
          <w:b w:val="0"/>
          <w:bCs w:val="0"/>
          <w:color w:val="000000"/>
          <w:spacing w:val="0"/>
          <w:w w:val="100"/>
          <w:position w:val="0"/>
          <w:sz w:val="28"/>
          <w:szCs w:val="28"/>
        </w:rPr>
        <w:t>（</w:t>
      </w:r>
      <w:r>
        <w:rPr>
          <w:b w:val="0"/>
          <w:bCs w:val="0"/>
          <w:color w:val="000000"/>
          <w:spacing w:val="0"/>
          <w:w w:val="100"/>
          <w:position w:val="0"/>
          <w:sz w:val="22"/>
          <w:szCs w:val="22"/>
        </w:rPr>
        <w:t>财 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99</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，报告期内本集团下属间接子公司潍坊市丰泰电商产业园管理有限 公司、贵州汇海运输有限公司等为符合条件的小型微利企业，减按</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的税率征收 企业所得税。</w:t>
      </w:r>
    </w:p>
    <w:p>
      <w:pPr>
        <w:pStyle w:val="Style33"/>
        <w:keepNext w:val="0"/>
        <w:keepLines w:val="0"/>
        <w:widowControl w:val="0"/>
        <w:shd w:val="clear" w:color="auto" w:fill="auto"/>
        <w:bidi w:val="0"/>
        <w:spacing w:before="0" w:after="300" w:line="298" w:lineRule="exact"/>
        <w:ind w:left="0" w:right="0" w:firstLine="0"/>
        <w:jc w:val="both"/>
        <w:rPr>
          <w:sz w:val="22"/>
          <w:szCs w:val="22"/>
        </w:rPr>
      </w:pPr>
      <w:r>
        <w:rPr>
          <w:b w:val="0"/>
          <w:bCs w:val="0"/>
          <w:color w:val="000000"/>
          <w:spacing w:val="0"/>
          <w:w w:val="100"/>
          <w:position w:val="0"/>
          <w:sz w:val="22"/>
          <w:szCs w:val="22"/>
        </w:rPr>
        <w:t xml:space="preserve">本集团分布在香港、新加坡、日本、韩国及美国地区的各下属子公司报告期内所得税 税率分别为 </w:t>
      </w:r>
      <w:r>
        <w:rPr>
          <w:rFonts w:ascii="Arial" w:eastAsia="Arial" w:hAnsi="Arial" w:cs="Arial"/>
          <w:b w:val="0"/>
          <w:bCs w:val="0"/>
          <w:color w:val="000000"/>
          <w:spacing w:val="0"/>
          <w:w w:val="100"/>
          <w:position w:val="0"/>
          <w:sz w:val="24"/>
          <w:szCs w:val="24"/>
        </w:rPr>
        <w:t>16.5%</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17%</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23.4%</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 xml:space="preserve">和 </w:t>
      </w:r>
      <w:r>
        <w:rPr>
          <w:rFonts w:ascii="Arial" w:eastAsia="Arial" w:hAnsi="Arial" w:cs="Arial"/>
          <w:b w:val="0"/>
          <w:bCs w:val="0"/>
          <w:color w:val="000000"/>
          <w:spacing w:val="0"/>
          <w:w w:val="100"/>
          <w:position w:val="0"/>
          <w:sz w:val="24"/>
          <w:szCs w:val="24"/>
        </w:rPr>
        <w:t>35%</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300" w:line="320" w:lineRule="exact"/>
        <w:ind w:left="0" w:right="0" w:firstLine="0"/>
        <w:jc w:val="both"/>
        <w:rPr>
          <w:sz w:val="22"/>
          <w:szCs w:val="22"/>
        </w:rPr>
        <w:sectPr>
          <w:footnotePr>
            <w:pos w:val="pageBottom"/>
            <w:numFmt w:val="decimal"/>
            <w:numRestart w:val="continuous"/>
          </w:footnotePr>
          <w:pgSz w:w="11900" w:h="16840"/>
          <w:pgMar w:top="1762" w:right="903" w:bottom="3231" w:left="1926" w:header="0" w:footer="3" w:gutter="0"/>
          <w:cols w:space="720"/>
          <w:noEndnote/>
          <w:rtlGutter w:val="0"/>
          <w:docGrid w:linePitch="360"/>
        </w:sectPr>
      </w:pPr>
      <w:r>
        <w:rPr>
          <w:b w:val="0"/>
          <w:bCs w:val="0"/>
          <w:color w:val="000000"/>
          <w:spacing w:val="0"/>
          <w:w w:val="100"/>
          <w:position w:val="0"/>
          <w:sz w:val="22"/>
          <w:szCs w:val="22"/>
        </w:rPr>
        <w:t>除以上外，本公司和本公司之其他子公司适用</w:t>
      </w:r>
      <w:r>
        <w:rPr>
          <w:rFonts w:ascii="Arial" w:eastAsia="Arial" w:hAnsi="Arial" w:cs="Arial"/>
          <w:b w:val="0"/>
          <w:bCs w:val="0"/>
          <w:color w:val="000000"/>
          <w:spacing w:val="0"/>
          <w:w w:val="100"/>
          <w:position w:val="0"/>
          <w:sz w:val="24"/>
          <w:szCs w:val="24"/>
        </w:rPr>
        <w:t>25%</w:t>
      </w:r>
      <w:r>
        <w:rPr>
          <w:b w:val="0"/>
          <w:bCs w:val="0"/>
          <w:color w:val="000000"/>
          <w:spacing w:val="0"/>
          <w:w w:val="100"/>
          <w:position w:val="0"/>
          <w:sz w:val="22"/>
          <w:szCs w:val="22"/>
        </w:rPr>
        <w:t>的企业所得税税率。</w:t>
      </w:r>
    </w:p>
    <w:p>
      <w:pPr>
        <w:pStyle w:val="Style33"/>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2"/>
          <w:szCs w:val="22"/>
        </w:rPr>
        <w:t>三税项</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tabs>
          <w:tab w:pos="696" w:val="left"/>
          <w:tab w:pos="8192" w:val="left"/>
        </w:tabs>
        <w:bidi w:val="0"/>
        <w:spacing w:before="0" w:after="0" w:line="318" w:lineRule="exact"/>
        <w:ind w:left="0" w:right="0" w:firstLine="0"/>
        <w:jc w:val="left"/>
        <w:rPr>
          <w:sz w:val="22"/>
          <w:szCs w:val="22"/>
        </w:rPr>
      </w:pPr>
      <w:bookmarkStart w:id="735" w:name="bookmark735"/>
      <w:r>
        <w:rPr>
          <w:rFonts w:ascii="Arial" w:eastAsia="Arial" w:hAnsi="Arial" w:cs="Arial"/>
          <w:b w:val="0"/>
          <w:bCs w:val="0"/>
          <w:color w:val="000000"/>
          <w:spacing w:val="0"/>
          <w:w w:val="100"/>
          <w:position w:val="0"/>
          <w:sz w:val="24"/>
          <w:szCs w:val="24"/>
        </w:rPr>
        <w:t>（</w:t>
      </w:r>
      <w:bookmarkEnd w:id="735"/>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根据经营的业务的不同，本集团内子公司的增值税适用税率为：</w:t>
      </w:r>
      <w:r>
        <w:rPr>
          <w:rFonts w:ascii="Arial" w:eastAsia="Arial" w:hAnsi="Arial" w:cs="Arial"/>
          <w:b w:val="0"/>
          <w:bCs w:val="0"/>
          <w:color w:val="000000"/>
          <w:spacing w:val="0"/>
          <w:w w:val="100"/>
          <w:position w:val="0"/>
          <w:sz w:val="24"/>
          <w:szCs w:val="24"/>
        </w:rPr>
        <w:t>17%</w:t>
      </w:r>
      <w:r>
        <w:rPr>
          <w:b w:val="0"/>
          <w:bCs w:val="0"/>
          <w:color w:val="000000"/>
          <w:spacing w:val="0"/>
          <w:w w:val="100"/>
          <w:position w:val="0"/>
          <w:sz w:val="22"/>
          <w:szCs w:val="22"/>
        </w:rPr>
        <w:t>,</w:t>
        <w:tab/>
      </w:r>
      <w:r>
        <w:rPr>
          <w:rFonts w:ascii="Arial" w:eastAsia="Arial" w:hAnsi="Arial" w:cs="Arial"/>
          <w:b w:val="0"/>
          <w:bCs w:val="0"/>
          <w:color w:val="000000"/>
          <w:spacing w:val="0"/>
          <w:w w:val="100"/>
          <w:position w:val="0"/>
          <w:sz w:val="24"/>
          <w:szCs w:val="24"/>
        </w:rPr>
        <w:t>11%</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300" w:line="276" w:lineRule="auto"/>
        <w:ind w:left="0" w:right="0" w:firstLine="720"/>
        <w:jc w:val="left"/>
        <w:rPr>
          <w:sz w:val="22"/>
          <w:szCs w:val="22"/>
        </w:rPr>
      </w:pPr>
      <w:r>
        <w:rPr>
          <w:rFonts w:ascii="Arial" w:eastAsia="Arial" w:hAnsi="Arial" w:cs="Arial"/>
          <w:b w:val="0"/>
          <w:bCs w:val="0"/>
          <w:color w:val="000000"/>
          <w:spacing w:val="0"/>
          <w:w w:val="100"/>
          <w:position w:val="0"/>
          <w:sz w:val="24"/>
          <w:szCs w:val="24"/>
        </w:rPr>
        <w:t>6%</w:t>
      </w:r>
      <w:r>
        <w:rPr>
          <w:b w:val="0"/>
          <w:bCs w:val="0"/>
          <w:color w:val="000000"/>
          <w:spacing w:val="0"/>
          <w:w w:val="100"/>
          <w:position w:val="0"/>
          <w:sz w:val="22"/>
          <w:szCs w:val="22"/>
        </w:rPr>
        <w:t>及</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针对小规模纳税人</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。分业务类型的适用税率具体如下：</w:t>
      </w:r>
    </w:p>
    <w:p>
      <w:pPr>
        <w:pStyle w:val="Style33"/>
        <w:keepNext w:val="0"/>
        <w:keepLines w:val="0"/>
        <w:widowControl w:val="0"/>
        <w:shd w:val="clear" w:color="auto" w:fill="auto"/>
        <w:tabs>
          <w:tab w:pos="4218" w:val="left"/>
        </w:tabs>
        <w:bidi w:val="0"/>
        <w:spacing w:before="0" w:after="300" w:line="318" w:lineRule="exact"/>
        <w:ind w:left="0" w:right="0" w:firstLine="0"/>
        <w:jc w:val="left"/>
        <w:rPr>
          <w:sz w:val="22"/>
          <w:szCs w:val="22"/>
        </w:rPr>
      </w:pPr>
      <w:r>
        <w:rPr>
          <w:b w:val="0"/>
          <w:bCs w:val="0"/>
          <w:color w:val="000000"/>
          <w:spacing w:val="0"/>
          <w:w w:val="100"/>
          <w:position w:val="0"/>
          <w:sz w:val="22"/>
          <w:szCs w:val="22"/>
        </w:rPr>
        <w:t>业务类型</w:t>
        <w:tab/>
        <w:t>适用增值税税率</w:t>
      </w:r>
    </w:p>
    <w:p>
      <w:pPr>
        <w:pStyle w:val="Style33"/>
        <w:keepNext w:val="0"/>
        <w:keepLines w:val="0"/>
        <w:widowControl w:val="0"/>
        <w:shd w:val="clear" w:color="auto" w:fill="auto"/>
        <w:tabs>
          <w:tab w:pos="4218" w:val="left"/>
        </w:tabs>
        <w:bidi w:val="0"/>
        <w:spacing w:before="0" w:after="0" w:line="318" w:lineRule="exact"/>
        <w:ind w:left="0" w:right="0" w:firstLine="0"/>
        <w:jc w:val="left"/>
        <w:rPr>
          <w:sz w:val="24"/>
          <w:szCs w:val="24"/>
        </w:rPr>
      </w:pPr>
      <w:r>
        <w:rPr>
          <w:b w:val="0"/>
          <w:bCs w:val="0"/>
          <w:color w:val="000000"/>
          <w:spacing w:val="0"/>
          <w:w w:val="100"/>
          <w:position w:val="0"/>
          <w:sz w:val="22"/>
          <w:szCs w:val="22"/>
        </w:rPr>
        <w:t>商品销售</w:t>
        <w:tab/>
      </w:r>
      <w:r>
        <w:rPr>
          <w:rFonts w:ascii="Arial" w:eastAsia="Arial" w:hAnsi="Arial" w:cs="Arial"/>
          <w:b w:val="0"/>
          <w:bCs w:val="0"/>
          <w:color w:val="000000"/>
          <w:spacing w:val="0"/>
          <w:w w:val="100"/>
          <w:position w:val="0"/>
          <w:sz w:val="24"/>
          <w:szCs w:val="24"/>
        </w:rPr>
        <w:t>17%</w:t>
      </w:r>
    </w:p>
    <w:p>
      <w:pPr>
        <w:pStyle w:val="Style33"/>
        <w:keepNext w:val="0"/>
        <w:keepLines w:val="0"/>
        <w:widowControl w:val="0"/>
        <w:shd w:val="clear" w:color="auto" w:fill="auto"/>
        <w:tabs>
          <w:tab w:pos="4218" w:val="left"/>
        </w:tabs>
        <w:bidi w:val="0"/>
        <w:spacing w:before="0" w:after="0" w:line="318" w:lineRule="exact"/>
        <w:ind w:left="0" w:right="0" w:firstLine="0"/>
        <w:jc w:val="left"/>
        <w:rPr>
          <w:sz w:val="24"/>
          <w:szCs w:val="24"/>
        </w:rPr>
      </w:pPr>
      <w:r>
        <w:rPr>
          <w:b w:val="0"/>
          <w:bCs w:val="0"/>
          <w:color w:val="000000"/>
          <w:spacing w:val="0"/>
          <w:w w:val="100"/>
          <w:position w:val="0"/>
          <w:sz w:val="22"/>
          <w:szCs w:val="22"/>
        </w:rPr>
        <w:t>交通运输服务</w:t>
        <w:tab/>
      </w:r>
      <w:r>
        <w:rPr>
          <w:rFonts w:ascii="Arial" w:eastAsia="Arial" w:hAnsi="Arial" w:cs="Arial"/>
          <w:b w:val="0"/>
          <w:bCs w:val="0"/>
          <w:color w:val="000000"/>
          <w:spacing w:val="0"/>
          <w:w w:val="100"/>
          <w:position w:val="0"/>
          <w:sz w:val="24"/>
          <w:szCs w:val="24"/>
        </w:rPr>
        <w:t>11%</w:t>
      </w:r>
    </w:p>
    <w:p>
      <w:pPr>
        <w:pStyle w:val="Style33"/>
        <w:keepNext w:val="0"/>
        <w:keepLines w:val="0"/>
        <w:widowControl w:val="0"/>
        <w:shd w:val="clear" w:color="auto" w:fill="auto"/>
        <w:tabs>
          <w:tab w:pos="4218" w:val="left"/>
        </w:tabs>
        <w:bidi w:val="0"/>
        <w:spacing w:before="0" w:after="0" w:line="318" w:lineRule="exact"/>
        <w:ind w:left="0" w:right="0" w:firstLine="0"/>
        <w:jc w:val="left"/>
        <w:rPr>
          <w:sz w:val="24"/>
          <w:szCs w:val="24"/>
        </w:rPr>
      </w:pPr>
      <w:r>
        <w:rPr>
          <w:b w:val="0"/>
          <w:bCs w:val="0"/>
          <w:color w:val="000000"/>
          <w:spacing w:val="0"/>
          <w:w w:val="100"/>
          <w:position w:val="0"/>
          <w:sz w:val="22"/>
          <w:szCs w:val="22"/>
        </w:rPr>
        <w:t>物流辅助服务</w:t>
        <w:tab/>
      </w:r>
      <w:r>
        <w:rPr>
          <w:rFonts w:ascii="Arial" w:eastAsia="Arial" w:hAnsi="Arial" w:cs="Arial"/>
          <w:b w:val="0"/>
          <w:bCs w:val="0"/>
          <w:color w:val="000000"/>
          <w:spacing w:val="0"/>
          <w:w w:val="100"/>
          <w:position w:val="0"/>
          <w:sz w:val="24"/>
          <w:szCs w:val="24"/>
        </w:rPr>
        <w:t>6%</w:t>
      </w:r>
    </w:p>
    <w:p>
      <w:pPr>
        <w:pStyle w:val="Style33"/>
        <w:keepNext w:val="0"/>
        <w:keepLines w:val="0"/>
        <w:widowControl w:val="0"/>
        <w:shd w:val="clear" w:color="auto" w:fill="auto"/>
        <w:tabs>
          <w:tab w:pos="4218" w:val="left"/>
        </w:tabs>
        <w:bidi w:val="0"/>
        <w:spacing w:before="0" w:after="0" w:line="318" w:lineRule="exact"/>
        <w:ind w:left="0" w:right="0" w:firstLine="0"/>
        <w:jc w:val="left"/>
        <w:rPr>
          <w:sz w:val="24"/>
          <w:szCs w:val="24"/>
        </w:rPr>
      </w:pPr>
      <w:r>
        <w:rPr>
          <w:b w:val="0"/>
          <w:bCs w:val="0"/>
          <w:color w:val="000000"/>
          <w:spacing w:val="0"/>
          <w:w w:val="100"/>
          <w:position w:val="0"/>
          <w:sz w:val="22"/>
          <w:szCs w:val="22"/>
        </w:rPr>
        <w:t>研发和技术服务</w:t>
        <w:tab/>
      </w:r>
      <w:r>
        <w:rPr>
          <w:rFonts w:ascii="Arial" w:eastAsia="Arial" w:hAnsi="Arial" w:cs="Arial"/>
          <w:b w:val="0"/>
          <w:bCs w:val="0"/>
          <w:color w:val="000000"/>
          <w:spacing w:val="0"/>
          <w:w w:val="100"/>
          <w:position w:val="0"/>
          <w:sz w:val="24"/>
          <w:szCs w:val="24"/>
        </w:rPr>
        <w:t>6%</w:t>
      </w:r>
    </w:p>
    <w:p>
      <w:pPr>
        <w:pStyle w:val="Style33"/>
        <w:keepNext w:val="0"/>
        <w:keepLines w:val="0"/>
        <w:widowControl w:val="0"/>
        <w:shd w:val="clear" w:color="auto" w:fill="auto"/>
        <w:tabs>
          <w:tab w:pos="4218" w:val="left"/>
        </w:tabs>
        <w:bidi w:val="0"/>
        <w:spacing w:before="0" w:after="300" w:line="318" w:lineRule="exact"/>
        <w:ind w:left="0" w:right="0" w:firstLine="0"/>
        <w:jc w:val="left"/>
        <w:rPr>
          <w:sz w:val="24"/>
          <w:szCs w:val="24"/>
        </w:rPr>
      </w:pPr>
      <w:r>
        <w:rPr>
          <w:b w:val="0"/>
          <w:bCs w:val="0"/>
          <w:color w:val="000000"/>
          <w:spacing w:val="0"/>
          <w:w w:val="100"/>
          <w:position w:val="0"/>
          <w:sz w:val="22"/>
          <w:szCs w:val="22"/>
        </w:rPr>
        <w:t>信息技术服务</w:t>
        <w:tab/>
      </w:r>
      <w:r>
        <w:rPr>
          <w:rFonts w:ascii="Arial" w:eastAsia="Arial" w:hAnsi="Arial" w:cs="Arial"/>
          <w:b w:val="0"/>
          <w:bCs w:val="0"/>
          <w:color w:val="000000"/>
          <w:spacing w:val="0"/>
          <w:w w:val="100"/>
          <w:position w:val="0"/>
          <w:sz w:val="24"/>
          <w:szCs w:val="24"/>
        </w:rPr>
        <w:t>6%</w:t>
      </w:r>
    </w:p>
    <w:p>
      <w:pPr>
        <w:pStyle w:val="Style33"/>
        <w:keepNext w:val="0"/>
        <w:keepLines w:val="0"/>
        <w:widowControl w:val="0"/>
        <w:shd w:val="clear" w:color="auto" w:fill="auto"/>
        <w:bidi w:val="0"/>
        <w:spacing w:before="0" w:after="300" w:line="318" w:lineRule="exact"/>
        <w:ind w:left="0" w:right="0" w:firstLine="0"/>
        <w:jc w:val="left"/>
        <w:rPr>
          <w:sz w:val="22"/>
          <w:szCs w:val="22"/>
        </w:rPr>
      </w:pPr>
      <w:r>
        <w:rPr>
          <w:b w:val="0"/>
          <w:bCs w:val="0"/>
          <w:color w:val="000000"/>
          <w:spacing w:val="0"/>
          <w:w w:val="100"/>
          <w:position w:val="0"/>
          <w:sz w:val="22"/>
          <w:szCs w:val="22"/>
        </w:rPr>
        <w:t>本集团享受的增值税税收优惠政策如下：</w:t>
      </w:r>
    </w:p>
    <w:p>
      <w:pPr>
        <w:pStyle w:val="Style33"/>
        <w:keepNext w:val="0"/>
        <w:keepLines w:val="0"/>
        <w:widowControl w:val="0"/>
        <w:shd w:val="clear" w:color="auto" w:fill="auto"/>
        <w:bidi w:val="0"/>
        <w:spacing w:before="0" w:after="300" w:line="318" w:lineRule="exact"/>
        <w:ind w:left="0" w:right="0" w:firstLine="0"/>
        <w:jc w:val="both"/>
        <w:rPr>
          <w:sz w:val="22"/>
          <w:szCs w:val="22"/>
        </w:rPr>
      </w:pPr>
      <w:r>
        <w:rPr>
          <w:b w:val="0"/>
          <w:bCs w:val="0"/>
          <w:color w:val="000000"/>
          <w:spacing w:val="0"/>
          <w:w w:val="100"/>
          <w:position w:val="0"/>
          <w:sz w:val="22"/>
          <w:szCs w:val="22"/>
        </w:rPr>
        <w:t>本公司之间接子公司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顺丰科技的技术维护及开发服务收入，根据原财政部、国家税 务总局《关于在全国开展交通运输业和部分现代服务业营业税改征增值税试点税收政 策的通知》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37</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，原财政部、国家税务总局《关于将铁路运输和邮 政业纳入营业税改征增值税试点的通知》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106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，和财政部、国家税 务总局《关于全面推开营业税改征增值税试点的通知》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，经向 深圳市福田区国家税务局深国税福减免备【</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2516</w:t>
      </w:r>
      <w:r>
        <w:rPr>
          <w:b w:val="0"/>
          <w:bCs w:val="0"/>
          <w:color w:val="000000"/>
          <w:spacing w:val="0"/>
          <w:w w:val="100"/>
          <w:position w:val="0"/>
          <w:sz w:val="22"/>
          <w:szCs w:val="22"/>
        </w:rPr>
        <w:t>号、深国税福减免备【</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4"/>
          <w:szCs w:val="24"/>
        </w:rPr>
        <w:t>0388</w:t>
      </w:r>
      <w:r>
        <w:rPr>
          <w:b w:val="0"/>
          <w:bCs w:val="0"/>
          <w:color w:val="000000"/>
          <w:spacing w:val="0"/>
          <w:w w:val="100"/>
          <w:position w:val="0"/>
          <w:sz w:val="22"/>
          <w:szCs w:val="22"/>
        </w:rPr>
        <w:t>号、深国税南减免备【</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4"/>
          <w:szCs w:val="24"/>
        </w:rPr>
        <w:t>0310</w:t>
      </w:r>
      <w:r>
        <w:rPr>
          <w:b w:val="0"/>
          <w:bCs w:val="0"/>
          <w:color w:val="000000"/>
          <w:spacing w:val="0"/>
          <w:w w:val="100"/>
          <w:position w:val="0"/>
          <w:sz w:val="22"/>
          <w:szCs w:val="22"/>
        </w:rPr>
        <w:t>号及深国税南减免备【</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4"/>
          <w:szCs w:val="24"/>
        </w:rPr>
        <w:t>0393</w:t>
      </w:r>
      <w:r>
        <w:rPr>
          <w:b w:val="0"/>
          <w:bCs w:val="0"/>
          <w:color w:val="000000"/>
          <w:spacing w:val="0"/>
          <w:w w:val="100"/>
          <w:position w:val="0"/>
          <w:sz w:val="22"/>
          <w:szCs w:val="22"/>
        </w:rPr>
        <w:t>号备案， 自</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日起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除</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年第一季度未享受外</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免征增值税。</w:t>
      </w:r>
    </w:p>
    <w:p>
      <w:pPr>
        <w:pStyle w:val="Style33"/>
        <w:keepNext w:val="0"/>
        <w:keepLines w:val="0"/>
        <w:widowControl w:val="0"/>
        <w:shd w:val="clear" w:color="auto" w:fill="auto"/>
        <w:bidi w:val="0"/>
        <w:spacing w:before="0" w:after="300" w:line="317" w:lineRule="exact"/>
        <w:ind w:left="0" w:right="0" w:firstLine="0"/>
        <w:jc w:val="both"/>
        <w:rPr>
          <w:sz w:val="22"/>
          <w:szCs w:val="22"/>
        </w:rPr>
        <w:sectPr>
          <w:footnotePr>
            <w:pos w:val="pageBottom"/>
            <w:numFmt w:val="decimal"/>
            <w:numRestart w:val="continuous"/>
          </w:footnotePr>
          <w:pgSz w:w="11900" w:h="16840"/>
          <w:pgMar w:top="1791" w:right="990" w:bottom="1791" w:left="1962" w:header="0" w:footer="3" w:gutter="0"/>
          <w:cols w:space="720"/>
          <w:noEndnote/>
          <w:rtlGutter w:val="0"/>
          <w:docGrid w:linePitch="360"/>
        </w:sectPr>
      </w:pPr>
      <w:r>
        <w:rPr>
          <w:b w:val="0"/>
          <w:bCs w:val="0"/>
          <w:color w:val="000000"/>
          <w:spacing w:val="0"/>
          <w:w w:val="100"/>
          <w:position w:val="0"/>
          <w:sz w:val="22"/>
          <w:szCs w:val="22"/>
        </w:rPr>
        <w:t>本公司之间接子公司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广东顺丰电子商务有限公司的国际货物运输代理服务</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含港澳 台</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收入，根据原财政部、国家税务总局《关于将铁路运输和邮政业纳入营业税改征 增值税试点的通知》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106</w:t>
      </w:r>
      <w:r>
        <w:rPr>
          <w:b w:val="0"/>
          <w:bCs w:val="0"/>
          <w:color w:val="000000"/>
          <w:spacing w:val="0"/>
          <w:w w:val="100"/>
          <w:position w:val="0"/>
          <w:sz w:val="22"/>
          <w:szCs w:val="22"/>
        </w:rPr>
        <w:t>号</w:t>
      </w:r>
      <w:r>
        <w:rPr>
          <w:b w:val="0"/>
          <w:bCs w:val="0"/>
          <w:color w:val="000000"/>
          <w:spacing w:val="0"/>
          <w:w w:val="100"/>
          <w:position w:val="0"/>
          <w:sz w:val="28"/>
          <w:szCs w:val="28"/>
        </w:rPr>
        <w:t>）</w:t>
      </w:r>
      <w:r>
        <w:rPr>
          <w:b w:val="0"/>
          <w:bCs w:val="0"/>
          <w:color w:val="000000"/>
          <w:spacing w:val="0"/>
          <w:w w:val="100"/>
          <w:position w:val="0"/>
          <w:sz w:val="22"/>
          <w:szCs w:val="22"/>
        </w:rPr>
        <w:t>和财政部、国家税务总局《关于全面推 开营业税改征增值税试点的通知》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，经向深圳市前海国家税务 局深国税前海减免备【</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4"/>
          <w:szCs w:val="24"/>
        </w:rPr>
        <w:t>0004</w:t>
      </w:r>
      <w:r>
        <w:rPr>
          <w:b w:val="0"/>
          <w:bCs w:val="0"/>
          <w:color w:val="000000"/>
          <w:spacing w:val="0"/>
          <w:w w:val="100"/>
          <w:position w:val="0"/>
          <w:sz w:val="22"/>
          <w:szCs w:val="22"/>
        </w:rPr>
        <w:t>号备案，自</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日起免征增值税。</w:t>
      </w:r>
    </w:p>
    <w:p>
      <w:pPr>
        <w:pStyle w:val="Style33"/>
        <w:keepNext w:val="0"/>
        <w:keepLines w:val="0"/>
        <w:widowControl w:val="0"/>
        <w:shd w:val="clear" w:color="auto" w:fill="auto"/>
        <w:bidi w:val="0"/>
        <w:spacing w:before="0" w:after="300" w:line="319" w:lineRule="exact"/>
        <w:ind w:left="0" w:right="0" w:firstLine="0"/>
        <w:jc w:val="both"/>
        <w:rPr>
          <w:sz w:val="28"/>
          <w:szCs w:val="28"/>
        </w:rPr>
      </w:pPr>
      <w:r>
        <w:rPr>
          <w:color w:val="000000"/>
          <w:spacing w:val="0"/>
          <w:w w:val="100"/>
          <w:position w:val="0"/>
          <w:sz w:val="22"/>
          <w:szCs w:val="22"/>
        </w:rPr>
        <w:t>三税项</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p>
    <w:p>
      <w:pPr>
        <w:pStyle w:val="Style94"/>
        <w:keepNext w:val="0"/>
        <w:keepLines w:val="0"/>
        <w:widowControl w:val="0"/>
        <w:shd w:val="clear" w:color="auto" w:fill="auto"/>
        <w:tabs>
          <w:tab w:pos="706" w:val="left"/>
        </w:tabs>
        <w:bidi w:val="0"/>
        <w:spacing w:before="0" w:after="300" w:line="319" w:lineRule="exact"/>
        <w:ind w:left="0" w:right="0" w:firstLine="0"/>
        <w:jc w:val="both"/>
        <w:rPr>
          <w:sz w:val="28"/>
          <w:szCs w:val="28"/>
        </w:rPr>
      </w:pPr>
      <w:bookmarkStart w:id="736" w:name="bookmark736"/>
      <w:r>
        <w:rPr>
          <w:color w:val="000000"/>
          <w:spacing w:val="0"/>
          <w:w w:val="100"/>
          <w:position w:val="0"/>
          <w:sz w:val="24"/>
          <w:szCs w:val="24"/>
        </w:rPr>
        <w:t>（</w:t>
      </w:r>
      <w:bookmarkEnd w:id="736"/>
      <w:r>
        <w:rPr>
          <w:color w:val="000000"/>
          <w:spacing w:val="0"/>
          <w:w w:val="100"/>
          <w:position w:val="0"/>
          <w:sz w:val="24"/>
          <w:szCs w:val="24"/>
        </w:rPr>
        <w:t>b）</w:t>
        <w:tab/>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本公司之间接子公司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顺丰速运有限公司</w:t>
      </w:r>
      <w:r>
        <w:rPr>
          <w:b w:val="0"/>
          <w:bCs w:val="0"/>
          <w:color w:val="000000"/>
          <w:spacing w:val="0"/>
          <w:w w:val="100"/>
          <w:position w:val="0"/>
          <w:sz w:val="28"/>
          <w:szCs w:val="28"/>
        </w:rPr>
        <w:t>（</w:t>
      </w:r>
      <w:r>
        <w:rPr>
          <w:b w:val="0"/>
          <w:bCs w:val="0"/>
          <w:color w:val="000000"/>
          <w:spacing w:val="0"/>
          <w:w w:val="100"/>
          <w:position w:val="0"/>
          <w:sz w:val="22"/>
          <w:szCs w:val="22"/>
        </w:rPr>
        <w:t>以下简称“顺丰速运”</w:t>
      </w:r>
      <w:r>
        <w:rPr>
          <w:b w:val="0"/>
          <w:bCs w:val="0"/>
          <w:color w:val="000000"/>
          <w:spacing w:val="0"/>
          <w:w w:val="100"/>
          <w:position w:val="0"/>
          <w:sz w:val="28"/>
          <w:szCs w:val="28"/>
        </w:rPr>
        <w:t>）</w:t>
      </w:r>
      <w:r>
        <w:rPr>
          <w:b w:val="0"/>
          <w:bCs w:val="0"/>
          <w:color w:val="000000"/>
          <w:spacing w:val="0"/>
          <w:w w:val="100"/>
          <w:position w:val="0"/>
          <w:sz w:val="22"/>
          <w:szCs w:val="22"/>
        </w:rPr>
        <w:t>等的跨境应税服务 收入，根据原财政部、国家税务总局《关于将铁路运输和邮政业纳入营业税改征增值 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106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，国家税务总局《关于重新发布</w:t>
      </w:r>
      <w:r>
        <w:rPr>
          <w:b w:val="0"/>
          <w:bCs w:val="0"/>
          <w:color w:val="000000"/>
          <w:spacing w:val="0"/>
          <w:w w:val="100"/>
          <w:position w:val="0"/>
          <w:sz w:val="28"/>
          <w:szCs w:val="28"/>
        </w:rPr>
        <w:t>〈</w:t>
      </w:r>
      <w:r>
        <w:rPr>
          <w:b w:val="0"/>
          <w:bCs w:val="0"/>
          <w:color w:val="000000"/>
          <w:spacing w:val="0"/>
          <w:w w:val="100"/>
          <w:position w:val="0"/>
          <w:sz w:val="22"/>
          <w:szCs w:val="22"/>
        </w:rPr>
        <w:t>营业税改征 增值税跨境应税服务增值税免税管理办法</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试行</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的公告》</w:t>
      </w:r>
      <w:r>
        <w:rPr>
          <w:b w:val="0"/>
          <w:bCs w:val="0"/>
          <w:color w:val="000000"/>
          <w:spacing w:val="0"/>
          <w:w w:val="100"/>
          <w:position w:val="0"/>
          <w:sz w:val="28"/>
          <w:szCs w:val="28"/>
        </w:rPr>
        <w:t>（</w:t>
      </w:r>
      <w:r>
        <w:rPr>
          <w:b w:val="0"/>
          <w:bCs w:val="0"/>
          <w:color w:val="000000"/>
          <w:spacing w:val="0"/>
          <w:w w:val="100"/>
          <w:position w:val="0"/>
          <w:sz w:val="22"/>
          <w:szCs w:val="22"/>
        </w:rPr>
        <w:t>国家税务总局公告</w:t>
      </w:r>
      <w:r>
        <w:rPr>
          <w:rFonts w:ascii="Arial" w:eastAsia="Arial" w:hAnsi="Arial" w:cs="Arial"/>
          <w:b w:val="0"/>
          <w:bCs w:val="0"/>
          <w:color w:val="000000"/>
          <w:spacing w:val="0"/>
          <w:w w:val="100"/>
          <w:position w:val="0"/>
          <w:sz w:val="24"/>
          <w:szCs w:val="24"/>
        </w:rPr>
        <w:t xml:space="preserve">2014 </w:t>
      </w:r>
      <w:r>
        <w:rPr>
          <w:b w:val="0"/>
          <w:bCs w:val="0"/>
          <w:color w:val="000000"/>
          <w:spacing w:val="0"/>
          <w:w w:val="100"/>
          <w:position w:val="0"/>
          <w:sz w:val="22"/>
          <w:szCs w:val="22"/>
        </w:rPr>
        <w:t>年第</w:t>
      </w:r>
      <w:r>
        <w:rPr>
          <w:rFonts w:ascii="Arial" w:eastAsia="Arial" w:hAnsi="Arial" w:cs="Arial"/>
          <w:b w:val="0"/>
          <w:bCs w:val="0"/>
          <w:color w:val="000000"/>
          <w:spacing w:val="0"/>
          <w:w w:val="100"/>
          <w:position w:val="0"/>
          <w:sz w:val="24"/>
          <w:szCs w:val="24"/>
        </w:rPr>
        <w:t>49</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，财政部、国家税务总局《关于全面推开营业税改征增值税试点的通知》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和国家税务局总局《关于发布</w:t>
      </w:r>
      <w:r>
        <w:rPr>
          <w:b w:val="0"/>
          <w:bCs w:val="0"/>
          <w:color w:val="000000"/>
          <w:spacing w:val="0"/>
          <w:w w:val="100"/>
          <w:position w:val="0"/>
          <w:sz w:val="28"/>
          <w:szCs w:val="28"/>
        </w:rPr>
        <w:t>〈</w:t>
      </w:r>
      <w:r>
        <w:rPr>
          <w:b w:val="0"/>
          <w:bCs w:val="0"/>
          <w:color w:val="000000"/>
          <w:spacing w:val="0"/>
          <w:w w:val="100"/>
          <w:position w:val="0"/>
          <w:sz w:val="22"/>
          <w:szCs w:val="22"/>
        </w:rPr>
        <w:t>营业税改征增值税跨境应税行为 增值税免税管理办法</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试行</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的公告》</w:t>
      </w:r>
      <w:r>
        <w:rPr>
          <w:b w:val="0"/>
          <w:bCs w:val="0"/>
          <w:color w:val="000000"/>
          <w:spacing w:val="0"/>
          <w:w w:val="100"/>
          <w:position w:val="0"/>
          <w:sz w:val="28"/>
          <w:szCs w:val="28"/>
        </w:rPr>
        <w:t>（</w:t>
      </w:r>
      <w:r>
        <w:rPr>
          <w:b w:val="0"/>
          <w:bCs w:val="0"/>
          <w:color w:val="000000"/>
          <w:spacing w:val="0"/>
          <w:w w:val="100"/>
          <w:position w:val="0"/>
          <w:sz w:val="22"/>
          <w:szCs w:val="22"/>
        </w:rPr>
        <w:t>国家税务总局公告</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年第</w:t>
      </w:r>
      <w:r>
        <w:rPr>
          <w:rFonts w:ascii="Arial" w:eastAsia="Arial" w:hAnsi="Arial" w:cs="Arial"/>
          <w:b w:val="0"/>
          <w:bCs w:val="0"/>
          <w:color w:val="000000"/>
          <w:spacing w:val="0"/>
          <w:w w:val="100"/>
          <w:position w:val="0"/>
          <w:sz w:val="24"/>
          <w:szCs w:val="24"/>
        </w:rPr>
        <w:t>29</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，经向深 圳市宝安国家税务局深国税宝福减免备【</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0510</w:t>
      </w:r>
      <w:r>
        <w:rPr>
          <w:b w:val="0"/>
          <w:bCs w:val="0"/>
          <w:color w:val="000000"/>
          <w:spacing w:val="0"/>
          <w:w w:val="100"/>
          <w:position w:val="0"/>
          <w:sz w:val="22"/>
          <w:szCs w:val="22"/>
        </w:rPr>
        <w:t>号及深国税宝福减免备【</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4"/>
          <w:szCs w:val="24"/>
        </w:rPr>
        <w:t>0439</w:t>
      </w:r>
      <w:r>
        <w:rPr>
          <w:b w:val="0"/>
          <w:bCs w:val="0"/>
          <w:color w:val="000000"/>
          <w:spacing w:val="0"/>
          <w:w w:val="100"/>
          <w:position w:val="0"/>
          <w:sz w:val="22"/>
          <w:szCs w:val="22"/>
        </w:rPr>
        <w:t>号备案，自</w:t>
      </w:r>
      <w:r>
        <w:rPr>
          <w:rFonts w:ascii="Arial" w:eastAsia="Arial" w:hAnsi="Arial" w:cs="Arial"/>
          <w:b w:val="0"/>
          <w:bCs w:val="0"/>
          <w:color w:val="000000"/>
          <w:spacing w:val="0"/>
          <w:w w:val="100"/>
          <w:position w:val="0"/>
          <w:sz w:val="24"/>
          <w:szCs w:val="24"/>
        </w:rPr>
        <w:t>2014</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日起免征增值税。</w:t>
      </w:r>
    </w:p>
    <w:p>
      <w:pPr>
        <w:pStyle w:val="Style33"/>
        <w:keepNext w:val="0"/>
        <w:keepLines w:val="0"/>
        <w:widowControl w:val="0"/>
        <w:shd w:val="clear" w:color="auto" w:fill="auto"/>
        <w:tabs>
          <w:tab w:pos="418" w:val="left"/>
        </w:tabs>
        <w:bidi w:val="0"/>
        <w:spacing w:before="0" w:after="300" w:line="321" w:lineRule="exact"/>
        <w:ind w:left="0" w:right="0" w:firstLine="0"/>
        <w:jc w:val="both"/>
        <w:rPr>
          <w:sz w:val="22"/>
          <w:szCs w:val="22"/>
        </w:rPr>
        <w:sectPr>
          <w:footnotePr>
            <w:pos w:val="pageBottom"/>
            <w:numFmt w:val="decimal"/>
            <w:numRestart w:val="continuous"/>
          </w:footnotePr>
          <w:pgSz w:w="11900" w:h="16840"/>
          <w:pgMar w:top="1767" w:right="990" w:bottom="1767" w:left="1962" w:header="0" w:footer="3" w:gutter="0"/>
          <w:cols w:space="720"/>
          <w:noEndnote/>
          <w:rtlGutter w:val="0"/>
          <w:docGrid w:linePitch="360"/>
        </w:sectPr>
      </w:pPr>
      <w:bookmarkStart w:id="737" w:name="bookmark737"/>
      <w:r>
        <w:rPr>
          <w:rFonts w:ascii="Arial" w:eastAsia="Arial" w:hAnsi="Arial" w:cs="Arial"/>
          <w:b w:val="0"/>
          <w:bCs w:val="0"/>
          <w:color w:val="000000"/>
          <w:spacing w:val="0"/>
          <w:w w:val="100"/>
          <w:position w:val="0"/>
          <w:sz w:val="24"/>
          <w:szCs w:val="24"/>
        </w:rPr>
        <w:t>（</w:t>
      </w:r>
      <w:bookmarkEnd w:id="737"/>
      <w:r>
        <w:rPr>
          <w:rFonts w:ascii="Arial" w:eastAsia="Arial" w:hAnsi="Arial" w:cs="Arial"/>
          <w:b w:val="0"/>
          <w:bCs w:val="0"/>
          <w:color w:val="000000"/>
          <w:spacing w:val="0"/>
          <w:w w:val="100"/>
          <w:position w:val="0"/>
          <w:sz w:val="24"/>
          <w:szCs w:val="24"/>
        </w:rPr>
        <w:t>c）</w:t>
        <w:tab/>
      </w:r>
      <w:r>
        <w:rPr>
          <w:b w:val="0"/>
          <w:bCs w:val="0"/>
          <w:color w:val="000000"/>
          <w:spacing w:val="0"/>
          <w:w w:val="100"/>
          <w:position w:val="0"/>
          <w:sz w:val="22"/>
          <w:szCs w:val="22"/>
        </w:rPr>
        <w:t>根据原财政部、国家税务总局《关于在上海市开展交通运输业和部分现代服务业 营业税改征增值税试点的通知》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2011</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111</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，原财政部、国家税务总局《关 于在北京等</w:t>
      </w:r>
      <w:r>
        <w:rPr>
          <w:rFonts w:ascii="Arial" w:eastAsia="Arial" w:hAnsi="Arial" w:cs="Arial"/>
          <w:b w:val="0"/>
          <w:bCs w:val="0"/>
          <w:color w:val="000000"/>
          <w:spacing w:val="0"/>
          <w:w w:val="100"/>
          <w:position w:val="0"/>
          <w:sz w:val="24"/>
          <w:szCs w:val="24"/>
        </w:rPr>
        <w:t>8</w:t>
      </w:r>
      <w:r>
        <w:rPr>
          <w:b w:val="0"/>
          <w:bCs w:val="0"/>
          <w:color w:val="000000"/>
          <w:spacing w:val="0"/>
          <w:w w:val="100"/>
          <w:position w:val="0"/>
          <w:sz w:val="22"/>
          <w:szCs w:val="22"/>
        </w:rPr>
        <w:t xml:space="preserve">省市开展交通运输业和部分现代服务业营业税改征增值税试点的通知》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2012</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71</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，原财政部、国家税务总局《关于在全国开展交通运输业和部 分现代服务业营业税改征增值税试点税收政策的通知》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37</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和原财 政部、国家税务总局《关于将铁路运输和邮政业纳入营业税改征增值税试点的通知》 </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2013</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106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规定和财政部、国家税务总局《关于全面推开营业税改征增值 税试点的通知》</w:t>
      </w:r>
      <w:r>
        <w:rPr>
          <w:b w:val="0"/>
          <w:bCs w:val="0"/>
          <w:color w:val="000000"/>
          <w:spacing w:val="0"/>
          <w:w w:val="100"/>
          <w:position w:val="0"/>
          <w:sz w:val="28"/>
          <w:szCs w:val="28"/>
        </w:rPr>
        <w:t>（</w:t>
      </w:r>
      <w:r>
        <w:rPr>
          <w:b w:val="0"/>
          <w:bCs w:val="0"/>
          <w:color w:val="000000"/>
          <w:spacing w:val="0"/>
          <w:w w:val="100"/>
          <w:position w:val="0"/>
          <w:sz w:val="22"/>
          <w:szCs w:val="22"/>
        </w:rPr>
        <w:t>财税【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w:t>
      </w:r>
      <w:r>
        <w:rPr>
          <w:rFonts w:ascii="Arial" w:eastAsia="Arial" w:hAnsi="Arial" w:cs="Arial"/>
          <w:b w:val="0"/>
          <w:bCs w:val="0"/>
          <w:color w:val="000000"/>
          <w:spacing w:val="0"/>
          <w:w w:val="100"/>
          <w:position w:val="0"/>
          <w:sz w:val="24"/>
          <w:szCs w:val="24"/>
        </w:rPr>
        <w:t>36</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规定，本集团下属子公司的物流辅助服务收入、 交通运输收入等其它适用营改增范围之收入自</w:t>
      </w:r>
      <w:r>
        <w:rPr>
          <w:rFonts w:ascii="Arial" w:eastAsia="Arial" w:hAnsi="Arial" w:cs="Arial"/>
          <w:b w:val="0"/>
          <w:bCs w:val="0"/>
          <w:color w:val="000000"/>
          <w:spacing w:val="0"/>
          <w:w w:val="100"/>
          <w:position w:val="0"/>
          <w:sz w:val="24"/>
          <w:szCs w:val="24"/>
        </w:rPr>
        <w:t>2012</w:t>
      </w:r>
      <w:r>
        <w:rPr>
          <w:b w:val="0"/>
          <w:bCs w:val="0"/>
          <w:color w:val="000000"/>
          <w:spacing w:val="0"/>
          <w:w w:val="100"/>
          <w:position w:val="0"/>
          <w:sz w:val="22"/>
          <w:szCs w:val="22"/>
        </w:rPr>
        <w:t>年度起陆续改征增值税。</w:t>
      </w:r>
    </w:p>
    <w:p>
      <w:pPr>
        <w:pStyle w:val="Style33"/>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rPr>
        <w:t>四 合并财务报表项目附注</w:t>
      </w:r>
    </w:p>
    <w:p>
      <w:pPr>
        <w:pStyle w:val="Style33"/>
        <w:keepNext w:val="0"/>
        <w:keepLines w:val="0"/>
        <w:widowControl w:val="0"/>
        <w:shd w:val="clear" w:color="auto" w:fill="auto"/>
        <w:bidi w:val="0"/>
        <w:spacing w:before="0" w:after="34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货币资金</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 xml:space="preserve">日 </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bl>
      <w:tblPr>
        <w:tblOverlap w:val="never"/>
        <w:jc w:val="center"/>
        <w:tblLayout w:type="fixed"/>
      </w:tblPr>
      <w:tblGrid>
        <w:gridCol w:w="4070"/>
        <w:gridCol w:w="2448"/>
        <w:gridCol w:w="2323"/>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库存现金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1,054,389.11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288,358.38</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银行存款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5,918,093,357.59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3,242,524,559.84</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财务公司存放中央银行款项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225,081,580.46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Arial" w:eastAsia="Arial" w:hAnsi="Arial" w:cs="Arial"/>
                <w:color w:val="000000"/>
                <w:spacing w:val="0"/>
                <w:w w:val="100"/>
                <w:position w:val="0"/>
                <w:sz w:val="24"/>
                <w:szCs w:val="24"/>
              </w:rPr>
              <w:t>-</w:t>
            </w:r>
          </w:p>
        </w:tc>
      </w:tr>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其中：存放中央银行款项</w:t>
            </w:r>
            <w:r>
              <w:rPr>
                <w:rFonts w:ascii="Arial" w:eastAsia="Arial" w:hAnsi="Arial" w:cs="Arial"/>
                <w:color w:val="000000"/>
                <w:spacing w:val="0"/>
                <w:w w:val="100"/>
                <w:position w:val="0"/>
                <w:sz w:val="24"/>
                <w:szCs w:val="24"/>
              </w:rPr>
              <w:t>-</w:t>
            </w:r>
            <w:r>
              <w:rPr>
                <w:color w:val="000000"/>
                <w:spacing w:val="0"/>
                <w:w w:val="100"/>
                <w:position w:val="0"/>
                <w:sz w:val="22"/>
                <w:szCs w:val="22"/>
              </w:rPr>
              <w:t>法定准备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38"/>
                <w:szCs w:val="38"/>
              </w:rPr>
            </w:pPr>
            <w:r>
              <w:rPr>
                <w:color w:val="000000"/>
                <w:spacing w:val="0"/>
                <w:w w:val="100"/>
                <w:position w:val="0"/>
                <w:sz w:val="22"/>
                <w:szCs w:val="22"/>
              </w:rPr>
              <w:t>金</w:t>
            </w:r>
            <w:r>
              <w:rPr>
                <w:rFonts w:ascii="Arial" w:eastAsia="Arial" w:hAnsi="Arial" w:cs="Arial"/>
                <w:color w:val="000000"/>
                <w:spacing w:val="0"/>
                <w:w w:val="100"/>
                <w:position w:val="0"/>
                <w:sz w:val="38"/>
                <w:szCs w:val="38"/>
                <w:vertAlign w:val="superscript"/>
              </w:rPr>
              <w:t>(a)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223,011,006.14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存放中央银行款项</w:t>
            </w:r>
            <w:r>
              <w:rPr>
                <w:rFonts w:ascii="Arial" w:eastAsia="Arial" w:hAnsi="Arial" w:cs="Arial"/>
                <w:color w:val="000000"/>
                <w:spacing w:val="0"/>
                <w:w w:val="100"/>
                <w:position w:val="0"/>
                <w:sz w:val="24"/>
                <w:szCs w:val="24"/>
              </w:rPr>
              <w:t>-</w:t>
            </w:r>
            <w:r>
              <w:rPr>
                <w:color w:val="000000"/>
                <w:spacing w:val="0"/>
                <w:w w:val="100"/>
                <w:position w:val="0"/>
                <w:sz w:val="22"/>
                <w:szCs w:val="22"/>
              </w:rPr>
              <w:t>超额准备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2,070,574.32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Arial" w:eastAsia="Arial" w:hAnsi="Arial" w:cs="Arial"/>
                <w:color w:val="000000"/>
                <w:spacing w:val="0"/>
                <w:w w:val="100"/>
                <w:position w:val="0"/>
                <w:sz w:val="24"/>
                <w:szCs w:val="24"/>
              </w:rPr>
              <w:t>-</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其他货币资金</w:t>
            </w: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771,279,644.79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377,560,428.71</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6,915,508,971.95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3,620,373,346.93</w:t>
            </w:r>
          </w:p>
        </w:tc>
      </w:tr>
      <w:tr>
        <w:trPr>
          <w:trHeight w:val="3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其中：存放在境外的款项总额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1,224,937,634.05</w:t>
            </w:r>
          </w:p>
        </w:tc>
        <w:tc>
          <w:tcPr>
            <w:tcBorders>
              <w:top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1,008,922,171.37</w:t>
            </w:r>
          </w:p>
        </w:tc>
      </w:tr>
      <w:tr>
        <w:trPr>
          <w:trHeight w:val="658" w:hRule="exact"/>
        </w:trPr>
        <w:tc>
          <w:tcPr>
            <w:gridSpan w:val="3"/>
            <w:tcBorders>
              <w:top w:val="single" w:sz="4"/>
            </w:tcBorders>
            <w:shd w:val="clear" w:color="auto" w:fill="FFFFFF"/>
            <w:vAlign w:val="bottom"/>
          </w:tcPr>
          <w:p>
            <w:pPr>
              <w:pStyle w:val="Style23"/>
              <w:keepNext w:val="0"/>
              <w:keepLines w:val="0"/>
              <w:widowControl w:val="0"/>
              <w:shd w:val="clear" w:color="auto" w:fill="auto"/>
              <w:tabs>
                <w:tab w:pos="648" w:val="lef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(a)</w:t>
              <w:tab/>
            </w:r>
            <w:r>
              <w:rPr>
                <w:color w:val="000000"/>
                <w:spacing w:val="0"/>
                <w:w w:val="100"/>
                <w:position w:val="0"/>
                <w:sz w:val="22"/>
                <w:szCs w:val="22"/>
              </w:rPr>
              <w:t>于</w:t>
            </w: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9</w:t>
            </w:r>
            <w:r>
              <w:rPr>
                <w:color w:val="000000"/>
                <w:spacing w:val="0"/>
                <w:w w:val="100"/>
                <w:position w:val="0"/>
                <w:sz w:val="22"/>
                <w:szCs w:val="22"/>
              </w:rPr>
              <w:t>月</w:t>
            </w:r>
            <w:r>
              <w:rPr>
                <w:rFonts w:ascii="Arial" w:eastAsia="Arial" w:hAnsi="Arial" w:cs="Arial"/>
                <w:color w:val="000000"/>
                <w:spacing w:val="0"/>
                <w:w w:val="100"/>
                <w:position w:val="0"/>
                <w:sz w:val="24"/>
                <w:szCs w:val="24"/>
              </w:rPr>
              <w:t>18</w:t>
            </w:r>
            <w:r>
              <w:rPr>
                <w:color w:val="000000"/>
                <w:spacing w:val="0"/>
                <w:w w:val="100"/>
                <w:position w:val="0"/>
                <w:sz w:val="22"/>
                <w:szCs w:val="22"/>
              </w:rPr>
              <w:t>日，泰森控股设立顺丰控股集团财务有限公司</w:t>
            </w:r>
            <w:r>
              <w:rPr>
                <w:rFonts w:ascii="Arial" w:eastAsia="Arial" w:hAnsi="Arial" w:cs="Arial"/>
                <w:color w:val="000000"/>
                <w:spacing w:val="0"/>
                <w:w w:val="100"/>
                <w:position w:val="0"/>
                <w:sz w:val="24"/>
                <w:szCs w:val="24"/>
              </w:rPr>
              <w:t>(</w:t>
            </w:r>
            <w:r>
              <w:rPr>
                <w:color w:val="000000"/>
                <w:spacing w:val="0"/>
                <w:w w:val="100"/>
                <w:position w:val="0"/>
                <w:sz w:val="22"/>
                <w:szCs w:val="22"/>
              </w:rPr>
              <w:t>以下简称“集</w:t>
            </w:r>
          </w:p>
        </w:tc>
      </w:tr>
    </w:tbl>
    <w:p>
      <w:pPr>
        <w:pStyle w:val="Style29"/>
        <w:keepNext w:val="0"/>
        <w:keepLines w:val="0"/>
        <w:widowControl w:val="0"/>
        <w:shd w:val="clear" w:color="auto" w:fill="auto"/>
        <w:bidi w:val="0"/>
        <w:spacing w:before="0" w:after="0" w:line="317" w:lineRule="exact"/>
        <w:ind w:left="72" w:right="0" w:firstLine="0"/>
        <w:jc w:val="left"/>
        <w:rPr>
          <w:sz w:val="22"/>
          <w:szCs w:val="22"/>
        </w:rPr>
      </w:pPr>
      <w:r>
        <w:rPr>
          <w:color w:val="000000"/>
          <w:spacing w:val="0"/>
          <w:w w:val="100"/>
          <w:position w:val="0"/>
          <w:sz w:val="22"/>
          <w:szCs w:val="22"/>
        </w:rPr>
        <w:t>团财务公司”</w:t>
      </w:r>
      <w:r>
        <w:rPr>
          <w:color w:val="000000"/>
          <w:spacing w:val="0"/>
          <w:w w:val="100"/>
          <w:position w:val="0"/>
          <w:sz w:val="28"/>
          <w:szCs w:val="28"/>
        </w:rPr>
        <w:t>)</w:t>
      </w:r>
      <w:r>
        <w:rPr>
          <w:color w:val="000000"/>
          <w:spacing w:val="0"/>
          <w:w w:val="100"/>
          <w:position w:val="0"/>
          <w:sz w:val="22"/>
          <w:szCs w:val="22"/>
        </w:rPr>
        <w:t>。集团财务公司存放中央银行法定准备金为金融企业按规定缴存中国 人民银行的法定存款准备金，按人民币吸收存款之</w:t>
      </w:r>
      <w:r>
        <w:rPr>
          <w:rFonts w:ascii="Arial" w:eastAsia="Arial" w:hAnsi="Arial" w:cs="Arial"/>
          <w:color w:val="000000"/>
          <w:spacing w:val="0"/>
          <w:w w:val="100"/>
          <w:position w:val="0"/>
          <w:sz w:val="24"/>
          <w:szCs w:val="24"/>
        </w:rPr>
        <w:t>7%</w:t>
      </w:r>
      <w:r>
        <w:rPr>
          <w:color w:val="000000"/>
          <w:spacing w:val="0"/>
          <w:w w:val="100"/>
          <w:position w:val="0"/>
          <w:sz w:val="22"/>
          <w:szCs w:val="22"/>
        </w:rPr>
        <w:t>缴存的款项，该等款项不能用 于日常业务运作。</w:t>
      </w:r>
    </w:p>
    <w:p>
      <w:pPr>
        <w:widowControl w:val="0"/>
        <w:spacing w:after="279" w:line="1" w:lineRule="exact"/>
      </w:pPr>
    </w:p>
    <w:p>
      <w:pPr>
        <w:pStyle w:val="Style33"/>
        <w:keepNext w:val="0"/>
        <w:keepLines w:val="0"/>
        <w:widowControl w:val="0"/>
        <w:numPr>
          <w:ilvl w:val="0"/>
          <w:numId w:val="45"/>
        </w:numPr>
        <w:shd w:val="clear" w:color="auto" w:fill="auto"/>
        <w:tabs>
          <w:tab w:pos="658" w:val="left"/>
        </w:tabs>
        <w:bidi w:val="0"/>
        <w:spacing w:before="0" w:after="380" w:line="326" w:lineRule="exact"/>
        <w:ind w:left="0" w:right="0" w:firstLine="0"/>
        <w:jc w:val="left"/>
        <w:rPr>
          <w:sz w:val="22"/>
          <w:szCs w:val="22"/>
        </w:rPr>
      </w:pPr>
      <w:bookmarkStart w:id="738" w:name="bookmark738"/>
      <w:bookmarkEnd w:id="738"/>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日，其他货币资金中</w:t>
      </w:r>
      <w:r>
        <w:rPr>
          <w:rFonts w:ascii="Arial" w:eastAsia="Arial" w:hAnsi="Arial" w:cs="Arial"/>
          <w:b w:val="0"/>
          <w:bCs w:val="0"/>
          <w:color w:val="000000"/>
          <w:spacing w:val="0"/>
          <w:w w:val="100"/>
          <w:position w:val="0"/>
          <w:sz w:val="24"/>
          <w:szCs w:val="24"/>
        </w:rPr>
        <w:t>322,722,164.63</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 xml:space="preserve">月 </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w:t>
      </w:r>
      <w:r>
        <w:rPr>
          <w:rFonts w:ascii="Arial" w:eastAsia="Arial" w:hAnsi="Arial" w:cs="Arial"/>
          <w:b w:val="0"/>
          <w:bCs w:val="0"/>
          <w:color w:val="000000"/>
          <w:spacing w:val="0"/>
          <w:w w:val="100"/>
          <w:position w:val="0"/>
          <w:sz w:val="24"/>
          <w:szCs w:val="24"/>
        </w:rPr>
        <w:t>175,572,109.36</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为客户备付金、保函保证金存款及贷款质押存单等受限 资金，其余部分主要包括在途资金、支付宝存款等。</w:t>
      </w:r>
    </w:p>
    <w:p>
      <w:pPr>
        <w:pStyle w:val="Style29"/>
        <w:keepNext w:val="0"/>
        <w:keepLines w:val="0"/>
        <w:widowControl w:val="0"/>
        <w:shd w:val="clear" w:color="auto" w:fill="auto"/>
        <w:bidi w:val="0"/>
        <w:spacing w:before="0" w:after="0" w:line="326" w:lineRule="exact"/>
        <w:ind w:left="58" w:right="0" w:firstLine="0"/>
        <w:jc w:val="left"/>
        <w:rPr>
          <w:sz w:val="22"/>
          <w:szCs w:val="22"/>
        </w:rPr>
      </w:pPr>
      <w:r>
        <w:rPr>
          <w:rFonts w:ascii="Arial" w:eastAsia="Arial" w:hAnsi="Arial" w:cs="Arial"/>
          <w:color w:val="000000"/>
          <w:spacing w:val="0"/>
          <w:w w:val="100"/>
          <w:position w:val="0"/>
          <w:sz w:val="24"/>
          <w:szCs w:val="24"/>
        </w:rPr>
        <w:t>(2)</w:t>
      </w:r>
      <w:r>
        <w:rPr>
          <w:b/>
          <w:bCs/>
          <w:color w:val="000000"/>
          <w:spacing w:val="0"/>
          <w:w w:val="100"/>
          <w:position w:val="0"/>
          <w:sz w:val="22"/>
          <w:szCs w:val="22"/>
        </w:rPr>
        <w:t>以公允价值计量且其变动计入当期损益的金融资产</w:t>
      </w:r>
    </w:p>
    <w:tbl>
      <w:tblPr>
        <w:tblOverlap w:val="never"/>
        <w:jc w:val="center"/>
        <w:tblLayout w:type="fixed"/>
      </w:tblPr>
      <w:tblGrid>
        <w:gridCol w:w="3029"/>
        <w:gridCol w:w="5890"/>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3571" w:val="left"/>
              </w:tabs>
              <w:bidi w:val="0"/>
              <w:spacing w:before="0" w:after="0" w:line="240" w:lineRule="auto"/>
              <w:ind w:left="108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tab/>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1762" w:hRule="exact"/>
        </w:trPr>
        <w:tc>
          <w:tcPr>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22"/>
                <w:szCs w:val="22"/>
              </w:rPr>
            </w:pPr>
            <w:r>
              <w:rPr>
                <w:color w:val="000000"/>
                <w:spacing w:val="0"/>
                <w:w w:val="100"/>
                <w:position w:val="0"/>
                <w:sz w:val="22"/>
                <w:szCs w:val="22"/>
              </w:rPr>
              <w:t>交易性权益工具投资</w:t>
            </w:r>
            <w:r>
              <w:rPr>
                <w:rFonts w:ascii="Arial" w:eastAsia="Arial" w:hAnsi="Arial" w:cs="Arial"/>
                <w:color w:val="000000"/>
                <w:spacing w:val="0"/>
                <w:w w:val="100"/>
                <w:position w:val="0"/>
                <w:sz w:val="24"/>
                <w:szCs w:val="24"/>
              </w:rPr>
              <w:t xml:space="preserve">(a) </w:t>
            </w:r>
            <w:r>
              <w:rPr>
                <w:color w:val="000000"/>
                <w:spacing w:val="0"/>
                <w:w w:val="100"/>
                <w:position w:val="0"/>
                <w:sz w:val="22"/>
                <w:szCs w:val="22"/>
              </w:rPr>
              <w:t>远期利率互换合约 开放式货币基金</w:t>
            </w:r>
          </w:p>
          <w:p>
            <w:pPr>
              <w:pStyle w:val="Style23"/>
              <w:keepNext w:val="0"/>
              <w:keepLines w:val="0"/>
              <w:widowControl w:val="0"/>
              <w:shd w:val="clear" w:color="auto" w:fill="auto"/>
              <w:bidi w:val="0"/>
              <w:spacing w:before="0" w:after="0" w:line="319" w:lineRule="exact"/>
              <w:ind w:left="0" w:right="0" w:firstLine="0"/>
              <w:jc w:val="left"/>
              <w:rPr>
                <w:sz w:val="22"/>
                <w:szCs w:val="22"/>
              </w:rPr>
            </w:pPr>
            <w:r>
              <w:rPr>
                <w:color w:val="000000"/>
                <w:spacing w:val="0"/>
                <w:w w:val="100"/>
                <w:position w:val="0"/>
                <w:sz w:val="22"/>
                <w:szCs w:val="22"/>
              </w:rPr>
              <w:t>远期外汇合约</w:t>
            </w:r>
          </w:p>
        </w:tc>
        <w:tc>
          <w:tcPr>
            <w:tcBorders>
              <w:bottom w:val="single" w:sz="4"/>
            </w:tcBorders>
            <w:shd w:val="clear" w:color="auto" w:fill="FFFFFF"/>
            <w:vAlign w:val="bottom"/>
          </w:tcPr>
          <w:p>
            <w:pPr>
              <w:pStyle w:val="Style23"/>
              <w:keepNext w:val="0"/>
              <w:keepLines w:val="0"/>
              <w:widowControl w:val="0"/>
              <w:shd w:val="clear" w:color="auto" w:fill="auto"/>
              <w:tabs>
                <w:tab w:pos="4051" w:val="left"/>
              </w:tabs>
              <w:bidi w:val="0"/>
              <w:spacing w:before="0" w:after="0" w:line="240" w:lineRule="auto"/>
              <w:ind w:left="1680" w:right="0" w:firstLine="0"/>
              <w:jc w:val="left"/>
              <w:rPr>
                <w:sz w:val="24"/>
                <w:szCs w:val="24"/>
              </w:rPr>
            </w:pPr>
            <w:r>
              <w:rPr>
                <w:rFonts w:ascii="Arial" w:eastAsia="Arial" w:hAnsi="Arial" w:cs="Arial"/>
                <w:color w:val="000000"/>
                <w:spacing w:val="0"/>
                <w:w w:val="100"/>
                <w:position w:val="0"/>
                <w:sz w:val="24"/>
                <w:szCs w:val="24"/>
              </w:rPr>
              <w:t>32,171,569.50</w:t>
              <w:tab/>
              <w:t>190,969,191.62</w:t>
            </w:r>
          </w:p>
          <w:p>
            <w:pPr>
              <w:pStyle w:val="Style23"/>
              <w:keepNext w:val="0"/>
              <w:keepLines w:val="0"/>
              <w:widowControl w:val="0"/>
              <w:shd w:val="clear" w:color="auto" w:fill="auto"/>
              <w:tabs>
                <w:tab w:pos="5286" w:val="left"/>
              </w:tabs>
              <w:bidi w:val="0"/>
              <w:spacing w:before="0" w:after="0" w:line="240" w:lineRule="auto"/>
              <w:ind w:left="1820" w:right="0" w:firstLine="0"/>
              <w:jc w:val="left"/>
              <w:rPr>
                <w:sz w:val="24"/>
                <w:szCs w:val="24"/>
              </w:rPr>
            </w:pPr>
            <w:r>
              <w:rPr>
                <w:rFonts w:ascii="Arial" w:eastAsia="Arial" w:hAnsi="Arial" w:cs="Arial"/>
                <w:color w:val="000000"/>
                <w:spacing w:val="0"/>
                <w:w w:val="100"/>
                <w:position w:val="0"/>
                <w:sz w:val="24"/>
                <w:szCs w:val="24"/>
              </w:rPr>
              <w:t>1,631,847.54</w:t>
              <w:tab/>
              <w:t>-</w:t>
            </w:r>
          </w:p>
          <w:p>
            <w:pPr>
              <w:pStyle w:val="Style23"/>
              <w:keepNext w:val="0"/>
              <w:keepLines w:val="0"/>
              <w:widowControl w:val="0"/>
              <w:shd w:val="clear" w:color="auto" w:fill="auto"/>
              <w:tabs>
                <w:tab w:pos="1190" w:val="left"/>
              </w:tabs>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170,214,660.58</w:t>
            </w:r>
          </w:p>
          <w:p>
            <w:pPr>
              <w:pStyle w:val="Style23"/>
              <w:keepNext w:val="0"/>
              <w:keepLines w:val="0"/>
              <w:widowControl w:val="0"/>
              <w:shd w:val="clear" w:color="auto" w:fill="auto"/>
              <w:tabs>
                <w:tab w:leader="underscore" w:pos="2808" w:val="left"/>
                <w:tab w:pos="4310" w:val="left"/>
              </w:tabs>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tab/>
            </w:r>
            <w:r>
              <w:rPr>
                <w:rFonts w:ascii="Arial" w:eastAsia="Arial" w:hAnsi="Arial" w:cs="Arial"/>
                <w:color w:val="000000"/>
                <w:spacing w:val="0"/>
                <w:w w:val="100"/>
                <w:position w:val="0"/>
                <w:sz w:val="24"/>
                <w:szCs w:val="24"/>
                <w:u w:val="single"/>
              </w:rPr>
              <w:t>7,982,570.97</w:t>
            </w:r>
          </w:p>
          <w:p>
            <w:pPr>
              <w:pStyle w:val="Style23"/>
              <w:keepNext w:val="0"/>
              <w:keepLines w:val="0"/>
              <w:widowControl w:val="0"/>
              <w:shd w:val="clear" w:color="auto" w:fill="auto"/>
              <w:tabs>
                <w:tab w:pos="3994" w:val="left"/>
              </w:tabs>
              <w:bidi w:val="0"/>
              <w:spacing w:before="0" w:after="0" w:line="240" w:lineRule="auto"/>
              <w:ind w:left="1680" w:right="0" w:firstLine="0"/>
              <w:jc w:val="left"/>
              <w:rPr>
                <w:sz w:val="24"/>
                <w:szCs w:val="24"/>
              </w:rPr>
            </w:pPr>
            <w:r>
              <w:rPr>
                <w:rFonts w:ascii="Arial" w:eastAsia="Arial" w:hAnsi="Arial" w:cs="Arial"/>
                <w:color w:val="000000"/>
                <w:spacing w:val="0"/>
                <w:w w:val="100"/>
                <w:position w:val="0"/>
                <w:sz w:val="24"/>
                <w:szCs w:val="24"/>
              </w:rPr>
              <w:t>33,803,417.04</w:t>
              <w:tab/>
              <w:t>369,166,423.17</w:t>
            </w:r>
          </w:p>
        </w:tc>
      </w:tr>
    </w:tbl>
    <w:p>
      <w:pPr>
        <w:pStyle w:val="Style29"/>
        <w:keepNext w:val="0"/>
        <w:keepLines w:val="0"/>
        <w:widowControl w:val="0"/>
        <w:shd w:val="clear" w:color="auto" w:fill="auto"/>
        <w:bidi w:val="0"/>
        <w:spacing w:before="0" w:after="0" w:line="341" w:lineRule="exact"/>
        <w:ind w:left="0" w:right="0" w:firstLine="0"/>
        <w:jc w:val="left"/>
        <w:rPr>
          <w:sz w:val="22"/>
          <w:szCs w:val="22"/>
        </w:rPr>
      </w:pPr>
      <w:r>
        <w:rPr>
          <w:rFonts w:ascii="Arial" w:eastAsia="Arial" w:hAnsi="Arial" w:cs="Arial"/>
          <w:color w:val="000000"/>
          <w:spacing w:val="0"/>
          <w:w w:val="100"/>
          <w:position w:val="0"/>
          <w:sz w:val="24"/>
          <w:szCs w:val="24"/>
        </w:rPr>
        <w:t xml:space="preserve">(a) </w:t>
      </w:r>
      <w:r>
        <w:rPr>
          <w:color w:val="000000"/>
          <w:spacing w:val="0"/>
          <w:w w:val="100"/>
          <w:position w:val="0"/>
          <w:sz w:val="22"/>
          <w:szCs w:val="22"/>
        </w:rPr>
        <w:t>交易性权益工具投资的公允价值根据深圳证券交易所、香港证券交易所年度 最后一个交易日收盘价确定。</w:t>
      </w:r>
      <w:r>
        <w:br w:type="page"/>
      </w:r>
    </w:p>
    <w:p>
      <w:pPr>
        <w:pStyle w:val="Style27"/>
        <w:keepNext/>
        <w:keepLines/>
        <w:widowControl w:val="0"/>
        <w:shd w:val="clear" w:color="auto" w:fill="auto"/>
        <w:bidi w:val="0"/>
        <w:spacing w:before="0" w:after="340" w:line="240" w:lineRule="auto"/>
        <w:ind w:left="0" w:right="0" w:firstLine="0"/>
        <w:jc w:val="left"/>
      </w:pPr>
      <w:bookmarkStart w:id="739" w:name="bookmark739"/>
      <w:bookmarkStart w:id="740" w:name="bookmark740"/>
      <w:bookmarkStart w:id="741" w:name="bookmark741"/>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39"/>
      <w:bookmarkEnd w:id="740"/>
      <w:bookmarkEnd w:id="741"/>
    </w:p>
    <w:p>
      <w:pPr>
        <w:pStyle w:val="Style27"/>
        <w:keepNext/>
        <w:keepLines/>
        <w:widowControl w:val="0"/>
        <w:shd w:val="clear" w:color="auto" w:fill="auto"/>
        <w:bidi w:val="0"/>
        <w:spacing w:before="0" w:after="340" w:line="240" w:lineRule="auto"/>
        <w:ind w:left="0" w:right="0" w:firstLine="0"/>
        <w:jc w:val="left"/>
        <w:rPr>
          <w:sz w:val="22"/>
          <w:szCs w:val="22"/>
        </w:rPr>
      </w:pPr>
      <w:bookmarkStart w:id="739" w:name="bookmark739"/>
      <w:bookmarkStart w:id="740" w:name="bookmark740"/>
      <w:bookmarkStart w:id="742" w:name="bookmark742"/>
      <w:r>
        <w:rPr>
          <w:rFonts w:ascii="Arial" w:eastAsia="Arial" w:hAnsi="Arial" w:cs="Arial"/>
          <w:b w:val="0"/>
          <w:bCs w:val="0"/>
          <w:color w:val="000000"/>
          <w:spacing w:val="0"/>
          <w:w w:val="100"/>
          <w:position w:val="0"/>
          <w:sz w:val="24"/>
          <w:szCs w:val="24"/>
        </w:rPr>
        <w:t xml:space="preserve">(3) </w:t>
      </w:r>
      <w:r>
        <w:rPr>
          <w:color w:val="000000"/>
          <w:spacing w:val="0"/>
          <w:w w:val="100"/>
          <w:position w:val="0"/>
          <w:sz w:val="22"/>
          <w:szCs w:val="22"/>
        </w:rPr>
        <w:t>应收账款</w:t>
      </w:r>
      <w:bookmarkEnd w:id="739"/>
      <w:bookmarkEnd w:id="740"/>
      <w:bookmarkEnd w:id="742"/>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 xml:space="preserve">日 </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bl>
      <w:tblPr>
        <w:tblOverlap w:val="never"/>
        <w:jc w:val="center"/>
        <w:tblLayout w:type="fixed"/>
      </w:tblPr>
      <w:tblGrid>
        <w:gridCol w:w="2885"/>
        <w:gridCol w:w="3662"/>
        <w:gridCol w:w="2318"/>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Arial" w:eastAsia="Arial" w:hAnsi="Arial" w:cs="Arial"/>
                <w:color w:val="000000"/>
                <w:spacing w:val="0"/>
                <w:w w:val="100"/>
                <w:position w:val="0"/>
                <w:sz w:val="24"/>
                <w:szCs w:val="24"/>
              </w:rPr>
              <w:t>4,614,390,485.53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Arial" w:eastAsia="Arial" w:hAnsi="Arial" w:cs="Arial"/>
                <w:color w:val="000000"/>
                <w:spacing w:val="0"/>
                <w:w w:val="100"/>
                <w:position w:val="0"/>
                <w:sz w:val="24"/>
                <w:szCs w:val="24"/>
              </w:rPr>
              <w:t>4,033,868,885.67</w:t>
            </w:r>
          </w:p>
        </w:tc>
      </w:tr>
      <w:tr>
        <w:trPr>
          <w:trHeight w:val="33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减：坏账准备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(54,478,998.81)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(41,309,842.18)</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Arial" w:eastAsia="Arial" w:hAnsi="Arial" w:cs="Arial"/>
                <w:color w:val="000000"/>
                <w:spacing w:val="0"/>
                <w:w w:val="100"/>
                <w:position w:val="0"/>
                <w:sz w:val="24"/>
                <w:szCs w:val="24"/>
              </w:rPr>
              <w:t>4,559,911,486.72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Arial" w:eastAsia="Arial" w:hAnsi="Arial" w:cs="Arial"/>
                <w:color w:val="000000"/>
                <w:spacing w:val="0"/>
                <w:w w:val="100"/>
                <w:position w:val="0"/>
                <w:sz w:val="24"/>
                <w:szCs w:val="24"/>
              </w:rPr>
              <w:t>3,992,559,043.49</w:t>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本集团在给部分客户提供速运物流综合服务时，采取定期结算的方式，月末尚未结算</w:t>
      </w:r>
    </w:p>
    <w:tbl>
      <w:tblPr>
        <w:tblOverlap w:val="never"/>
        <w:jc w:val="center"/>
        <w:tblLayout w:type="fixed"/>
      </w:tblPr>
      <w:tblGrid>
        <w:gridCol w:w="3614"/>
        <w:gridCol w:w="2794"/>
        <w:gridCol w:w="2453"/>
      </w:tblGrid>
      <w:tr>
        <w:trPr>
          <w:trHeight w:val="461"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的部分形成应收账款。</w:t>
            </w:r>
          </w:p>
        </w:tc>
      </w:tr>
      <w:tr>
        <w:trPr>
          <w:trHeight w:val="638" w:hRule="exact"/>
        </w:trPr>
        <w:tc>
          <w:tcPr>
            <w:tcBorders/>
            <w:shd w:val="clear" w:color="auto" w:fill="FFFFFF"/>
            <w:vAlign w:val="center"/>
          </w:tcPr>
          <w:p>
            <w:pPr>
              <w:pStyle w:val="Style23"/>
              <w:keepNext w:val="0"/>
              <w:keepLines w:val="0"/>
              <w:widowControl w:val="0"/>
              <w:shd w:val="clear" w:color="auto" w:fill="auto"/>
              <w:tabs>
                <w:tab w:pos="696"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(a)</w:t>
              <w:tab/>
            </w:r>
            <w:r>
              <w:rPr>
                <w:color w:val="000000"/>
                <w:spacing w:val="0"/>
                <w:w w:val="100"/>
                <w:position w:val="0"/>
                <w:sz w:val="22"/>
                <w:szCs w:val="22"/>
              </w:rPr>
              <w:t>应收账款账龄分析如下：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2"/>
                <w:szCs w:val="22"/>
              </w:rPr>
              <w:t>一年以内</w:t>
            </w:r>
            <w:r>
              <w:rPr>
                <w:rFonts w:ascii="Arial" w:eastAsia="Arial" w:hAnsi="Arial" w:cs="Arial"/>
                <w:color w:val="000000"/>
                <w:spacing w:val="0"/>
                <w:w w:val="100"/>
                <w:position w:val="0"/>
                <w:sz w:val="24"/>
                <w:szCs w:val="24"/>
              </w:rPr>
              <w:t>(</w:t>
            </w:r>
            <w:r>
              <w:rPr>
                <w:color w:val="000000"/>
                <w:spacing w:val="0"/>
                <w:w w:val="100"/>
                <w:position w:val="0"/>
                <w:sz w:val="22"/>
                <w:szCs w:val="22"/>
              </w:rPr>
              <w:t>含一年</w:t>
            </w:r>
            <w:r>
              <w:rPr>
                <w:color w:val="000000"/>
                <w:spacing w:val="0"/>
                <w:w w:val="100"/>
                <w:position w:val="0"/>
                <w:sz w:val="28"/>
                <w:szCs w:val="2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4,584,004,683.91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3,804,255,146.49</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2"/>
                <w:szCs w:val="22"/>
              </w:rPr>
              <w:t>一到二年</w:t>
            </w:r>
            <w:r>
              <w:rPr>
                <w:rFonts w:ascii="Arial" w:eastAsia="Arial" w:hAnsi="Arial" w:cs="Arial"/>
                <w:color w:val="000000"/>
                <w:spacing w:val="0"/>
                <w:w w:val="100"/>
                <w:position w:val="0"/>
                <w:sz w:val="24"/>
                <w:szCs w:val="24"/>
              </w:rPr>
              <w:t>(</w:t>
            </w:r>
            <w:r>
              <w:rPr>
                <w:color w:val="000000"/>
                <w:spacing w:val="0"/>
                <w:w w:val="100"/>
                <w:position w:val="0"/>
                <w:sz w:val="22"/>
                <w:szCs w:val="22"/>
              </w:rPr>
              <w:t>含二年</w:t>
            </w:r>
            <w:r>
              <w:rPr>
                <w:color w:val="000000"/>
                <w:spacing w:val="0"/>
                <w:w w:val="100"/>
                <w:position w:val="0"/>
                <w:sz w:val="28"/>
                <w:szCs w:val="2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30,385,801.62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200,153,337.02</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2"/>
                <w:szCs w:val="22"/>
              </w:rPr>
              <w:t>二到三年</w:t>
            </w:r>
            <w:r>
              <w:rPr>
                <w:rFonts w:ascii="Arial" w:eastAsia="Arial" w:hAnsi="Arial" w:cs="Arial"/>
                <w:color w:val="000000"/>
                <w:spacing w:val="0"/>
                <w:w w:val="100"/>
                <w:position w:val="0"/>
                <w:sz w:val="24"/>
                <w:szCs w:val="24"/>
              </w:rPr>
              <w:t>(</w:t>
            </w:r>
            <w:r>
              <w:rPr>
                <w:color w:val="000000"/>
                <w:spacing w:val="0"/>
                <w:w w:val="100"/>
                <w:position w:val="0"/>
                <w:sz w:val="22"/>
                <w:szCs w:val="22"/>
              </w:rPr>
              <w:t>含三年</w:t>
            </w:r>
            <w:r>
              <w:rPr>
                <w:color w:val="000000"/>
                <w:spacing w:val="0"/>
                <w:w w:val="100"/>
                <w:position w:val="0"/>
                <w:sz w:val="28"/>
                <w:szCs w:val="2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4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29,460,402.16</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4,614,390,485.53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4,033,868,885.67</w:t>
            </w:r>
          </w:p>
        </w:tc>
      </w:tr>
    </w:tbl>
    <w:p>
      <w:pPr>
        <w:widowControl w:val="0"/>
        <w:spacing w:after="279" w:line="1" w:lineRule="exact"/>
      </w:pPr>
    </w:p>
    <w:p>
      <w:pPr>
        <w:pStyle w:val="Style33"/>
        <w:keepNext w:val="0"/>
        <w:keepLines w:val="0"/>
        <w:widowControl w:val="0"/>
        <w:shd w:val="clear" w:color="auto" w:fill="auto"/>
        <w:bidi w:val="0"/>
        <w:spacing w:before="0" w:after="280" w:line="341" w:lineRule="exact"/>
        <w:ind w:left="0" w:right="0" w:firstLine="0"/>
        <w:jc w:val="left"/>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日，本集团无重大已逾期未减值的应收账 款。</w:t>
      </w:r>
    </w:p>
    <w:p>
      <w:pPr>
        <w:pStyle w:val="Style33"/>
        <w:keepNext w:val="0"/>
        <w:keepLines w:val="0"/>
        <w:widowControl w:val="0"/>
        <w:shd w:val="clear" w:color="auto" w:fill="auto"/>
        <w:tabs>
          <w:tab w:pos="672" w:val="left"/>
        </w:tabs>
        <w:bidi w:val="0"/>
        <w:spacing w:before="0" w:after="420" w:line="341" w:lineRule="exact"/>
        <w:ind w:left="0" w:right="0" w:firstLine="0"/>
        <w:jc w:val="left"/>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应收账款按类别分析如下：</w:t>
      </w:r>
    </w:p>
    <w:p>
      <w:pPr>
        <w:pStyle w:val="Style29"/>
        <w:keepNext w:val="0"/>
        <w:keepLines w:val="0"/>
        <w:widowControl w:val="0"/>
        <w:shd w:val="clear" w:color="auto" w:fill="auto"/>
        <w:bidi w:val="0"/>
        <w:spacing w:before="0" w:after="0" w:line="240" w:lineRule="auto"/>
        <w:ind w:left="5040" w:right="0" w:firstLine="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2539"/>
        <w:gridCol w:w="2136"/>
        <w:gridCol w:w="1171"/>
        <w:gridCol w:w="2054"/>
        <w:gridCol w:w="907"/>
      </w:tblGrid>
      <w:tr>
        <w:trPr>
          <w:trHeight w:val="33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523"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占总额比例</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计提比例</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(4)(a))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178,472,539.60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rPr>
                <w:sz w:val="16"/>
                <w:szCs w:val="16"/>
              </w:rPr>
            </w:pPr>
            <w:r>
              <w:rPr>
                <w:rFonts w:ascii="Arial" w:eastAsia="Arial" w:hAnsi="Arial" w:cs="Arial"/>
                <w:color w:val="000000"/>
                <w:spacing w:val="0"/>
                <w:w w:val="100"/>
                <w:position w:val="0"/>
                <w:sz w:val="16"/>
                <w:szCs w:val="16"/>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4,401</w:t>
            </w:r>
            <w:r>
              <w:rPr>
                <w:rFonts w:ascii="Arial" w:eastAsia="Arial" w:hAnsi="Arial" w:cs="Arial"/>
                <w:color w:val="000000"/>
                <w:spacing w:val="0"/>
                <w:w w:val="100"/>
                <w:position w:val="0"/>
                <w:sz w:val="16"/>
                <w:szCs w:val="16"/>
              </w:rPr>
              <w:t>,780,022.53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95.39%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(25,507,219.05)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单独计提坏账准备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(4)(a))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15,948,280.87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0.35%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(15,948,280.87)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18,189,642.53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0.39%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(13,023,498.89)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71.60%</w:t>
            </w:r>
          </w:p>
        </w:tc>
      </w:tr>
      <w:tr>
        <w:trPr>
          <w:trHeight w:val="35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4,614,390,485.53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(54,478,998.81)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1.18%</w:t>
            </w:r>
          </w:p>
        </w:tc>
      </w:tr>
    </w:tbl>
    <w:p>
      <w:pPr>
        <w:spacing w:lineRule="exact" w:line="1"/>
        <w:rPr>
          <w:sz w:val="2"/>
          <w:szCs w:val="2"/>
        </w:rPr>
      </w:pPr>
      <w:r>
        <w:br w:type="page"/>
      </w:r>
    </w:p>
    <w:p>
      <w:pPr>
        <w:pStyle w:val="Style27"/>
        <w:keepNext/>
        <w:keepLines/>
        <w:widowControl w:val="0"/>
        <w:shd w:val="clear" w:color="auto" w:fill="auto"/>
        <w:tabs>
          <w:tab w:pos="397" w:val="left"/>
        </w:tabs>
        <w:bidi w:val="0"/>
        <w:spacing w:before="0" w:after="280" w:line="240" w:lineRule="auto"/>
        <w:ind w:left="0" w:right="0" w:firstLine="0"/>
        <w:jc w:val="left"/>
      </w:pPr>
      <w:bookmarkStart w:id="743" w:name="bookmark743"/>
      <w:bookmarkStart w:id="744" w:name="bookmark744"/>
      <w:bookmarkStart w:id="745" w:name="bookmark745"/>
      <w:r>
        <w:rPr>
          <w:color w:val="000000"/>
          <w:spacing w:val="0"/>
          <w:w w:val="100"/>
          <w:position w:val="0"/>
          <w:sz w:val="22"/>
          <w:szCs w:val="22"/>
        </w:rPr>
        <w:t>四</w:t>
        <w:tab/>
        <w:t>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43"/>
      <w:bookmarkEnd w:id="744"/>
      <w:bookmarkEnd w:id="745"/>
    </w:p>
    <w:p>
      <w:pPr>
        <w:pStyle w:val="Style94"/>
        <w:keepNext w:val="0"/>
        <w:keepLines w:val="0"/>
        <w:widowControl w:val="0"/>
        <w:shd w:val="clear" w:color="auto" w:fill="auto"/>
        <w:tabs>
          <w:tab w:pos="672" w:val="left"/>
        </w:tabs>
        <w:bidi w:val="0"/>
        <w:spacing w:before="0" w:after="360" w:line="240"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2"/>
          <w:szCs w:val="22"/>
        </w:rPr>
        <w:t>应收账款</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672" w:val="left"/>
        </w:tabs>
        <w:bidi w:val="0"/>
        <w:spacing w:before="0" w:after="40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应收账款按类别分析如下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29"/>
        <w:keepNext w:val="0"/>
        <w:keepLines w:val="0"/>
        <w:widowControl w:val="0"/>
        <w:shd w:val="clear" w:color="auto" w:fill="auto"/>
        <w:bidi w:val="0"/>
        <w:spacing w:before="0" w:after="0" w:line="240" w:lineRule="auto"/>
        <w:ind w:left="5040" w:right="0" w:firstLine="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2539"/>
        <w:gridCol w:w="2136"/>
        <w:gridCol w:w="1176"/>
        <w:gridCol w:w="2050"/>
        <w:gridCol w:w="907"/>
      </w:tblGrid>
      <w:tr>
        <w:trPr>
          <w:trHeight w:val="33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523"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占总额比例</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计提比例</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(4)(a))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633,701,182.80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15.71%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rPr>
                <w:sz w:val="16"/>
                <w:szCs w:val="16"/>
              </w:rPr>
            </w:pPr>
            <w:r>
              <w:rPr>
                <w:rFonts w:ascii="Arial" w:eastAsia="Arial" w:hAnsi="Arial" w:cs="Arial"/>
                <w:color w:val="000000"/>
                <w:spacing w:val="0"/>
                <w:w w:val="100"/>
                <w:position w:val="0"/>
                <w:sz w:val="16"/>
                <w:szCs w:val="16"/>
              </w:rPr>
              <w:t>-</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3,376,560,503.06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83.71%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(17,702,642.37)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0.52%</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单独计提坏账准备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(4)(a))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18,233,799.91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0.45%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(18,233,799.91)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5,373,399.90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0.13%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(5,373,399.90)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4,033,868,885.67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(41,309,842.18)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1.02%</w:t>
            </w:r>
          </w:p>
        </w:tc>
      </w:tr>
    </w:tbl>
    <w:p>
      <w:pPr>
        <w:widowControl w:val="0"/>
        <w:spacing w:after="279" w:line="1" w:lineRule="exact"/>
      </w:pPr>
    </w:p>
    <w:p>
      <w:pPr>
        <w:pStyle w:val="Style33"/>
        <w:keepNext w:val="0"/>
        <w:keepLines w:val="0"/>
        <w:widowControl w:val="0"/>
        <w:shd w:val="clear" w:color="auto" w:fill="auto"/>
        <w:bidi w:val="0"/>
        <w:spacing w:before="0" w:after="360" w:line="322" w:lineRule="exact"/>
        <w:ind w:left="0" w:right="0" w:firstLine="0"/>
        <w:jc w:val="left"/>
        <w:rPr>
          <w:sz w:val="22"/>
          <w:szCs w:val="22"/>
        </w:rPr>
      </w:pPr>
      <w:r>
        <w:rPr>
          <w:b w:val="0"/>
          <w:bCs w:val="0"/>
          <w:color w:val="000000"/>
          <w:spacing w:val="0"/>
          <w:w w:val="100"/>
          <w:position w:val="0"/>
          <w:sz w:val="22"/>
          <w:szCs w:val="22"/>
        </w:rPr>
        <w:t>按组合计提坏账准备的应收账款中，应收关联方款项组合不计提坏账准备，应收非关 联方款项组合采用余额百分比法计提坏账准备。</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(C)</w:t>
      </w:r>
      <w:r>
        <w:rPr>
          <w:b w:val="0"/>
          <w:bCs w:val="0"/>
          <w:color w:val="000000"/>
          <w:spacing w:val="0"/>
          <w:w w:val="100"/>
          <w:position w:val="0"/>
          <w:sz w:val="22"/>
          <w:szCs w:val="22"/>
        </w:rPr>
        <w:t>应收账款坏账准备变动表</w:t>
      </w:r>
    </w:p>
    <w:p>
      <w:pPr>
        <w:widowControl w:val="0"/>
        <w:spacing w:line="1" w:lineRule="exact"/>
      </w:pPr>
      <w:r>
        <mc:AlternateContent>
          <mc:Choice Requires="wps">
            <w:drawing>
              <wp:anchor distT="139700" distB="0" distL="0" distR="0" simplePos="0" relativeHeight="125829397" behindDoc="0" locked="0" layoutInCell="1" allowOverlap="1">
                <wp:simplePos x="0" y="0"/>
                <wp:positionH relativeFrom="page">
                  <wp:posOffset>4458970</wp:posOffset>
                </wp:positionH>
                <wp:positionV relativeFrom="paragraph">
                  <wp:posOffset>139700</wp:posOffset>
                </wp:positionV>
                <wp:extent cx="709930" cy="189230"/>
                <wp:wrapTopAndBottom/>
                <wp:docPr id="83" name="Shape 83"/>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09" type="#_x0000_t202" style="position:absolute;margin-left:351.10000000000002pt;margin-top:11.pt;width:55.899999999999999pt;height:14.9pt;z-index:-125829356;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39700" distB="0" distL="0" distR="0" simplePos="0" relativeHeight="125829399" behindDoc="0" locked="0" layoutInCell="1" allowOverlap="1">
                <wp:simplePos x="0" y="0"/>
                <wp:positionH relativeFrom="page">
                  <wp:posOffset>6043930</wp:posOffset>
                </wp:positionH>
                <wp:positionV relativeFrom="paragraph">
                  <wp:posOffset>139700</wp:posOffset>
                </wp:positionV>
                <wp:extent cx="709930" cy="189230"/>
                <wp:wrapTopAndBottom/>
                <wp:docPr id="85" name="Shape 85"/>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11" type="#_x0000_t202" style="position:absolute;margin-left:475.90000000000003pt;margin-top:11.pt;width:55.899999999999999pt;height:14.9pt;z-index:-125829354;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791" w:right="1024" w:bottom="2439" w:left="1914" w:header="0" w:footer="3" w:gutter="0"/>
          <w:cols w:space="720"/>
          <w:noEndnote/>
          <w:rtlGutter w:val="0"/>
          <w:docGrid w:linePitch="360"/>
        </w:sectPr>
      </w:pPr>
      <w:r>
        <mc:AlternateContent>
          <mc:Choice Requires="wps">
            <w:drawing>
              <wp:anchor distT="177800" distB="3175" distL="0" distR="0" simplePos="0" relativeHeight="125829401" behindDoc="0" locked="0" layoutInCell="1" allowOverlap="1">
                <wp:simplePos x="0" y="0"/>
                <wp:positionH relativeFrom="page">
                  <wp:posOffset>1224915</wp:posOffset>
                </wp:positionH>
                <wp:positionV relativeFrom="paragraph">
                  <wp:posOffset>177800</wp:posOffset>
                </wp:positionV>
                <wp:extent cx="920750" cy="831850"/>
                <wp:wrapTopAndBottom/>
                <wp:docPr id="87" name="Shape 87"/>
                <a:graphic xmlns:a="http://schemas.openxmlformats.org/drawingml/2006/main">
                  <a:graphicData uri="http://schemas.microsoft.com/office/word/2010/wordprocessingShape">
                    <wps:wsp>
                      <wps:cNvSpPr txBox="1"/>
                      <wps:spPr>
                        <a:xfrm>
                          <a:ext cx="920750" cy="831850"/>
                        </a:xfrm>
                        <a:prstGeom prst="rect"/>
                        <a:noFill/>
                      </wps:spPr>
                      <wps:txbx>
                        <w:txbxContent>
                          <w:p>
                            <w:pPr>
                              <w:pStyle w:val="Style33"/>
                              <w:keepNext w:val="0"/>
                              <w:keepLines w:val="0"/>
                              <w:widowControl w:val="0"/>
                              <w:shd w:val="clear" w:color="auto" w:fill="auto"/>
                              <w:bidi w:val="0"/>
                              <w:spacing w:before="0" w:after="0" w:line="323" w:lineRule="exact"/>
                              <w:ind w:left="0" w:right="0" w:firstLine="0"/>
                              <w:jc w:val="left"/>
                              <w:rPr>
                                <w:sz w:val="22"/>
                                <w:szCs w:val="22"/>
                              </w:rPr>
                            </w:pPr>
                            <w:r>
                              <w:rPr>
                                <w:b w:val="0"/>
                                <w:bCs w:val="0"/>
                                <w:color w:val="000000"/>
                                <w:spacing w:val="0"/>
                                <w:w w:val="100"/>
                                <w:position w:val="0"/>
                                <w:sz w:val="22"/>
                                <w:szCs w:val="22"/>
                              </w:rPr>
                              <w:t>年初余额 本年度计提 本年度核销</w:t>
                            </w:r>
                            <w:r>
                              <w:rPr>
                                <w:rFonts w:ascii="Arial" w:eastAsia="Arial" w:hAnsi="Arial" w:cs="Arial"/>
                                <w:b w:val="0"/>
                                <w:bCs w:val="0"/>
                                <w:color w:val="000000"/>
                                <w:spacing w:val="0"/>
                                <w:w w:val="100"/>
                                <w:position w:val="0"/>
                                <w:sz w:val="24"/>
                                <w:szCs w:val="24"/>
                              </w:rPr>
                              <w:t xml:space="preserve">(i) </w:t>
                            </w:r>
                            <w:r>
                              <w:rPr>
                                <w:b w:val="0"/>
                                <w:bCs w:val="0"/>
                                <w:color w:val="000000"/>
                                <w:spacing w:val="0"/>
                                <w:w w:val="100"/>
                                <w:position w:val="0"/>
                                <w:sz w:val="22"/>
                                <w:szCs w:val="22"/>
                              </w:rPr>
                              <w:t>年末余额</w:t>
                            </w:r>
                          </w:p>
                        </w:txbxContent>
                      </wps:txbx>
                      <wps:bodyPr lIns="0" tIns="0" rIns="0" bIns="0">
                        <a:noAutoFit/>
                      </wps:bodyPr>
                    </wps:wsp>
                  </a:graphicData>
                </a:graphic>
              </wp:anchor>
            </w:drawing>
          </mc:Choice>
          <mc:Fallback>
            <w:pict>
              <v:shape id="_x0000_s1113" type="#_x0000_t202" style="position:absolute;margin-left:96.450000000000003pt;margin-top:14.pt;width:72.5pt;height:65.5pt;z-index:-125829352;mso-wrap-distance-left:0;mso-wrap-distance-top:14.pt;mso-wrap-distance-right:0;mso-wrap-distance-bottom:0.25pt;mso-position-horizontal-relative:page" filled="f" stroked="f">
                <v:textbox inset="0,0,0,0">
                  <w:txbxContent>
                    <w:p>
                      <w:pPr>
                        <w:pStyle w:val="Style33"/>
                        <w:keepNext w:val="0"/>
                        <w:keepLines w:val="0"/>
                        <w:widowControl w:val="0"/>
                        <w:shd w:val="clear" w:color="auto" w:fill="auto"/>
                        <w:bidi w:val="0"/>
                        <w:spacing w:before="0" w:after="0" w:line="323" w:lineRule="exact"/>
                        <w:ind w:left="0" w:right="0" w:firstLine="0"/>
                        <w:jc w:val="left"/>
                        <w:rPr>
                          <w:sz w:val="22"/>
                          <w:szCs w:val="22"/>
                        </w:rPr>
                      </w:pPr>
                      <w:r>
                        <w:rPr>
                          <w:b w:val="0"/>
                          <w:bCs w:val="0"/>
                          <w:color w:val="000000"/>
                          <w:spacing w:val="0"/>
                          <w:w w:val="100"/>
                          <w:position w:val="0"/>
                          <w:sz w:val="22"/>
                          <w:szCs w:val="22"/>
                        </w:rPr>
                        <w:t>年初余额 本年度计提 本年度核销</w:t>
                      </w:r>
                      <w:r>
                        <w:rPr>
                          <w:rFonts w:ascii="Arial" w:eastAsia="Arial" w:hAnsi="Arial" w:cs="Arial"/>
                          <w:b w:val="0"/>
                          <w:bCs w:val="0"/>
                          <w:color w:val="000000"/>
                          <w:spacing w:val="0"/>
                          <w:w w:val="100"/>
                          <w:position w:val="0"/>
                          <w:sz w:val="24"/>
                          <w:szCs w:val="24"/>
                        </w:rPr>
                        <w:t xml:space="preserve">(i) </w:t>
                      </w:r>
                      <w:r>
                        <w:rPr>
                          <w:b w:val="0"/>
                          <w:bCs w:val="0"/>
                          <w:color w:val="000000"/>
                          <w:spacing w:val="0"/>
                          <w:w w:val="100"/>
                          <w:position w:val="0"/>
                          <w:sz w:val="22"/>
                          <w:szCs w:val="22"/>
                        </w:rPr>
                        <w:t>年末余额</w:t>
                      </w:r>
                    </w:p>
                  </w:txbxContent>
                </v:textbox>
                <w10:wrap type="topAndBottom" anchorx="page"/>
              </v:shape>
            </w:pict>
          </mc:Fallback>
        </mc:AlternateContent>
      </w:r>
      <w:r>
        <mc:AlternateContent>
          <mc:Choice Requires="wps">
            <w:drawing>
              <wp:anchor distT="208280" distB="0" distL="0" distR="0" simplePos="0" relativeHeight="125829403" behindDoc="0" locked="0" layoutInCell="1" allowOverlap="1">
                <wp:simplePos x="0" y="0"/>
                <wp:positionH relativeFrom="page">
                  <wp:posOffset>4126865</wp:posOffset>
                </wp:positionH>
                <wp:positionV relativeFrom="paragraph">
                  <wp:posOffset>208280</wp:posOffset>
                </wp:positionV>
                <wp:extent cx="1109345" cy="804545"/>
                <wp:wrapTopAndBottom/>
                <wp:docPr id="89" name="Shape 89"/>
                <a:graphic xmlns:a="http://schemas.openxmlformats.org/drawingml/2006/main">
                  <a:graphicData uri="http://schemas.microsoft.com/office/word/2010/wordprocessingShape">
                    <wps:wsp>
                      <wps:cNvSpPr txBox="1"/>
                      <wps:spPr>
                        <a:xfrm>
                          <a:ext cx="1109345"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41,309,842.18</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28,427,164.28</w:t>
                            </w:r>
                          </w:p>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(15,258,007.65)</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54,478,998.81"</w:t>
                            </w:r>
                          </w:p>
                        </w:txbxContent>
                      </wps:txbx>
                      <wps:bodyPr lIns="0" tIns="0" rIns="0" bIns="0">
                        <a:noAutoFit/>
                      </wps:bodyPr>
                    </wps:wsp>
                  </a:graphicData>
                </a:graphic>
              </wp:anchor>
            </w:drawing>
          </mc:Choice>
          <mc:Fallback>
            <w:pict>
              <v:shape id="_x0000_s1115" type="#_x0000_t202" style="position:absolute;margin-left:324.94999999999999pt;margin-top:16.399999999999999pt;width:87.350000000000009pt;height:63.350000000000001pt;z-index:-125829350;mso-wrap-distance-left:0;mso-wrap-distance-top:16.399999999999999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41,309,842.18</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28,427,164.28</w:t>
                      </w:r>
                    </w:p>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(15,258,007.65)</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54,478,998.81"</w:t>
                      </w:r>
                    </w:p>
                  </w:txbxContent>
                </v:textbox>
                <w10:wrap type="topAndBottom" anchorx="page"/>
              </v:shape>
            </w:pict>
          </mc:Fallback>
        </mc:AlternateContent>
      </w:r>
      <w:r>
        <mc:AlternateContent>
          <mc:Choice Requires="wps">
            <w:drawing>
              <wp:anchor distT="208280" distB="0" distL="0" distR="0" simplePos="0" relativeHeight="125829405" behindDoc="0" locked="0" layoutInCell="1" allowOverlap="1">
                <wp:simplePos x="0" y="0"/>
                <wp:positionH relativeFrom="page">
                  <wp:posOffset>5711825</wp:posOffset>
                </wp:positionH>
                <wp:positionV relativeFrom="paragraph">
                  <wp:posOffset>208280</wp:posOffset>
                </wp:positionV>
                <wp:extent cx="1109345" cy="804545"/>
                <wp:wrapTopAndBottom/>
                <wp:docPr id="91" name="Shape 91"/>
                <a:graphic xmlns:a="http://schemas.openxmlformats.org/drawingml/2006/main">
                  <a:graphicData uri="http://schemas.microsoft.com/office/word/2010/wordprocessingShape">
                    <wps:wsp>
                      <wps:cNvSpPr txBox="1"/>
                      <wps:spPr>
                        <a:xfrm>
                          <a:ext cx="1109345"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18,885,356.06</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52,909,067.55</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(30,484,581.43)</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41,309,842</w:t>
                            </w:r>
                            <w:r>
                              <w:rPr>
                                <w:rFonts w:ascii="SimSun" w:eastAsia="SimSun" w:hAnsi="SimSun" w:cs="SimSun"/>
                                <w:b/>
                                <w:bCs/>
                                <w:color w:val="000000"/>
                                <w:spacing w:val="0"/>
                                <w:w w:val="100"/>
                                <w:position w:val="0"/>
                                <w:sz w:val="22"/>
                                <w:szCs w:val="22"/>
                              </w:rPr>
                              <w:t>.莅</w:t>
                            </w:r>
                          </w:p>
                        </w:txbxContent>
                      </wps:txbx>
                      <wps:bodyPr lIns="0" tIns="0" rIns="0" bIns="0">
                        <a:noAutoFit/>
                      </wps:bodyPr>
                    </wps:wsp>
                  </a:graphicData>
                </a:graphic>
              </wp:anchor>
            </w:drawing>
          </mc:Choice>
          <mc:Fallback>
            <w:pict>
              <v:shape id="_x0000_s1117" type="#_x0000_t202" style="position:absolute;margin-left:449.75pt;margin-top:16.399999999999999pt;width:87.350000000000009pt;height:63.350000000000001pt;z-index:-125829348;mso-wrap-distance-left:0;mso-wrap-distance-top:16.399999999999999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18,885,356.06</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52,909,067.55</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(30,484,581.43)</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41,309,842</w:t>
                      </w:r>
                      <w:r>
                        <w:rPr>
                          <w:rFonts w:ascii="SimSun" w:eastAsia="SimSun" w:hAnsi="SimSun" w:cs="SimSun"/>
                          <w:b/>
                          <w:bCs/>
                          <w:color w:val="000000"/>
                          <w:spacing w:val="0"/>
                          <w:w w:val="100"/>
                          <w:position w:val="0"/>
                          <w:sz w:val="22"/>
                          <w:szCs w:val="22"/>
                        </w:rPr>
                        <w:t>.莅</w:t>
                      </w:r>
                    </w:p>
                  </w:txbxContent>
                </v:textbox>
                <w10:wrap type="topAndBottom" anchorx="page"/>
              </v:shape>
            </w:pict>
          </mc:Fallback>
        </mc:AlternateContent>
      </w: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91" w:right="0" w:bottom="1791" w:left="0"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91" w:right="991" w:bottom="1791" w:left="1948" w:header="0" w:footer="3" w:gutter="0"/>
          <w:cols w:space="720"/>
          <w:noEndnote/>
          <w:rtlGutter w:val="0"/>
          <w:docGrid w:linePitch="360"/>
        </w:sectPr>
      </w:pPr>
      <w:r>
        <w:rPr>
          <w:b w:val="0"/>
          <w:bCs w:val="0"/>
          <w:color w:val="000000"/>
          <w:spacing w:val="0"/>
          <w:w w:val="100"/>
          <w:position w:val="0"/>
          <w:sz w:val="22"/>
          <w:szCs w:val="22"/>
        </w:rPr>
        <w:t>⑴ 本年度实际核销的应收账款为</w:t>
      </w:r>
      <w:r>
        <w:rPr>
          <w:rFonts w:ascii="Arial" w:eastAsia="Arial" w:hAnsi="Arial" w:cs="Arial"/>
          <w:b w:val="0"/>
          <w:bCs w:val="0"/>
          <w:color w:val="000000"/>
          <w:spacing w:val="0"/>
          <w:w w:val="100"/>
          <w:position w:val="0"/>
          <w:sz w:val="24"/>
          <w:szCs w:val="24"/>
        </w:rPr>
        <w:t>15,258,007.65</w:t>
      </w:r>
      <w:r>
        <w:rPr>
          <w:b w:val="0"/>
          <w:bCs w:val="0"/>
          <w:color w:val="000000"/>
          <w:spacing w:val="0"/>
          <w:w w:val="100"/>
          <w:position w:val="0"/>
          <w:sz w:val="22"/>
          <w:szCs w:val="22"/>
        </w:rPr>
        <w:t>元，且无单项重大的应收账款核销。</w:t>
      </w:r>
    </w:p>
    <w:p>
      <w:pPr>
        <w:pStyle w:val="Style33"/>
        <w:keepNext w:val="0"/>
        <w:keepLines w:val="0"/>
        <w:widowControl w:val="0"/>
        <w:shd w:val="clear" w:color="auto" w:fill="auto"/>
        <w:bidi w:val="0"/>
        <w:spacing w:before="0" w:after="320" w:line="240" w:lineRule="auto"/>
        <w:ind w:left="0" w:right="0" w:firstLine="0"/>
        <w:jc w:val="left"/>
        <w:rPr>
          <w:sz w:val="24"/>
          <w:szCs w:val="24"/>
        </w:rPr>
      </w:pPr>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94"/>
        <w:keepNext w:val="0"/>
        <w:keepLines w:val="0"/>
        <w:widowControl w:val="0"/>
        <w:shd w:val="clear" w:color="auto" w:fill="auto"/>
        <w:bidi w:val="0"/>
        <w:spacing w:before="0" w:after="320" w:line="317" w:lineRule="exact"/>
        <w:ind w:left="0" w:right="0" w:firstLine="0"/>
        <w:jc w:val="left"/>
        <w:rPr>
          <w:sz w:val="28"/>
          <w:szCs w:val="28"/>
        </w:rPr>
      </w:pPr>
      <w:r>
        <w:rPr>
          <w:color w:val="000000"/>
          <w:spacing w:val="0"/>
          <w:w w:val="100"/>
          <w:position w:val="0"/>
          <w:sz w:val="24"/>
          <w:szCs w:val="24"/>
        </w:rPr>
        <w:t>(3)</w:t>
      </w:r>
      <w:r>
        <w:rPr>
          <w:rFonts w:ascii="SimSun" w:eastAsia="SimSun" w:hAnsi="SimSun" w:cs="SimSun"/>
          <w:b/>
          <w:bCs/>
          <w:color w:val="000000"/>
          <w:spacing w:val="0"/>
          <w:w w:val="100"/>
          <w:position w:val="0"/>
          <w:sz w:val="22"/>
          <w:szCs w:val="22"/>
        </w:rPr>
        <w:t>应收账款</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94"/>
        <w:keepNext w:val="0"/>
        <w:keepLines w:val="0"/>
        <w:widowControl w:val="0"/>
        <w:numPr>
          <w:ilvl w:val="0"/>
          <w:numId w:val="47"/>
        </w:numPr>
        <w:shd w:val="clear" w:color="auto" w:fill="auto"/>
        <w:tabs>
          <w:tab w:pos="464" w:val="left"/>
        </w:tabs>
        <w:bidi w:val="0"/>
        <w:spacing w:before="0" w:after="320" w:line="312" w:lineRule="exact"/>
        <w:ind w:left="0" w:right="0" w:firstLine="0"/>
        <w:jc w:val="left"/>
        <w:rPr>
          <w:sz w:val="22"/>
          <w:szCs w:val="22"/>
        </w:rPr>
      </w:pPr>
      <w:bookmarkStart w:id="746" w:name="bookmark746"/>
      <w:bookmarkEnd w:id="746"/>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日，本集团因单项金额重大并单独计提坏账准备的应收账款 为 </w:t>
      </w:r>
      <w:r>
        <w:rPr>
          <w:color w:val="000000"/>
          <w:spacing w:val="0"/>
          <w:w w:val="100"/>
          <w:position w:val="0"/>
          <w:sz w:val="24"/>
          <w:szCs w:val="24"/>
        </w:rPr>
        <w:t xml:space="preserve">15,948,280.87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日：</w:t>
      </w:r>
      <w:r>
        <w:rPr>
          <w:color w:val="000000"/>
          <w:spacing w:val="0"/>
          <w:w w:val="100"/>
          <w:position w:val="0"/>
          <w:sz w:val="24"/>
          <w:szCs w:val="24"/>
        </w:rPr>
        <w:t xml:space="preserve">18,233,799.91 </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w:t>
      </w:r>
    </w:p>
    <w:p>
      <w:pPr>
        <w:pStyle w:val="Style33"/>
        <w:keepNext w:val="0"/>
        <w:keepLines w:val="0"/>
        <w:widowControl w:val="0"/>
        <w:numPr>
          <w:ilvl w:val="0"/>
          <w:numId w:val="47"/>
        </w:numPr>
        <w:shd w:val="clear" w:color="auto" w:fill="auto"/>
        <w:tabs>
          <w:tab w:pos="464" w:val="left"/>
        </w:tabs>
        <w:bidi w:val="0"/>
        <w:spacing w:before="0" w:after="400" w:line="322" w:lineRule="exact"/>
        <w:ind w:left="0" w:right="0" w:firstLine="0"/>
        <w:jc w:val="left"/>
        <w:rPr>
          <w:sz w:val="22"/>
          <w:szCs w:val="22"/>
        </w:rPr>
      </w:pPr>
      <w:bookmarkStart w:id="747" w:name="bookmark747"/>
      <w:bookmarkEnd w:id="747"/>
      <w:r>
        <w:rPr>
          <w:b w:val="0"/>
          <w:bCs w:val="0"/>
          <w:color w:val="000000"/>
          <w:spacing w:val="0"/>
          <w:w w:val="100"/>
          <w:position w:val="0"/>
          <w:sz w:val="22"/>
          <w:szCs w:val="22"/>
        </w:rPr>
        <w:t>本集团的应收账款为按照月度结算的客商形成的应收账款余额。于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12 </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日，按欠款方归集的余额前五名的应收账款汇总分析如下：</w:t>
      </w:r>
    </w:p>
    <w:p>
      <w:pPr>
        <w:pStyle w:val="Style23"/>
        <w:keepNext w:val="0"/>
        <w:keepLines w:val="0"/>
        <w:widowControl w:val="0"/>
        <w:pBdr>
          <w:bottom w:val="single" w:sz="4" w:space="0" w:color="auto"/>
        </w:pBdr>
        <w:shd w:val="clear" w:color="auto" w:fill="auto"/>
        <w:bidi w:val="0"/>
        <w:spacing w:before="0" w:after="60" w:line="307" w:lineRule="exact"/>
        <w:ind w:left="0" w:right="0" w:firstLine="0"/>
        <w:jc w:val="righ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 xml:space="preserve">年 </w:t>
      </w:r>
      <w:r>
        <w:rPr>
          <w:rFonts w:ascii="Arial" w:eastAsia="Arial" w:hAnsi="Arial" w:cs="Arial"/>
          <w:color w:val="000000"/>
          <w:spacing w:val="0"/>
          <w:w w:val="100"/>
          <w:position w:val="0"/>
          <w:sz w:val="20"/>
          <w:szCs w:val="20"/>
        </w:rPr>
        <w:t xml:space="preserve">12 </w:t>
      </w:r>
      <w:r>
        <w:rPr>
          <w:color w:val="000000"/>
          <w:spacing w:val="0"/>
          <w:w w:val="100"/>
          <w:position w:val="0"/>
          <w:sz w:val="19"/>
          <w:szCs w:val="19"/>
        </w:rPr>
        <w:t xml:space="preserve">月 </w:t>
      </w:r>
      <w:r>
        <w:rPr>
          <w:rFonts w:ascii="Arial" w:eastAsia="Arial" w:hAnsi="Arial" w:cs="Arial"/>
          <w:color w:val="000000"/>
          <w:spacing w:val="0"/>
          <w:w w:val="100"/>
          <w:position w:val="0"/>
          <w:sz w:val="20"/>
          <w:szCs w:val="20"/>
        </w:rPr>
        <w:t xml:space="preserve">31 </w:t>
      </w:r>
      <w:r>
        <w:rPr>
          <w:color w:val="000000"/>
          <w:spacing w:val="0"/>
          <w:w w:val="100"/>
          <w:position w:val="0"/>
          <w:sz w:val="19"/>
          <w:szCs w:val="19"/>
        </w:rPr>
        <w:t>日</w:t>
      </w:r>
    </w:p>
    <w:p>
      <w:pPr>
        <w:pStyle w:val="Style33"/>
        <w:keepNext w:val="0"/>
        <w:keepLines w:val="0"/>
        <w:widowControl w:val="0"/>
        <w:shd w:val="clear" w:color="auto" w:fill="auto"/>
        <w:tabs>
          <w:tab w:pos="5281" w:val="left"/>
          <w:tab w:pos="7356" w:val="left"/>
        </w:tabs>
        <w:bidi w:val="0"/>
        <w:spacing w:before="0" w:after="400" w:line="307" w:lineRule="exact"/>
        <w:ind w:left="4020" w:right="160" w:firstLine="0"/>
        <w:jc w:val="right"/>
        <w:rPr>
          <w:sz w:val="19"/>
          <w:szCs w:val="19"/>
        </w:rPr>
      </w:pPr>
      <w:r>
        <w:rPr>
          <w:b w:val="0"/>
          <w:bCs w:val="0"/>
          <w:color w:val="000000"/>
          <w:spacing w:val="0"/>
          <w:w w:val="100"/>
          <w:position w:val="0"/>
          <w:sz w:val="19"/>
          <w:szCs w:val="19"/>
        </w:rPr>
        <w:t>占应收账款 金额</w:t>
        <w:tab/>
        <w:t>坏账准备金额</w:t>
        <w:tab/>
        <w:t>余额总额比例</w:t>
      </w:r>
    </w:p>
    <w:p>
      <w:pPr>
        <w:pStyle w:val="Style23"/>
        <w:keepNext w:val="0"/>
        <w:keepLines w:val="0"/>
        <w:widowControl w:val="0"/>
        <w:shd w:val="clear" w:color="auto" w:fill="auto"/>
        <w:tabs>
          <w:tab w:pos="3010" w:val="left"/>
          <w:tab w:leader="underscore" w:pos="5281" w:val="left"/>
          <w:tab w:leader="underscore" w:pos="8078" w:val="left"/>
        </w:tabs>
        <w:bidi w:val="0"/>
        <w:spacing w:before="0" w:after="400" w:line="240" w:lineRule="auto"/>
        <w:ind w:left="0" w:right="0" w:firstLine="0"/>
        <w:jc w:val="left"/>
        <w:rPr>
          <w:sz w:val="20"/>
          <w:szCs w:val="20"/>
        </w:rPr>
      </w:pPr>
      <w:r>
        <w:rPr>
          <w:color w:val="000000"/>
          <w:spacing w:val="0"/>
          <w:w w:val="100"/>
          <w:position w:val="0"/>
          <w:sz w:val="19"/>
          <w:szCs w:val="19"/>
        </w:rPr>
        <w:t>余额前五名的应收账款总额</w:t>
        <w:tab/>
      </w:r>
      <w:r>
        <w:rPr>
          <w:rFonts w:ascii="Arial" w:eastAsia="Arial" w:hAnsi="Arial" w:cs="Arial"/>
          <w:color w:val="000000"/>
          <w:spacing w:val="0"/>
          <w:w w:val="100"/>
          <w:position w:val="0"/>
          <w:sz w:val="20"/>
          <w:szCs w:val="20"/>
          <w:u w:val="single"/>
        </w:rPr>
        <w:t>418,360,088.87</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(1,218,060.22)</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9.07%</w:t>
      </w: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 xml:space="preserve">(4) </w:t>
      </w:r>
      <w:r>
        <w:rPr>
          <w:b/>
          <w:bCs/>
          <w:color w:val="000000"/>
          <w:spacing w:val="0"/>
          <w:w w:val="100"/>
          <w:position w:val="0"/>
          <w:sz w:val="22"/>
          <w:szCs w:val="22"/>
        </w:rPr>
        <w:t>其他应收款</w:t>
      </w:r>
    </w:p>
    <w:tbl>
      <w:tblPr>
        <w:tblOverlap w:val="never"/>
        <w:jc w:val="center"/>
        <w:tblLayout w:type="fixed"/>
      </w:tblPr>
      <w:tblGrid>
        <w:gridCol w:w="3859"/>
        <w:gridCol w:w="2578"/>
        <w:gridCol w:w="2410"/>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应收关联方往来款项</w:t>
            </w:r>
            <w:r>
              <w:rPr>
                <w:rFonts w:ascii="Arial" w:eastAsia="Arial" w:hAnsi="Arial" w:cs="Arial"/>
                <w:color w:val="000000"/>
                <w:spacing w:val="0"/>
                <w:w w:val="100"/>
                <w:position w:val="0"/>
                <w:sz w:val="24"/>
                <w:szCs w:val="24"/>
              </w:rPr>
              <w:t>(</w:t>
            </w:r>
            <w:r>
              <w:rPr>
                <w:color w:val="000000"/>
                <w:spacing w:val="0"/>
                <w:w w:val="100"/>
                <w:position w:val="0"/>
                <w:sz w:val="22"/>
                <w:szCs w:val="22"/>
              </w:rPr>
              <w:t>附注八</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4)(c))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140,443,847.35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267,655,899.58</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保证金及押金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233,191,473.98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238,210,563.60</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代收货款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222,587,356.93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216,113,947.57</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应收委托贷款本金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217,867,292.24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188,980,201.01</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员工借款及备用金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101,625,498.52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69,883,609.98</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应收处置联营公司款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15,000,000.00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15,000,000.00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预缴社会保险款项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11,600,323.39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18,829,979.17</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应收商业保险理赔款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2,846,572.08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9,027,287.81</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88,745,282.39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93,434,758.66</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1,033,907,646.88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4"/>
                <w:szCs w:val="24"/>
              </w:rPr>
            </w:pP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,117,136,247.38</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减：坏账准备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(14,249,766.02)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(57,202,092.57)</w:t>
            </w:r>
          </w:p>
        </w:tc>
      </w:tr>
      <w:tr>
        <w:trPr>
          <w:trHeight w:val="3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1,019,657,880.86</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24"/>
                <w:szCs w:val="24"/>
              </w:rPr>
            </w:pPr>
            <w:r>
              <w:rPr>
                <w:rFonts w:ascii="Arial" w:eastAsia="Arial" w:hAnsi="Arial" w:cs="Arial"/>
                <w:color w:val="000000"/>
                <w:spacing w:val="0"/>
                <w:w w:val="100"/>
                <w:position w:val="0"/>
                <w:sz w:val="24"/>
                <w:szCs w:val="24"/>
              </w:rPr>
              <w:t xml:space="preserve">1 </w:t>
            </w:r>
            <w:r>
              <w:rPr>
                <w:rFonts w:ascii="Arial" w:eastAsia="Arial" w:hAnsi="Arial" w:cs="Arial"/>
                <w:color w:val="000000"/>
                <w:spacing w:val="0"/>
                <w:w w:val="100"/>
                <w:position w:val="0"/>
                <w:sz w:val="24"/>
                <w:szCs w:val="24"/>
              </w:rPr>
              <w:t>,059,934,154.81</w:t>
            </w:r>
          </w:p>
        </w:tc>
      </w:tr>
    </w:tbl>
    <w:p>
      <w:pPr>
        <w:sectPr>
          <w:footnotePr>
            <w:pos w:val="pageBottom"/>
            <w:numFmt w:val="decimal"/>
            <w:numRestart w:val="continuous"/>
          </w:footnotePr>
          <w:pgSz w:w="11900" w:h="16840"/>
          <w:pgMar w:top="1791" w:right="1091" w:bottom="1791" w:left="1962" w:header="0" w:footer="3" w:gutter="0"/>
          <w:cols w:space="720"/>
          <w:noEndnote/>
          <w:rtlGutter w:val="0"/>
          <w:docGrid w:linePitch="360"/>
        </w:sectPr>
      </w:pPr>
    </w:p>
    <w:p>
      <w:pPr>
        <w:pStyle w:val="Style27"/>
        <w:keepNext/>
        <w:keepLines/>
        <w:widowControl w:val="0"/>
        <w:shd w:val="clear" w:color="auto" w:fill="auto"/>
        <w:bidi w:val="0"/>
        <w:spacing w:before="0" w:after="340" w:line="240" w:lineRule="auto"/>
        <w:ind w:left="0" w:right="0" w:firstLine="0"/>
        <w:jc w:val="left"/>
        <w:rPr>
          <w:sz w:val="28"/>
          <w:szCs w:val="28"/>
        </w:rPr>
      </w:pPr>
      <w:bookmarkStart w:id="748" w:name="bookmark748"/>
      <w:bookmarkStart w:id="749" w:name="bookmark749"/>
      <w:bookmarkStart w:id="750" w:name="bookmark750"/>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48"/>
      <w:bookmarkEnd w:id="749"/>
      <w:bookmarkEnd w:id="750"/>
    </w:p>
    <w:p>
      <w:pPr>
        <w:pStyle w:val="Style27"/>
        <w:keepNext/>
        <w:keepLines/>
        <w:widowControl w:val="0"/>
        <w:shd w:val="clear" w:color="auto" w:fill="auto"/>
        <w:tabs>
          <w:tab w:pos="701" w:val="left"/>
        </w:tabs>
        <w:bidi w:val="0"/>
        <w:spacing w:before="0" w:after="340" w:line="240" w:lineRule="auto"/>
        <w:ind w:left="0" w:right="0" w:firstLine="0"/>
        <w:jc w:val="left"/>
        <w:rPr>
          <w:sz w:val="28"/>
          <w:szCs w:val="28"/>
        </w:rPr>
      </w:pPr>
      <w:bookmarkStart w:id="748" w:name="bookmark748"/>
      <w:bookmarkStart w:id="749" w:name="bookmark749"/>
      <w:bookmarkStart w:id="751" w:name="bookmark751"/>
      <w:r>
        <w:rPr>
          <w:rFonts w:ascii="Arial" w:eastAsia="Arial" w:hAnsi="Arial" w:cs="Arial"/>
          <w:b w:val="0"/>
          <w:bCs w:val="0"/>
          <w:color w:val="000000"/>
          <w:spacing w:val="0"/>
          <w:w w:val="100"/>
          <w:position w:val="0"/>
          <w:sz w:val="24"/>
          <w:szCs w:val="24"/>
        </w:rPr>
        <w:t>(4)</w:t>
        <w:tab/>
      </w:r>
      <w:r>
        <w:rPr>
          <w:color w:val="000000"/>
          <w:spacing w:val="0"/>
          <w:w w:val="100"/>
          <w:position w:val="0"/>
          <w:sz w:val="22"/>
          <w:szCs w:val="22"/>
        </w:rPr>
        <w:t>其他应收款</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48"/>
      <w:bookmarkEnd w:id="749"/>
      <w:bookmarkEnd w:id="751"/>
    </w:p>
    <w:p>
      <w:pPr>
        <w:pStyle w:val="Style33"/>
        <w:keepNext w:val="0"/>
        <w:keepLines w:val="0"/>
        <w:widowControl w:val="0"/>
        <w:numPr>
          <w:ilvl w:val="0"/>
          <w:numId w:val="49"/>
        </w:numPr>
        <w:shd w:val="clear" w:color="auto" w:fill="auto"/>
        <w:tabs>
          <w:tab w:pos="701" w:val="left"/>
        </w:tabs>
        <w:bidi w:val="0"/>
        <w:spacing w:before="0" w:after="0" w:line="240" w:lineRule="auto"/>
        <w:ind w:left="0" w:right="0" w:firstLine="0"/>
        <w:jc w:val="left"/>
        <w:rPr>
          <w:sz w:val="22"/>
          <w:szCs w:val="22"/>
        </w:rPr>
        <w:sectPr>
          <w:footnotePr>
            <w:pos w:val="pageBottom"/>
            <w:numFmt w:val="decimal"/>
            <w:numRestart w:val="continuous"/>
          </w:footnotePr>
          <w:pgSz w:w="11900" w:h="16840"/>
          <w:pgMar w:top="1758" w:right="1091" w:bottom="6016" w:left="1962" w:header="0" w:footer="3" w:gutter="0"/>
          <w:cols w:space="720"/>
          <w:noEndnote/>
          <w:rtlGutter w:val="0"/>
          <w:docGrid w:linePitch="360"/>
        </w:sectPr>
      </w:pPr>
      <w:bookmarkStart w:id="752" w:name="bookmark752"/>
      <w:bookmarkEnd w:id="752"/>
      <w:r>
        <w:rPr>
          <w:b w:val="0"/>
          <w:bCs w:val="0"/>
          <w:color w:val="000000"/>
          <w:spacing w:val="0"/>
          <w:w w:val="100"/>
          <w:position w:val="0"/>
          <w:sz w:val="22"/>
          <w:szCs w:val="22"/>
        </w:rPr>
        <w:t>其他应收款账龄分析如下:</w:t>
      </w:r>
    </w:p>
    <w:p>
      <w:pPr>
        <w:widowControl w:val="0"/>
        <w:spacing w:line="238" w:lineRule="exact"/>
        <w:rPr>
          <w:sz w:val="19"/>
          <w:szCs w:val="19"/>
        </w:rPr>
      </w:pPr>
    </w:p>
    <w:p>
      <w:pPr>
        <w:widowControl w:val="0"/>
        <w:spacing w:line="1" w:lineRule="exact"/>
        <w:sectPr>
          <w:footnotePr>
            <w:pos w:val="pageBottom"/>
            <w:numFmt w:val="decimal"/>
            <w:numRestart w:val="continuous"/>
          </w:footnotePr>
          <w:type w:val="continuous"/>
          <w:pgSz w:w="11900" w:h="16840"/>
          <w:pgMar w:top="1758" w:right="0" w:bottom="6016"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58" w:right="1230" w:bottom="6016" w:left="6042" w:header="0" w:footer="3" w:gutter="0"/>
          <w:cols w:num="2" w:space="365"/>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187" w:lineRule="exact"/>
        <w:rPr>
          <w:sz w:val="15"/>
          <w:szCs w:val="15"/>
        </w:rPr>
      </w:pPr>
    </w:p>
    <w:p>
      <w:pPr>
        <w:widowControl w:val="0"/>
        <w:spacing w:line="1" w:lineRule="exact"/>
        <w:sectPr>
          <w:footnotePr>
            <w:pos w:val="pageBottom"/>
            <w:numFmt w:val="decimal"/>
            <w:numRestart w:val="continuous"/>
          </w:footnotePr>
          <w:type w:val="continuous"/>
          <w:pgSz w:w="11900" w:h="16840"/>
          <w:pgMar w:top="1758" w:right="0" w:bottom="6016" w:left="0" w:header="0" w:footer="3" w:gutter="0"/>
          <w:cols w:space="720"/>
          <w:noEndnote/>
          <w:rtlGutter w:val="0"/>
          <w:docGrid w:linePitch="360"/>
        </w:sectPr>
      </w:pPr>
    </w:p>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一年以内</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含一年</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一到二年</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含二年</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二年以上</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916,043,795.71</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55,511,480.13</w:t>
      </w:r>
    </w:p>
    <w:p>
      <w:pPr>
        <w:pStyle w:val="Style9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u w:val="single"/>
        </w:rPr>
        <w:t>62,352,371.04</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1,033,907,646.88</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991,061,245.30</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73,358,998.90</w:t>
      </w:r>
    </w:p>
    <w:p>
      <w:pPr>
        <w:pStyle w:val="Style9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u w:val="single"/>
        </w:rPr>
        <w:t>52,716,003.18</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758" w:right="1201" w:bottom="6016" w:left="1967" w:header="0" w:footer="3" w:gutter="0"/>
          <w:cols w:num="3" w:space="720" w:equalWidth="0">
            <w:col w:w="1910" w:space="2414"/>
            <w:col w:w="1910" w:space="586"/>
            <w:col w:w="1910"/>
          </w:cols>
          <w:noEndnote/>
          <w:rtlGutter w:val="0"/>
          <w:docGrid w:linePitch="360"/>
        </w:sectPr>
      </w:pPr>
      <w:r>
        <w:rPr>
          <w:color w:val="000000"/>
          <w:spacing w:val="0"/>
          <w:w w:val="100"/>
          <w:position w:val="0"/>
          <w:sz w:val="24"/>
          <w:szCs w:val="24"/>
        </w:rPr>
        <w:t>1,117,136,24738</w: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58" w:right="0" w:bottom="5684" w:left="0" w:header="0" w:footer="3" w:gutter="0"/>
          <w:cols w:space="720"/>
          <w:noEndnote/>
          <w:rtlGutter w:val="0"/>
          <w:docGrid w:linePitch="360"/>
        </w:sectPr>
      </w:pPr>
    </w:p>
    <w:p>
      <w:pPr>
        <w:pStyle w:val="Style33"/>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日，本集团无重大已逾期未减值的其他应收款。</w:t>
      </w:r>
    </w:p>
    <w:p>
      <w:pPr>
        <w:pStyle w:val="Style33"/>
        <w:keepNext w:val="0"/>
        <w:keepLines w:val="0"/>
        <w:widowControl w:val="0"/>
        <w:numPr>
          <w:ilvl w:val="0"/>
          <w:numId w:val="49"/>
        </w:numPr>
        <w:shd w:val="clear" w:color="auto" w:fill="auto"/>
        <w:tabs>
          <w:tab w:pos="701" w:val="left"/>
        </w:tabs>
        <w:bidi w:val="0"/>
        <w:spacing w:before="0" w:after="420" w:line="240" w:lineRule="auto"/>
        <w:ind w:left="0" w:right="0" w:firstLine="0"/>
        <w:jc w:val="left"/>
        <w:rPr>
          <w:sz w:val="22"/>
          <w:szCs w:val="22"/>
        </w:rPr>
      </w:pPr>
      <w:bookmarkStart w:id="753" w:name="bookmark753"/>
      <w:bookmarkEnd w:id="753"/>
      <w:r>
        <w:rPr>
          <w:b w:val="0"/>
          <w:bCs w:val="0"/>
          <w:color w:val="000000"/>
          <w:spacing w:val="0"/>
          <w:w w:val="100"/>
          <w:position w:val="0"/>
          <w:sz w:val="22"/>
          <w:szCs w:val="22"/>
        </w:rPr>
        <w:t>其他应收款按类别分析</w:t>
      </w:r>
    </w:p>
    <w:p>
      <w:pPr>
        <w:pStyle w:val="Style29"/>
        <w:keepNext w:val="0"/>
        <w:keepLines w:val="0"/>
        <w:widowControl w:val="0"/>
        <w:shd w:val="clear" w:color="auto" w:fill="auto"/>
        <w:bidi w:val="0"/>
        <w:spacing w:before="0" w:after="0" w:line="240" w:lineRule="auto"/>
        <w:ind w:left="5021" w:right="0" w:firstLine="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2486"/>
        <w:gridCol w:w="2150"/>
        <w:gridCol w:w="1162"/>
        <w:gridCol w:w="2069"/>
        <w:gridCol w:w="898"/>
      </w:tblGrid>
      <w:tr>
        <w:trPr>
          <w:trHeight w:val="33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523"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占总额比例</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计提比例</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4)(c))</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140,319,512.72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13.57%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rPr>
                <w:sz w:val="16"/>
                <w:szCs w:val="16"/>
              </w:rPr>
            </w:pPr>
            <w:r>
              <w:rPr>
                <w:rFonts w:ascii="Arial" w:eastAsia="Arial" w:hAnsi="Arial" w:cs="Arial"/>
                <w:color w:val="000000"/>
                <w:spacing w:val="0"/>
                <w:w w:val="100"/>
                <w:position w:val="0"/>
                <w:sz w:val="16"/>
                <w:szCs w:val="16"/>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883,963,799.53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85.50%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(4,625,431.39)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单独计提坏账准备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4)(c))</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124,334.63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0.01%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(124,334.63)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9,500,000.00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0.92%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(9,500,000.00)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1,033,907,646.88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(14,249,766.02)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w:t>
            </w:r>
          </w:p>
        </w:tc>
      </w:tr>
    </w:tbl>
    <w:p>
      <w:pPr>
        <w:spacing w:lineRule="exact" w:line="1"/>
        <w:rPr>
          <w:sz w:val="2"/>
          <w:szCs w:val="2"/>
        </w:rPr>
      </w:pPr>
      <w:r>
        <w:br w:type="page"/>
      </w:r>
    </w:p>
    <w:p>
      <w:pPr>
        <w:pStyle w:val="Style27"/>
        <w:keepNext/>
        <w:keepLines/>
        <w:widowControl w:val="0"/>
        <w:shd w:val="clear" w:color="auto" w:fill="auto"/>
        <w:bidi w:val="0"/>
        <w:spacing w:before="0" w:after="280" w:line="240" w:lineRule="auto"/>
        <w:ind w:left="0" w:right="0" w:firstLine="0"/>
        <w:jc w:val="left"/>
      </w:pPr>
      <w:bookmarkStart w:id="754" w:name="bookmark754"/>
      <w:bookmarkStart w:id="755" w:name="bookmark755"/>
      <w:bookmarkStart w:id="756" w:name="bookmark756"/>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54"/>
      <w:bookmarkEnd w:id="755"/>
      <w:bookmarkEnd w:id="756"/>
    </w:p>
    <w:p>
      <w:pPr>
        <w:pStyle w:val="Style27"/>
        <w:keepNext/>
        <w:keepLines/>
        <w:widowControl w:val="0"/>
        <w:shd w:val="clear" w:color="auto" w:fill="auto"/>
        <w:tabs>
          <w:tab w:pos="701" w:val="left"/>
        </w:tabs>
        <w:bidi w:val="0"/>
        <w:spacing w:before="0" w:after="360" w:line="240" w:lineRule="auto"/>
        <w:ind w:left="0" w:right="0" w:firstLine="0"/>
        <w:jc w:val="left"/>
        <w:rPr>
          <w:sz w:val="28"/>
          <w:szCs w:val="28"/>
        </w:rPr>
      </w:pPr>
      <w:bookmarkStart w:id="754" w:name="bookmark754"/>
      <w:bookmarkStart w:id="755" w:name="bookmark755"/>
      <w:bookmarkStart w:id="757" w:name="bookmark757"/>
      <w:r>
        <w:rPr>
          <w:rFonts w:ascii="Arial" w:eastAsia="Arial" w:hAnsi="Arial" w:cs="Arial"/>
          <w:b w:val="0"/>
          <w:bCs w:val="0"/>
          <w:color w:val="000000"/>
          <w:spacing w:val="0"/>
          <w:w w:val="100"/>
          <w:position w:val="0"/>
          <w:sz w:val="24"/>
          <w:szCs w:val="24"/>
        </w:rPr>
        <w:t>(4)</w:t>
        <w:tab/>
      </w:r>
      <w:r>
        <w:rPr>
          <w:color w:val="000000"/>
          <w:spacing w:val="0"/>
          <w:w w:val="100"/>
          <w:position w:val="0"/>
          <w:sz w:val="22"/>
          <w:szCs w:val="22"/>
        </w:rPr>
        <w:t>其他应收款</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54"/>
      <w:bookmarkEnd w:id="755"/>
      <w:bookmarkEnd w:id="757"/>
    </w:p>
    <w:p>
      <w:pPr>
        <w:pStyle w:val="Style33"/>
        <w:keepNext w:val="0"/>
        <w:keepLines w:val="0"/>
        <w:widowControl w:val="0"/>
        <w:shd w:val="clear" w:color="auto" w:fill="auto"/>
        <w:bidi w:val="0"/>
        <w:spacing w:before="0" w:after="40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其他应收款按类别分析</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5021" w:right="0" w:firstLine="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2486"/>
        <w:gridCol w:w="2141"/>
        <w:gridCol w:w="1166"/>
        <w:gridCol w:w="2064"/>
        <w:gridCol w:w="998"/>
      </w:tblGrid>
      <w:tr>
        <w:trPr>
          <w:trHeight w:val="33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523"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占总额比例</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计提比例</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w:t>
            </w:r>
          </w:p>
        </w:tc>
        <w:tc>
          <w:tcPr>
            <w:gridSpan w:val="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4)(c))</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219,552,027.33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19.65%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16"/>
                <w:szCs w:val="16"/>
              </w:rPr>
            </w:pPr>
            <w:r>
              <w:rPr>
                <w:rFonts w:ascii="Arial" w:eastAsia="Arial" w:hAnsi="Arial" w:cs="Arial"/>
                <w:color w:val="000000"/>
                <w:spacing w:val="0"/>
                <w:w w:val="100"/>
                <w:position w:val="0"/>
                <w:sz w:val="16"/>
                <w:szCs w:val="16"/>
              </w:rPr>
              <w:t>-</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844,980,347.80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75.64%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(4,598,220.32)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0.54%</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单独计提坏账准备</w:t>
            </w:r>
          </w:p>
        </w:tc>
        <w:tc>
          <w:tcPr>
            <w:gridSpan w:val="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应收关联方款项</w:t>
            </w:r>
            <w:r>
              <w:rPr>
                <w:rFonts w:ascii="Arial" w:eastAsia="Arial" w:hAnsi="Arial" w:cs="Arial"/>
                <w:color w:val="000000"/>
                <w:spacing w:val="0"/>
                <w:w w:val="100"/>
                <w:position w:val="0"/>
                <w:sz w:val="16"/>
                <w:szCs w:val="16"/>
              </w:rPr>
              <w:t>(</w:t>
            </w:r>
            <w:r>
              <w:rPr>
                <w:color w:val="000000"/>
                <w:spacing w:val="0"/>
                <w:w w:val="100"/>
                <w:position w:val="0"/>
                <w:sz w:val="16"/>
                <w:szCs w:val="16"/>
              </w:rPr>
              <w:t>附注八</w:t>
            </w:r>
            <w:r>
              <w:rPr>
                <w:rFonts w:ascii="Arial" w:eastAsia="Arial" w:hAnsi="Arial" w:cs="Arial"/>
                <w:color w:val="000000"/>
                <w:spacing w:val="0"/>
                <w:w w:val="100"/>
                <w:position w:val="0"/>
                <w:sz w:val="16"/>
                <w:szCs w:val="16"/>
              </w:rPr>
              <w:t>(4)(c))</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48,103,872.25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(48,103,872.25)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100.00%</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应收非关联方款项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4,500,000.00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0.40%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100.00%</w:t>
            </w:r>
          </w:p>
        </w:tc>
      </w:tr>
      <w:tr>
        <w:trPr>
          <w:trHeight w:val="68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1,117,136,247.38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40"/>
              <w:jc w:val="left"/>
              <w:rPr>
                <w:sz w:val="16"/>
                <w:szCs w:val="16"/>
              </w:rPr>
            </w:pPr>
            <w:r>
              <w:rPr>
                <w:rFonts w:ascii="Arial" w:eastAsia="Arial" w:hAnsi="Arial" w:cs="Arial"/>
                <w:color w:val="000000"/>
                <w:spacing w:val="0"/>
                <w:w w:val="100"/>
                <w:position w:val="0"/>
                <w:sz w:val="16"/>
                <w:szCs w:val="16"/>
              </w:rPr>
              <w:t>(57,202,092.57)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5.12%</w:t>
            </w:r>
          </w:p>
        </w:tc>
      </w:tr>
    </w:tbl>
    <w:p>
      <w:pPr>
        <w:widowControl w:val="0"/>
        <w:spacing w:after="359" w:line="1" w:lineRule="exact"/>
      </w:pPr>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(C)</w:t>
      </w:r>
      <w:r>
        <w:rPr>
          <w:b w:val="0"/>
          <w:bCs w:val="0"/>
          <w:color w:val="000000"/>
          <w:spacing w:val="0"/>
          <w:w w:val="100"/>
          <w:position w:val="0"/>
          <w:sz w:val="22"/>
          <w:szCs w:val="22"/>
        </w:rPr>
        <w:t>其他应收款坏账准备变动表</w:t>
      </w:r>
    </w:p>
    <w:p>
      <w:pPr>
        <w:widowControl w:val="0"/>
        <w:spacing w:line="1" w:lineRule="exact"/>
      </w:pPr>
      <w:r>
        <mc:AlternateContent>
          <mc:Choice Requires="wps">
            <w:drawing>
              <wp:anchor distT="152400" distB="0" distL="0" distR="0" simplePos="0" relativeHeight="125829407" behindDoc="0" locked="0" layoutInCell="1" allowOverlap="1">
                <wp:simplePos x="0" y="0"/>
                <wp:positionH relativeFrom="page">
                  <wp:posOffset>4465320</wp:posOffset>
                </wp:positionH>
                <wp:positionV relativeFrom="paragraph">
                  <wp:posOffset>152400</wp:posOffset>
                </wp:positionV>
                <wp:extent cx="709930" cy="189230"/>
                <wp:wrapTopAndBottom/>
                <wp:docPr id="93" name="Shape 93"/>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19" type="#_x0000_t202" style="position:absolute;margin-left:351.60000000000002pt;margin-top:12.pt;width:55.899999999999999pt;height:14.9pt;z-index:-125829346;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52400" distB="0" distL="0" distR="0" simplePos="0" relativeHeight="125829409" behindDoc="0" locked="0" layoutInCell="1" allowOverlap="1">
                <wp:simplePos x="0" y="0"/>
                <wp:positionH relativeFrom="page">
                  <wp:posOffset>6050280</wp:posOffset>
                </wp:positionH>
                <wp:positionV relativeFrom="paragraph">
                  <wp:posOffset>152400</wp:posOffset>
                </wp:positionV>
                <wp:extent cx="709930" cy="189230"/>
                <wp:wrapTopAndBottom/>
                <wp:docPr id="95" name="Shape 95"/>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21" type="#_x0000_t202" style="position:absolute;margin-left:476.40000000000003pt;margin-top:12.pt;width:55.899999999999999pt;height:14.9pt;z-index:-125829344;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758" w:right="1105" w:bottom="5684" w:left="1940" w:header="0" w:footer="3" w:gutter="0"/>
          <w:cols w:space="720"/>
          <w:noEndnote/>
          <w:rtlGutter w:val="0"/>
          <w:docGrid w:linePitch="360"/>
        </w:sectPr>
      </w:pPr>
      <w:r>
        <mc:AlternateContent>
          <mc:Choice Requires="wps">
            <w:drawing>
              <wp:anchor distT="177800" distB="2540" distL="0" distR="0" simplePos="0" relativeHeight="125829411" behindDoc="0" locked="0" layoutInCell="1" allowOverlap="1">
                <wp:simplePos x="0" y="0"/>
                <wp:positionH relativeFrom="page">
                  <wp:posOffset>1231900</wp:posOffset>
                </wp:positionH>
                <wp:positionV relativeFrom="paragraph">
                  <wp:posOffset>177800</wp:posOffset>
                </wp:positionV>
                <wp:extent cx="1234440" cy="829310"/>
                <wp:wrapTopAndBottom/>
                <wp:docPr id="97" name="Shape 97"/>
                <a:graphic xmlns:a="http://schemas.openxmlformats.org/drawingml/2006/main">
                  <a:graphicData uri="http://schemas.microsoft.com/office/word/2010/wordprocessingShape">
                    <wps:wsp>
                      <wps:cNvSpPr txBox="1"/>
                      <wps:spPr>
                        <a:xfrm>
                          <a:ext cx="1234440" cy="829310"/>
                        </a:xfrm>
                        <a:prstGeom prst="rect"/>
                        <a:noFill/>
                      </wps:spPr>
                      <wps:txbx>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年初余额</w:t>
                            </w:r>
                          </w:p>
                          <w:p>
                            <w:pPr>
                              <w:pStyle w:val="Style33"/>
                              <w:keepNext w:val="0"/>
                              <w:keepLines w:val="0"/>
                              <w:widowControl w:val="0"/>
                              <w:shd w:val="clear" w:color="auto" w:fill="auto"/>
                              <w:bidi w:val="0"/>
                              <w:spacing w:before="0" w:after="0" w:line="317" w:lineRule="exact"/>
                              <w:ind w:left="0" w:right="0" w:firstLine="0"/>
                              <w:jc w:val="left"/>
                              <w:rPr>
                                <w:sz w:val="24"/>
                                <w:szCs w:val="24"/>
                              </w:rPr>
                            </w:pPr>
                            <w:r>
                              <w:rPr>
                                <w:b w:val="0"/>
                                <w:bCs w:val="0"/>
                                <w:color w:val="000000"/>
                                <w:spacing w:val="0"/>
                                <w:w w:val="100"/>
                                <w:position w:val="0"/>
                                <w:sz w:val="22"/>
                                <w:szCs w:val="22"/>
                              </w:rPr>
                              <w:t>本年度</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转回</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计提 本年度核销</w:t>
                            </w:r>
                            <w:r>
                              <w:rPr>
                                <w:rFonts w:ascii="Arial" w:eastAsia="Arial" w:hAnsi="Arial" w:cs="Arial"/>
                                <w:b w:val="0"/>
                                <w:bCs w:val="0"/>
                                <w:color w:val="000000"/>
                                <w:spacing w:val="0"/>
                                <w:w w:val="100"/>
                                <w:position w:val="0"/>
                                <w:sz w:val="24"/>
                                <w:szCs w:val="24"/>
                              </w:rPr>
                              <w:t>(i)</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年末余额</w:t>
                            </w:r>
                          </w:p>
                        </w:txbxContent>
                      </wps:txbx>
                      <wps:bodyPr lIns="0" tIns="0" rIns="0" bIns="0">
                        <a:noAutoFit/>
                      </wps:bodyPr>
                    </wps:wsp>
                  </a:graphicData>
                </a:graphic>
              </wp:anchor>
            </w:drawing>
          </mc:Choice>
          <mc:Fallback>
            <w:pict>
              <v:shape id="_x0000_s1123" type="#_x0000_t202" style="position:absolute;margin-left:97.pt;margin-top:14.pt;width:97.200000000000003pt;height:65.299999999999997pt;z-index:-125829342;mso-wrap-distance-left:0;mso-wrap-distance-top:14.pt;mso-wrap-distance-right:0;mso-wrap-distance-bottom:0.20000000000000001pt;mso-position-horizontal-relative:page" filled="f" stroked="f">
                <v:textbox inset="0,0,0,0">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年初余额</w:t>
                      </w:r>
                    </w:p>
                    <w:p>
                      <w:pPr>
                        <w:pStyle w:val="Style33"/>
                        <w:keepNext w:val="0"/>
                        <w:keepLines w:val="0"/>
                        <w:widowControl w:val="0"/>
                        <w:shd w:val="clear" w:color="auto" w:fill="auto"/>
                        <w:bidi w:val="0"/>
                        <w:spacing w:before="0" w:after="0" w:line="317" w:lineRule="exact"/>
                        <w:ind w:left="0" w:right="0" w:firstLine="0"/>
                        <w:jc w:val="left"/>
                        <w:rPr>
                          <w:sz w:val="24"/>
                          <w:szCs w:val="24"/>
                        </w:rPr>
                      </w:pPr>
                      <w:r>
                        <w:rPr>
                          <w:b w:val="0"/>
                          <w:bCs w:val="0"/>
                          <w:color w:val="000000"/>
                          <w:spacing w:val="0"/>
                          <w:w w:val="100"/>
                          <w:position w:val="0"/>
                          <w:sz w:val="22"/>
                          <w:szCs w:val="22"/>
                        </w:rPr>
                        <w:t>本年度</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转回</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计提 本年度核销</w:t>
                      </w:r>
                      <w:r>
                        <w:rPr>
                          <w:rFonts w:ascii="Arial" w:eastAsia="Arial" w:hAnsi="Arial" w:cs="Arial"/>
                          <w:b w:val="0"/>
                          <w:bCs w:val="0"/>
                          <w:color w:val="000000"/>
                          <w:spacing w:val="0"/>
                          <w:w w:val="100"/>
                          <w:position w:val="0"/>
                          <w:sz w:val="24"/>
                          <w:szCs w:val="24"/>
                        </w:rPr>
                        <w:t>(i)</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年末余额</w:t>
                      </w:r>
                    </w:p>
                  </w:txbxContent>
                </v:textbox>
                <w10:wrap type="topAndBottom" anchorx="page"/>
              </v:shape>
            </w:pict>
          </mc:Fallback>
        </mc:AlternateContent>
      </w:r>
      <w:r>
        <mc:AlternateContent>
          <mc:Choice Requires="wps">
            <w:drawing>
              <wp:anchor distT="205105" distB="0" distL="0" distR="0" simplePos="0" relativeHeight="125829413" behindDoc="0" locked="0" layoutInCell="1" allowOverlap="1">
                <wp:simplePos x="0" y="0"/>
                <wp:positionH relativeFrom="page">
                  <wp:posOffset>4133850</wp:posOffset>
                </wp:positionH>
                <wp:positionV relativeFrom="paragraph">
                  <wp:posOffset>205105</wp:posOffset>
                </wp:positionV>
                <wp:extent cx="1109345" cy="804545"/>
                <wp:wrapTopAndBottom/>
                <wp:docPr id="99" name="Shape 99"/>
                <a:graphic xmlns:a="http://schemas.openxmlformats.org/drawingml/2006/main">
                  <a:graphicData uri="http://schemas.microsoft.com/office/word/2010/wordprocessingShape">
                    <wps:wsp>
                      <wps:cNvSpPr txBox="1"/>
                      <wps:spPr>
                        <a:xfrm>
                          <a:ext cx="1109345"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57,202,092.57</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(24,290,809.64)</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(18,661,516.91)</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both"/>
                            </w:pPr>
                            <w:r>
                              <w:rPr>
                                <w:color w:val="000000"/>
                                <w:spacing w:val="0"/>
                                <w:w w:val="100"/>
                                <w:position w:val="0"/>
                                <w:sz w:val="24"/>
                                <w:szCs w:val="24"/>
                              </w:rPr>
                              <w:t>14,249,766.02"</w:t>
                            </w:r>
                          </w:p>
                        </w:txbxContent>
                      </wps:txbx>
                      <wps:bodyPr lIns="0" tIns="0" rIns="0" bIns="0">
                        <a:noAutoFit/>
                      </wps:bodyPr>
                    </wps:wsp>
                  </a:graphicData>
                </a:graphic>
              </wp:anchor>
            </w:drawing>
          </mc:Choice>
          <mc:Fallback>
            <w:pict>
              <v:shape id="_x0000_s1125" type="#_x0000_t202" style="position:absolute;margin-left:325.5pt;margin-top:16.149999999999999pt;width:87.350000000000009pt;height:63.350000000000001pt;z-index:-125829340;mso-wrap-distance-left:0;mso-wrap-distance-top:16.149999999999999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57,202,092.57</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(24,290,809.64)</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(18,661,516.91)</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both"/>
                      </w:pPr>
                      <w:r>
                        <w:rPr>
                          <w:color w:val="000000"/>
                          <w:spacing w:val="0"/>
                          <w:w w:val="100"/>
                          <w:position w:val="0"/>
                          <w:sz w:val="24"/>
                          <w:szCs w:val="24"/>
                        </w:rPr>
                        <w:t>14,249,766.02"</w:t>
                      </w:r>
                    </w:p>
                  </w:txbxContent>
                </v:textbox>
                <w10:wrap type="topAndBottom" anchorx="page"/>
              </v:shape>
            </w:pict>
          </mc:Fallback>
        </mc:AlternateContent>
      </w:r>
      <w:r>
        <mc:AlternateContent>
          <mc:Choice Requires="wps">
            <w:drawing>
              <wp:anchor distT="205105" distB="0" distL="0" distR="0" simplePos="0" relativeHeight="125829415" behindDoc="0" locked="0" layoutInCell="1" allowOverlap="1">
                <wp:simplePos x="0" y="0"/>
                <wp:positionH relativeFrom="page">
                  <wp:posOffset>5767070</wp:posOffset>
                </wp:positionH>
                <wp:positionV relativeFrom="paragraph">
                  <wp:posOffset>205105</wp:posOffset>
                </wp:positionV>
                <wp:extent cx="1060450" cy="804545"/>
                <wp:wrapTopAndBottom/>
                <wp:docPr id="101" name="Shape 101"/>
                <a:graphic xmlns:a="http://schemas.openxmlformats.org/drawingml/2006/main">
                  <a:graphicData uri="http://schemas.microsoft.com/office/word/2010/wordprocessingShape">
                    <wps:wsp>
                      <wps:cNvSpPr txBox="1"/>
                      <wps:spPr>
                        <a:xfrm>
                          <a:ext cx="1060450"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6,532,583.41</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57,794,369.99</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(7,124,860.83)</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57,202,092.5?"</w:t>
                            </w:r>
                          </w:p>
                        </w:txbxContent>
                      </wps:txbx>
                      <wps:bodyPr lIns="0" tIns="0" rIns="0" bIns="0">
                        <a:noAutoFit/>
                      </wps:bodyPr>
                    </wps:wsp>
                  </a:graphicData>
                </a:graphic>
              </wp:anchor>
            </w:drawing>
          </mc:Choice>
          <mc:Fallback>
            <w:pict>
              <v:shape id="_x0000_s1127" type="#_x0000_t202" style="position:absolute;margin-left:454.10000000000002pt;margin-top:16.149999999999999pt;width:83.5pt;height:63.350000000000001pt;z-index:-125829338;mso-wrap-distance-left:0;mso-wrap-distance-top:16.149999999999999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6,532,583.41</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57,794,369.99</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(7,124,860.83)</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57,202,092.5?"</w:t>
                      </w:r>
                    </w:p>
                  </w:txbxContent>
                </v:textbox>
                <w10:wrap type="topAndBottom" anchorx="page"/>
              </v:shape>
            </w:pict>
          </mc:Fallback>
        </mc:AlternateConten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91" w:right="0" w:bottom="1791" w:left="0"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91" w:right="1081" w:bottom="1791" w:left="1962" w:header="0" w:footer="3" w:gutter="0"/>
          <w:cols w:space="720"/>
          <w:noEndnote/>
          <w:rtlGutter w:val="0"/>
          <w:docGrid w:linePitch="360"/>
        </w:sectPr>
      </w:pPr>
      <w:r>
        <w:rPr>
          <w:b w:val="0"/>
          <w:bCs w:val="0"/>
          <w:color w:val="000000"/>
          <w:spacing w:val="0"/>
          <w:w w:val="100"/>
          <w:position w:val="0"/>
          <w:sz w:val="22"/>
          <w:szCs w:val="22"/>
        </w:rPr>
        <w:t>⑴ 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年度，本集团无单项重大的其他应收款核销。</w:t>
      </w:r>
    </w:p>
    <w:p>
      <w:pPr>
        <w:pStyle w:val="Style27"/>
        <w:keepNext/>
        <w:keepLines/>
        <w:widowControl w:val="0"/>
        <w:shd w:val="clear" w:color="auto" w:fill="auto"/>
        <w:bidi w:val="0"/>
        <w:spacing w:before="0" w:after="340" w:line="240" w:lineRule="auto"/>
        <w:ind w:left="0" w:right="0" w:firstLine="0"/>
        <w:jc w:val="left"/>
        <w:rPr>
          <w:sz w:val="28"/>
          <w:szCs w:val="28"/>
        </w:rPr>
      </w:pPr>
      <w:bookmarkStart w:id="758" w:name="bookmark758"/>
      <w:bookmarkStart w:id="759" w:name="bookmark759"/>
      <w:bookmarkStart w:id="760" w:name="bookmark760"/>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58"/>
      <w:bookmarkEnd w:id="759"/>
      <w:bookmarkEnd w:id="760"/>
    </w:p>
    <w:p>
      <w:pPr>
        <w:pStyle w:val="Style27"/>
        <w:keepNext/>
        <w:keepLines/>
        <w:widowControl w:val="0"/>
        <w:shd w:val="clear" w:color="auto" w:fill="auto"/>
        <w:tabs>
          <w:tab w:pos="701" w:val="left"/>
        </w:tabs>
        <w:bidi w:val="0"/>
        <w:spacing w:before="0" w:after="340" w:line="240" w:lineRule="auto"/>
        <w:ind w:left="0" w:right="0" w:firstLine="0"/>
        <w:jc w:val="left"/>
        <w:rPr>
          <w:sz w:val="28"/>
          <w:szCs w:val="28"/>
        </w:rPr>
      </w:pPr>
      <w:bookmarkStart w:id="758" w:name="bookmark758"/>
      <w:bookmarkStart w:id="759" w:name="bookmark759"/>
      <w:bookmarkStart w:id="761" w:name="bookmark761"/>
      <w:r>
        <w:rPr>
          <w:rFonts w:ascii="Arial" w:eastAsia="Arial" w:hAnsi="Arial" w:cs="Arial"/>
          <w:b w:val="0"/>
          <w:bCs w:val="0"/>
          <w:color w:val="000000"/>
          <w:spacing w:val="0"/>
          <w:w w:val="100"/>
          <w:position w:val="0"/>
          <w:sz w:val="24"/>
          <w:szCs w:val="24"/>
        </w:rPr>
        <w:t>(4)</w:t>
        <w:tab/>
      </w:r>
      <w:r>
        <w:rPr>
          <w:color w:val="000000"/>
          <w:spacing w:val="0"/>
          <w:w w:val="100"/>
          <w:position w:val="0"/>
          <w:sz w:val="22"/>
          <w:szCs w:val="22"/>
        </w:rPr>
        <w:t>其他应收款</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758"/>
      <w:bookmarkEnd w:id="759"/>
      <w:bookmarkEnd w:id="761"/>
    </w:p>
    <w:p>
      <w:pPr>
        <w:pStyle w:val="Style33"/>
        <w:keepNext w:val="0"/>
        <w:keepLines w:val="0"/>
        <w:widowControl w:val="0"/>
        <w:numPr>
          <w:ilvl w:val="0"/>
          <w:numId w:val="51"/>
        </w:numPr>
        <w:shd w:val="clear" w:color="auto" w:fill="auto"/>
        <w:bidi w:val="0"/>
        <w:spacing w:before="0" w:after="420" w:line="240" w:lineRule="auto"/>
        <w:ind w:left="0" w:right="0" w:firstLine="0"/>
        <w:jc w:val="left"/>
        <w:rPr>
          <w:sz w:val="22"/>
          <w:szCs w:val="22"/>
        </w:rPr>
      </w:pPr>
      <w:bookmarkStart w:id="762" w:name="bookmark762"/>
      <w:bookmarkEnd w:id="762"/>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日，按欠款方归集的余额前五名的其他应收款汇总分析如下:</w:t>
      </w:r>
    </w:p>
    <w:p>
      <w:pPr>
        <w:pStyle w:val="Style29"/>
        <w:keepNext w:val="0"/>
        <w:keepLines w:val="0"/>
        <w:widowControl w:val="0"/>
        <w:shd w:val="clear" w:color="auto" w:fill="auto"/>
        <w:bidi w:val="0"/>
        <w:spacing w:before="0" w:after="0" w:line="240" w:lineRule="auto"/>
        <w:ind w:left="6106" w:right="0" w:firstLine="0"/>
        <w:jc w:val="left"/>
        <w:rPr>
          <w:sz w:val="15"/>
          <w:szCs w:val="15"/>
        </w:rPr>
      </w:pPr>
      <w:r>
        <w:rPr>
          <w:rFonts w:ascii="Arial" w:eastAsia="Arial" w:hAnsi="Arial" w:cs="Arial"/>
          <w:color w:val="000000"/>
          <w:spacing w:val="0"/>
          <w:w w:val="100"/>
          <w:position w:val="0"/>
          <w:sz w:val="15"/>
          <w:szCs w:val="15"/>
        </w:rPr>
        <w:t>2016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bl>
      <w:tblPr>
        <w:tblOverlap w:val="never"/>
        <w:jc w:val="center"/>
        <w:tblLayout w:type="fixed"/>
      </w:tblPr>
      <w:tblGrid>
        <w:gridCol w:w="2659"/>
        <w:gridCol w:w="1301"/>
        <w:gridCol w:w="830"/>
        <w:gridCol w:w="1406"/>
        <w:gridCol w:w="1368"/>
        <w:gridCol w:w="1267"/>
      </w:tblGrid>
      <w:tr>
        <w:trPr>
          <w:trHeight w:val="8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性质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账龄</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坏账准备金额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140" w:firstLine="0"/>
              <w:jc w:val="right"/>
              <w:rPr>
                <w:sz w:val="15"/>
                <w:szCs w:val="15"/>
              </w:rPr>
            </w:pPr>
            <w:r>
              <w:rPr>
                <w:color w:val="000000"/>
                <w:spacing w:val="0"/>
                <w:w w:val="100"/>
                <w:position w:val="0"/>
                <w:sz w:val="15"/>
                <w:szCs w:val="15"/>
              </w:rPr>
              <w:t>占其他应收款</w:t>
            </w:r>
          </w:p>
          <w:p>
            <w:pPr>
              <w:pStyle w:val="Style2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余额总额比例</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顺丰控股集团商贸有限公司及其子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r>
              <w:rPr>
                <w:rFonts w:ascii="Arial" w:eastAsia="Arial" w:hAnsi="Arial" w:cs="Arial"/>
                <w:color w:val="000000"/>
                <w:spacing w:val="0"/>
                <w:w w:val="100"/>
                <w:position w:val="0"/>
                <w:sz w:val="15"/>
                <w:szCs w:val="15"/>
              </w:rPr>
              <w:t>(</w:t>
            </w:r>
            <w:r>
              <w:rPr>
                <w:color w:val="000000"/>
                <w:spacing w:val="0"/>
                <w:w w:val="100"/>
                <w:position w:val="0"/>
                <w:sz w:val="15"/>
                <w:szCs w:val="15"/>
              </w:rPr>
              <w:t>以下简称“商贸控股及其子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r>
              <w:rPr>
                <w:color w:val="000000"/>
                <w:spacing w:val="0"/>
                <w:w w:val="100"/>
                <w:position w:val="0"/>
                <w:sz w:val="18"/>
                <w:szCs w:val="18"/>
              </w:rPr>
              <w:t>)(</w:t>
            </w:r>
            <w:r>
              <w:rPr>
                <w:color w:val="000000"/>
                <w:spacing w:val="0"/>
                <w:w w:val="100"/>
                <w:position w:val="0"/>
                <w:sz w:val="15"/>
                <w:szCs w:val="15"/>
              </w:rPr>
              <w:t>附注八</w:t>
            </w:r>
            <w:r>
              <w:rPr>
                <w:rFonts w:ascii="Arial" w:eastAsia="Arial" w:hAnsi="Arial" w:cs="Arial"/>
                <w:color w:val="000000"/>
                <w:spacing w:val="0"/>
                <w:w w:val="100"/>
                <w:position w:val="0"/>
                <w:sz w:val="15"/>
                <w:szCs w:val="15"/>
              </w:rPr>
              <w:t>(</w:t>
            </w:r>
            <w:r>
              <w:rPr>
                <w:rFonts w:ascii="Arial" w:eastAsia="Arial" w:hAnsi="Arial" w:cs="Arial"/>
                <w:color w:val="000000"/>
                <w:spacing w:val="0"/>
                <w:w w:val="100"/>
                <w:position w:val="0"/>
                <w:sz w:val="15"/>
                <w:szCs w:val="15"/>
              </w:rPr>
              <w:t>4)(c))</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代收代付款项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133,102,829.04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rPr>
              <w:t>12.87%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长春兴隆</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运力返还</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71,821,670.00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(359,108.35)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Arial" w:eastAsia="Arial" w:hAnsi="Arial" w:cs="Arial"/>
                <w:color w:val="000000"/>
                <w:spacing w:val="0"/>
                <w:w w:val="100"/>
                <w:position w:val="0"/>
                <w:sz w:val="15"/>
                <w:szCs w:val="15"/>
              </w:rPr>
              <w:t>6.95%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威达高科技控股有限公司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委托贷款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(150,000.00)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Arial" w:eastAsia="Arial" w:hAnsi="Arial" w:cs="Arial"/>
                <w:color w:val="000000"/>
                <w:spacing w:val="0"/>
                <w:w w:val="100"/>
                <w:position w:val="0"/>
                <w:sz w:val="15"/>
                <w:szCs w:val="15"/>
              </w:rPr>
              <w:t>2.90%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上海托普旺物流有限公司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委托贷款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28,030,000.00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(140,150.00)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Arial" w:eastAsia="Arial" w:hAnsi="Arial" w:cs="Arial"/>
                <w:color w:val="000000"/>
                <w:spacing w:val="0"/>
                <w:w w:val="100"/>
                <w:position w:val="0"/>
                <w:sz w:val="15"/>
                <w:szCs w:val="15"/>
              </w:rPr>
              <w:t>2.71%</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北京商文博达投资中心</w:t>
            </w:r>
            <w:r>
              <w:rPr>
                <w:rFonts w:ascii="Arial" w:eastAsia="Arial" w:hAnsi="Arial" w:cs="Arial"/>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股权转让</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25,000,000.00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(125,000.00)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rFonts w:ascii="Arial" w:eastAsia="Arial" w:hAnsi="Arial" w:cs="Arial"/>
                <w:color w:val="000000"/>
                <w:spacing w:val="0"/>
                <w:w w:val="100"/>
                <w:position w:val="0"/>
                <w:sz w:val="15"/>
                <w:szCs w:val="15"/>
              </w:rPr>
              <w:t>2.42%</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287,954,499.04</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(774,258.35)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rPr>
              <w:t>27.85%</w:t>
            </w:r>
          </w:p>
        </w:tc>
      </w:tr>
    </w:tbl>
    <w:p>
      <w:pPr>
        <w:sectPr>
          <w:footnotePr>
            <w:pos w:val="pageBottom"/>
            <w:numFmt w:val="decimal"/>
            <w:numRestart w:val="continuous"/>
          </w:footnotePr>
          <w:pgSz w:w="11900" w:h="16840"/>
          <w:pgMar w:top="1758" w:right="1096" w:bottom="1758" w:left="1967"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763" w:name="bookmark763"/>
      <w:bookmarkStart w:id="764" w:name="bookmark764"/>
      <w:bookmarkStart w:id="765" w:name="bookmark765"/>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63"/>
      <w:bookmarkEnd w:id="764"/>
      <w:bookmarkEnd w:id="765"/>
    </w:p>
    <w:p>
      <w:pPr>
        <w:pStyle w:val="Style27"/>
        <w:keepNext/>
        <w:keepLines/>
        <w:widowControl w:val="0"/>
        <w:shd w:val="clear" w:color="auto" w:fill="auto"/>
        <w:bidi w:val="0"/>
        <w:spacing w:before="0" w:after="360" w:line="240" w:lineRule="auto"/>
        <w:ind w:left="0" w:right="0" w:firstLine="0"/>
        <w:jc w:val="left"/>
        <w:rPr>
          <w:sz w:val="22"/>
          <w:szCs w:val="22"/>
        </w:rPr>
      </w:pPr>
      <w:bookmarkStart w:id="763" w:name="bookmark763"/>
      <w:bookmarkStart w:id="764" w:name="bookmark764"/>
      <w:bookmarkStart w:id="766" w:name="bookmark766"/>
      <w:r>
        <w:rPr>
          <w:rFonts w:ascii="Arial" w:eastAsia="Arial" w:hAnsi="Arial" w:cs="Arial"/>
          <w:b w:val="0"/>
          <w:bCs w:val="0"/>
          <w:color w:val="000000"/>
          <w:spacing w:val="0"/>
          <w:w w:val="100"/>
          <w:position w:val="0"/>
          <w:sz w:val="24"/>
          <w:szCs w:val="24"/>
        </w:rPr>
        <w:t xml:space="preserve">（5） </w:t>
      </w:r>
      <w:r>
        <w:rPr>
          <w:color w:val="000000"/>
          <w:spacing w:val="0"/>
          <w:w w:val="100"/>
          <w:position w:val="0"/>
          <w:sz w:val="22"/>
          <w:szCs w:val="22"/>
        </w:rPr>
        <w:t>预付款项</w:t>
      </w:r>
      <w:bookmarkEnd w:id="763"/>
      <w:bookmarkEnd w:id="764"/>
      <w:bookmarkEnd w:id="766"/>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预付款项账龄分析如下：</w:t>
      </w:r>
    </w:p>
    <w:tbl>
      <w:tblPr>
        <w:tblOverlap w:val="never"/>
        <w:jc w:val="center"/>
        <w:tblLayout w:type="fixed"/>
      </w:tblPr>
      <w:tblGrid>
        <w:gridCol w:w="2770"/>
        <w:gridCol w:w="4128"/>
        <w:gridCol w:w="2006"/>
        <w:gridCol w:w="3389"/>
        <w:gridCol w:w="1488"/>
      </w:tblGrid>
      <w:tr>
        <w:trPr>
          <w:trHeight w:val="259"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账龄</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518" w:hRule="exact"/>
        </w:trPr>
        <w:tc>
          <w:tcPr>
            <w:vMerge/>
            <w:tcBorders/>
            <w:shd w:val="clear" w:color="auto" w:fill="FFFFFF"/>
            <w:vAlign w:val="center"/>
          </w:tcPr>
          <w:p>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40"/>
              <w:jc w:val="left"/>
              <w:rPr>
                <w:sz w:val="19"/>
                <w:szCs w:val="19"/>
              </w:rPr>
            </w:pPr>
            <w:r>
              <w:rPr>
                <w:color w:val="000000"/>
                <w:spacing w:val="0"/>
                <w:w w:val="100"/>
                <w:position w:val="0"/>
                <w:sz w:val="19"/>
                <w:szCs w:val="19"/>
              </w:rPr>
              <w:t>占总额比例</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160" w:firstLine="0"/>
              <w:jc w:val="right"/>
              <w:rPr>
                <w:sz w:val="19"/>
                <w:szCs w:val="19"/>
              </w:rPr>
            </w:pPr>
            <w:r>
              <w:rPr>
                <w:color w:val="000000"/>
                <w:spacing w:val="0"/>
                <w:w w:val="100"/>
                <w:position w:val="0"/>
                <w:sz w:val="19"/>
                <w:szCs w:val="19"/>
              </w:rPr>
              <w:t>金额</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占总额比例</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一年以内</w:t>
            </w:r>
            <w:r>
              <w:rPr>
                <w:rFonts w:ascii="Arial" w:eastAsia="Arial" w:hAnsi="Arial" w:cs="Arial"/>
                <w:color w:val="000000"/>
                <w:spacing w:val="0"/>
                <w:w w:val="100"/>
                <w:position w:val="0"/>
                <w:sz w:val="20"/>
                <w:szCs w:val="20"/>
              </w:rPr>
              <w:t>（</w:t>
            </w:r>
            <w:r>
              <w:rPr>
                <w:color w:val="000000"/>
                <w:spacing w:val="0"/>
                <w:w w:val="100"/>
                <w:position w:val="0"/>
                <w:sz w:val="19"/>
                <w:szCs w:val="19"/>
              </w:rPr>
              <w:t>含一年</w:t>
            </w:r>
            <w:r>
              <w:rPr>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1,455,320,599.85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97.51%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1,455,012,196.46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98.66%</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一到二年</w:t>
            </w:r>
            <w:r>
              <w:rPr>
                <w:rFonts w:ascii="Arial" w:eastAsia="Arial" w:hAnsi="Arial" w:cs="Arial"/>
                <w:color w:val="000000"/>
                <w:spacing w:val="0"/>
                <w:w w:val="100"/>
                <w:position w:val="0"/>
                <w:sz w:val="20"/>
                <w:szCs w:val="20"/>
              </w:rPr>
              <w:t>（</w:t>
            </w:r>
            <w:r>
              <w:rPr>
                <w:color w:val="000000"/>
                <w:spacing w:val="0"/>
                <w:w w:val="100"/>
                <w:position w:val="0"/>
                <w:sz w:val="19"/>
                <w:szCs w:val="19"/>
              </w:rPr>
              <w:t>含二年</w:t>
            </w:r>
            <w:r>
              <w:rPr>
                <w:color w:val="000000"/>
                <w:spacing w:val="0"/>
                <w:w w:val="100"/>
                <w:position w:val="0"/>
                <w:sz w:val="24"/>
                <w:szCs w:val="2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36,722,615.91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18,827,861.51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1.28%</w:t>
            </w: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二年以上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506,010.36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0.03%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911,807.13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0.06%</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1,492,549,226.12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1,474,751,865.10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100.00%</w:t>
            </w:r>
          </w:p>
        </w:tc>
      </w:tr>
    </w:tbl>
    <w:p>
      <w:pPr>
        <w:widowControl w:val="0"/>
        <w:spacing w:after="359" w:line="1" w:lineRule="exact"/>
      </w:pPr>
    </w:p>
    <w:p>
      <w:pPr>
        <w:pStyle w:val="Style33"/>
        <w:keepNext w:val="0"/>
        <w:keepLines w:val="0"/>
        <w:widowControl w:val="0"/>
        <w:shd w:val="clear" w:color="auto" w:fill="auto"/>
        <w:bidi w:val="0"/>
        <w:spacing w:before="0" w:after="4380" w:line="240" w:lineRule="auto"/>
        <w:ind w:left="0" w:right="0" w:firstLine="0"/>
        <w:jc w:val="left"/>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日，账龄超过一年的预付款项，主要为预付房租和油卡，因为相关业务尚未完成，该款项尚未结清。</w:t>
      </w:r>
    </w:p>
    <w:p>
      <w:pPr>
        <w:pStyle w:val="Style23"/>
        <w:keepNext w:val="0"/>
        <w:keepLines w:val="0"/>
        <w:widowControl w:val="0"/>
        <w:shd w:val="clear" w:color="auto" w:fill="auto"/>
        <w:bidi w:val="0"/>
        <w:spacing w:before="0" w:after="360" w:line="240" w:lineRule="auto"/>
        <w:ind w:left="0" w:right="0" w:firstLine="0"/>
        <w:jc w:val="right"/>
        <w:rPr>
          <w:sz w:val="18"/>
          <w:szCs w:val="18"/>
        </w:rPr>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785" w:right="1091" w:bottom="683" w:left="1969" w:header="0" w:footer="255" w:gutter="0"/>
          <w:cols w:space="720"/>
          <w:noEndnote/>
          <w:rtlGutter w:val="0"/>
          <w:docGrid w:linePitch="360"/>
        </w:sectPr>
      </w:pPr>
      <w:r>
        <w:rPr>
          <w:rFonts w:ascii="Arial" w:eastAsia="Arial" w:hAnsi="Arial" w:cs="Arial"/>
          <w:color w:val="000000"/>
          <w:spacing w:val="0"/>
          <w:w w:val="100"/>
          <w:position w:val="0"/>
          <w:sz w:val="18"/>
          <w:szCs w:val="18"/>
        </w:rPr>
        <w:t>-219 -</w:t>
      </w:r>
    </w:p>
    <w:p>
      <w:pPr>
        <w:pStyle w:val="Style94"/>
        <w:keepNext w:val="0"/>
        <w:keepLines w:val="0"/>
        <w:widowControl w:val="0"/>
        <w:shd w:val="clear" w:color="auto" w:fill="auto"/>
        <w:bidi w:val="0"/>
        <w:spacing w:before="0" w:after="320" w:line="271" w:lineRule="auto"/>
        <w:ind w:left="0" w:right="0" w:firstLine="0"/>
        <w:jc w:val="both"/>
        <w:rPr>
          <w:sz w:val="28"/>
          <w:szCs w:val="28"/>
        </w:rPr>
      </w:pPr>
      <w:r>
        <w:rPr>
          <w:color w:val="000000"/>
          <w:spacing w:val="0"/>
          <w:w w:val="100"/>
          <w:position w:val="0"/>
          <w:sz w:val="24"/>
          <w:szCs w:val="24"/>
        </w:rPr>
        <w:t>(5)</w:t>
      </w:r>
      <w:r>
        <w:rPr>
          <w:rFonts w:ascii="SimSun" w:eastAsia="SimSun" w:hAnsi="SimSun" w:cs="SimSun"/>
          <w:b/>
          <w:bCs/>
          <w:color w:val="000000"/>
          <w:spacing w:val="0"/>
          <w:w w:val="100"/>
          <w:position w:val="0"/>
          <w:sz w:val="22"/>
          <w:szCs w:val="22"/>
        </w:rPr>
        <w:t>预付款项</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20" w:line="312" w:lineRule="exact"/>
        <w:ind w:left="0" w:right="0" w:firstLine="0"/>
        <w:jc w:val="both"/>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日，按欠款方归集的余额前五名预付款项汇总分析如下：</w:t>
      </w:r>
    </w:p>
    <w:p>
      <w:pPr>
        <w:pStyle w:val="Style94"/>
        <w:keepNext w:val="0"/>
        <w:keepLines w:val="0"/>
        <w:widowControl w:val="0"/>
        <w:pBdr>
          <w:bottom w:val="single" w:sz="4" w:space="0" w:color="auto"/>
        </w:pBdr>
        <w:shd w:val="clear" w:color="auto" w:fill="auto"/>
        <w:tabs>
          <w:tab w:leader="underscore" w:pos="1296" w:val="left"/>
        </w:tabs>
        <w:bidi w:val="0"/>
        <w:spacing w:before="0" w:after="0" w:line="271" w:lineRule="auto"/>
        <w:ind w:left="0" w:right="0" w:firstLine="0"/>
        <w:jc w:val="center"/>
        <w:rPr>
          <w:sz w:val="22"/>
          <w:szCs w:val="22"/>
        </w:rPr>
      </w:pPr>
      <w:r>
        <w:rPr>
          <w:color w:val="000000"/>
          <w:spacing w:val="0"/>
          <w:w w:val="100"/>
          <w:position w:val="0"/>
          <w:sz w:val="24"/>
          <w:szCs w:val="24"/>
        </w:rPr>
        <w:tab/>
      </w:r>
      <w:r>
        <w:rPr>
          <w:color w:val="000000"/>
          <w:spacing w:val="0"/>
          <w:w w:val="100"/>
          <w:position w:val="0"/>
          <w:sz w:val="24"/>
          <w:szCs w:val="24"/>
          <w:u w:val="single"/>
        </w:rPr>
        <w:t>2016</w:t>
      </w:r>
      <w:r>
        <w:rPr>
          <w:rFonts w:ascii="SimSun" w:eastAsia="SimSun" w:hAnsi="SimSun" w:cs="SimSun"/>
          <w:color w:val="000000"/>
          <w:spacing w:val="0"/>
          <w:w w:val="100"/>
          <w:position w:val="0"/>
          <w:sz w:val="22"/>
          <w:szCs w:val="22"/>
          <w:u w:val="single"/>
        </w:rPr>
        <w:t>年</w:t>
      </w:r>
      <w:r>
        <w:rPr>
          <w:color w:val="000000"/>
          <w:spacing w:val="0"/>
          <w:w w:val="100"/>
          <w:position w:val="0"/>
          <w:sz w:val="24"/>
          <w:szCs w:val="24"/>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4"/>
          <w:szCs w:val="24"/>
          <w:u w:val="single"/>
        </w:rPr>
        <w:t>31</w:t>
      </w:r>
      <w:r>
        <w:rPr>
          <w:rFonts w:ascii="SimSun" w:eastAsia="SimSun" w:hAnsi="SimSun" w:cs="SimSun"/>
          <w:color w:val="000000"/>
          <w:spacing w:val="0"/>
          <w:w w:val="100"/>
          <w:position w:val="0"/>
          <w:sz w:val="22"/>
          <w:szCs w:val="22"/>
          <w:u w:val="single"/>
        </w:rPr>
        <w:t>日</w:t>
      </w:r>
    </w:p>
    <w:p>
      <w:pPr>
        <w:pStyle w:val="Style33"/>
        <w:keepNext w:val="0"/>
        <w:keepLines w:val="0"/>
        <w:widowControl w:val="0"/>
        <w:shd w:val="clear" w:color="auto" w:fill="auto"/>
        <w:tabs>
          <w:tab w:pos="7740" w:val="left"/>
        </w:tabs>
        <w:bidi w:val="0"/>
        <w:spacing w:before="0" w:after="320" w:line="312" w:lineRule="exact"/>
        <w:ind w:left="5640" w:right="0" w:firstLine="0"/>
        <w:jc w:val="right"/>
        <w:rPr>
          <w:sz w:val="22"/>
          <w:szCs w:val="22"/>
        </w:rPr>
      </w:pPr>
      <w:r>
        <w:rPr>
          <w:b w:val="0"/>
          <w:bCs w:val="0"/>
          <w:color w:val="000000"/>
          <w:spacing w:val="0"/>
          <w:w w:val="100"/>
          <w:position w:val="0"/>
          <w:sz w:val="22"/>
          <w:szCs w:val="22"/>
        </w:rPr>
        <w:t>占预付款项 金额</w:t>
        <w:tab/>
        <w:t>总额比例</w:t>
      </w:r>
    </w:p>
    <w:p>
      <w:pPr>
        <w:pStyle w:val="Style94"/>
        <w:keepNext w:val="0"/>
        <w:keepLines w:val="0"/>
        <w:widowControl w:val="0"/>
        <w:shd w:val="clear" w:color="auto" w:fill="auto"/>
        <w:tabs>
          <w:tab w:pos="4483" w:val="left"/>
          <w:tab w:leader="underscore" w:pos="7740" w:val="left"/>
        </w:tabs>
        <w:bidi w:val="0"/>
        <w:spacing w:before="0" w:after="320" w:line="312" w:lineRule="exact"/>
        <w:ind w:left="0" w:right="0" w:firstLine="0"/>
        <w:jc w:val="both"/>
        <w:rPr>
          <w:sz w:val="22"/>
          <w:szCs w:val="22"/>
        </w:rPr>
      </w:pPr>
      <w:r>
        <w:rPr>
          <w:rFonts w:ascii="SimSun" w:eastAsia="SimSun" w:hAnsi="SimSun" w:cs="SimSun"/>
          <w:color w:val="000000"/>
          <w:spacing w:val="0"/>
          <w:w w:val="100"/>
          <w:position w:val="0"/>
          <w:sz w:val="22"/>
          <w:szCs w:val="22"/>
        </w:rPr>
        <w:t>余额前五名的预付款项总额</w:t>
        <w:tab/>
      </w:r>
      <w:r>
        <w:rPr>
          <w:color w:val="000000"/>
          <w:spacing w:val="0"/>
          <w:w w:val="100"/>
          <w:position w:val="0"/>
          <w:sz w:val="24"/>
          <w:szCs w:val="24"/>
          <w:u w:val="single"/>
        </w:rPr>
        <w:t>338,386,916.12</w:t>
      </w:r>
      <w:r>
        <w:rPr>
          <w:color w:val="000000"/>
          <w:spacing w:val="0"/>
          <w:w w:val="100"/>
          <w:position w:val="0"/>
          <w:sz w:val="24"/>
          <w:szCs w:val="24"/>
        </w:rPr>
        <w:tab/>
      </w:r>
      <w:r>
        <w:rPr>
          <w:color w:val="000000"/>
          <w:spacing w:val="0"/>
          <w:w w:val="100"/>
          <w:position w:val="0"/>
          <w:sz w:val="24"/>
          <w:szCs w:val="24"/>
          <w:u w:val="single"/>
        </w:rPr>
        <w:t xml:space="preserve">22.67% </w:t>
      </w:r>
      <w:r>
        <w:rPr>
          <w:rStyle w:val="CharStyle34"/>
          <w:rFonts w:ascii="Arial" w:eastAsia="Arial" w:hAnsi="Arial" w:cs="Arial"/>
          <w:b w:val="0"/>
          <w:bCs w:val="0"/>
          <w:sz w:val="24"/>
          <w:szCs w:val="24"/>
        </w:rPr>
        <w:t xml:space="preserve">(6) </w:t>
      </w:r>
      <w:r>
        <w:rPr>
          <w:rStyle w:val="CharStyle34"/>
          <w:sz w:val="22"/>
          <w:szCs w:val="22"/>
        </w:rPr>
        <w:t>应收保理款</w:t>
      </w:r>
    </w:p>
    <w:p>
      <w:pPr>
        <w:pStyle w:val="Style33"/>
        <w:keepNext w:val="0"/>
        <w:keepLines w:val="0"/>
        <w:widowControl w:val="0"/>
        <w:shd w:val="clear" w:color="auto" w:fill="auto"/>
        <w:bidi w:val="0"/>
        <w:spacing w:before="0" w:after="320" w:line="322" w:lineRule="exact"/>
        <w:ind w:left="0" w:right="0" w:firstLine="0"/>
        <w:jc w:val="both"/>
        <w:rPr>
          <w:sz w:val="22"/>
          <w:szCs w:val="22"/>
        </w:rPr>
      </w:pPr>
      <w:r>
        <w:rPr>
          <w:b w:val="0"/>
          <w:bCs w:val="0"/>
          <w:color w:val="000000"/>
          <w:spacing w:val="0"/>
          <w:w w:val="100"/>
          <w:position w:val="0"/>
          <w:sz w:val="22"/>
          <w:szCs w:val="22"/>
        </w:rPr>
        <w:t>如附注五</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所述，于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年度，本集团转让深圳市顺诚乐丰保理有限公司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 称“乐丰保理”</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股权。截至</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日，本集团应收保理款余额为</w:t>
      </w:r>
      <w:r>
        <w:rPr>
          <w:rFonts w:ascii="Arial" w:eastAsia="Arial" w:hAnsi="Arial" w:cs="Arial"/>
          <w:b w:val="0"/>
          <w:bCs w:val="0"/>
          <w:color w:val="000000"/>
          <w:spacing w:val="0"/>
          <w:w w:val="100"/>
          <w:position w:val="0"/>
          <w:sz w:val="24"/>
          <w:szCs w:val="24"/>
        </w:rPr>
        <w:t xml:space="preserve">0 </w:t>
      </w:r>
      <w:r>
        <w:rPr>
          <w:b w:val="0"/>
          <w:bCs w:val="0"/>
          <w:color w:val="000000"/>
          <w:spacing w:val="0"/>
          <w:w w:val="100"/>
          <w:position w:val="0"/>
          <w:sz w:val="22"/>
          <w:szCs w:val="22"/>
        </w:rPr>
        <w:t>/元。</w:t>
      </w:r>
    </w:p>
    <w:p>
      <w:pPr>
        <w:pStyle w:val="Style94"/>
        <w:keepNext w:val="0"/>
        <w:keepLines w:val="0"/>
        <w:widowControl w:val="0"/>
        <w:shd w:val="clear" w:color="auto" w:fill="auto"/>
        <w:bidi w:val="0"/>
        <w:spacing w:before="0" w:after="320" w:line="322" w:lineRule="exact"/>
        <w:ind w:left="0" w:right="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tabs>
          <w:tab w:pos="5738" w:val="left"/>
          <w:tab w:pos="7068" w:val="left"/>
        </w:tabs>
        <w:bidi w:val="0"/>
        <w:spacing w:before="0" w:after="0" w:line="322" w:lineRule="exact"/>
        <w:ind w:left="0" w:right="0" w:firstLine="0"/>
        <w:jc w:val="both"/>
      </w:pPr>
      <w:r>
        <w:rPr>
          <w:rFonts w:ascii="SimSun" w:eastAsia="SimSun" w:hAnsi="SimSun" w:cs="SimSun"/>
          <w:color w:val="000000"/>
          <w:spacing w:val="0"/>
          <w:w w:val="100"/>
          <w:position w:val="0"/>
          <w:sz w:val="22"/>
          <w:szCs w:val="22"/>
        </w:rPr>
        <w:t>应收保理款</w:t>
        <w:tab/>
      </w:r>
      <w:r>
        <w:rPr>
          <w:color w:val="000000"/>
          <w:spacing w:val="0"/>
          <w:w w:val="100"/>
          <w:position w:val="0"/>
          <w:sz w:val="24"/>
          <w:szCs w:val="24"/>
        </w:rPr>
        <w:t>-</w:t>
        <w:tab/>
      </w:r>
      <w:r>
        <w:rPr>
          <w:color w:val="000000"/>
          <w:spacing w:val="0"/>
          <w:w w:val="100"/>
          <w:position w:val="0"/>
          <w:sz w:val="24"/>
          <w:szCs w:val="24"/>
        </w:rPr>
        <w:t>248,627,321.39</w:t>
      </w:r>
    </w:p>
    <w:p>
      <w:pPr>
        <w:pStyle w:val="Style94"/>
        <w:keepNext w:val="0"/>
        <w:keepLines w:val="0"/>
        <w:widowControl w:val="0"/>
        <w:shd w:val="clear" w:color="auto" w:fill="auto"/>
        <w:tabs>
          <w:tab w:pos="4008" w:val="left"/>
          <w:tab w:leader="underscore" w:pos="5738" w:val="left"/>
          <w:tab w:pos="7068" w:val="left"/>
        </w:tabs>
        <w:bidi w:val="0"/>
        <w:spacing w:before="0" w:after="0" w:line="322" w:lineRule="exact"/>
        <w:ind w:left="0" w:right="0" w:firstLine="0"/>
        <w:jc w:val="both"/>
      </w:pPr>
      <w:r>
        <w:rPr>
          <w:rFonts w:ascii="SimSun" w:eastAsia="SimSun" w:hAnsi="SimSun" w:cs="SimSun"/>
          <w:color w:val="000000"/>
          <w:spacing w:val="0"/>
          <w:w w:val="100"/>
          <w:position w:val="0"/>
          <w:sz w:val="22"/>
          <w:szCs w:val="22"/>
        </w:rPr>
        <w:t>减：坏账准备</w:t>
        <w:tab/>
        <w:tab/>
      </w:r>
      <w:r>
        <w:rPr>
          <w:color w:val="000000"/>
          <w:spacing w:val="0"/>
          <w:w w:val="100"/>
          <w:position w:val="0"/>
          <w:sz w:val="24"/>
          <w:szCs w:val="24"/>
          <w:u w:val="single"/>
        </w:rPr>
        <w:t>-</w:t>
        <w:tab/>
      </w:r>
      <w:r>
        <w:rPr>
          <w:color w:val="000000"/>
          <w:spacing w:val="0"/>
          <w:w w:val="100"/>
          <w:position w:val="0"/>
          <w:sz w:val="24"/>
          <w:szCs w:val="24"/>
          <w:u w:val="single"/>
        </w:rPr>
        <w:t>(1,243,136.61)</w:t>
      </w:r>
    </w:p>
    <w:p>
      <w:pPr>
        <w:pStyle w:val="Style94"/>
        <w:keepNext w:val="0"/>
        <w:keepLines w:val="0"/>
        <w:widowControl w:val="0"/>
        <w:shd w:val="clear" w:color="auto" w:fill="auto"/>
        <w:tabs>
          <w:tab w:pos="1296" w:val="left"/>
        </w:tabs>
        <w:bidi w:val="0"/>
        <w:spacing w:before="0" w:after="320"/>
        <w:ind w:left="0" w:right="0" w:firstLine="0"/>
        <w:jc w:val="right"/>
      </w:pPr>
      <w:r>
        <w:rPr>
          <w:color w:val="000000"/>
          <w:spacing w:val="0"/>
          <w:w w:val="100"/>
          <w:position w:val="0"/>
          <w:sz w:val="24"/>
          <w:szCs w:val="24"/>
        </w:rPr>
        <w:t>-</w:t>
        <w:tab/>
      </w:r>
      <w:r>
        <w:rPr>
          <w:color w:val="000000"/>
          <w:spacing w:val="0"/>
          <w:w w:val="100"/>
          <w:position w:val="0"/>
          <w:sz w:val="24"/>
          <w:szCs w:val="24"/>
        </w:rPr>
        <w:t>247,384,184.78</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应收保理款按类别披露如下:</w:t>
      </w:r>
    </w:p>
    <w:tbl>
      <w:tblPr>
        <w:tblOverlap w:val="never"/>
        <w:jc w:val="center"/>
        <w:tblLayout w:type="fixed"/>
      </w:tblPr>
      <w:tblGrid>
        <w:gridCol w:w="1613"/>
        <w:gridCol w:w="2592"/>
        <w:gridCol w:w="2971"/>
        <w:gridCol w:w="1661"/>
      </w:tblGrid>
      <w:tr>
        <w:trPr>
          <w:trHeight w:val="259" w:hRule="exact"/>
        </w:trPr>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有追索权</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979" w:hRule="exact"/>
        </w:trPr>
        <w:tc>
          <w:tcPr>
            <w:vMerge/>
            <w:tcBorders/>
            <w:shd w:val="clear" w:color="auto" w:fill="FFFFFF"/>
            <w:vAlign w:val="bottom"/>
          </w:tcPr>
          <w:p>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780" w:right="0" w:firstLine="0"/>
              <w:jc w:val="left"/>
              <w:rPr>
                <w:sz w:val="19"/>
                <w:szCs w:val="19"/>
              </w:rPr>
            </w:pPr>
            <w:r>
              <w:rPr>
                <w:color w:val="000000"/>
                <w:spacing w:val="0"/>
                <w:w w:val="100"/>
                <w:position w:val="0"/>
                <w:sz w:val="19"/>
                <w:szCs w:val="19"/>
              </w:rPr>
              <w:t>金额</w:t>
            </w:r>
          </w:p>
        </w:tc>
        <w:tc>
          <w:tcPr>
            <w:tcBorders>
              <w:top w:val="single" w:sz="4"/>
            </w:tcBorders>
            <w:shd w:val="clear" w:color="auto" w:fill="FFFFFF"/>
            <w:vAlign w:val="top"/>
          </w:tcPr>
          <w:p>
            <w:pPr>
              <w:pStyle w:val="Style23"/>
              <w:keepNext w:val="0"/>
              <w:keepLines w:val="0"/>
              <w:widowControl w:val="0"/>
              <w:shd w:val="clear" w:color="auto" w:fill="auto"/>
              <w:tabs>
                <w:tab w:pos="1917" w:val="left"/>
              </w:tabs>
              <w:bidi w:val="0"/>
              <w:spacing w:before="80" w:after="0" w:line="240" w:lineRule="auto"/>
              <w:ind w:left="0" w:right="0" w:firstLine="760"/>
              <w:jc w:val="left"/>
              <w:rPr>
                <w:sz w:val="19"/>
                <w:szCs w:val="19"/>
              </w:rPr>
            </w:pPr>
            <w:r>
              <w:rPr>
                <w:color w:val="000000"/>
                <w:spacing w:val="0"/>
                <w:w w:val="100"/>
                <w:position w:val="0"/>
                <w:sz w:val="19"/>
                <w:szCs w:val="19"/>
              </w:rPr>
              <w:t>占比</w:t>
              <w:tab/>
              <w:t>坏账准备</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净额</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780" w:right="0" w:firstLine="0"/>
              <w:jc w:val="left"/>
              <w:rPr>
                <w:sz w:val="19"/>
                <w:szCs w:val="19"/>
              </w:rPr>
            </w:pPr>
            <w:r>
              <w:rPr>
                <w:color w:val="000000"/>
                <w:spacing w:val="0"/>
                <w:w w:val="100"/>
                <w:position w:val="0"/>
                <w:sz w:val="19"/>
                <w:szCs w:val="19"/>
              </w:rPr>
              <w:t>金额</w:t>
            </w:r>
          </w:p>
        </w:tc>
        <w:tc>
          <w:tcPr>
            <w:tcBorders>
              <w:top w:val="single" w:sz="4"/>
            </w:tcBorders>
            <w:shd w:val="clear" w:color="auto" w:fill="FFFFFF"/>
            <w:vAlign w:val="top"/>
          </w:tcPr>
          <w:p>
            <w:pPr>
              <w:pStyle w:val="Style23"/>
              <w:keepNext w:val="0"/>
              <w:keepLines w:val="0"/>
              <w:widowControl w:val="0"/>
              <w:shd w:val="clear" w:color="auto" w:fill="auto"/>
              <w:tabs>
                <w:tab w:pos="1902" w:val="left"/>
              </w:tabs>
              <w:bidi w:val="0"/>
              <w:spacing w:before="80" w:after="0" w:line="240" w:lineRule="auto"/>
              <w:ind w:left="0" w:right="0" w:firstLine="760"/>
              <w:jc w:val="left"/>
              <w:rPr>
                <w:sz w:val="19"/>
                <w:szCs w:val="19"/>
              </w:rPr>
            </w:pPr>
            <w:r>
              <w:rPr>
                <w:color w:val="000000"/>
                <w:spacing w:val="0"/>
                <w:w w:val="100"/>
                <w:position w:val="0"/>
                <w:sz w:val="19"/>
                <w:szCs w:val="19"/>
              </w:rPr>
              <w:t>占比</w:t>
              <w:tab/>
              <w:t>坏账准备</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净额</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有追索权</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248,627,321.39</w:t>
            </w:r>
          </w:p>
        </w:tc>
        <w:tc>
          <w:tcPr>
            <w:tcBorders>
              <w:bottom w:val="single" w:sz="4"/>
            </w:tcBorders>
            <w:shd w:val="clear" w:color="auto" w:fill="FFFFFF"/>
            <w:vAlign w:val="bottom"/>
          </w:tcPr>
          <w:p>
            <w:pPr>
              <w:pStyle w:val="Style23"/>
              <w:keepNext w:val="0"/>
              <w:keepLines w:val="0"/>
              <w:widowControl w:val="0"/>
              <w:shd w:val="clear" w:color="auto" w:fill="auto"/>
              <w:tabs>
                <w:tab w:pos="1532" w:val="left"/>
              </w:tabs>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100.00%</w:t>
              <w:tab/>
            </w:r>
            <w:r>
              <w:rPr>
                <w:rFonts w:ascii="Arial" w:eastAsia="Arial" w:hAnsi="Arial" w:cs="Arial"/>
                <w:color w:val="000000"/>
                <w:spacing w:val="0"/>
                <w:w w:val="100"/>
                <w:position w:val="0"/>
                <w:sz w:val="20"/>
                <w:szCs w:val="20"/>
              </w:rPr>
              <w:t>(1,243,136.61)</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247,384,184.78</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2190" w:right="1086" w:bottom="2190" w:left="1962" w:header="0" w:footer="3" w:gutter="0"/>
          <w:cols w:space="720"/>
          <w:noEndnote/>
          <w:rtlGutter w:val="0"/>
          <w:docGrid w:linePitch="360"/>
        </w:sectPr>
      </w:pPr>
    </w:p>
    <w:p>
      <w:pPr>
        <w:pStyle w:val="Style33"/>
        <w:keepNext w:val="0"/>
        <w:keepLines w:val="0"/>
        <w:widowControl w:val="0"/>
        <w:shd w:val="clear" w:color="auto" w:fill="auto"/>
        <w:bidi w:val="0"/>
        <w:spacing w:before="0" w:after="380" w:line="240" w:lineRule="auto"/>
        <w:ind w:left="0" w:right="0" w:firstLine="0"/>
        <w:jc w:val="both"/>
        <w:rPr>
          <w:sz w:val="28"/>
          <w:szCs w:val="28"/>
        </w:rPr>
      </w:pPr>
      <w:r>
        <w:rPr>
          <w:rFonts w:ascii="Arial" w:eastAsia="Arial" w:hAnsi="Arial" w:cs="Arial"/>
          <w:b w:val="0"/>
          <w:bCs w:val="0"/>
          <w:color w:val="000000"/>
          <w:spacing w:val="0"/>
          <w:w w:val="100"/>
          <w:position w:val="0"/>
          <w:sz w:val="24"/>
          <w:szCs w:val="24"/>
        </w:rPr>
        <w:t>(6)</w:t>
      </w:r>
      <w:r>
        <w:rPr>
          <w:color w:val="000000"/>
          <w:spacing w:val="0"/>
          <w:w w:val="100"/>
          <w:position w:val="0"/>
          <w:sz w:val="22"/>
          <w:szCs w:val="22"/>
        </w:rPr>
        <w:t>应收保理款</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19" w:right="0" w:firstLine="0"/>
        <w:jc w:val="left"/>
        <w:rPr>
          <w:sz w:val="22"/>
          <w:szCs w:val="22"/>
        </w:rPr>
      </w:pPr>
      <w:r>
        <w:rPr>
          <w:color w:val="000000"/>
          <w:spacing w:val="0"/>
          <w:w w:val="100"/>
          <w:position w:val="0"/>
          <w:sz w:val="22"/>
          <w:szCs w:val="22"/>
        </w:rPr>
        <w:t>坏账准备变动情况如下:</w:t>
      </w:r>
    </w:p>
    <w:tbl>
      <w:tblPr>
        <w:tblOverlap w:val="never"/>
        <w:jc w:val="center"/>
        <w:tblLayout w:type="fixed"/>
      </w:tblPr>
      <w:tblGrid>
        <w:gridCol w:w="3245"/>
        <w:gridCol w:w="5621"/>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2491" w:val="lef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435" w:hRule="exact"/>
        </w:trPr>
        <w:tc>
          <w:tcPr>
            <w:tcBorders/>
            <w:shd w:val="clear" w:color="auto" w:fill="FFFFFF"/>
            <w:vAlign w:val="bottom"/>
          </w:tcPr>
          <w:p>
            <w:pPr>
              <w:pStyle w:val="Style23"/>
              <w:keepNext w:val="0"/>
              <w:keepLines w:val="0"/>
              <w:widowControl w:val="0"/>
              <w:shd w:val="clear" w:color="auto" w:fill="auto"/>
              <w:bidi w:val="0"/>
              <w:spacing w:before="0" w:after="0" w:line="323" w:lineRule="exact"/>
              <w:ind w:left="0" w:right="0" w:firstLine="0"/>
              <w:jc w:val="both"/>
              <w:rPr>
                <w:sz w:val="22"/>
                <w:szCs w:val="22"/>
              </w:rPr>
            </w:pPr>
            <w:r>
              <w:rPr>
                <w:color w:val="000000"/>
                <w:spacing w:val="0"/>
                <w:w w:val="100"/>
                <w:position w:val="0"/>
                <w:sz w:val="22"/>
                <w:szCs w:val="22"/>
              </w:rPr>
              <w:t>年初余额 本年计提 本年处置子公司 年末余额</w:t>
            </w:r>
          </w:p>
        </w:tc>
        <w:tc>
          <w:tcPr>
            <w:tcBorders>
              <w:bottom w:val="single" w:sz="4"/>
            </w:tcBorders>
            <w:shd w:val="clear" w:color="auto" w:fill="FFFFFF"/>
            <w:vAlign w:val="bottom"/>
          </w:tcPr>
          <w:p>
            <w:pPr>
              <w:pStyle w:val="Style23"/>
              <w:keepNext w:val="0"/>
              <w:keepLines w:val="0"/>
              <w:widowControl w:val="0"/>
              <w:shd w:val="clear" w:color="auto" w:fill="auto"/>
              <w:tabs>
                <w:tab w:pos="4971" w:val="left"/>
              </w:tabs>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1,243,136.61</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002" w:val="left"/>
              </w:tabs>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3,434,211.36</w:t>
              <w:tab/>
              <w:t>1,243,136.61</w:t>
            </w:r>
          </w:p>
          <w:p>
            <w:pPr>
              <w:pStyle w:val="Style23"/>
              <w:keepNext w:val="0"/>
              <w:keepLines w:val="0"/>
              <w:widowControl w:val="0"/>
              <w:shd w:val="clear" w:color="auto" w:fill="auto"/>
              <w:tabs>
                <w:tab w:pos="1838" w:val="left"/>
                <w:tab w:leader="underscore" w:pos="3562" w:val="left"/>
              </w:tabs>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u w:val="single"/>
              </w:rPr>
              <w:t>(4,677,347.97)</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p>
            <w:pPr>
              <w:pStyle w:val="Style23"/>
              <w:keepNext w:val="0"/>
              <w:keepLines w:val="0"/>
              <w:widowControl w:val="0"/>
              <w:shd w:val="clear" w:color="auto" w:fill="auto"/>
              <w:tabs>
                <w:tab w:pos="1488" w:val="left"/>
              </w:tabs>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1,243,136.61</w:t>
            </w:r>
          </w:p>
        </w:tc>
      </w:tr>
    </w:tbl>
    <w:p>
      <w:pPr>
        <w:pStyle w:val="Style29"/>
        <w:keepNext w:val="0"/>
        <w:keepLines w:val="0"/>
        <w:widowControl w:val="0"/>
        <w:shd w:val="clear" w:color="auto" w:fill="auto"/>
        <w:bidi w:val="0"/>
        <w:spacing w:before="0" w:after="0" w:line="329" w:lineRule="exact"/>
        <w:ind w:left="19" w:right="0" w:firstLine="0"/>
        <w:jc w:val="left"/>
        <w:rPr>
          <w:sz w:val="22"/>
          <w:szCs w:val="22"/>
        </w:rPr>
      </w:pPr>
      <w:r>
        <w:rPr>
          <w:color w:val="000000"/>
          <w:spacing w:val="0"/>
          <w:w w:val="100"/>
          <w:position w:val="0"/>
          <w:sz w:val="22"/>
          <w:szCs w:val="22"/>
        </w:rPr>
        <w:t>本集团已计提的应收保理款坏账准备全部为组合计提。</w:t>
      </w:r>
    </w:p>
    <w:p>
      <w:pPr>
        <w:widowControl w:val="0"/>
        <w:spacing w:after="379" w:line="1" w:lineRule="exact"/>
      </w:pPr>
    </w:p>
    <w:p>
      <w:pPr>
        <w:pStyle w:val="Style33"/>
        <w:keepNext w:val="0"/>
        <w:keepLines w:val="0"/>
        <w:widowControl w:val="0"/>
        <w:shd w:val="clear" w:color="auto" w:fill="auto"/>
        <w:bidi w:val="0"/>
        <w:spacing w:before="0" w:after="220" w:line="286" w:lineRule="auto"/>
        <w:ind w:left="0" w:right="0" w:firstLine="0"/>
        <w:jc w:val="both"/>
        <w:rPr>
          <w:sz w:val="22"/>
          <w:szCs w:val="22"/>
        </w:rPr>
      </w:pPr>
      <w:r>
        <w:rPr>
          <w:rFonts w:ascii="Arial" w:eastAsia="Arial" w:hAnsi="Arial" w:cs="Arial"/>
          <w:b w:val="0"/>
          <w:bCs w:val="0"/>
          <w:color w:val="000000"/>
          <w:spacing w:val="0"/>
          <w:w w:val="100"/>
          <w:position w:val="0"/>
          <w:sz w:val="24"/>
          <w:szCs w:val="24"/>
        </w:rPr>
        <w:t xml:space="preserve">(7) </w:t>
      </w:r>
      <w:r>
        <w:rPr>
          <w:color w:val="000000"/>
          <w:spacing w:val="0"/>
          <w:w w:val="100"/>
          <w:position w:val="0"/>
          <w:sz w:val="22"/>
          <w:szCs w:val="22"/>
        </w:rPr>
        <w:t>发放贷款及垫款</w:t>
      </w:r>
    </w:p>
    <w:p>
      <w:pPr>
        <w:pStyle w:val="Style33"/>
        <w:keepNext w:val="0"/>
        <w:keepLines w:val="0"/>
        <w:widowControl w:val="0"/>
        <w:shd w:val="clear" w:color="auto" w:fill="auto"/>
        <w:bidi w:val="0"/>
        <w:spacing w:before="0" w:after="380" w:line="329" w:lineRule="exact"/>
        <w:ind w:left="0" w:right="0" w:firstLine="0"/>
        <w:jc w:val="both"/>
        <w:rPr>
          <w:sz w:val="22"/>
          <w:szCs w:val="22"/>
        </w:rPr>
      </w:pPr>
      <w:r>
        <w:rPr>
          <w:b w:val="0"/>
          <w:bCs w:val="0"/>
          <w:color w:val="000000"/>
          <w:spacing w:val="0"/>
          <w:w w:val="100"/>
          <w:position w:val="0"/>
          <w:sz w:val="22"/>
          <w:szCs w:val="22"/>
        </w:rPr>
        <w:t>如附注五</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所述，于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年度，本集团转让深圳市顺丰合丰小额贷款有限公司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以 下简称“合丰小额贷款” </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股权。截至</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日，发放贷款及垫款来 自于本集团境外之子公司顺银香港有限公司。</w:t>
      </w:r>
    </w:p>
    <w:p>
      <w:pPr>
        <w:pStyle w:val="Style29"/>
        <w:keepNext w:val="0"/>
        <w:keepLines w:val="0"/>
        <w:widowControl w:val="0"/>
        <w:shd w:val="clear" w:color="auto" w:fill="auto"/>
        <w:tabs>
          <w:tab w:pos="701" w:val="left"/>
        </w:tabs>
        <w:bidi w:val="0"/>
        <w:spacing w:before="0" w:after="0" w:line="286" w:lineRule="auto"/>
        <w:ind w:left="19" w:right="0" w:firstLine="0"/>
        <w:jc w:val="left"/>
        <w:rPr>
          <w:sz w:val="22"/>
          <w:szCs w:val="22"/>
        </w:rPr>
      </w:pPr>
      <w:r>
        <w:rPr>
          <w:rFonts w:ascii="Arial" w:eastAsia="Arial" w:hAnsi="Arial" w:cs="Arial"/>
          <w:color w:val="000000"/>
          <w:spacing w:val="0"/>
          <w:w w:val="100"/>
          <w:position w:val="0"/>
          <w:sz w:val="24"/>
          <w:szCs w:val="24"/>
        </w:rPr>
        <w:t>(a)</w:t>
        <w:tab/>
      </w:r>
      <w:r>
        <w:rPr>
          <w:color w:val="000000"/>
          <w:spacing w:val="0"/>
          <w:w w:val="100"/>
          <w:position w:val="0"/>
          <w:sz w:val="22"/>
          <w:szCs w:val="22"/>
        </w:rPr>
        <w:t>发放贷款及垫款按个人及企业分布情况</w:t>
      </w:r>
    </w:p>
    <w:tbl>
      <w:tblPr>
        <w:tblOverlap w:val="never"/>
        <w:jc w:val="center"/>
        <w:tblLayout w:type="fixed"/>
      </w:tblPr>
      <w:tblGrid>
        <w:gridCol w:w="3245"/>
        <w:gridCol w:w="5621"/>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2491" w:val="left"/>
              </w:tabs>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tab/>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1608" w:hRule="exact"/>
        </w:trPr>
        <w:tc>
          <w:tcPr>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个人贷款</w:t>
            </w:r>
          </w:p>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企业贷款</w:t>
            </w:r>
          </w:p>
          <w:p>
            <w:pPr>
              <w:pStyle w:val="Style23"/>
              <w:keepNext w:val="0"/>
              <w:keepLines w:val="0"/>
              <w:widowControl w:val="0"/>
              <w:shd w:val="clear" w:color="auto" w:fill="auto"/>
              <w:bidi w:val="0"/>
              <w:spacing w:before="0" w:after="60" w:line="240" w:lineRule="auto"/>
              <w:ind w:left="0" w:right="0" w:firstLine="300"/>
              <w:jc w:val="left"/>
              <w:rPr>
                <w:sz w:val="24"/>
                <w:szCs w:val="24"/>
              </w:rPr>
            </w:pPr>
            <w:r>
              <w:rPr>
                <w:color w:val="000000"/>
                <w:spacing w:val="0"/>
                <w:w w:val="100"/>
                <w:position w:val="0"/>
                <w:sz w:val="22"/>
                <w:szCs w:val="22"/>
              </w:rPr>
              <w:t>关联方贷款</w:t>
            </w:r>
            <w:r>
              <w:rPr>
                <w:rFonts w:ascii="Arial" w:eastAsia="Arial" w:hAnsi="Arial" w:cs="Arial"/>
                <w:color w:val="000000"/>
                <w:spacing w:val="0"/>
                <w:w w:val="100"/>
                <w:position w:val="0"/>
                <w:sz w:val="24"/>
                <w:szCs w:val="24"/>
              </w:rPr>
              <w:t>(</w:t>
            </w:r>
            <w:r>
              <w:rPr>
                <w:color w:val="000000"/>
                <w:spacing w:val="0"/>
                <w:w w:val="100"/>
                <w:position w:val="0"/>
                <w:sz w:val="22"/>
                <w:szCs w:val="22"/>
              </w:rPr>
              <w:t>附注八</w:t>
            </w:r>
            <w:r>
              <w:rPr>
                <w:rFonts w:ascii="Arial" w:eastAsia="Arial" w:hAnsi="Arial" w:cs="Arial"/>
                <w:color w:val="000000"/>
                <w:spacing w:val="0"/>
                <w:w w:val="100"/>
                <w:position w:val="0"/>
                <w:sz w:val="24"/>
                <w:szCs w:val="24"/>
              </w:rPr>
              <w:t>(4)(d))</w:t>
            </w:r>
          </w:p>
          <w:p>
            <w:pPr>
              <w:pStyle w:val="Style23"/>
              <w:keepNext w:val="0"/>
              <w:keepLines w:val="0"/>
              <w:widowControl w:val="0"/>
              <w:shd w:val="clear" w:color="auto" w:fill="auto"/>
              <w:bidi w:val="0"/>
              <w:spacing w:before="0" w:after="60" w:line="240" w:lineRule="auto"/>
              <w:ind w:left="0" w:right="0" w:firstLine="300"/>
              <w:jc w:val="left"/>
              <w:rPr>
                <w:sz w:val="22"/>
                <w:szCs w:val="22"/>
              </w:rPr>
            </w:pPr>
            <w:r>
              <w:rPr>
                <w:color w:val="000000"/>
                <w:spacing w:val="0"/>
                <w:w w:val="100"/>
                <w:position w:val="0"/>
                <w:sz w:val="22"/>
                <w:szCs w:val="22"/>
              </w:rPr>
              <w:t>非关联方贷款</w:t>
            </w:r>
          </w:p>
        </w:tc>
        <w:tc>
          <w:tcPr>
            <w:tcBorders/>
            <w:shd w:val="clear" w:color="auto" w:fill="FFFFFF"/>
            <w:vAlign w:val="center"/>
          </w:tcPr>
          <w:p>
            <w:pPr>
              <w:pStyle w:val="Style23"/>
              <w:keepNext w:val="0"/>
              <w:keepLines w:val="0"/>
              <w:widowControl w:val="0"/>
              <w:shd w:val="clear" w:color="auto" w:fill="auto"/>
              <w:tabs>
                <w:tab w:pos="3677" w:val="right"/>
              </w:tabs>
              <w:bidi w:val="0"/>
              <w:spacing w:before="0" w:after="360" w:line="240" w:lineRule="auto"/>
              <w:ind w:left="0" w:right="140" w:firstLine="0"/>
              <w:jc w:val="right"/>
              <w:rPr>
                <w:sz w:val="24"/>
                <w:szCs w:val="24"/>
              </w:rPr>
            </w:pPr>
            <w:r>
              <w:rPr>
                <w:rFonts w:ascii="Arial" w:eastAsia="Arial" w:hAnsi="Arial" w:cs="Arial"/>
                <w:color w:val="000000"/>
                <w:spacing w:val="0"/>
                <w:w w:val="100"/>
                <w:position w:val="0"/>
                <w:sz w:val="24"/>
                <w:szCs w:val="24"/>
              </w:rPr>
              <w:t>323,250.77</w:t>
              <w:tab/>
              <w:t>215,182,104.43</w:t>
            </w:r>
          </w:p>
          <w:p>
            <w:pPr>
              <w:pStyle w:val="Style23"/>
              <w:keepNext w:val="0"/>
              <w:keepLines w:val="0"/>
              <w:widowControl w:val="0"/>
              <w:shd w:val="clear" w:color="auto" w:fill="auto"/>
              <w:tabs>
                <w:tab w:pos="2885" w:val="right"/>
              </w:tabs>
              <w:bidi w:val="0"/>
              <w:spacing w:before="0" w:after="40" w:line="240" w:lineRule="auto"/>
              <w:ind w:left="0" w:right="140" w:firstLine="0"/>
              <w:jc w:val="righ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5,000,000.00</w:t>
            </w:r>
          </w:p>
          <w:p>
            <w:pPr>
              <w:pStyle w:val="Style23"/>
              <w:keepNext w:val="0"/>
              <w:keepLines w:val="0"/>
              <w:widowControl w:val="0"/>
              <w:shd w:val="clear" w:color="auto" w:fill="auto"/>
              <w:tabs>
                <w:tab w:pos="5413" w:val="right"/>
              </w:tabs>
              <w:bidi w:val="0"/>
              <w:spacing w:before="0" w:after="200" w:line="240" w:lineRule="auto"/>
              <w:ind w:left="1400" w:right="0" w:firstLine="0"/>
              <w:jc w:val="left"/>
              <w:rPr>
                <w:sz w:val="24"/>
                <w:szCs w:val="24"/>
              </w:rPr>
            </w:pPr>
            <w:r>
              <w:rPr>
                <w:rFonts w:ascii="Arial" w:eastAsia="Arial" w:hAnsi="Arial" w:cs="Arial"/>
                <w:color w:val="000000"/>
                <w:spacing w:val="0"/>
                <w:w w:val="100"/>
                <w:position w:val="0"/>
                <w:sz w:val="24"/>
                <w:szCs w:val="24"/>
                <w:u w:val="single"/>
              </w:rPr>
              <w:t>85,618,941.73</w:t>
              <w:tab/>
              <w:t>52,024,126.40</w:t>
            </w:r>
          </w:p>
        </w:tc>
      </w:tr>
      <w:tr>
        <w:trPr>
          <w:trHeight w:val="970" w:hRule="exact"/>
        </w:trPr>
        <w:tc>
          <w:tcPr>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发放贷款及垫款总额 减：贷款损失准备</w:t>
            </w:r>
          </w:p>
        </w:tc>
        <w:tc>
          <w:tcPr>
            <w:tcBorders/>
            <w:shd w:val="clear" w:color="auto" w:fill="FFFFFF"/>
            <w:vAlign w:val="center"/>
          </w:tcPr>
          <w:p>
            <w:pPr>
              <w:pStyle w:val="Style23"/>
              <w:keepNext w:val="0"/>
              <w:keepLines w:val="0"/>
              <w:widowControl w:val="0"/>
              <w:shd w:val="clear" w:color="auto" w:fill="auto"/>
              <w:tabs>
                <w:tab w:pos="3752" w:val="left"/>
              </w:tabs>
              <w:bidi w:val="0"/>
              <w:spacing w:before="0" w:after="40" w:line="240" w:lineRule="auto"/>
              <w:ind w:left="1400" w:right="0" w:firstLine="0"/>
              <w:jc w:val="left"/>
              <w:rPr>
                <w:sz w:val="24"/>
                <w:szCs w:val="24"/>
              </w:rPr>
            </w:pPr>
            <w:r>
              <w:rPr>
                <w:rFonts w:ascii="Arial" w:eastAsia="Arial" w:hAnsi="Arial" w:cs="Arial"/>
                <w:color w:val="000000"/>
                <w:spacing w:val="0"/>
                <w:w w:val="100"/>
                <w:position w:val="0"/>
                <w:sz w:val="24"/>
                <w:szCs w:val="24"/>
              </w:rPr>
              <w:t>85,942,192.50</w:t>
              <w:tab/>
              <w:t>272,206,230.83</w:t>
            </w:r>
          </w:p>
          <w:p>
            <w:pPr>
              <w:pStyle w:val="Style23"/>
              <w:keepNext w:val="0"/>
              <w:keepLines w:val="0"/>
              <w:widowControl w:val="0"/>
              <w:shd w:val="clear" w:color="auto" w:fill="auto"/>
              <w:tabs>
                <w:tab w:pos="2294" w:val="left"/>
              </w:tabs>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u w:val="single"/>
              </w:rPr>
              <w:t>(670,461.72)</w:t>
              <w:tab/>
              <w:t>(9,085,805.46)</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发放贷款及垫款净额</w:t>
            </w:r>
          </w:p>
        </w:tc>
        <w:tc>
          <w:tcPr>
            <w:tcBorders>
              <w:bottom w:val="single" w:sz="4"/>
            </w:tcBorders>
            <w:shd w:val="clear" w:color="auto" w:fill="FFFFFF"/>
            <w:vAlign w:val="bottom"/>
          </w:tcPr>
          <w:p>
            <w:pPr>
              <w:pStyle w:val="Style23"/>
              <w:keepNext w:val="0"/>
              <w:keepLines w:val="0"/>
              <w:widowControl w:val="0"/>
              <w:shd w:val="clear" w:color="auto" w:fill="auto"/>
              <w:tabs>
                <w:tab w:pos="3752" w:val="left"/>
              </w:tabs>
              <w:bidi w:val="0"/>
              <w:spacing w:before="0" w:after="0" w:line="240" w:lineRule="auto"/>
              <w:ind w:left="1400" w:right="0" w:firstLine="0"/>
              <w:jc w:val="left"/>
              <w:rPr>
                <w:sz w:val="24"/>
                <w:szCs w:val="24"/>
              </w:rPr>
            </w:pPr>
            <w:r>
              <w:rPr>
                <w:rFonts w:ascii="Arial" w:eastAsia="Arial" w:hAnsi="Arial" w:cs="Arial"/>
                <w:color w:val="000000"/>
                <w:spacing w:val="0"/>
                <w:w w:val="100"/>
                <w:position w:val="0"/>
                <w:sz w:val="24"/>
                <w:szCs w:val="24"/>
              </w:rPr>
              <w:t>85,271,730.78</w:t>
              <w:tab/>
              <w:t>263,120,425.37</w:t>
            </w:r>
          </w:p>
        </w:tc>
      </w:tr>
    </w:tbl>
    <w:p>
      <w:pPr>
        <w:sectPr>
          <w:footnotePr>
            <w:pos w:val="pageBottom"/>
            <w:numFmt w:val="decimal"/>
            <w:numRestart w:val="continuous"/>
          </w:footnotePr>
          <w:pgSz w:w="11900" w:h="16840"/>
          <w:pgMar w:top="2108" w:right="1091" w:bottom="2108" w:left="1943" w:header="0" w:footer="3" w:gutter="0"/>
          <w:cols w:space="720"/>
          <w:noEndnote/>
          <w:rtlGutter w:val="0"/>
          <w:docGrid w:linePitch="360"/>
        </w:sectPr>
      </w:pPr>
    </w:p>
    <w:p>
      <w:pPr>
        <w:widowControl w:val="0"/>
        <w:spacing w:line="1" w:lineRule="exact"/>
      </w:pPr>
      <w:r>
        <mc:AlternateContent>
          <mc:Choice Requires="wps">
            <w:drawing>
              <wp:anchor distT="15240" distB="1780540" distL="0" distR="0" simplePos="0" relativeHeight="125829417" behindDoc="0" locked="0" layoutInCell="1" allowOverlap="1">
                <wp:simplePos x="0" y="0"/>
                <wp:positionH relativeFrom="page">
                  <wp:posOffset>1249045</wp:posOffset>
                </wp:positionH>
                <wp:positionV relativeFrom="paragraph">
                  <wp:posOffset>15240</wp:posOffset>
                </wp:positionV>
                <wp:extent cx="207010" cy="191770"/>
                <wp:wrapTopAndBottom/>
                <wp:docPr id="123" name="Shape 123"/>
                <a:graphic xmlns:a="http://schemas.openxmlformats.org/drawingml/2006/main">
                  <a:graphicData uri="http://schemas.microsoft.com/office/word/2010/wordprocessingShape">
                    <wps:wsp>
                      <wps:cNvSpPr txBox="1"/>
                      <wps:spPr>
                        <a:xfrm>
                          <a:ext cx="207010" cy="1917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w:t>
                            </w:r>
                          </w:p>
                        </w:txbxContent>
                      </wps:txbx>
                      <wps:bodyPr wrap="none" lIns="0" tIns="0" rIns="0" bIns="0">
                        <a:noAutoFit/>
                      </wps:bodyPr>
                    </wps:wsp>
                  </a:graphicData>
                </a:graphic>
              </wp:anchor>
            </w:drawing>
          </mc:Choice>
          <mc:Fallback>
            <w:pict>
              <v:shape id="_x0000_s1149" type="#_x0000_t202" style="position:absolute;margin-left:98.350000000000009pt;margin-top:1.2pt;width:16.300000000000001pt;height:15.1pt;z-index:-125829336;mso-wrap-distance-left:0;mso-wrap-distance-top:1.2pt;mso-wrap-distance-right:0;mso-wrap-distance-bottom:140.20000000000002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w:t>
                      </w:r>
                    </w:p>
                  </w:txbxContent>
                </v:textbox>
                <w10:wrap type="topAndBottom" anchorx="page"/>
              </v:shape>
            </w:pict>
          </mc:Fallback>
        </mc:AlternateContent>
      </w:r>
      <w:r>
        <mc:AlternateContent>
          <mc:Choice Requires="wps">
            <w:drawing>
              <wp:anchor distT="0" distB="1786255" distL="0" distR="0" simplePos="0" relativeHeight="125829419" behindDoc="0" locked="0" layoutInCell="1" allowOverlap="1">
                <wp:simplePos x="0" y="0"/>
                <wp:positionH relativeFrom="page">
                  <wp:posOffset>1703070</wp:posOffset>
                </wp:positionH>
                <wp:positionV relativeFrom="paragraph">
                  <wp:posOffset>0</wp:posOffset>
                </wp:positionV>
                <wp:extent cx="1344295" cy="201295"/>
                <wp:wrapTopAndBottom/>
                <wp:docPr id="125" name="Shape 125"/>
                <a:graphic xmlns:a="http://schemas.openxmlformats.org/drawingml/2006/main">
                  <a:graphicData uri="http://schemas.microsoft.com/office/word/2010/wordprocessingShape">
                    <wps:wsp>
                      <wps:cNvSpPr txBox="1"/>
                      <wps:spPr>
                        <a:xfrm>
                          <a:ext cx="1344295" cy="201295"/>
                        </a:xfrm>
                        <a:prstGeom prst="rect"/>
                        <a:noFill/>
                      </wps:spPr>
                      <wps:txbx>
                        <w:txbxContent>
                          <w:p>
                            <w:pPr>
                              <w:pStyle w:val="Style27"/>
                              <w:keepNext/>
                              <w:keepLines/>
                              <w:widowControl w:val="0"/>
                              <w:shd w:val="clear" w:color="auto" w:fill="auto"/>
                              <w:bidi w:val="0"/>
                              <w:spacing w:before="0" w:after="0" w:line="240" w:lineRule="auto"/>
                              <w:ind w:left="0" w:right="0" w:firstLine="0"/>
                              <w:jc w:val="left"/>
                            </w:pPr>
                            <w:bookmarkStart w:id="767" w:name="bookmark767"/>
                            <w:bookmarkStart w:id="768" w:name="bookmark768"/>
                            <w:bookmarkStart w:id="769" w:name="bookmark769"/>
                            <w:r>
                              <w:rPr>
                                <w:color w:val="000000"/>
                                <w:spacing w:val="0"/>
                                <w:w w:val="100"/>
                                <w:position w:val="0"/>
                                <w:sz w:val="22"/>
                                <w:szCs w:val="22"/>
                              </w:rPr>
                              <w:t>发放贷款及垫款</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67"/>
                            <w:bookmarkEnd w:id="768"/>
                            <w:bookmarkEnd w:id="769"/>
                          </w:p>
                        </w:txbxContent>
                      </wps:txbx>
                      <wps:bodyPr wrap="none" lIns="0" tIns="0" rIns="0" bIns="0">
                        <a:noAutoFit/>
                      </wps:bodyPr>
                    </wps:wsp>
                  </a:graphicData>
                </a:graphic>
              </wp:anchor>
            </w:drawing>
          </mc:Choice>
          <mc:Fallback>
            <w:pict>
              <v:shape id="_x0000_s1151" type="#_x0000_t202" style="position:absolute;margin-left:134.09999999999999pt;margin-top:0;width:105.85000000000001pt;height:15.85pt;z-index:-125829334;mso-wrap-distance-left:0;mso-wrap-distance-right:0;mso-wrap-distance-bottom:140.65000000000001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pPr>
                      <w:bookmarkStart w:id="767" w:name="bookmark767"/>
                      <w:bookmarkStart w:id="768" w:name="bookmark768"/>
                      <w:bookmarkStart w:id="769" w:name="bookmark769"/>
                      <w:r>
                        <w:rPr>
                          <w:color w:val="000000"/>
                          <w:spacing w:val="0"/>
                          <w:w w:val="100"/>
                          <w:position w:val="0"/>
                          <w:sz w:val="22"/>
                          <w:szCs w:val="22"/>
                        </w:rPr>
                        <w:t>发放贷款及垫款</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67"/>
                      <w:bookmarkEnd w:id="768"/>
                      <w:bookmarkEnd w:id="769"/>
                    </w:p>
                  </w:txbxContent>
                </v:textbox>
                <w10:wrap type="topAndBottom" anchorx="page"/>
              </v:shape>
            </w:pict>
          </mc:Fallback>
        </mc:AlternateContent>
      </w:r>
      <w:r>
        <mc:AlternateContent>
          <mc:Choice Requires="wps">
            <w:drawing>
              <wp:anchor distT="423545" distB="1372235" distL="0" distR="0" simplePos="0" relativeHeight="125829421" behindDoc="0" locked="0" layoutInCell="1" allowOverlap="1">
                <wp:simplePos x="0" y="0"/>
                <wp:positionH relativeFrom="page">
                  <wp:posOffset>1249045</wp:posOffset>
                </wp:positionH>
                <wp:positionV relativeFrom="paragraph">
                  <wp:posOffset>423545</wp:posOffset>
                </wp:positionV>
                <wp:extent cx="207010" cy="191770"/>
                <wp:wrapTopAndBottom/>
                <wp:docPr id="127" name="Shape 127"/>
                <a:graphic xmlns:a="http://schemas.openxmlformats.org/drawingml/2006/main">
                  <a:graphicData uri="http://schemas.microsoft.com/office/word/2010/wordprocessingShape">
                    <wps:wsp>
                      <wps:cNvSpPr txBox="1"/>
                      <wps:spPr>
                        <a:xfrm>
                          <a:ext cx="207010" cy="1917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153" type="#_x0000_t202" style="position:absolute;margin-left:98.350000000000009pt;margin-top:33.350000000000001pt;width:16.300000000000001pt;height:15.1pt;z-index:-125829332;mso-wrap-distance-left:0;mso-wrap-distance-top:33.350000000000001pt;mso-wrap-distance-right:0;mso-wrap-distance-bottom:108.05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v:textbox>
                <w10:wrap type="topAndBottom" anchorx="page"/>
              </v:shape>
            </w:pict>
          </mc:Fallback>
        </mc:AlternateContent>
      </w:r>
      <w:r>
        <mc:AlternateContent>
          <mc:Choice Requires="wps">
            <w:drawing>
              <wp:anchor distT="405130" distB="1393190" distL="0" distR="0" simplePos="0" relativeHeight="125829423" behindDoc="0" locked="0" layoutInCell="1" allowOverlap="1">
                <wp:simplePos x="0" y="0"/>
                <wp:positionH relativeFrom="page">
                  <wp:posOffset>1697355</wp:posOffset>
                </wp:positionH>
                <wp:positionV relativeFrom="paragraph">
                  <wp:posOffset>405130</wp:posOffset>
                </wp:positionV>
                <wp:extent cx="2459990" cy="189230"/>
                <wp:wrapTopAndBottom/>
                <wp:docPr id="129" name="Shape 129"/>
                <a:graphic xmlns:a="http://schemas.openxmlformats.org/drawingml/2006/main">
                  <a:graphicData uri="http://schemas.microsoft.com/office/word/2010/wordprocessingShape">
                    <wps:wsp>
                      <wps:cNvSpPr txBox="1"/>
                      <wps:spPr>
                        <a:xfrm>
                          <a:ext cx="245999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发放贷款及垫款按担保方式分布情况</w:t>
                            </w:r>
                          </w:p>
                        </w:txbxContent>
                      </wps:txbx>
                      <wps:bodyPr wrap="none" lIns="0" tIns="0" rIns="0" bIns="0">
                        <a:noAutoFit/>
                      </wps:bodyPr>
                    </wps:wsp>
                  </a:graphicData>
                </a:graphic>
              </wp:anchor>
            </w:drawing>
          </mc:Choice>
          <mc:Fallback>
            <w:pict>
              <v:shape id="_x0000_s1155" type="#_x0000_t202" style="position:absolute;margin-left:133.65000000000001pt;margin-top:31.900000000000002pt;width:193.70000000000002pt;height:14.9pt;z-index:-125829330;mso-wrap-distance-left:0;mso-wrap-distance-top:31.900000000000002pt;mso-wrap-distance-right:0;mso-wrap-distance-bottom:109.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发放贷款及垫款按担保方式分布情况</w:t>
                      </w:r>
                    </w:p>
                  </w:txbxContent>
                </v:textbox>
                <w10:wrap type="topAndBottom" anchorx="page"/>
              </v:shape>
            </w:pict>
          </mc:Fallback>
        </mc:AlternateContent>
      </w:r>
      <w:r>
        <mc:AlternateContent>
          <mc:Choice Requires="wps">
            <w:drawing>
              <wp:anchor distT="814070" distB="984250" distL="0" distR="0" simplePos="0" relativeHeight="125829425" behindDoc="0" locked="0" layoutInCell="1" allowOverlap="1">
                <wp:simplePos x="0" y="0"/>
                <wp:positionH relativeFrom="page">
                  <wp:posOffset>3827780</wp:posOffset>
                </wp:positionH>
                <wp:positionV relativeFrom="paragraph">
                  <wp:posOffset>814070</wp:posOffset>
                </wp:positionV>
                <wp:extent cx="1356360" cy="189230"/>
                <wp:wrapTopAndBottom/>
                <wp:docPr id="131" name="Shape 131"/>
                <a:graphic xmlns:a="http://schemas.openxmlformats.org/drawingml/2006/main">
                  <a:graphicData uri="http://schemas.microsoft.com/office/word/2010/wordprocessingShape">
                    <wps:wsp>
                      <wps:cNvSpPr txBox="1"/>
                      <wps:spPr>
                        <a:xfrm>
                          <a:ext cx="135636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157" type="#_x0000_t202" style="position:absolute;margin-left:301.40000000000003pt;margin-top:64.099999999999994pt;width:106.8pt;height:14.9pt;z-index:-125829328;mso-wrap-distance-left:0;mso-wrap-distance-top:64.099999999999994pt;mso-wrap-distance-right:0;mso-wrap-distance-bottom:77.5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814070" distB="984250" distL="0" distR="0" simplePos="0" relativeHeight="125829427" behindDoc="0" locked="0" layoutInCell="1" allowOverlap="1">
                <wp:simplePos x="0" y="0"/>
                <wp:positionH relativeFrom="page">
                  <wp:posOffset>5409565</wp:posOffset>
                </wp:positionH>
                <wp:positionV relativeFrom="paragraph">
                  <wp:posOffset>814070</wp:posOffset>
                </wp:positionV>
                <wp:extent cx="1356360" cy="189230"/>
                <wp:wrapTopAndBottom/>
                <wp:docPr id="133" name="Shape 133"/>
                <a:graphic xmlns:a="http://schemas.openxmlformats.org/drawingml/2006/main">
                  <a:graphicData uri="http://schemas.microsoft.com/office/word/2010/wordprocessingShape">
                    <wps:wsp>
                      <wps:cNvSpPr txBox="1"/>
                      <wps:spPr>
                        <a:xfrm>
                          <a:ext cx="135636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159" type="#_x0000_t202" style="position:absolute;margin-left:425.94999999999999pt;margin-top:64.099999999999994pt;width:106.8pt;height:14.9pt;z-index:-125829326;mso-wrap-distance-left:0;mso-wrap-distance-top:64.099999999999994pt;mso-wrap-distance-right:0;mso-wrap-distance-bottom:77.5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216025" distB="168275" distL="0" distR="0" simplePos="0" relativeHeight="125829429" behindDoc="0" locked="0" layoutInCell="1" allowOverlap="1">
                <wp:simplePos x="0" y="0"/>
                <wp:positionH relativeFrom="page">
                  <wp:posOffset>1249045</wp:posOffset>
                </wp:positionH>
                <wp:positionV relativeFrom="paragraph">
                  <wp:posOffset>1216025</wp:posOffset>
                </wp:positionV>
                <wp:extent cx="1395730" cy="603250"/>
                <wp:wrapTopAndBottom/>
                <wp:docPr id="135" name="Shape 135"/>
                <a:graphic xmlns:a="http://schemas.openxmlformats.org/drawingml/2006/main">
                  <a:graphicData uri="http://schemas.microsoft.com/office/word/2010/wordprocessingShape">
                    <wps:wsp>
                      <wps:cNvSpPr txBox="1"/>
                      <wps:spPr>
                        <a:xfrm>
                          <a:ext cx="1395730" cy="603250"/>
                        </a:xfrm>
                        <a:prstGeom prst="rect"/>
                        <a:noFill/>
                      </wps:spPr>
                      <wps:txbx>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信用贷款</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保证贷款</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发放贷款及垫款总额</w:t>
                            </w:r>
                          </w:p>
                        </w:txbxContent>
                      </wps:txbx>
                      <wps:bodyPr lIns="0" tIns="0" rIns="0" bIns="0">
                        <a:noAutoFit/>
                      </wps:bodyPr>
                    </wps:wsp>
                  </a:graphicData>
                </a:graphic>
              </wp:anchor>
            </w:drawing>
          </mc:Choice>
          <mc:Fallback>
            <w:pict>
              <v:shape id="_x0000_s1161" type="#_x0000_t202" style="position:absolute;margin-left:98.350000000000009pt;margin-top:95.75pt;width:109.90000000000001pt;height:47.5pt;z-index:-125829324;mso-wrap-distance-left:0;mso-wrap-distance-top:95.75pt;mso-wrap-distance-right:0;mso-wrap-distance-bottom:13.25pt;mso-position-horizontal-relative:page" filled="f" stroked="f">
                <v:textbox inset="0,0,0,0">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信用贷款</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保证贷款</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发放贷款及垫款总额</w:t>
                      </w:r>
                    </w:p>
                  </w:txbxContent>
                </v:textbox>
                <w10:wrap type="topAndBottom" anchorx="page"/>
              </v:shape>
            </w:pict>
          </mc:Fallback>
        </mc:AlternateContent>
      </w:r>
      <w:r>
        <mc:AlternateContent>
          <mc:Choice Requires="wps">
            <w:drawing>
              <wp:anchor distT="1219200" distB="165100" distL="0" distR="0" simplePos="0" relativeHeight="125829431" behindDoc="0" locked="0" layoutInCell="1" allowOverlap="1">
                <wp:simplePos x="0" y="0"/>
                <wp:positionH relativeFrom="page">
                  <wp:posOffset>4159885</wp:posOffset>
                </wp:positionH>
                <wp:positionV relativeFrom="paragraph">
                  <wp:posOffset>1219200</wp:posOffset>
                </wp:positionV>
                <wp:extent cx="1012190" cy="603250"/>
                <wp:wrapTopAndBottom/>
                <wp:docPr id="137" name="Shape 137"/>
                <a:graphic xmlns:a="http://schemas.openxmlformats.org/drawingml/2006/main">
                  <a:graphicData uri="http://schemas.microsoft.com/office/word/2010/wordprocessingShape">
                    <wps:wsp>
                      <wps:cNvSpPr txBox="1"/>
                      <wps:spPr>
                        <a:xfrm>
                          <a:ext cx="1012190" cy="6032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85,618,941.73</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323,250.77</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85,942,192.50</w:t>
                            </w:r>
                          </w:p>
                        </w:txbxContent>
                      </wps:txbx>
                      <wps:bodyPr lIns="0" tIns="0" rIns="0" bIns="0">
                        <a:noAutoFit/>
                      </wps:bodyPr>
                    </wps:wsp>
                  </a:graphicData>
                </a:graphic>
              </wp:anchor>
            </w:drawing>
          </mc:Choice>
          <mc:Fallback>
            <w:pict>
              <v:shape id="_x0000_s1163" type="#_x0000_t202" style="position:absolute;margin-left:327.55000000000001pt;margin-top:96.pt;width:79.700000000000003pt;height:47.5pt;z-index:-125829322;mso-wrap-distance-left:0;mso-wrap-distance-top:96.pt;mso-wrap-distance-right:0;mso-wrap-distance-bottom:13.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85,618,941.73</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323,250.77</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85,942,192.50</w:t>
                      </w:r>
                    </w:p>
                  </w:txbxContent>
                </v:textbox>
                <w10:wrap type="topAndBottom" anchorx="page"/>
              </v:shape>
            </w:pict>
          </mc:Fallback>
        </mc:AlternateContent>
      </w:r>
      <w:r>
        <mc:AlternateContent>
          <mc:Choice Requires="wps">
            <w:drawing>
              <wp:anchor distT="1219200" distB="165100" distL="0" distR="0" simplePos="0" relativeHeight="125829433" behindDoc="0" locked="0" layoutInCell="1" allowOverlap="1">
                <wp:simplePos x="0" y="0"/>
                <wp:positionH relativeFrom="page">
                  <wp:posOffset>5662295</wp:posOffset>
                </wp:positionH>
                <wp:positionV relativeFrom="paragraph">
                  <wp:posOffset>1219200</wp:posOffset>
                </wp:positionV>
                <wp:extent cx="1100455" cy="603250"/>
                <wp:wrapTopAndBottom/>
                <wp:docPr id="139" name="Shape 139"/>
                <a:graphic xmlns:a="http://schemas.openxmlformats.org/drawingml/2006/main">
                  <a:graphicData uri="http://schemas.microsoft.com/office/word/2010/wordprocessingShape">
                    <wps:wsp>
                      <wps:cNvSpPr txBox="1"/>
                      <wps:spPr>
                        <a:xfrm>
                          <a:ext cx="1100455" cy="6032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pPr>
                            <w:bookmarkStart w:id="770" w:name="bookmark770"/>
                            <w:r>
                              <w:rPr>
                                <w:color w:val="000000"/>
                                <w:spacing w:val="0"/>
                                <w:w w:val="100"/>
                                <w:position w:val="0"/>
                                <w:sz w:val="24"/>
                                <w:szCs w:val="24"/>
                              </w:rPr>
                              <w:t>2</w:t>
                            </w:r>
                            <w:bookmarkEnd w:id="770"/>
                            <w:r>
                              <w:rPr>
                                <w:color w:val="000000"/>
                                <w:spacing w:val="0"/>
                                <w:w w:val="100"/>
                                <w:position w:val="0"/>
                                <w:sz w:val="24"/>
                                <w:szCs w:val="24"/>
                              </w:rPr>
                              <w:t>45,129,564.17</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27,076,666.66</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8"/>
                                <w:szCs w:val="28"/>
                              </w:rPr>
                            </w:pPr>
                            <w:r>
                              <w:rPr>
                                <w:color w:val="000000"/>
                                <w:spacing w:val="0"/>
                                <w:w w:val="100"/>
                                <w:position w:val="0"/>
                                <w:sz w:val="24"/>
                                <w:szCs w:val="24"/>
                              </w:rPr>
                              <w:t>272,206,230</w:t>
                            </w:r>
                            <w:r>
                              <w:rPr>
                                <w:rFonts w:ascii="SimSun" w:eastAsia="SimSun" w:hAnsi="SimSun" w:cs="SimSun"/>
                                <w:color w:val="000000"/>
                                <w:spacing w:val="0"/>
                                <w:w w:val="100"/>
                                <w:position w:val="0"/>
                                <w:sz w:val="28"/>
                                <w:szCs w:val="28"/>
                              </w:rPr>
                              <w:t>两</w:t>
                            </w:r>
                          </w:p>
                        </w:txbxContent>
                      </wps:txbx>
                      <wps:bodyPr lIns="0" tIns="0" rIns="0" bIns="0">
                        <a:noAutoFit/>
                      </wps:bodyPr>
                    </wps:wsp>
                  </a:graphicData>
                </a:graphic>
              </wp:anchor>
            </w:drawing>
          </mc:Choice>
          <mc:Fallback>
            <w:pict>
              <v:shape id="_x0000_s1165" type="#_x0000_t202" style="position:absolute;margin-left:445.85000000000002pt;margin-top:96.pt;width:86.650000000000006pt;height:47.5pt;z-index:-125829320;mso-wrap-distance-left:0;mso-wrap-distance-top:96.pt;mso-wrap-distance-right:0;mso-wrap-distance-bottom:13.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pPr>
                      <w:bookmarkStart w:id="770" w:name="bookmark770"/>
                      <w:r>
                        <w:rPr>
                          <w:color w:val="000000"/>
                          <w:spacing w:val="0"/>
                          <w:w w:val="100"/>
                          <w:position w:val="0"/>
                          <w:sz w:val="24"/>
                          <w:szCs w:val="24"/>
                        </w:rPr>
                        <w:t>2</w:t>
                      </w:r>
                      <w:bookmarkEnd w:id="770"/>
                      <w:r>
                        <w:rPr>
                          <w:color w:val="000000"/>
                          <w:spacing w:val="0"/>
                          <w:w w:val="100"/>
                          <w:position w:val="0"/>
                          <w:sz w:val="24"/>
                          <w:szCs w:val="24"/>
                        </w:rPr>
                        <w:t>45,129,564.17</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27,076,666.66</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8"/>
                          <w:szCs w:val="28"/>
                        </w:rPr>
                      </w:pPr>
                      <w:r>
                        <w:rPr>
                          <w:color w:val="000000"/>
                          <w:spacing w:val="0"/>
                          <w:w w:val="100"/>
                          <w:position w:val="0"/>
                          <w:sz w:val="24"/>
                          <w:szCs w:val="24"/>
                        </w:rPr>
                        <w:t>272,206,230</w:t>
                      </w:r>
                      <w:r>
                        <w:rPr>
                          <w:rFonts w:ascii="SimSun" w:eastAsia="SimSun" w:hAnsi="SimSun" w:cs="SimSun"/>
                          <w:color w:val="000000"/>
                          <w:spacing w:val="0"/>
                          <w:w w:val="100"/>
                          <w:position w:val="0"/>
                          <w:sz w:val="28"/>
                          <w:szCs w:val="28"/>
                        </w:rPr>
                        <w:t>两</w:t>
                      </w:r>
                    </w:p>
                  </w:txbxContent>
                </v:textbox>
                <w10:wrap type="topAndBottom" anchorx="page"/>
              </v:shape>
            </w:pict>
          </mc:Fallback>
        </mc:AlternateContent>
      </w:r>
    </w:p>
    <w:p>
      <w:pPr>
        <w:pStyle w:val="Style33"/>
        <w:keepNext w:val="0"/>
        <w:keepLines w:val="0"/>
        <w:widowControl w:val="0"/>
        <w:numPr>
          <w:ilvl w:val="0"/>
          <w:numId w:val="49"/>
        </w:numPr>
        <w:shd w:val="clear" w:color="auto" w:fill="auto"/>
        <w:tabs>
          <w:tab w:pos="672" w:val="left"/>
        </w:tabs>
        <w:bidi w:val="0"/>
        <w:spacing w:before="0" w:after="380" w:line="240" w:lineRule="auto"/>
        <w:ind w:left="0" w:right="0" w:firstLine="0"/>
        <w:jc w:val="left"/>
        <w:rPr>
          <w:sz w:val="22"/>
          <w:szCs w:val="22"/>
        </w:rPr>
      </w:pPr>
      <w:bookmarkStart w:id="771" w:name="bookmark771"/>
      <w:bookmarkEnd w:id="771"/>
      <w:r>
        <w:rPr>
          <w:b w:val="0"/>
          <w:bCs w:val="0"/>
          <w:color w:val="000000"/>
          <w:spacing w:val="0"/>
          <w:w w:val="100"/>
          <w:position w:val="0"/>
          <w:sz w:val="22"/>
          <w:szCs w:val="22"/>
        </w:rPr>
        <w:t>逾期贷款按天数列示如下:</w:t>
      </w:r>
    </w:p>
    <w:p>
      <w:pPr>
        <w:pStyle w:val="Style29"/>
        <w:keepNext w:val="0"/>
        <w:keepLines w:val="0"/>
        <w:widowControl w:val="0"/>
        <w:shd w:val="clear" w:color="auto" w:fill="auto"/>
        <w:bidi w:val="0"/>
        <w:spacing w:before="0" w:after="0" w:line="240" w:lineRule="auto"/>
        <w:ind w:left="4272"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1728"/>
        <w:gridCol w:w="1210"/>
        <w:gridCol w:w="1358"/>
        <w:gridCol w:w="2059"/>
        <w:gridCol w:w="888"/>
        <w:gridCol w:w="1618"/>
      </w:tblGrid>
      <w:tr>
        <w:trPr>
          <w:trHeight w:val="52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个月以内</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个月至</w:t>
            </w:r>
            <w:r>
              <w:rPr>
                <w:rFonts w:ascii="Arial" w:eastAsia="Arial" w:hAnsi="Arial" w:cs="Arial"/>
                <w:color w:val="000000"/>
                <w:spacing w:val="0"/>
                <w:w w:val="100"/>
                <w:position w:val="0"/>
                <w:sz w:val="20"/>
                <w:szCs w:val="20"/>
              </w:rPr>
              <w:t>1</w:t>
            </w:r>
            <w:r>
              <w:rPr>
                <w:color w:val="000000"/>
                <w:spacing w:val="0"/>
                <w:w w:val="100"/>
                <w:position w:val="0"/>
                <w:sz w:val="19"/>
                <w:szCs w:val="19"/>
              </w:rPr>
              <w:t>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年以上</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020" w:right="0" w:firstLine="0"/>
              <w:jc w:val="both"/>
              <w:rPr>
                <w:sz w:val="19"/>
                <w:szCs w:val="19"/>
              </w:rPr>
            </w:pPr>
            <w:r>
              <w:rPr>
                <w:color w:val="000000"/>
                <w:spacing w:val="0"/>
                <w:w w:val="100"/>
                <w:position w:val="0"/>
                <w:sz w:val="19"/>
                <w:szCs w:val="19"/>
              </w:rPr>
              <w:t>合计</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信用贷款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42,441.45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42,441.45</w:t>
            </w:r>
          </w:p>
        </w:tc>
      </w:tr>
      <w:tr>
        <w:trPr>
          <w:trHeight w:val="65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个月以内</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个月至</w:t>
            </w:r>
            <w:r>
              <w:rPr>
                <w:rFonts w:ascii="Arial" w:eastAsia="Arial" w:hAnsi="Arial" w:cs="Arial"/>
                <w:color w:val="000000"/>
                <w:spacing w:val="0"/>
                <w:w w:val="100"/>
                <w:position w:val="0"/>
                <w:sz w:val="20"/>
                <w:szCs w:val="20"/>
              </w:rPr>
              <w:t>1</w:t>
            </w:r>
            <w:r>
              <w:rPr>
                <w:color w:val="000000"/>
                <w:spacing w:val="0"/>
                <w:w w:val="100"/>
                <w:position w:val="0"/>
                <w:sz w:val="19"/>
                <w:szCs w:val="19"/>
              </w:rPr>
              <w:t>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年以上</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020" w:right="0" w:firstLine="0"/>
              <w:jc w:val="both"/>
              <w:rPr>
                <w:sz w:val="19"/>
                <w:szCs w:val="19"/>
              </w:rPr>
            </w:pPr>
            <w:r>
              <w:rPr>
                <w:color w:val="000000"/>
                <w:spacing w:val="0"/>
                <w:w w:val="100"/>
                <w:position w:val="0"/>
                <w:sz w:val="19"/>
                <w:szCs w:val="19"/>
              </w:rPr>
              <w:t>合计</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信用贷款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189,730.51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189,730.51</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保证贷款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100,000.00</w:t>
            </w:r>
          </w:p>
        </w:tc>
      </w:tr>
      <w:tr>
        <w:trPr>
          <w:trHeight w:val="3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289,730.51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289,730.51</w:t>
            </w:r>
          </w:p>
        </w:tc>
      </w:tr>
      <w:tr>
        <w:trPr>
          <w:trHeight w:val="826" w:hRule="exact"/>
        </w:trPr>
        <w:tc>
          <w:tcPr>
            <w:gridSpan w:val="2"/>
            <w:tcBorders>
              <w:top w:val="single" w:sz="4"/>
            </w:tcBorders>
            <w:shd w:val="clear" w:color="auto" w:fill="FFFFFF"/>
            <w:vAlign w:val="bottom"/>
          </w:tcPr>
          <w:p>
            <w:pPr>
              <w:pStyle w:val="Style23"/>
              <w:keepNext w:val="0"/>
              <w:keepLines w:val="0"/>
              <w:widowControl w:val="0"/>
              <w:shd w:val="clear" w:color="auto" w:fill="auto"/>
              <w:tabs>
                <w:tab w:pos="696"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(d)</w:t>
              <w:tab/>
            </w:r>
            <w:r>
              <w:rPr>
                <w:color w:val="000000"/>
                <w:spacing w:val="0"/>
                <w:w w:val="100"/>
                <w:position w:val="0"/>
                <w:sz w:val="22"/>
                <w:szCs w:val="22"/>
              </w:rPr>
              <w:t>贷款损失准备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9,085,805.46</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4,212,161.76</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9,085,805.46</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本年处置子公司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(12,627,505.50)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w:t>
            </w:r>
          </w:p>
        </w:tc>
      </w:tr>
      <w:tr>
        <w:trPr>
          <w:trHeight w:val="36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年末余额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670,461.72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9,085,805.46</w:t>
            </w:r>
          </w:p>
        </w:tc>
      </w:tr>
    </w:tbl>
    <w:p>
      <w:pPr>
        <w:pStyle w:val="Style29"/>
        <w:keepNext w:val="0"/>
        <w:keepLines w:val="0"/>
        <w:widowControl w:val="0"/>
        <w:shd w:val="clear" w:color="auto" w:fill="auto"/>
        <w:bidi w:val="0"/>
        <w:spacing w:before="0" w:after="0" w:line="240" w:lineRule="auto"/>
        <w:ind w:left="19" w:right="0" w:firstLine="0"/>
        <w:jc w:val="left"/>
        <w:rPr>
          <w:sz w:val="22"/>
          <w:szCs w:val="22"/>
        </w:rPr>
        <w:sectPr>
          <w:footnotePr>
            <w:pos w:val="pageBottom"/>
            <w:numFmt w:val="decimal"/>
            <w:numRestart w:val="continuous"/>
          </w:footnotePr>
          <w:pgSz w:w="11900" w:h="16840"/>
          <w:pgMar w:top="2161" w:right="1096" w:bottom="2161" w:left="1943" w:header="0" w:footer="3" w:gutter="0"/>
          <w:cols w:space="720"/>
          <w:noEndnote/>
          <w:rtlGutter w:val="0"/>
          <w:docGrid w:linePitch="360"/>
        </w:sectPr>
      </w:pPr>
      <w:r>
        <w:rPr>
          <w:color w:val="000000"/>
          <w:spacing w:val="0"/>
          <w:w w:val="100"/>
          <w:position w:val="0"/>
          <w:sz w:val="22"/>
          <w:szCs w:val="22"/>
        </w:rPr>
        <w:t>于</w:t>
      </w:r>
      <w:r>
        <w:rPr>
          <w:rFonts w:ascii="Arial" w:eastAsia="Arial" w:hAnsi="Arial" w:cs="Arial"/>
          <w:color w:val="000000"/>
          <w:spacing w:val="0"/>
          <w:w w:val="100"/>
          <w:position w:val="0"/>
          <w:sz w:val="24"/>
          <w:szCs w:val="24"/>
        </w:rPr>
        <w:t>2016</w:t>
      </w:r>
      <w:r>
        <w:rPr>
          <w:color w:val="000000"/>
          <w:spacing w:val="0"/>
          <w:w w:val="100"/>
          <w:position w:val="0"/>
          <w:sz w:val="22"/>
          <w:szCs w:val="22"/>
        </w:rPr>
        <w:t>年度，本集团已计提的贷款损失准备全部为组合计提。</w:t>
      </w:r>
    </w:p>
    <w:p>
      <w:pPr>
        <w:pStyle w:val="Style27"/>
        <w:keepNext/>
        <w:keepLines/>
        <w:widowControl w:val="0"/>
        <w:shd w:val="clear" w:color="auto" w:fill="auto"/>
        <w:bidi w:val="0"/>
        <w:spacing w:before="0" w:after="360" w:line="240" w:lineRule="auto"/>
        <w:ind w:left="0" w:right="0" w:firstLine="0"/>
        <w:jc w:val="left"/>
        <w:rPr>
          <w:sz w:val="22"/>
          <w:szCs w:val="22"/>
        </w:rPr>
      </w:pPr>
      <w:bookmarkStart w:id="772" w:name="bookmark772"/>
      <w:bookmarkStart w:id="773" w:name="bookmark773"/>
      <w:bookmarkStart w:id="774" w:name="bookmark774"/>
      <w:r>
        <w:rPr>
          <w:rFonts w:ascii="Arial" w:eastAsia="Arial" w:hAnsi="Arial" w:cs="Arial"/>
          <w:b w:val="0"/>
          <w:bCs w:val="0"/>
          <w:color w:val="000000"/>
          <w:spacing w:val="0"/>
          <w:w w:val="100"/>
          <w:position w:val="0"/>
          <w:sz w:val="24"/>
          <w:szCs w:val="24"/>
        </w:rPr>
        <w:t xml:space="preserve">(8) </w:t>
      </w:r>
      <w:r>
        <w:rPr>
          <w:color w:val="000000"/>
          <w:spacing w:val="0"/>
          <w:w w:val="100"/>
          <w:position w:val="0"/>
          <w:sz w:val="22"/>
          <w:szCs w:val="22"/>
        </w:rPr>
        <w:t>应收利息</w:t>
      </w:r>
      <w:bookmarkEnd w:id="772"/>
      <w:bookmarkEnd w:id="773"/>
      <w:bookmarkEnd w:id="774"/>
    </w:p>
    <w:tbl>
      <w:tblPr>
        <w:tblOverlap w:val="never"/>
        <w:jc w:val="center"/>
        <w:tblLayout w:type="fixed"/>
      </w:tblPr>
      <w:tblGrid>
        <w:gridCol w:w="2774"/>
        <w:gridCol w:w="3605"/>
        <w:gridCol w:w="2304"/>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应收银行利息</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5,241,461.07</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6,118,865.05</w:t>
            </w:r>
          </w:p>
        </w:tc>
      </w:tr>
    </w:tbl>
    <w:p>
      <w:pPr>
        <w:widowControl w:val="0"/>
        <w:spacing w:after="359" w:line="1" w:lineRule="exact"/>
      </w:pPr>
    </w:p>
    <w:p>
      <w:pPr>
        <w:pStyle w:val="Style27"/>
        <w:keepNext/>
        <w:keepLines/>
        <w:widowControl w:val="0"/>
        <w:shd w:val="clear" w:color="auto" w:fill="auto"/>
        <w:tabs>
          <w:tab w:pos="691" w:val="left"/>
        </w:tabs>
        <w:bidi w:val="0"/>
        <w:spacing w:before="0" w:after="360" w:line="240" w:lineRule="auto"/>
        <w:ind w:left="0" w:right="0" w:firstLine="0"/>
        <w:jc w:val="left"/>
        <w:rPr>
          <w:sz w:val="22"/>
          <w:szCs w:val="22"/>
        </w:rPr>
      </w:pPr>
      <w:bookmarkStart w:id="775" w:name="bookmark775"/>
      <w:bookmarkStart w:id="776" w:name="bookmark776"/>
      <w:bookmarkStart w:id="777" w:name="bookmark777"/>
      <w:r>
        <w:rPr>
          <w:rFonts w:ascii="Arial" w:eastAsia="Arial" w:hAnsi="Arial" w:cs="Arial"/>
          <w:b w:val="0"/>
          <w:bCs w:val="0"/>
          <w:color w:val="000000"/>
          <w:spacing w:val="0"/>
          <w:w w:val="100"/>
          <w:position w:val="0"/>
          <w:sz w:val="24"/>
          <w:szCs w:val="24"/>
        </w:rPr>
        <w:t>(9)</w:t>
        <w:tab/>
      </w:r>
      <w:r>
        <w:rPr>
          <w:color w:val="000000"/>
          <w:spacing w:val="0"/>
          <w:w w:val="100"/>
          <w:position w:val="0"/>
          <w:sz w:val="22"/>
          <w:szCs w:val="22"/>
        </w:rPr>
        <w:t>存货</w:t>
      </w:r>
      <w:bookmarkEnd w:id="775"/>
      <w:bookmarkEnd w:id="776"/>
      <w:bookmarkEnd w:id="777"/>
    </w:p>
    <w:p>
      <w:pPr>
        <w:pStyle w:val="Style33"/>
        <w:keepNext w:val="0"/>
        <w:keepLines w:val="0"/>
        <w:widowControl w:val="0"/>
        <w:shd w:val="clear" w:color="auto" w:fill="auto"/>
        <w:tabs>
          <w:tab w:pos="691" w:val="left"/>
        </w:tabs>
        <w:bidi w:val="0"/>
        <w:spacing w:before="0" w:after="40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tab/>
      </w:r>
      <w:r>
        <w:rPr>
          <w:b w:val="0"/>
          <w:bCs w:val="0"/>
          <w:color w:val="000000"/>
          <w:spacing w:val="0"/>
          <w:w w:val="100"/>
          <w:position w:val="0"/>
          <w:sz w:val="22"/>
          <w:szCs w:val="22"/>
        </w:rPr>
        <w:t>存货分类如下：</w:t>
      </w:r>
    </w:p>
    <w:p>
      <w:pPr>
        <w:pStyle w:val="Style29"/>
        <w:keepNext w:val="0"/>
        <w:keepLines w:val="0"/>
        <w:widowControl w:val="0"/>
        <w:shd w:val="clear" w:color="auto" w:fill="auto"/>
        <w:bidi w:val="0"/>
        <w:spacing w:before="0" w:after="140" w:line="240" w:lineRule="auto"/>
        <w:ind w:left="0" w:right="0" w:firstLine="0"/>
        <w:jc w:val="center"/>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p>
      <w:pPr>
        <w:pStyle w:val="Style29"/>
        <w:keepNext w:val="0"/>
        <w:keepLines w:val="0"/>
        <w:widowControl w:val="0"/>
        <w:shd w:val="clear" w:color="auto" w:fill="auto"/>
        <w:tabs>
          <w:tab w:pos="1637" w:val="left"/>
          <w:tab w:pos="4152" w:val="left"/>
        </w:tabs>
        <w:bidi w:val="0"/>
        <w:spacing w:before="0" w:after="0" w:line="240" w:lineRule="auto"/>
        <w:ind w:left="0" w:right="0" w:firstLine="0"/>
        <w:jc w:val="right"/>
        <w:rPr>
          <w:sz w:val="19"/>
          <w:szCs w:val="19"/>
        </w:rPr>
      </w:pPr>
      <w:r>
        <w:rPr>
          <w:color w:val="000000"/>
          <w:spacing w:val="0"/>
          <w:w w:val="100"/>
          <w:position w:val="0"/>
          <w:sz w:val="19"/>
          <w:szCs w:val="19"/>
        </w:rPr>
        <w:t>账面余额</w:t>
        <w:tab/>
        <w:t>存货跌价准备</w:t>
        <w:tab/>
        <w:t>账面价值</w:t>
      </w:r>
    </w:p>
    <w:tbl>
      <w:tblPr>
        <w:tblOverlap w:val="never"/>
        <w:jc w:val="center"/>
        <w:tblLayout w:type="fixed"/>
      </w:tblPr>
      <w:tblGrid>
        <w:gridCol w:w="2054"/>
        <w:gridCol w:w="3816"/>
        <w:gridCol w:w="2966"/>
      </w:tblGrid>
      <w:tr>
        <w:trPr>
          <w:trHeight w:val="29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库存材料</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307,197,315.38</w:t>
            </w:r>
          </w:p>
        </w:tc>
        <w:tc>
          <w:tcPr>
            <w:tcBorders/>
            <w:shd w:val="clear" w:color="auto" w:fill="FFFFFF"/>
            <w:vAlign w:val="top"/>
          </w:tcPr>
          <w:p>
            <w:pPr>
              <w:pStyle w:val="Style23"/>
              <w:keepNext w:val="0"/>
              <w:keepLines w:val="0"/>
              <w:widowControl w:val="0"/>
              <w:shd w:val="clear" w:color="auto" w:fill="auto"/>
              <w:tabs>
                <w:tab w:pos="1371" w:val="left"/>
              </w:tabs>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307,197,315.38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航材消耗件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53,953,687.56</w:t>
            </w:r>
          </w:p>
        </w:tc>
        <w:tc>
          <w:tcPr>
            <w:tcBorders/>
            <w:shd w:val="clear" w:color="auto" w:fill="FFFFFF"/>
            <w:vAlign w:val="center"/>
          </w:tcPr>
          <w:p>
            <w:pPr>
              <w:pStyle w:val="Style23"/>
              <w:keepNext w:val="0"/>
              <w:keepLines w:val="0"/>
              <w:widowControl w:val="0"/>
              <w:shd w:val="clear" w:color="auto" w:fill="auto"/>
              <w:tabs>
                <w:tab w:pos="1486" w:val="left"/>
              </w:tabs>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53,953,687.56</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低值易耗品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34,389,614.47</w:t>
            </w:r>
          </w:p>
        </w:tc>
        <w:tc>
          <w:tcPr>
            <w:tcBorders/>
            <w:shd w:val="clear" w:color="auto" w:fill="FFFFFF"/>
            <w:vAlign w:val="center"/>
          </w:tcPr>
          <w:p>
            <w:pPr>
              <w:pStyle w:val="Style23"/>
              <w:keepNext w:val="0"/>
              <w:keepLines w:val="0"/>
              <w:widowControl w:val="0"/>
              <w:shd w:val="clear" w:color="auto" w:fill="auto"/>
              <w:tabs>
                <w:tab w:pos="1486" w:val="left"/>
              </w:tabs>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34,389,614.47</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473,057.35</w:t>
            </w:r>
          </w:p>
        </w:tc>
        <w:tc>
          <w:tcPr>
            <w:tcBorders/>
            <w:shd w:val="clear" w:color="auto" w:fill="FFFFFF"/>
            <w:vAlign w:val="bottom"/>
          </w:tcPr>
          <w:p>
            <w:pPr>
              <w:pStyle w:val="Style23"/>
              <w:keepNext w:val="0"/>
              <w:keepLines w:val="0"/>
              <w:widowControl w:val="0"/>
              <w:shd w:val="clear" w:color="auto" w:fill="auto"/>
              <w:tabs>
                <w:tab w:pos="1760" w:val="left"/>
              </w:tabs>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473,057.35</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396,013,674.76</w:t>
            </w:r>
          </w:p>
        </w:tc>
        <w:tc>
          <w:tcPr>
            <w:tcBorders>
              <w:top w:val="single" w:sz="4"/>
              <w:bottom w:val="single" w:sz="4"/>
            </w:tcBorders>
            <w:shd w:val="clear" w:color="auto" w:fill="FFFFFF"/>
            <w:vAlign w:val="center"/>
          </w:tcPr>
          <w:p>
            <w:pPr>
              <w:pStyle w:val="Style23"/>
              <w:keepNext w:val="0"/>
              <w:keepLines w:val="0"/>
              <w:widowControl w:val="0"/>
              <w:shd w:val="clear" w:color="auto" w:fill="auto"/>
              <w:tabs>
                <w:tab w:pos="1371" w:val="left"/>
              </w:tabs>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396,013,674.76</w:t>
            </w:r>
          </w:p>
        </w:tc>
      </w:tr>
    </w:tbl>
    <w:p>
      <w:pPr>
        <w:widowControl w:val="0"/>
        <w:spacing w:after="359" w:line="1" w:lineRule="exact"/>
      </w:pPr>
    </w:p>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2040"/>
        <w:gridCol w:w="2866"/>
        <w:gridCol w:w="1992"/>
        <w:gridCol w:w="1939"/>
      </w:tblGrid>
      <w:tr>
        <w:trPr>
          <w:trHeight w:val="4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账面余额</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存货跌价准备</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19"/>
                <w:szCs w:val="19"/>
              </w:rPr>
            </w:pPr>
            <w:r>
              <w:rPr>
                <w:color w:val="000000"/>
                <w:spacing w:val="0"/>
                <w:w w:val="100"/>
                <w:position w:val="0"/>
                <w:sz w:val="19"/>
                <w:szCs w:val="19"/>
              </w:rPr>
              <w:t>账面价值</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库存材料</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185,652,398.30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185,652,398.30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航材消耗件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52,067,876.24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52,067,876.24</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低值易耗品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16,925,596.53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16,925,596.53</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1,452,047.98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1,452,047.98</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256,097,919.05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256,097,919.05</w:t>
            </w:r>
          </w:p>
        </w:tc>
      </w:tr>
    </w:tbl>
    <w:p>
      <w:pPr>
        <w:sectPr>
          <w:footnotePr>
            <w:pos w:val="pageBottom"/>
            <w:numFmt w:val="decimal"/>
            <w:numRestart w:val="continuous"/>
          </w:footnotePr>
          <w:pgSz w:w="11900" w:h="16840"/>
          <w:pgMar w:top="2161" w:right="1100" w:bottom="2161" w:left="1962" w:header="0" w:footer="3" w:gutter="0"/>
          <w:cols w:space="720"/>
          <w:noEndnote/>
          <w:rtlGutter w:val="0"/>
          <w:docGrid w:linePitch="360"/>
        </w:sectPr>
      </w:pPr>
    </w:p>
    <w:p>
      <w:pPr>
        <w:pStyle w:val="Style94"/>
        <w:keepNext w:val="0"/>
        <w:keepLines w:val="0"/>
        <w:widowControl w:val="0"/>
        <w:numPr>
          <w:ilvl w:val="0"/>
          <w:numId w:val="53"/>
        </w:numPr>
        <w:shd w:val="clear" w:color="auto" w:fill="auto"/>
        <w:tabs>
          <w:tab w:pos="464" w:val="left"/>
        </w:tabs>
        <w:bidi w:val="0"/>
        <w:spacing w:before="0" w:after="360" w:line="240" w:lineRule="auto"/>
        <w:ind w:left="0" w:right="0" w:firstLine="0"/>
        <w:jc w:val="left"/>
        <w:rPr>
          <w:sz w:val="28"/>
          <w:szCs w:val="28"/>
        </w:rPr>
      </w:pPr>
      <w:bookmarkStart w:id="778" w:name="bookmark778"/>
      <w:bookmarkEnd w:id="778"/>
      <w:r>
        <w:rPr>
          <w:rFonts w:ascii="SimSun" w:eastAsia="SimSun" w:hAnsi="SimSun" w:cs="SimSun"/>
          <w:b/>
          <w:bCs/>
          <w:color w:val="000000"/>
          <w:spacing w:val="0"/>
          <w:w w:val="100"/>
          <w:position w:val="0"/>
          <w:sz w:val="22"/>
          <w:szCs w:val="22"/>
        </w:rPr>
        <w:t>存货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697" w:val="left"/>
        </w:tabs>
        <w:bidi w:val="0"/>
        <w:spacing w:before="0" w:after="32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存货跌价准备情况如下：</w:t>
      </w:r>
    </w:p>
    <w:p>
      <w:pPr>
        <w:pStyle w:val="Style33"/>
        <w:keepNext w:val="0"/>
        <w:keepLines w:val="0"/>
        <w:widowControl w:val="0"/>
        <w:shd w:val="clear" w:color="auto" w:fill="auto"/>
        <w:tabs>
          <w:tab w:leader="underscore" w:pos="4432" w:val="left"/>
          <w:tab w:pos="7379" w:val="left"/>
        </w:tabs>
        <w:bidi w:val="0"/>
        <w:spacing w:before="0" w:after="320" w:line="317" w:lineRule="exact"/>
        <w:ind w:left="2080" w:right="0" w:firstLine="0"/>
        <w:jc w:val="right"/>
        <w:rPr>
          <w:sz w:val="19"/>
          <w:szCs w:val="19"/>
        </w:rPr>
      </w:pPr>
      <w:r>
        <w:rPr>
          <w:b w:val="0"/>
          <w:bCs w:val="0"/>
          <w:color w:val="000000"/>
          <w:spacing w:val="0"/>
          <w:w w:val="100"/>
          <w:position w:val="0"/>
          <w:sz w:val="19"/>
          <w:szCs w:val="19"/>
        </w:rPr>
        <w:t xml:space="preserve">本年转回或转销存货 </w:t>
        <w:tab/>
      </w:r>
      <w:r>
        <w:rPr>
          <w:b w:val="0"/>
          <w:bCs w:val="0"/>
          <w:color w:val="000000"/>
          <w:spacing w:val="0"/>
          <w:w w:val="100"/>
          <w:position w:val="0"/>
          <w:sz w:val="19"/>
          <w:szCs w:val="19"/>
          <w:u w:val="single"/>
        </w:rPr>
        <w:t>确定可变现净值的具体依据</w:t>
        <w:tab/>
        <w:t>跌价准备的原因</w:t>
      </w:r>
    </w:p>
    <w:p>
      <w:pPr>
        <w:pStyle w:val="Style33"/>
        <w:keepNext w:val="0"/>
        <w:keepLines w:val="0"/>
        <w:widowControl w:val="0"/>
        <w:shd w:val="clear" w:color="auto" w:fill="auto"/>
        <w:tabs>
          <w:tab w:pos="2093" w:val="left"/>
          <w:tab w:pos="7733" w:val="left"/>
        </w:tabs>
        <w:bidi w:val="0"/>
        <w:spacing w:before="0" w:after="360" w:line="317" w:lineRule="exact"/>
        <w:ind w:left="0" w:right="0" w:firstLine="0"/>
        <w:jc w:val="both"/>
        <w:rPr>
          <w:sz w:val="19"/>
          <w:szCs w:val="19"/>
        </w:rPr>
      </w:pPr>
      <w:r>
        <w:rPr>
          <w:b w:val="0"/>
          <w:bCs w:val="0"/>
          <w:color w:val="000000"/>
          <w:spacing w:val="0"/>
          <w:w w:val="100"/>
          <w:position w:val="0"/>
          <w:sz w:val="19"/>
          <w:szCs w:val="19"/>
        </w:rPr>
        <w:t>库存商品</w:t>
        <w:tab/>
        <w:t>存货的估计售价减估计的销售费用、估计的相关税费</w:t>
        <w:tab/>
        <w:t>已对外销售</w:t>
      </w:r>
    </w:p>
    <w:p>
      <w:pPr>
        <w:pStyle w:val="Style33"/>
        <w:keepNext w:val="0"/>
        <w:keepLines w:val="0"/>
        <w:widowControl w:val="0"/>
        <w:numPr>
          <w:ilvl w:val="0"/>
          <w:numId w:val="53"/>
        </w:numPr>
        <w:shd w:val="clear" w:color="auto" w:fill="auto"/>
        <w:tabs>
          <w:tab w:pos="697" w:val="left"/>
        </w:tabs>
        <w:bidi w:val="0"/>
        <w:spacing w:before="0" w:after="320" w:line="240" w:lineRule="auto"/>
        <w:ind w:left="0" w:right="0" w:firstLine="0"/>
        <w:jc w:val="both"/>
        <w:rPr>
          <w:sz w:val="22"/>
          <w:szCs w:val="22"/>
        </w:rPr>
      </w:pPr>
      <w:bookmarkStart w:id="779" w:name="bookmark779"/>
      <w:bookmarkEnd w:id="779"/>
      <w:r>
        <w:rPr>
          <w:color w:val="000000"/>
          <w:spacing w:val="0"/>
          <w:w w:val="100"/>
          <w:position w:val="0"/>
          <w:sz w:val="22"/>
          <w:szCs w:val="22"/>
        </w:rPr>
        <w:t>其他流动资产</w:t>
      </w:r>
    </w:p>
    <w:tbl>
      <w:tblPr>
        <w:tblOverlap w:val="never"/>
        <w:jc w:val="center"/>
        <w:tblLayout w:type="fixed"/>
      </w:tblPr>
      <w:tblGrid>
        <w:gridCol w:w="6509"/>
        <w:gridCol w:w="2448"/>
      </w:tblGrid>
      <w:tr>
        <w:trPr>
          <w:trHeight w:val="4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2290" w:hRule="exact"/>
        </w:trPr>
        <w:tc>
          <w:tcPr>
            <w:tcBorders/>
            <w:shd w:val="clear" w:color="auto" w:fill="FFFFFF"/>
            <w:vAlign w:val="center"/>
          </w:tcPr>
          <w:p>
            <w:pPr>
              <w:pStyle w:val="Style23"/>
              <w:keepNext w:val="0"/>
              <w:keepLines w:val="0"/>
              <w:widowControl w:val="0"/>
              <w:shd w:val="clear" w:color="auto" w:fill="auto"/>
              <w:tabs>
                <w:tab w:pos="4272" w:val="left"/>
              </w:tabs>
              <w:bidi w:val="0"/>
              <w:spacing w:before="0" w:after="40" w:line="240" w:lineRule="auto"/>
              <w:ind w:left="0" w:right="0" w:firstLine="0"/>
              <w:jc w:val="left"/>
              <w:rPr>
                <w:sz w:val="24"/>
                <w:szCs w:val="24"/>
              </w:rPr>
            </w:pPr>
            <w:r>
              <w:rPr>
                <w:color w:val="000000"/>
                <w:spacing w:val="0"/>
                <w:w w:val="100"/>
                <w:position w:val="0"/>
                <w:sz w:val="22"/>
                <w:szCs w:val="22"/>
              </w:rPr>
              <w:t>银行理财产品</w:t>
            </w:r>
            <w:r>
              <w:rPr>
                <w:rFonts w:ascii="Arial" w:eastAsia="Arial" w:hAnsi="Arial" w:cs="Arial"/>
                <w:color w:val="000000"/>
                <w:spacing w:val="0"/>
                <w:w w:val="100"/>
                <w:position w:val="0"/>
                <w:sz w:val="24"/>
                <w:szCs w:val="24"/>
              </w:rPr>
              <w:t>(i)</w:t>
              <w:tab/>
              <w:t>6,274,635,362.31</w:t>
            </w:r>
          </w:p>
          <w:p>
            <w:pPr>
              <w:pStyle w:val="Style23"/>
              <w:keepNext w:val="0"/>
              <w:keepLines w:val="0"/>
              <w:widowControl w:val="0"/>
              <w:shd w:val="clear" w:color="auto" w:fill="auto"/>
              <w:tabs>
                <w:tab w:pos="6130" w:val="right"/>
              </w:tabs>
              <w:bidi w:val="0"/>
              <w:spacing w:before="0" w:after="40" w:line="240" w:lineRule="auto"/>
              <w:ind w:left="0" w:right="0" w:firstLine="0"/>
              <w:jc w:val="left"/>
              <w:rPr>
                <w:sz w:val="24"/>
                <w:szCs w:val="24"/>
              </w:rPr>
            </w:pPr>
            <w:r>
              <w:rPr>
                <w:color w:val="000000"/>
                <w:spacing w:val="0"/>
                <w:w w:val="100"/>
                <w:position w:val="0"/>
                <w:sz w:val="22"/>
                <w:szCs w:val="22"/>
              </w:rPr>
              <w:t>待抵扣增值税进项税</w:t>
              <w:tab/>
            </w:r>
            <w:r>
              <w:rPr>
                <w:rFonts w:ascii="Arial" w:eastAsia="Arial" w:hAnsi="Arial" w:cs="Arial"/>
                <w:color w:val="000000"/>
                <w:spacing w:val="0"/>
                <w:w w:val="100"/>
                <w:position w:val="0"/>
                <w:sz w:val="24"/>
                <w:szCs w:val="24"/>
              </w:rPr>
              <w:t>440,623,874.00</w:t>
            </w:r>
          </w:p>
          <w:p>
            <w:pPr>
              <w:pStyle w:val="Style23"/>
              <w:keepNext w:val="0"/>
              <w:keepLines w:val="0"/>
              <w:widowControl w:val="0"/>
              <w:shd w:val="clear" w:color="auto" w:fill="auto"/>
              <w:tabs>
                <w:tab w:pos="5731" w:val="left"/>
              </w:tabs>
              <w:bidi w:val="0"/>
              <w:spacing w:before="0" w:after="40" w:line="240" w:lineRule="auto"/>
              <w:ind w:left="0" w:right="0" w:firstLine="0"/>
              <w:jc w:val="left"/>
              <w:rPr>
                <w:sz w:val="24"/>
                <w:szCs w:val="24"/>
              </w:rPr>
            </w:pPr>
            <w:r>
              <w:rPr>
                <w:color w:val="000000"/>
                <w:spacing w:val="0"/>
                <w:w w:val="100"/>
                <w:position w:val="0"/>
                <w:sz w:val="22"/>
                <w:szCs w:val="22"/>
              </w:rPr>
              <w:t>一年内到期的长期应收融资租赁款</w:t>
            </w:r>
            <w:r>
              <w:rPr>
                <w:rFonts w:ascii="Arial" w:eastAsia="Arial" w:hAnsi="Arial" w:cs="Arial"/>
                <w:color w:val="000000"/>
                <w:spacing w:val="0"/>
                <w:w w:val="100"/>
                <w:position w:val="0"/>
                <w:sz w:val="24"/>
                <w:szCs w:val="24"/>
              </w:rPr>
              <w:t>(ii)</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6134" w:val="right"/>
              </w:tabs>
              <w:bidi w:val="0"/>
              <w:spacing w:before="0" w:after="40" w:line="240" w:lineRule="auto"/>
              <w:ind w:left="0" w:right="0" w:firstLine="0"/>
              <w:jc w:val="left"/>
              <w:rPr>
                <w:sz w:val="24"/>
                <w:szCs w:val="24"/>
              </w:rPr>
            </w:pPr>
            <w:r>
              <w:rPr>
                <w:color w:val="000000"/>
                <w:spacing w:val="0"/>
                <w:w w:val="100"/>
                <w:position w:val="0"/>
                <w:sz w:val="22"/>
                <w:szCs w:val="22"/>
              </w:rPr>
              <w:t>预缴企业所得税</w:t>
              <w:tab/>
            </w:r>
            <w:r>
              <w:rPr>
                <w:rFonts w:ascii="Arial" w:eastAsia="Arial" w:hAnsi="Arial" w:cs="Arial"/>
                <w:color w:val="000000"/>
                <w:spacing w:val="0"/>
                <w:w w:val="100"/>
                <w:position w:val="0"/>
                <w:sz w:val="24"/>
                <w:szCs w:val="24"/>
              </w:rPr>
              <w:t>94,444,365.25</w:t>
            </w:r>
          </w:p>
          <w:p>
            <w:pPr>
              <w:pStyle w:val="Style23"/>
              <w:keepNext w:val="0"/>
              <w:keepLines w:val="0"/>
              <w:widowControl w:val="0"/>
              <w:shd w:val="clear" w:color="auto" w:fill="auto"/>
              <w:tabs>
                <w:tab w:pos="6130" w:val="right"/>
              </w:tabs>
              <w:bidi w:val="0"/>
              <w:spacing w:before="0" w:after="40" w:line="240" w:lineRule="auto"/>
              <w:ind w:left="0" w:right="0" w:firstLine="0"/>
              <w:jc w:val="left"/>
              <w:rPr>
                <w:sz w:val="24"/>
                <w:szCs w:val="24"/>
              </w:rPr>
            </w:pPr>
            <w:r>
              <w:rPr>
                <w:color w:val="000000"/>
                <w:spacing w:val="0"/>
                <w:w w:val="100"/>
                <w:position w:val="0"/>
                <w:sz w:val="22"/>
                <w:szCs w:val="22"/>
              </w:rPr>
              <w:t>其他</w:t>
              <w:tab/>
            </w:r>
            <w:r>
              <w:rPr>
                <w:rFonts w:ascii="Arial" w:eastAsia="Arial" w:hAnsi="Arial" w:cs="Arial"/>
                <w:color w:val="000000"/>
                <w:spacing w:val="0"/>
                <w:w w:val="100"/>
                <w:position w:val="0"/>
                <w:sz w:val="24"/>
                <w:szCs w:val="24"/>
                <w:u w:val="single"/>
              </w:rPr>
              <w:t>11,106,613.18</w:t>
            </w:r>
          </w:p>
          <w:p>
            <w:pPr>
              <w:pStyle w:val="Style23"/>
              <w:keepNext w:val="0"/>
              <w:keepLines w:val="0"/>
              <w:widowControl w:val="0"/>
              <w:shd w:val="clear" w:color="auto" w:fill="auto"/>
              <w:bidi w:val="0"/>
              <w:spacing w:before="0" w:after="40" w:line="240" w:lineRule="auto"/>
              <w:ind w:left="0" w:right="220" w:firstLine="0"/>
              <w:jc w:val="right"/>
              <w:rPr>
                <w:sz w:val="24"/>
                <w:szCs w:val="24"/>
              </w:rPr>
            </w:pPr>
            <w:r>
              <w:rPr>
                <w:rFonts w:ascii="Arial" w:eastAsia="Arial" w:hAnsi="Arial" w:cs="Arial"/>
                <w:color w:val="000000"/>
                <w:spacing w:val="0"/>
                <w:w w:val="100"/>
                <w:position w:val="0"/>
                <w:sz w:val="24"/>
                <w:szCs w:val="24"/>
              </w:rPr>
              <w:t>6,820,810,214.74</w:t>
            </w:r>
          </w:p>
        </w:tc>
        <w:tc>
          <w:tcPr>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60"/>
              <w:jc w:val="both"/>
              <w:rPr>
                <w:sz w:val="24"/>
                <w:szCs w:val="24"/>
              </w:rPr>
            </w:pPr>
            <w:r>
              <w:rPr>
                <w:rFonts w:ascii="Arial" w:eastAsia="Arial" w:hAnsi="Arial" w:cs="Arial"/>
                <w:color w:val="000000"/>
                <w:spacing w:val="0"/>
                <w:w w:val="100"/>
                <w:position w:val="0"/>
                <w:sz w:val="24"/>
                <w:szCs w:val="24"/>
              </w:rPr>
              <w:t>6.706.498.760.28</w:t>
            </w:r>
          </w:p>
          <w:p>
            <w:pPr>
              <w:pStyle w:val="Style23"/>
              <w:keepNext w:val="0"/>
              <w:keepLines w:val="0"/>
              <w:widowControl w:val="0"/>
              <w:shd w:val="clear" w:color="auto" w:fill="auto"/>
              <w:bidi w:val="0"/>
              <w:spacing w:before="0" w:after="40" w:line="240" w:lineRule="auto"/>
              <w:ind w:left="0" w:right="0" w:firstLine="580"/>
              <w:jc w:val="both"/>
              <w:rPr>
                <w:sz w:val="24"/>
                <w:szCs w:val="24"/>
              </w:rPr>
            </w:pPr>
            <w:r>
              <w:rPr>
                <w:rFonts w:ascii="Arial" w:eastAsia="Arial" w:hAnsi="Arial" w:cs="Arial"/>
                <w:color w:val="000000"/>
                <w:spacing w:val="0"/>
                <w:w w:val="100"/>
                <w:position w:val="0"/>
                <w:sz w:val="24"/>
                <w:szCs w:val="24"/>
              </w:rPr>
              <w:t>374,178,552.02</w:t>
            </w:r>
          </w:p>
          <w:p>
            <w:pPr>
              <w:pStyle w:val="Style23"/>
              <w:keepNext w:val="0"/>
              <w:keepLines w:val="0"/>
              <w:widowControl w:val="0"/>
              <w:shd w:val="clear" w:color="auto" w:fill="auto"/>
              <w:bidi w:val="0"/>
              <w:spacing w:before="0" w:after="40" w:line="240" w:lineRule="auto"/>
              <w:ind w:left="0" w:right="0" w:firstLine="580"/>
              <w:jc w:val="both"/>
              <w:rPr>
                <w:sz w:val="24"/>
                <w:szCs w:val="24"/>
              </w:rPr>
            </w:pPr>
            <w:r>
              <w:rPr>
                <w:rFonts w:ascii="Arial" w:eastAsia="Arial" w:hAnsi="Arial" w:cs="Arial"/>
                <w:color w:val="000000"/>
                <w:spacing w:val="0"/>
                <w:w w:val="100"/>
                <w:position w:val="0"/>
                <w:sz w:val="24"/>
                <w:szCs w:val="24"/>
              </w:rPr>
              <w:t>132,898,004.42</w:t>
            </w:r>
          </w:p>
          <w:p>
            <w:pPr>
              <w:pStyle w:val="Style23"/>
              <w:keepNext w:val="0"/>
              <w:keepLines w:val="0"/>
              <w:widowControl w:val="0"/>
              <w:shd w:val="clear" w:color="auto" w:fill="auto"/>
              <w:bidi w:val="0"/>
              <w:spacing w:before="0" w:after="40" w:line="240" w:lineRule="auto"/>
              <w:ind w:left="0" w:right="0" w:firstLine="700"/>
              <w:jc w:val="both"/>
              <w:rPr>
                <w:sz w:val="24"/>
                <w:szCs w:val="24"/>
              </w:rPr>
            </w:pPr>
            <w:r>
              <w:rPr>
                <w:rFonts w:ascii="Arial" w:eastAsia="Arial" w:hAnsi="Arial" w:cs="Arial"/>
                <w:color w:val="000000"/>
                <w:spacing w:val="0"/>
                <w:w w:val="100"/>
                <w:position w:val="0"/>
                <w:sz w:val="24"/>
                <w:szCs w:val="24"/>
              </w:rPr>
              <w:t>66,585,070.64</w:t>
            </w:r>
          </w:p>
          <w:p>
            <w:pPr>
              <w:pStyle w:val="Style23"/>
              <w:keepNext w:val="0"/>
              <w:keepLines w:val="0"/>
              <w:widowControl w:val="0"/>
              <w:shd w:val="clear" w:color="auto" w:fill="auto"/>
              <w:bidi w:val="0"/>
              <w:spacing w:before="0" w:after="40" w:line="240" w:lineRule="auto"/>
              <w:ind w:left="0" w:right="0" w:firstLine="840"/>
              <w:jc w:val="left"/>
              <w:rPr>
                <w:sz w:val="24"/>
                <w:szCs w:val="24"/>
              </w:rPr>
            </w:pPr>
            <w:r>
              <w:rPr>
                <w:rFonts w:ascii="Arial" w:eastAsia="Arial" w:hAnsi="Arial" w:cs="Arial"/>
                <w:color w:val="000000"/>
                <w:spacing w:val="0"/>
                <w:w w:val="100"/>
                <w:position w:val="0"/>
                <w:sz w:val="24"/>
                <w:szCs w:val="24"/>
                <w:u w:val="single"/>
              </w:rPr>
              <w:t>9,501,199.93</w:t>
            </w:r>
          </w:p>
          <w:p>
            <w:pPr>
              <w:pStyle w:val="Style23"/>
              <w:keepNext w:val="0"/>
              <w:keepLines w:val="0"/>
              <w:widowControl w:val="0"/>
              <w:shd w:val="clear" w:color="auto" w:fill="auto"/>
              <w:bidi w:val="0"/>
              <w:spacing w:before="0" w:after="40" w:line="240" w:lineRule="auto"/>
              <w:ind w:left="0" w:right="0" w:firstLine="360"/>
              <w:jc w:val="both"/>
              <w:rPr>
                <w:sz w:val="24"/>
                <w:szCs w:val="24"/>
              </w:rPr>
            </w:pPr>
            <w:r>
              <w:rPr>
                <w:rFonts w:ascii="Arial" w:eastAsia="Arial" w:hAnsi="Arial" w:cs="Arial"/>
                <w:color w:val="000000"/>
                <w:spacing w:val="0"/>
                <w:w w:val="100"/>
                <w:position w:val="0"/>
                <w:sz w:val="24"/>
                <w:szCs w:val="24"/>
              </w:rPr>
              <w:t>7.289.661.587.29</w:t>
            </w:r>
          </w:p>
        </w:tc>
      </w:tr>
    </w:tbl>
    <w:p>
      <w:pPr>
        <w:widowControl w:val="0"/>
        <w:spacing w:after="99" w:line="1" w:lineRule="exact"/>
      </w:pPr>
    </w:p>
    <w:p>
      <w:pPr>
        <w:pStyle w:val="Style33"/>
        <w:keepNext w:val="0"/>
        <w:keepLines w:val="0"/>
        <w:widowControl w:val="0"/>
        <w:shd w:val="clear" w:color="auto" w:fill="auto"/>
        <w:tabs>
          <w:tab w:pos="697" w:val="left"/>
        </w:tabs>
        <w:bidi w:val="0"/>
        <w:spacing w:before="0" w:after="320" w:line="319" w:lineRule="exact"/>
        <w:ind w:left="0" w:right="0" w:firstLine="0"/>
        <w:jc w:val="both"/>
        <w:rPr>
          <w:sz w:val="22"/>
          <w:szCs w:val="22"/>
        </w:rPr>
      </w:pPr>
      <w:r>
        <w:rPr>
          <w:b w:val="0"/>
          <w:bCs w:val="0"/>
          <w:color w:val="000000"/>
          <w:spacing w:val="0"/>
          <w:w w:val="100"/>
          <w:position w:val="0"/>
          <w:sz w:val="22"/>
          <w:szCs w:val="22"/>
        </w:rPr>
        <w:t>⑴</w:t>
        <w:tab/>
        <w:t>该等银行理财产品投资周期通常为一个月左右。</w:t>
      </w:r>
    </w:p>
    <w:p>
      <w:pPr>
        <w:pStyle w:val="Style33"/>
        <w:keepNext w:val="0"/>
        <w:keepLines w:val="0"/>
        <w:widowControl w:val="0"/>
        <w:numPr>
          <w:ilvl w:val="0"/>
          <w:numId w:val="55"/>
        </w:numPr>
        <w:shd w:val="clear" w:color="auto" w:fill="auto"/>
        <w:tabs>
          <w:tab w:pos="697" w:val="left"/>
        </w:tabs>
        <w:bidi w:val="0"/>
        <w:spacing w:before="0" w:after="40" w:line="319" w:lineRule="exact"/>
        <w:ind w:left="800" w:right="0" w:hanging="800"/>
        <w:jc w:val="both"/>
        <w:rPr>
          <w:sz w:val="24"/>
          <w:szCs w:val="24"/>
        </w:rPr>
      </w:pPr>
      <w:bookmarkStart w:id="780" w:name="bookmark780"/>
      <w:bookmarkEnd w:id="780"/>
      <w:r>
        <w:rPr>
          <w:b w:val="0"/>
          <w:bCs w:val="0"/>
          <w:color w:val="000000"/>
          <w:spacing w:val="0"/>
          <w:w w:val="100"/>
          <w:position w:val="0"/>
          <w:sz w:val="22"/>
          <w:szCs w:val="22"/>
        </w:rPr>
        <w:t>如附注五</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所述，于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年度，本集团转让顺诚融资租赁</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深圳</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有限公司及 其子公司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以下简称“顺诚融资租赁及其子公司” </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股权。截至</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12 </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日，本集团的长期应收款和一年内到期的长期应收融资租赁款余额为</w:t>
      </w:r>
      <w:r>
        <w:rPr>
          <w:rFonts w:ascii="Arial" w:eastAsia="Arial" w:hAnsi="Arial" w:cs="Arial"/>
          <w:b w:val="0"/>
          <w:bCs w:val="0"/>
          <w:color w:val="000000"/>
          <w:spacing w:val="0"/>
          <w:w w:val="100"/>
          <w:position w:val="0"/>
          <w:sz w:val="24"/>
          <w:szCs w:val="24"/>
        </w:rPr>
        <w:t>0</w:t>
      </w:r>
    </w:p>
    <w:p>
      <w:pPr>
        <w:pStyle w:val="Style33"/>
        <w:keepNext w:val="0"/>
        <w:keepLines w:val="0"/>
        <w:widowControl w:val="0"/>
        <w:shd w:val="clear" w:color="auto" w:fill="auto"/>
        <w:bidi w:val="0"/>
        <w:spacing w:before="0" w:after="320" w:line="319" w:lineRule="exact"/>
        <w:ind w:left="0" w:right="0" w:firstLine="800"/>
        <w:jc w:val="both"/>
        <w:rPr>
          <w:sz w:val="22"/>
          <w:szCs w:val="22"/>
        </w:rPr>
        <w:sectPr>
          <w:footnotePr>
            <w:pos w:val="pageBottom"/>
            <w:numFmt w:val="decimal"/>
            <w:numRestart w:val="continuous"/>
          </w:footnotePr>
          <w:pgSz w:w="11900" w:h="16840"/>
          <w:pgMar w:top="2190" w:right="1072" w:bottom="2190" w:left="1871" w:header="0" w:footer="3" w:gutter="0"/>
          <w:cols w:space="720"/>
          <w:noEndnote/>
          <w:rtlGutter w:val="0"/>
          <w:docGrid w:linePitch="360"/>
        </w:sectPr>
      </w:pPr>
      <w:r>
        <w:rPr>
          <w:b w:val="0"/>
          <w:bCs w:val="0"/>
          <w:color w:val="000000"/>
          <w:spacing w:val="0"/>
          <w:w w:val="100"/>
          <w:position w:val="0"/>
          <w:sz w:val="22"/>
          <w:szCs w:val="22"/>
        </w:rPr>
        <w:t>/元。</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(11)</w:t>
      </w:r>
      <w:r>
        <w:rPr>
          <w:b/>
          <w:bCs/>
          <w:color w:val="000000"/>
          <w:spacing w:val="0"/>
          <w:w w:val="100"/>
          <w:position w:val="0"/>
          <w:sz w:val="22"/>
          <w:szCs w:val="22"/>
        </w:rPr>
        <w:t>可供出售金融资产</w:t>
      </w:r>
    </w:p>
    <w:tbl>
      <w:tblPr>
        <w:tblOverlap w:val="never"/>
        <w:jc w:val="center"/>
        <w:tblLayout w:type="fixed"/>
      </w:tblPr>
      <w:tblGrid>
        <w:gridCol w:w="3403"/>
        <w:gridCol w:w="2981"/>
        <w:gridCol w:w="2453"/>
      </w:tblGrid>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79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以公允价值计量</w:t>
            </w:r>
          </w:p>
          <w:p>
            <w:pPr>
              <w:pStyle w:val="Style23"/>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8"/>
                <w:szCs w:val="28"/>
              </w:rPr>
              <w:t>一</w:t>
            </w:r>
            <w:r>
              <w:rPr>
                <w:color w:val="000000"/>
                <w:spacing w:val="0"/>
                <w:w w:val="100"/>
                <w:position w:val="0"/>
                <w:sz w:val="22"/>
                <w:szCs w:val="22"/>
              </w:rPr>
              <w:t>可供出售权益工具</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652,114,721.44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190,487,125.87</w:t>
            </w:r>
          </w:p>
        </w:tc>
      </w:tr>
      <w:tr>
        <w:trPr>
          <w:trHeight w:val="1291" w:hRule="exact"/>
        </w:trPr>
        <w:tc>
          <w:tcPr>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以成本计量</w:t>
            </w:r>
          </w:p>
          <w:p>
            <w:pPr>
              <w:pStyle w:val="Style23"/>
              <w:keepNext w:val="0"/>
              <w:keepLines w:val="0"/>
              <w:widowControl w:val="0"/>
              <w:shd w:val="clear" w:color="auto" w:fill="auto"/>
              <w:bidi w:val="0"/>
              <w:spacing w:before="0" w:after="0" w:line="317" w:lineRule="exact"/>
              <w:ind w:left="240" w:right="0" w:firstLine="0"/>
              <w:jc w:val="left"/>
              <w:rPr>
                <w:sz w:val="24"/>
                <w:szCs w:val="24"/>
              </w:rPr>
            </w:pPr>
            <w:r>
              <w:rPr>
                <w:color w:val="000000"/>
                <w:spacing w:val="0"/>
                <w:w w:val="100"/>
                <w:position w:val="0"/>
                <w:sz w:val="28"/>
                <w:szCs w:val="28"/>
              </w:rPr>
              <w:t>一</w:t>
            </w:r>
            <w:r>
              <w:rPr>
                <w:color w:val="000000"/>
                <w:spacing w:val="0"/>
                <w:w w:val="100"/>
                <w:position w:val="0"/>
                <w:sz w:val="22"/>
                <w:szCs w:val="22"/>
              </w:rPr>
              <w:t>可供出售债务工具</w:t>
            </w:r>
            <w:r>
              <w:rPr>
                <w:rFonts w:ascii="Arial" w:eastAsia="Arial" w:hAnsi="Arial" w:cs="Arial"/>
                <w:color w:val="000000"/>
                <w:spacing w:val="0"/>
                <w:w w:val="100"/>
                <w:position w:val="0"/>
                <w:sz w:val="24"/>
                <w:szCs w:val="24"/>
              </w:rPr>
              <w:t xml:space="preserve">(b) </w:t>
            </w:r>
            <w:r>
              <w:rPr>
                <w:color w:val="000000"/>
                <w:spacing w:val="0"/>
                <w:w w:val="100"/>
                <w:position w:val="0"/>
                <w:sz w:val="28"/>
                <w:szCs w:val="28"/>
              </w:rPr>
              <w:t>一</w:t>
            </w:r>
            <w:r>
              <w:rPr>
                <w:color w:val="000000"/>
                <w:spacing w:val="0"/>
                <w:w w:val="100"/>
                <w:position w:val="0"/>
                <w:sz w:val="22"/>
                <w:szCs w:val="22"/>
              </w:rPr>
              <w:t>可供出售权益工具</w:t>
            </w:r>
            <w:r>
              <w:rPr>
                <w:rFonts w:ascii="Arial" w:eastAsia="Arial" w:hAnsi="Arial" w:cs="Arial"/>
                <w:color w:val="000000"/>
                <w:spacing w:val="0"/>
                <w:w w:val="100"/>
                <w:position w:val="0"/>
                <w:sz w:val="24"/>
                <w:szCs w:val="24"/>
              </w:rPr>
              <w:t>(b)</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44,468,365.57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25,000,000.00</w:t>
            </w:r>
          </w:p>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1,000,000.00</w:t>
            </w:r>
          </w:p>
        </w:tc>
      </w:tr>
      <w:tr>
        <w:trPr>
          <w:trHeight w:val="504"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44,468,365.57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26,000,000.00</w:t>
            </w:r>
          </w:p>
        </w:tc>
      </w:tr>
      <w:tr>
        <w:trPr>
          <w:trHeight w:val="47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减：减值准备</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540" w:firstLine="0"/>
              <w:jc w:val="right"/>
              <w:rPr>
                <w:sz w:val="24"/>
                <w:szCs w:val="24"/>
              </w:rPr>
            </w:pPr>
            <w:r>
              <w:rPr>
                <w:rFonts w:ascii="Arial" w:eastAsia="Arial" w:hAnsi="Arial" w:cs="Arial"/>
                <w:color w:val="000000"/>
                <w:spacing w:val="0"/>
                <w:w w:val="100"/>
                <w:position w:val="0"/>
                <w:sz w:val="24"/>
                <w:szCs w:val="24"/>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bl>
    <w:p>
      <w:pPr>
        <w:pStyle w:val="Style29"/>
        <w:keepNext w:val="0"/>
        <w:keepLines w:val="0"/>
        <w:widowControl w:val="0"/>
        <w:shd w:val="clear" w:color="auto" w:fill="auto"/>
        <w:tabs>
          <w:tab w:pos="2491" w:val="left"/>
        </w:tabs>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u w:val="single"/>
        </w:rPr>
        <w:t>696,583,087.01</w:t>
        <w:tab/>
        <w:t>216,487,125.87</w:t>
      </w:r>
    </w:p>
    <w:p>
      <w:pPr>
        <w:widowControl w:val="0"/>
        <w:spacing w:after="379" w:line="1" w:lineRule="exact"/>
      </w:pPr>
    </w:p>
    <w:p>
      <w:pPr>
        <w:pStyle w:val="Style33"/>
        <w:keepNext w:val="0"/>
        <w:keepLines w:val="0"/>
        <w:widowControl w:val="0"/>
        <w:shd w:val="clear" w:color="auto" w:fill="auto"/>
        <w:bidi w:val="0"/>
        <w:spacing w:before="0" w:after="340" w:line="240" w:lineRule="auto"/>
        <w:ind w:left="0" w:right="0" w:firstLine="0"/>
        <w:jc w:val="left"/>
        <w:rPr>
          <w:sz w:val="22"/>
          <w:szCs w:val="22"/>
        </w:rPr>
      </w:pPr>
      <w:r>
        <w:rPr>
          <w:b w:val="0"/>
          <w:bCs w:val="0"/>
          <w:color w:val="000000"/>
          <w:spacing w:val="0"/>
          <w:w w:val="100"/>
          <w:position w:val="0"/>
          <w:sz w:val="22"/>
          <w:szCs w:val="22"/>
        </w:rPr>
        <w:t>可供出售金融资产相关信息分析如下:</w:t>
      </w:r>
    </w:p>
    <w:p>
      <w:pPr>
        <w:pStyle w:val="Style29"/>
        <w:keepNext w:val="0"/>
        <w:keepLines w:val="0"/>
        <w:widowControl w:val="0"/>
        <w:shd w:val="clear" w:color="auto" w:fill="auto"/>
        <w:bidi w:val="0"/>
        <w:spacing w:before="0" w:after="0" w:line="240" w:lineRule="auto"/>
        <w:ind w:left="14" w:right="0" w:firstLine="0"/>
        <w:jc w:val="left"/>
        <w:rPr>
          <w:sz w:val="22"/>
          <w:szCs w:val="22"/>
        </w:rPr>
      </w:pPr>
      <w:r>
        <w:rPr>
          <w:rFonts w:ascii="Arial" w:eastAsia="Arial" w:hAnsi="Arial" w:cs="Arial"/>
          <w:color w:val="000000"/>
          <w:spacing w:val="0"/>
          <w:w w:val="100"/>
          <w:position w:val="0"/>
          <w:sz w:val="24"/>
          <w:szCs w:val="24"/>
        </w:rPr>
        <w:t>(a)</w:t>
      </w:r>
      <w:r>
        <w:rPr>
          <w:color w:val="000000"/>
          <w:spacing w:val="0"/>
          <w:w w:val="100"/>
          <w:position w:val="0"/>
          <w:sz w:val="22"/>
          <w:szCs w:val="22"/>
        </w:rPr>
        <w:t>以公允价值计量的可供出售金融资产:</w:t>
      </w:r>
    </w:p>
    <w:tbl>
      <w:tblPr>
        <w:tblOverlap w:val="never"/>
        <w:jc w:val="center"/>
        <w:tblLayout w:type="fixed"/>
      </w:tblPr>
      <w:tblGrid>
        <w:gridCol w:w="3379"/>
        <w:gridCol w:w="3000"/>
        <w:gridCol w:w="2371"/>
      </w:tblGrid>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可供出售权益工具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8"/>
                <w:szCs w:val="28"/>
              </w:rPr>
              <w:t>一</w:t>
            </w:r>
            <w:r>
              <w:rPr>
                <w:color w:val="000000"/>
                <w:spacing w:val="0"/>
                <w:w w:val="100"/>
                <w:position w:val="0"/>
                <w:sz w:val="22"/>
                <w:szCs w:val="22"/>
              </w:rPr>
              <w:t>公允价值</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652,114,721.44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190,487,125.87</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8"/>
                <w:szCs w:val="28"/>
              </w:rPr>
              <w:t>一</w:t>
            </w:r>
            <w:r>
              <w:rPr>
                <w:color w:val="000000"/>
                <w:spacing w:val="0"/>
                <w:w w:val="100"/>
                <w:position w:val="0"/>
                <w:sz w:val="22"/>
                <w:szCs w:val="22"/>
              </w:rPr>
              <w:t>成本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648,182,788.04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205,821,208.70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累计计入其他综合收益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3,931,933.40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(15,334,082.83)</w:t>
            </w:r>
          </w:p>
        </w:tc>
      </w:tr>
    </w:tbl>
    <w:p>
      <w:pPr>
        <w:pStyle w:val="Style29"/>
        <w:keepNext w:val="0"/>
        <w:keepLines w:val="0"/>
        <w:widowControl w:val="0"/>
        <w:shd w:val="clear" w:color="auto" w:fill="auto"/>
        <w:tabs>
          <w:tab w:pos="5702" w:val="left"/>
          <w:tab w:pos="8218" w:val="left"/>
        </w:tabs>
        <w:bidi w:val="0"/>
        <w:spacing w:before="0" w:after="0" w:line="338" w:lineRule="exact"/>
        <w:ind w:left="0" w:right="0" w:firstLine="0"/>
        <w:jc w:val="left"/>
        <w:rPr>
          <w:sz w:val="24"/>
          <w:szCs w:val="24"/>
        </w:rPr>
      </w:pPr>
      <w:r>
        <w:rPr>
          <w:color w:val="000000"/>
          <w:spacing w:val="0"/>
          <w:w w:val="100"/>
          <w:position w:val="0"/>
          <w:sz w:val="28"/>
          <w:szCs w:val="28"/>
        </w:rPr>
        <w:t>一</w:t>
      </w:r>
      <w:r>
        <w:rPr>
          <w:color w:val="000000"/>
          <w:spacing w:val="0"/>
          <w:w w:val="100"/>
          <w:position w:val="0"/>
          <w:sz w:val="22"/>
          <w:szCs w:val="22"/>
        </w:rPr>
        <w:t>累计计提减值</w:t>
        <w:tab/>
      </w:r>
      <w:r>
        <w:rPr>
          <w:rFonts w:ascii="Arial" w:eastAsia="Arial" w:hAnsi="Arial" w:cs="Arial"/>
          <w:color w:val="000000"/>
          <w:spacing w:val="0"/>
          <w:w w:val="100"/>
          <w:position w:val="0"/>
          <w:sz w:val="24"/>
          <w:szCs w:val="24"/>
        </w:rPr>
        <w:t>-</w:t>
        <w:tab/>
        <w:t>-</w:t>
      </w:r>
    </w:p>
    <w:p>
      <w:pPr>
        <w:widowControl w:val="0"/>
        <w:spacing w:after="339" w:line="1" w:lineRule="exact"/>
      </w:pPr>
    </w:p>
    <w:p>
      <w:pPr>
        <w:pStyle w:val="Style33"/>
        <w:keepNext w:val="0"/>
        <w:keepLines w:val="0"/>
        <w:widowControl w:val="0"/>
        <w:shd w:val="clear" w:color="auto" w:fill="auto"/>
        <w:bidi w:val="0"/>
        <w:spacing w:before="0" w:after="240" w:line="338" w:lineRule="exact"/>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以成本计量的可供出售金融资产：</w:t>
      </w:r>
    </w:p>
    <w:p>
      <w:pPr>
        <w:pStyle w:val="Style33"/>
        <w:keepNext w:val="0"/>
        <w:keepLines w:val="0"/>
        <w:widowControl w:val="0"/>
        <w:shd w:val="clear" w:color="auto" w:fill="auto"/>
        <w:bidi w:val="0"/>
        <w:spacing w:before="0" w:after="340" w:line="338" w:lineRule="exact"/>
        <w:ind w:left="0" w:right="0" w:firstLine="0"/>
        <w:jc w:val="left"/>
        <w:rPr>
          <w:sz w:val="22"/>
          <w:szCs w:val="22"/>
        </w:rPr>
      </w:pPr>
      <w:r>
        <w:rPr>
          <w:b w:val="0"/>
          <w:bCs w:val="0"/>
          <w:color w:val="000000"/>
          <w:spacing w:val="0"/>
          <w:w w:val="100"/>
          <w:position w:val="0"/>
          <w:sz w:val="22"/>
          <w:szCs w:val="22"/>
        </w:rPr>
        <w:t>以成本计量的可供出售金融资产主要为本集团持有的非上市公司债权、非上市股权投 资，这些债权及股权投资没有活跃市场报价，其公允价值合理估计数的变动区间较大, 且各种用于确定公允价值估计数的概率不能合理地确定，因此其公允价值不能可靠计 量。</w:t>
      </w:r>
      <w:r>
        <w:br w:type="page"/>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(12)</w:t>
      </w:r>
      <w:r>
        <w:rPr>
          <w:color w:val="000000"/>
          <w:spacing w:val="0"/>
          <w:w w:val="100"/>
          <w:position w:val="0"/>
          <w:sz w:val="22"/>
          <w:szCs w:val="22"/>
        </w:rPr>
        <w:t>长期股权投资</w:t>
      </w:r>
    </w:p>
    <w:tbl>
      <w:tblPr>
        <w:tblOverlap w:val="never"/>
        <w:jc w:val="left"/>
        <w:tblLayout w:type="fixed"/>
      </w:tblPr>
      <w:tblGrid>
        <w:gridCol w:w="3691"/>
        <w:gridCol w:w="2832"/>
        <w:gridCol w:w="2314"/>
      </w:tblGrid>
      <w:tr>
        <w:trPr>
          <w:trHeight w:val="312" w:hRule="exact"/>
        </w:trPr>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合营企业</w:t>
            </w:r>
          </w:p>
        </w:tc>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940"/>
              <w:jc w:val="left"/>
              <w:rPr>
                <w:sz w:val="24"/>
                <w:szCs w:val="24"/>
              </w:rPr>
            </w:pPr>
            <w:r>
              <w:rPr>
                <w:rFonts w:ascii="Arial" w:eastAsia="Arial" w:hAnsi="Arial" w:cs="Arial"/>
                <w:color w:val="000000"/>
                <w:spacing w:val="0"/>
                <w:w w:val="100"/>
                <w:position w:val="0"/>
                <w:sz w:val="24"/>
                <w:szCs w:val="24"/>
              </w:rPr>
              <w:t>91,670,608.86</w:t>
            </w:r>
          </w:p>
        </w:tc>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1,008,311,420.92</w:t>
            </w:r>
          </w:p>
        </w:tc>
      </w:tr>
      <w:tr>
        <w:trPr>
          <w:trHeight w:val="298" w:hRule="exact"/>
        </w:trPr>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联营企业</w:t>
            </w:r>
          </w:p>
        </w:tc>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713,314,378.35</w:t>
            </w:r>
          </w:p>
        </w:tc>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508,647,194.25</w:t>
            </w:r>
          </w:p>
        </w:tc>
      </w:tr>
      <w:tr>
        <w:trPr>
          <w:trHeight w:val="658" w:hRule="exact"/>
        </w:trPr>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减：长期股权投资减值准备</w:t>
            </w:r>
          </w:p>
        </w:tc>
        <w:tc>
          <w:tcPr>
            <w:tcBorders>
              <w:top w:val="single" w:sz="4"/>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804,984,987.21</w:t>
            </w:r>
          </w:p>
        </w:tc>
        <w:tc>
          <w:tcPr>
            <w:tcBorders>
              <w:top w:val="single" w:sz="4"/>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1,516,958,615.17</w:t>
            </w:r>
          </w:p>
        </w:tc>
      </w:tr>
      <w:tr>
        <w:trPr>
          <w:trHeight w:val="331" w:hRule="exact"/>
        </w:trPr>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4"/>
                <w:szCs w:val="24"/>
              </w:rPr>
              <w:t xml:space="preserve">- </w:t>
            </w:r>
            <w:r>
              <w:rPr>
                <w:color w:val="000000"/>
                <w:spacing w:val="0"/>
                <w:w w:val="100"/>
                <w:position w:val="0"/>
                <w:sz w:val="22"/>
                <w:szCs w:val="22"/>
              </w:rPr>
              <w:t>合营企业</w:t>
            </w:r>
          </w:p>
        </w:tc>
        <w:tc>
          <w:tcPr>
            <w:tcBorders/>
            <w:shd w:val="clear" w:color="auto" w:fill="FFFFFF"/>
            <w:vAlign w:val="center"/>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68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w:t>
            </w:r>
          </w:p>
        </w:tc>
      </w:tr>
      <w:tr>
        <w:trPr>
          <w:trHeight w:val="336" w:hRule="exact"/>
        </w:trPr>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4"/>
                <w:szCs w:val="24"/>
              </w:rPr>
              <w:t xml:space="preserve">- </w:t>
            </w:r>
            <w:r>
              <w:rPr>
                <w:color w:val="000000"/>
                <w:spacing w:val="0"/>
                <w:w w:val="100"/>
                <w:position w:val="0"/>
                <w:sz w:val="22"/>
                <w:szCs w:val="22"/>
              </w:rPr>
              <w:t>联营企业</w:t>
            </w:r>
          </w:p>
        </w:tc>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(35,286,223.70)</w:t>
            </w:r>
          </w:p>
        </w:tc>
        <w:tc>
          <w:tcPr>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(35,286,223.70)</w:t>
            </w:r>
          </w:p>
        </w:tc>
      </w:tr>
      <w:tr>
        <w:trPr>
          <w:trHeight w:val="485" w:hRule="exact"/>
        </w:trPr>
        <w:tc>
          <w:tcPr>
            <w:tcBorders/>
            <w:shd w:val="clear" w:color="auto" w:fill="FFFFFF"/>
            <w:vAlign w:val="top"/>
          </w:tcPr>
          <w:p>
            <w:pPr>
              <w:framePr w:w="8837" w:h="3552" w:vSpace="638" w:wrap="notBeside" w:vAnchor="text" w:hAnchor="text" w:x="61" w:y="639"/>
              <w:widowControl w:val="0"/>
              <w:rPr>
                <w:sz w:val="10"/>
                <w:szCs w:val="10"/>
              </w:rPr>
            </w:pPr>
          </w:p>
        </w:tc>
        <w:tc>
          <w:tcPr>
            <w:tcBorders>
              <w:top w:val="single" w:sz="4"/>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(35,286,223.70)</w:t>
            </w:r>
          </w:p>
        </w:tc>
        <w:tc>
          <w:tcPr>
            <w:tcBorders>
              <w:top w:val="single" w:sz="4"/>
            </w:tcBorders>
            <w:shd w:val="clear" w:color="auto" w:fill="FFFFFF"/>
            <w:vAlign w:val="top"/>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(35,286,223.70)</w:t>
            </w:r>
          </w:p>
        </w:tc>
      </w:tr>
      <w:tr>
        <w:trPr>
          <w:trHeight w:val="475" w:hRule="exact"/>
        </w:trPr>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合营企业</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940"/>
              <w:jc w:val="left"/>
              <w:rPr>
                <w:sz w:val="24"/>
                <w:szCs w:val="24"/>
              </w:rPr>
            </w:pPr>
            <w:r>
              <w:rPr>
                <w:rFonts w:ascii="Arial" w:eastAsia="Arial" w:hAnsi="Arial" w:cs="Arial"/>
                <w:color w:val="000000"/>
                <w:spacing w:val="0"/>
                <w:w w:val="100"/>
                <w:position w:val="0"/>
                <w:sz w:val="24"/>
                <w:szCs w:val="24"/>
              </w:rPr>
              <w:t>91,670,608.86</w:t>
            </w:r>
          </w:p>
        </w:tc>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1,008,311,420.92</w:t>
            </w:r>
          </w:p>
        </w:tc>
      </w:tr>
      <w:tr>
        <w:trPr>
          <w:trHeight w:val="298" w:hRule="exact"/>
        </w:trPr>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联营企业</w:t>
            </w: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678,028,154.65</w:t>
            </w:r>
          </w:p>
        </w:tc>
        <w:tc>
          <w:tcPr>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473,360,970.55</w:t>
            </w:r>
          </w:p>
        </w:tc>
      </w:tr>
      <w:tr>
        <w:trPr>
          <w:trHeight w:val="360" w:hRule="exact"/>
        </w:trPr>
        <w:tc>
          <w:tcPr>
            <w:tcBorders/>
            <w:shd w:val="clear" w:color="auto" w:fill="FFFFFF"/>
            <w:vAlign w:val="top"/>
          </w:tcPr>
          <w:p>
            <w:pPr>
              <w:framePr w:w="8837" w:h="3552" w:vSpace="638" w:wrap="notBeside" w:vAnchor="text" w:hAnchor="text" w:x="61"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769,698,763.51</w:t>
            </w:r>
          </w:p>
        </w:tc>
        <w:tc>
          <w:tcPr>
            <w:tcBorders>
              <w:top w:val="single" w:sz="4"/>
              <w:bottom w:val="single" w:sz="4"/>
            </w:tcBorders>
            <w:shd w:val="clear" w:color="auto" w:fill="FFFFFF"/>
            <w:vAlign w:val="bottom"/>
          </w:tcPr>
          <w:p>
            <w:pPr>
              <w:pStyle w:val="Style23"/>
              <w:keepNext w:val="0"/>
              <w:keepLines w:val="0"/>
              <w:framePr w:w="8837" w:h="3552" w:vSpace="638" w:wrap="notBeside" w:vAnchor="text" w:hAnchor="text" w:x="61" w:y="639"/>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1,481,672,391.47</w:t>
            </w:r>
          </w:p>
        </w:tc>
      </w:tr>
    </w:tbl>
    <w:p>
      <w:pPr>
        <w:pStyle w:val="Style29"/>
        <w:keepNext w:val="0"/>
        <w:keepLines w:val="0"/>
        <w:framePr w:w="2131" w:h="298" w:hSpace="60" w:wrap="notBeside" w:vAnchor="text" w:hAnchor="text" w:x="4151"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2131" w:h="298" w:hSpace="60" w:wrap="notBeside" w:vAnchor="text" w:hAnchor="text" w:x="6647"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widowControl w:val="0"/>
        <w:spacing w:line="1" w:lineRule="exact"/>
        <w:sectPr>
          <w:footnotePr>
            <w:pos w:val="pageBottom"/>
            <w:numFmt w:val="decimal"/>
            <w:numRestart w:val="continuous"/>
          </w:footnotePr>
          <w:pgSz w:w="11900" w:h="16840"/>
          <w:pgMar w:top="2161" w:right="1016" w:bottom="4052" w:left="1928"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rPr>
          <w:sz w:val="22"/>
          <w:szCs w:val="22"/>
        </w:rPr>
      </w:pPr>
      <w:bookmarkStart w:id="781" w:name="bookmark781"/>
      <w:bookmarkStart w:id="782" w:name="bookmark782"/>
      <w:bookmarkStart w:id="783" w:name="bookmark783"/>
      <w:r>
        <w:rPr>
          <w:rFonts w:ascii="Arial" w:eastAsia="Arial" w:hAnsi="Arial" w:cs="Arial"/>
          <w:b w:val="0"/>
          <w:bCs w:val="0"/>
          <w:color w:val="000000"/>
          <w:spacing w:val="0"/>
          <w:w w:val="100"/>
          <w:position w:val="0"/>
          <w:sz w:val="24"/>
          <w:szCs w:val="24"/>
        </w:rPr>
        <w:t>（12）</w:t>
      </w:r>
      <w:r>
        <w:rPr>
          <w:color w:val="000000"/>
          <w:spacing w:val="0"/>
          <w:w w:val="100"/>
          <w:position w:val="0"/>
          <w:sz w:val="22"/>
          <w:szCs w:val="22"/>
        </w:rPr>
        <w:t>长期股权投资（续）</w:t>
      </w:r>
      <w:bookmarkEnd w:id="781"/>
      <w:bookmarkEnd w:id="782"/>
      <w:bookmarkEnd w:id="783"/>
    </w:p>
    <w:p>
      <w:pPr>
        <w:pStyle w:val="Style33"/>
        <w:keepNext w:val="0"/>
        <w:keepLines w:val="0"/>
        <w:widowControl w:val="0"/>
        <w:shd w:val="clear" w:color="auto" w:fill="auto"/>
        <w:bidi w:val="0"/>
        <w:spacing w:before="0" w:after="78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合营企业</w:t>
      </w:r>
    </w:p>
    <w:p>
      <w:pPr>
        <w:pStyle w:val="Style129"/>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4"/>
          <w:szCs w:val="14"/>
        </w:rPr>
        <w:t xml:space="preserve">2015 </w:t>
      </w:r>
      <w:r>
        <w:rPr>
          <w:rFonts w:ascii="SimSun" w:eastAsia="SimSun" w:hAnsi="SimSun" w:cs="SimSun"/>
          <w:color w:val="000000"/>
          <w:spacing w:val="0"/>
          <w:w w:val="100"/>
          <w:position w:val="0"/>
          <w:sz w:val="13"/>
          <w:szCs w:val="13"/>
        </w:rPr>
        <w:t>年</w:t>
      </w:r>
    </w:p>
    <w:p>
      <w:pPr>
        <w:pStyle w:val="Style23"/>
        <w:keepNext w:val="0"/>
        <w:keepLines w:val="0"/>
        <w:widowControl w:val="0"/>
        <w:shd w:val="clear" w:color="auto" w:fill="auto"/>
        <w:tabs>
          <w:tab w:pos="1464" w:val="left"/>
          <w:tab w:pos="2851" w:val="left"/>
        </w:tabs>
        <w:bidi w:val="0"/>
        <w:spacing w:before="0" w:after="0" w:line="240" w:lineRule="auto"/>
        <w:ind w:left="0" w:right="0" w:firstLine="0"/>
        <w:jc w:val="right"/>
        <w:rPr>
          <w:sz w:val="13"/>
          <w:szCs w:val="13"/>
        </w:rPr>
        <w:sectPr>
          <w:headerReference w:type="default" r:id="rId39"/>
          <w:footerReference w:type="default" r:id="rId40"/>
          <w:headerReference w:type="even" r:id="rId41"/>
          <w:footerReference w:type="even" r:id="rId42"/>
          <w:footnotePr>
            <w:pos w:val="pageBottom"/>
            <w:numFmt w:val="decimal"/>
            <w:numRestart w:val="continuous"/>
          </w:footnotePr>
          <w:pgSz w:w="8400" w:h="11900"/>
          <w:pgMar w:top="2155" w:right="533" w:bottom="1392" w:left="1963" w:header="0" w:footer="964" w:gutter="0"/>
          <w:cols w:space="720"/>
          <w:noEndnote/>
          <w:rtlGutter w:val="0"/>
          <w:docGrid w:linePitch="360"/>
        </w:sect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tab/>
        <w:t>新增投资</w:t>
        <w:tab/>
        <w:t>减少投资</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8400" w:h="11900"/>
          <w:pgMar w:top="1891" w:right="0" w:bottom="1393" w:left="0" w:header="0" w:footer="3" w:gutter="0"/>
          <w:cols w:space="720"/>
          <w:noEndnote/>
          <w:rtlGutter w:val="0"/>
          <w:docGrid w:linePitch="360"/>
        </w:sectPr>
      </w:pPr>
    </w:p>
    <w:p>
      <w:pPr>
        <w:pStyle w:val="Style23"/>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商顺供应链管理（中国）有限公司</w:t>
      </w:r>
    </w:p>
    <w:p>
      <w:pPr>
        <w:pStyle w:val="Style23"/>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（以下简称“商顺供应链”）（附</w:t>
      </w:r>
    </w:p>
    <w:p>
      <w:pPr>
        <w:pStyle w:val="Style129"/>
        <w:keepNext w:val="0"/>
        <w:keepLines w:val="0"/>
        <w:framePr w:w="3149" w:h="4358" w:wrap="none" w:vAnchor="text" w:hAnchor="page" w:x="1969" w:y="21"/>
        <w:widowControl w:val="0"/>
        <w:shd w:val="clear" w:color="auto" w:fill="auto"/>
        <w:tabs>
          <w:tab w:pos="1862" w:val="left"/>
        </w:tabs>
        <w:bidi w:val="0"/>
        <w:spacing w:before="0" w:after="160" w:line="240" w:lineRule="auto"/>
        <w:ind w:left="0" w:right="0" w:firstLine="0"/>
        <w:jc w:val="left"/>
      </w:pPr>
      <w:r>
        <w:rPr>
          <w:rFonts w:ascii="SimSun" w:eastAsia="SimSun" w:hAnsi="SimSun" w:cs="SimSun"/>
          <w:color w:val="000000"/>
          <w:spacing w:val="0"/>
          <w:w w:val="100"/>
          <w:position w:val="0"/>
          <w:sz w:val="13"/>
          <w:szCs w:val="13"/>
        </w:rPr>
        <w:t>注五</w:t>
      </w:r>
      <w:r>
        <w:rPr>
          <w:color w:val="000000"/>
          <w:spacing w:val="0"/>
          <w:w w:val="100"/>
          <w:position w:val="0"/>
        </w:rPr>
        <w:t>（2））</w:t>
        <w:tab/>
      </w:r>
      <w:r>
        <w:rPr>
          <w:color w:val="000000"/>
          <w:spacing w:val="0"/>
          <w:w w:val="100"/>
          <w:position w:val="0"/>
        </w:rPr>
        <w:t>1,008,311,420.92</w:t>
      </w:r>
    </w:p>
    <w:p>
      <w:pPr>
        <w:pStyle w:val="Style20"/>
        <w:keepNext w:val="0"/>
        <w:keepLines w:val="0"/>
        <w:framePr w:w="3149" w:h="4358" w:wrap="none" w:vAnchor="text" w:hAnchor="page" w:x="1969" w:y="21"/>
        <w:widowControl w:val="0"/>
        <w:shd w:val="clear" w:color="auto" w:fill="auto"/>
        <w:tabs>
          <w:tab w:pos="2870" w:val="left"/>
        </w:tabs>
        <w:bidi w:val="0"/>
        <w:spacing w:before="0" w:after="160" w:line="240" w:lineRule="auto"/>
        <w:ind w:left="0" w:right="0" w:firstLine="0"/>
        <w:jc w:val="left"/>
        <w:rPr>
          <w:sz w:val="14"/>
          <w:szCs w:val="14"/>
        </w:rPr>
      </w:pPr>
      <w:r>
        <w:rPr>
          <w:rFonts w:ascii="Arial" w:eastAsia="Arial" w:hAnsi="Arial" w:cs="Arial"/>
          <w:color w:val="000000"/>
          <w:spacing w:val="0"/>
          <w:w w:val="100"/>
          <w:position w:val="0"/>
          <w:sz w:val="14"/>
          <w:szCs w:val="14"/>
        </w:rPr>
        <w:t>POST11 OU</w:t>
        <w:tab/>
      </w:r>
      <w:r>
        <w:rPr>
          <w:rFonts w:ascii="Arial" w:eastAsia="Arial" w:hAnsi="Arial" w:cs="Arial"/>
          <w:color w:val="000000"/>
          <w:spacing w:val="0"/>
          <w:w w:val="100"/>
          <w:position w:val="0"/>
          <w:sz w:val="14"/>
          <w:szCs w:val="14"/>
        </w:rPr>
        <w:t>-</w:t>
      </w:r>
    </w:p>
    <w:p>
      <w:pPr>
        <w:pStyle w:val="Style20"/>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湖北省国际航空产业新城发展</w:t>
      </w:r>
    </w:p>
    <w:p>
      <w:pPr>
        <w:pStyle w:val="Style20"/>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有限公司（以下简称“国际新</w:t>
      </w:r>
    </w:p>
    <w:p>
      <w:pPr>
        <w:pStyle w:val="Style20"/>
        <w:keepNext w:val="0"/>
        <w:keepLines w:val="0"/>
        <w:framePr w:w="3149" w:h="4358" w:wrap="none" w:vAnchor="text" w:hAnchor="page" w:x="1969" w:y="21"/>
        <w:widowControl w:val="0"/>
        <w:shd w:val="clear" w:color="auto" w:fill="auto"/>
        <w:tabs>
          <w:tab w:pos="2698" w:val="left"/>
        </w:tabs>
        <w:bidi w:val="0"/>
        <w:spacing w:before="0" w:after="160" w:line="240" w:lineRule="auto"/>
        <w:ind w:left="0" w:right="0" w:firstLine="0"/>
        <w:jc w:val="left"/>
        <w:rPr>
          <w:sz w:val="13"/>
          <w:szCs w:val="13"/>
        </w:rPr>
      </w:pPr>
      <w:r>
        <w:rPr>
          <w:color w:val="000000"/>
          <w:spacing w:val="0"/>
          <w:w w:val="100"/>
          <w:position w:val="0"/>
          <w:sz w:val="13"/>
          <w:szCs w:val="13"/>
        </w:rPr>
        <w:t>城发展”）</w:t>
        <w:tab/>
        <w:t>-</w:t>
      </w:r>
    </w:p>
    <w:p>
      <w:pPr>
        <w:pStyle w:val="Style20"/>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深圳市盛海信息服务有限公司</w:t>
      </w:r>
    </w:p>
    <w:p>
      <w:pPr>
        <w:pStyle w:val="Style20"/>
        <w:keepNext w:val="0"/>
        <w:keepLines w:val="0"/>
        <w:framePr w:w="3149" w:h="4358" w:wrap="none" w:vAnchor="text" w:hAnchor="page" w:x="1969" w:y="21"/>
        <w:widowControl w:val="0"/>
        <w:shd w:val="clear" w:color="auto" w:fill="auto"/>
        <w:tabs>
          <w:tab w:pos="2693" w:val="left"/>
        </w:tabs>
        <w:bidi w:val="0"/>
        <w:spacing w:before="0" w:after="160" w:line="240" w:lineRule="auto"/>
        <w:ind w:left="0" w:right="0" w:firstLine="0"/>
        <w:jc w:val="left"/>
        <w:rPr>
          <w:sz w:val="13"/>
          <w:szCs w:val="13"/>
        </w:rPr>
      </w:pPr>
      <w:r>
        <w:rPr>
          <w:color w:val="000000"/>
          <w:spacing w:val="0"/>
          <w:w w:val="100"/>
          <w:position w:val="0"/>
          <w:sz w:val="13"/>
          <w:szCs w:val="13"/>
        </w:rPr>
        <w:t>（以下简称“盛海信息”）</w:t>
        <w:tab/>
        <w:t>-</w:t>
      </w:r>
    </w:p>
    <w:p>
      <w:pPr>
        <w:pStyle w:val="Style20"/>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上海格灵信息科技有限公司（以</w:t>
      </w:r>
    </w:p>
    <w:p>
      <w:pPr>
        <w:pStyle w:val="Style20"/>
        <w:keepNext w:val="0"/>
        <w:keepLines w:val="0"/>
        <w:framePr w:w="3149" w:h="4358" w:wrap="none" w:vAnchor="text" w:hAnchor="page" w:x="1969" w:y="21"/>
        <w:widowControl w:val="0"/>
        <w:shd w:val="clear" w:color="auto" w:fill="auto"/>
        <w:tabs>
          <w:tab w:pos="2693" w:val="left"/>
        </w:tabs>
        <w:bidi w:val="0"/>
        <w:spacing w:before="0" w:after="160" w:line="240" w:lineRule="auto"/>
        <w:ind w:left="0" w:right="0" w:firstLine="0"/>
        <w:jc w:val="left"/>
        <w:rPr>
          <w:sz w:val="13"/>
          <w:szCs w:val="13"/>
        </w:rPr>
      </w:pPr>
      <w:r>
        <w:rPr>
          <w:color w:val="000000"/>
          <w:spacing w:val="0"/>
          <w:w w:val="100"/>
          <w:position w:val="0"/>
          <w:sz w:val="13"/>
          <w:szCs w:val="13"/>
        </w:rPr>
        <w:t>下简称“格灵信息”）</w:t>
        <w:tab/>
        <w:t>-</w:t>
      </w:r>
    </w:p>
    <w:p>
      <w:pPr>
        <w:pStyle w:val="Style20"/>
        <w:keepNext w:val="0"/>
        <w:keepLines w:val="0"/>
        <w:framePr w:w="3149" w:h="4358" w:wrap="none" w:vAnchor="text" w:hAnchor="page" w:x="1969" w:y="21"/>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广州乐收网络技术有限公司（以</w:t>
      </w:r>
    </w:p>
    <w:p>
      <w:pPr>
        <w:pStyle w:val="Style20"/>
        <w:keepNext w:val="0"/>
        <w:keepLines w:val="0"/>
        <w:framePr w:w="3149" w:h="4358" w:wrap="none" w:vAnchor="text" w:hAnchor="page" w:x="1969" w:y="21"/>
        <w:widowControl w:val="0"/>
        <w:shd w:val="clear" w:color="auto" w:fill="auto"/>
        <w:tabs>
          <w:tab w:pos="1814" w:val="left"/>
          <w:tab w:leader="underscore" w:pos="2750" w:val="left"/>
        </w:tabs>
        <w:bidi w:val="0"/>
        <w:spacing w:before="0" w:after="160" w:line="240" w:lineRule="auto"/>
        <w:ind w:left="0" w:right="0" w:firstLine="0"/>
        <w:jc w:val="left"/>
        <w:rPr>
          <w:sz w:val="13"/>
          <w:szCs w:val="13"/>
        </w:rPr>
      </w:pPr>
      <w:r>
        <w:rPr>
          <w:color w:val="000000"/>
          <w:spacing w:val="0"/>
          <w:w w:val="100"/>
          <w:position w:val="0"/>
          <w:sz w:val="13"/>
          <w:szCs w:val="13"/>
        </w:rPr>
        <w:t xml:space="preserve">下简称“乐收网络” </w:t>
      </w:r>
      <w:r>
        <w:rPr>
          <w:i/>
          <w:iCs/>
          <w:color w:val="000000"/>
          <w:spacing w:val="0"/>
          <w:w w:val="100"/>
          <w:position w:val="0"/>
          <w:sz w:val="13"/>
          <w:szCs w:val="13"/>
        </w:rPr>
        <w:t>）</w:t>
        <w:tab/>
        <w:tab/>
      </w:r>
      <w:r>
        <w:rPr>
          <w:i/>
          <w:iCs/>
          <w:color w:val="000000"/>
          <w:spacing w:val="0"/>
          <w:w w:val="100"/>
          <w:position w:val="0"/>
          <w:sz w:val="13"/>
          <w:szCs w:val="13"/>
          <w:u w:val="single"/>
        </w:rPr>
        <w:t>-</w:t>
      </w:r>
    </w:p>
    <w:p>
      <w:pPr>
        <w:pStyle w:val="Style129"/>
        <w:keepNext w:val="0"/>
        <w:keepLines w:val="0"/>
        <w:framePr w:w="3149" w:h="4358" w:wrap="none" w:vAnchor="text" w:hAnchor="page" w:x="1969" w:y="21"/>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1,008,311,420.92</w:t>
      </w:r>
    </w:p>
    <w:p>
      <w:pPr>
        <w:pStyle w:val="Style129"/>
        <w:keepNext w:val="0"/>
        <w:keepLines w:val="0"/>
        <w:framePr w:w="2280" w:h="499" w:wrap="none" w:vAnchor="text" w:hAnchor="page" w:x="5641" w:y="654"/>
        <w:widowControl w:val="0"/>
        <w:shd w:val="clear" w:color="auto" w:fill="auto"/>
        <w:tabs>
          <w:tab w:pos="485" w:val="left"/>
        </w:tabs>
        <w:bidi w:val="0"/>
        <w:spacing w:before="0" w:after="160" w:line="240" w:lineRule="auto"/>
        <w:ind w:left="0" w:right="0" w:firstLine="0"/>
        <w:jc w:val="right"/>
      </w:pPr>
      <w:r>
        <w:rPr>
          <w:color w:val="000000"/>
          <w:spacing w:val="0"/>
          <w:w w:val="100"/>
          <w:position w:val="0"/>
        </w:rPr>
        <w:t>-</w:t>
        <w:tab/>
      </w:r>
      <w:r>
        <w:rPr>
          <w:color w:val="000000"/>
          <w:spacing w:val="0"/>
          <w:w w:val="100"/>
          <w:position w:val="0"/>
        </w:rPr>
        <w:t>(1,098,368,000.00)</w:t>
      </w:r>
    </w:p>
    <w:p>
      <w:pPr>
        <w:pStyle w:val="Style129"/>
        <w:keepNext w:val="0"/>
        <w:keepLines w:val="0"/>
        <w:framePr w:w="2280" w:h="499" w:wrap="none" w:vAnchor="text" w:hAnchor="page" w:x="5641" w:y="654"/>
        <w:widowControl w:val="0"/>
        <w:shd w:val="clear" w:color="auto" w:fill="auto"/>
        <w:tabs>
          <w:tab w:pos="1944" w:val="left"/>
        </w:tabs>
        <w:bidi w:val="0"/>
        <w:spacing w:before="0" w:after="0" w:line="240" w:lineRule="auto"/>
        <w:ind w:left="0" w:right="0" w:firstLine="0"/>
        <w:jc w:val="left"/>
      </w:pPr>
      <w:r>
        <w:rPr>
          <w:color w:val="000000"/>
          <w:spacing w:val="0"/>
          <w:w w:val="100"/>
          <w:position w:val="0"/>
        </w:rPr>
        <w:t>7,390,594.58</w:t>
        <w:tab/>
      </w:r>
      <w:r>
        <w:rPr>
          <w:color w:val="000000"/>
          <w:spacing w:val="0"/>
          <w:w w:val="100"/>
          <w:position w:val="0"/>
        </w:rPr>
        <w:t>-</w:t>
      </w:r>
    </w:p>
    <w:p>
      <w:pPr>
        <w:pStyle w:val="Style129"/>
        <w:keepNext w:val="0"/>
        <w:keepLines w:val="0"/>
        <w:framePr w:w="941" w:h="178" w:wrap="none" w:vAnchor="text" w:hAnchor="page" w:x="5559" w:y="1935"/>
        <w:widowControl w:val="0"/>
        <w:shd w:val="clear" w:color="auto" w:fill="auto"/>
        <w:bidi w:val="0"/>
        <w:spacing w:before="0" w:after="0" w:line="240" w:lineRule="auto"/>
        <w:ind w:left="0" w:right="0" w:firstLine="0"/>
        <w:jc w:val="left"/>
      </w:pPr>
      <w:r>
        <w:rPr>
          <w:color w:val="000000"/>
          <w:spacing w:val="0"/>
          <w:w w:val="100"/>
          <w:position w:val="0"/>
        </w:rPr>
        <w:t>40,000,000.00</w:t>
      </w:r>
    </w:p>
    <w:p>
      <w:pPr>
        <w:pStyle w:val="Style129"/>
        <w:keepNext w:val="0"/>
        <w:keepLines w:val="0"/>
        <w:framePr w:w="864" w:h="178" w:wrap="none" w:vAnchor="text" w:hAnchor="page" w:x="5636" w:y="2574"/>
        <w:widowControl w:val="0"/>
        <w:shd w:val="clear" w:color="auto" w:fill="auto"/>
        <w:bidi w:val="0"/>
        <w:spacing w:before="0" w:after="0" w:line="240" w:lineRule="auto"/>
        <w:ind w:left="0" w:right="0" w:firstLine="0"/>
        <w:jc w:val="left"/>
      </w:pPr>
      <w:r>
        <w:rPr>
          <w:color w:val="000000"/>
          <w:spacing w:val="0"/>
          <w:w w:val="100"/>
          <w:position w:val="0"/>
        </w:rPr>
        <w:t>2,744,000.00</w:t>
      </w:r>
    </w:p>
    <w:p>
      <w:pPr>
        <w:pStyle w:val="Style129"/>
        <w:keepNext w:val="0"/>
        <w:keepLines w:val="0"/>
        <w:framePr w:w="864" w:h="178" w:wrap="none" w:vAnchor="text" w:hAnchor="page" w:x="5636" w:y="3212"/>
        <w:widowControl w:val="0"/>
        <w:shd w:val="clear" w:color="auto" w:fill="auto"/>
        <w:bidi w:val="0"/>
        <w:spacing w:before="0" w:after="0" w:line="240" w:lineRule="auto"/>
        <w:ind w:left="0" w:right="0" w:firstLine="0"/>
        <w:jc w:val="left"/>
      </w:pPr>
      <w:r>
        <w:rPr>
          <w:color w:val="000000"/>
          <w:spacing w:val="0"/>
          <w:w w:val="100"/>
          <w:position w:val="0"/>
        </w:rPr>
        <w:t>4,803,900.00</w:t>
      </w:r>
    </w:p>
    <w:p>
      <w:pPr>
        <w:pStyle w:val="Style129"/>
        <w:keepNext w:val="0"/>
        <w:keepLines w:val="0"/>
        <w:framePr w:w="931" w:h="178" w:wrap="none" w:vAnchor="text" w:hAnchor="page" w:x="5569" w:y="3855"/>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15,000,000.00</w:t>
      </w:r>
    </w:p>
    <w:p>
      <w:pPr>
        <w:pStyle w:val="Style129"/>
        <w:keepNext w:val="0"/>
        <w:keepLines w:val="0"/>
        <w:framePr w:w="2362" w:h="187" w:wrap="none" w:vAnchor="text" w:hAnchor="page" w:x="5559" w:y="4182"/>
        <w:widowControl w:val="0"/>
        <w:pBdr>
          <w:bottom w:val="single" w:sz="4" w:space="0" w:color="auto"/>
        </w:pBdr>
        <w:shd w:val="clear" w:color="auto" w:fill="auto"/>
        <w:tabs>
          <w:tab w:pos="1138" w:val="left"/>
        </w:tabs>
        <w:bidi w:val="0"/>
        <w:spacing w:before="0" w:after="0" w:line="240" w:lineRule="auto"/>
        <w:ind w:left="0" w:right="0" w:firstLine="0"/>
        <w:jc w:val="left"/>
      </w:pPr>
      <w:r>
        <w:rPr>
          <w:color w:val="000000"/>
          <w:spacing w:val="0"/>
          <w:w w:val="100"/>
          <w:position w:val="0"/>
        </w:rPr>
        <w:t>69,938,494.58</w:t>
        <w:tab/>
        <w:t>(1,098,368,000.00)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type w:val="continuous"/>
          <w:pgSz w:w="8400" w:h="11900"/>
          <w:pgMar w:top="1891" w:right="480" w:bottom="1393" w:left="518" w:header="0" w:footer="3" w:gutter="0"/>
          <w:cols w:space="720"/>
          <w:noEndnote/>
          <w:rtlGutter w:val="0"/>
          <w:docGrid w:linePitch="360"/>
        </w:sectPr>
      </w:pP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8400" w:h="11900"/>
          <w:pgMar w:top="2155" w:right="0" w:bottom="1392" w:left="0" w:header="0" w:footer="3" w:gutter="0"/>
          <w:cols w:space="720"/>
          <w:noEndnote/>
          <w:rtlGutter w:val="0"/>
          <w:docGrid w:linePitch="360"/>
        </w:sectPr>
      </w:pPr>
    </w:p>
    <w:p>
      <w:pPr>
        <w:pStyle w:val="Style33"/>
        <w:keepNext w:val="0"/>
        <w:keepLines w:val="0"/>
        <w:widowControl w:val="0"/>
        <w:shd w:val="clear" w:color="auto" w:fill="auto"/>
        <w:bidi w:val="0"/>
        <w:spacing w:before="0" w:after="380" w:line="240" w:lineRule="auto"/>
        <w:ind w:left="0" w:right="0" w:firstLine="0"/>
        <w:jc w:val="center"/>
        <w:rPr>
          <w:sz w:val="22"/>
          <w:szCs w:val="22"/>
        </w:rPr>
      </w:pPr>
      <w:r>
        <w:rPr>
          <w:b w:val="0"/>
          <w:bCs w:val="0"/>
          <w:color w:val="000000"/>
          <w:spacing w:val="0"/>
          <w:w w:val="100"/>
          <w:position w:val="0"/>
          <w:sz w:val="22"/>
          <w:szCs w:val="22"/>
        </w:rPr>
        <w:t>在合营企业中的权益相关信息见附注六</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w:t>
      </w:r>
    </w:p>
    <w:p>
      <w:pPr>
        <w:pStyle w:val="Style33"/>
        <w:keepNext w:val="0"/>
        <w:keepLines w:val="0"/>
        <w:widowControl w:val="0"/>
        <w:shd w:val="clear" w:color="auto" w:fill="auto"/>
        <w:tabs>
          <w:tab w:pos="2098" w:val="left"/>
        </w:tabs>
        <w:bidi w:val="0"/>
        <w:spacing w:before="0" w:after="0" w:line="240" w:lineRule="auto"/>
        <w:ind w:left="1440" w:right="0" w:firstLine="0"/>
        <w:jc w:val="left"/>
        <w:rPr>
          <w:sz w:val="22"/>
          <w:szCs w:val="22"/>
        </w:rPr>
        <w:sectPr>
          <w:footnotePr>
            <w:pos w:val="pageBottom"/>
            <w:numFmt w:val="decimal"/>
            <w:numRestart w:val="continuous"/>
          </w:footnotePr>
          <w:type w:val="continuous"/>
          <w:pgSz w:w="8400" w:h="11900"/>
          <w:pgMar w:top="2155" w:right="533" w:bottom="1392" w:left="518" w:header="0" w:footer="3" w:gutter="0"/>
          <w:cols w:space="720"/>
          <w:noEndnote/>
          <w:rtlGutter w:val="0"/>
          <w:docGrid w:linePitch="360"/>
        </w:sectPr>
      </w:pPr>
      <w:r>
        <w:rPr>
          <w:b w:val="0"/>
          <w:bCs w:val="0"/>
          <w:color w:val="000000"/>
          <w:spacing w:val="0"/>
          <w:w w:val="100"/>
          <w:position w:val="0"/>
          <w:sz w:val="22"/>
          <w:szCs w:val="22"/>
        </w:rPr>
        <w:t>⑴</w:t>
        <w:tab/>
        <w:t>系外币报表折算差异。</w:t>
      </w:r>
    </w:p>
    <w:tbl>
      <w:tblPr>
        <w:tblOverlap w:val="never"/>
        <w:jc w:val="center"/>
        <w:tblLayout w:type="fixed"/>
      </w:tblPr>
      <w:tblGrid>
        <w:gridCol w:w="1574"/>
        <w:gridCol w:w="1574"/>
        <w:gridCol w:w="1680"/>
        <w:gridCol w:w="1560"/>
        <w:gridCol w:w="960"/>
      </w:tblGrid>
      <w:tr>
        <w:trPr>
          <w:trHeight w:val="2261"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本年增减变动</w:t>
            </w:r>
          </w:p>
        </w:tc>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820"/>
              <w:jc w:val="left"/>
              <w:rPr>
                <w:sz w:val="13"/>
                <w:szCs w:val="13"/>
              </w:rPr>
            </w:pPr>
            <w:r>
              <w:rPr>
                <w:rFonts w:ascii="Arial" w:eastAsia="Arial" w:hAnsi="Arial" w:cs="Arial"/>
                <w:color w:val="000000"/>
                <w:spacing w:val="0"/>
                <w:w w:val="100"/>
                <w:position w:val="0"/>
                <w:sz w:val="14"/>
                <w:szCs w:val="14"/>
              </w:rPr>
              <w:t xml:space="preserve">2016 </w:t>
            </w:r>
            <w:r>
              <w:rPr>
                <w:color w:val="000000"/>
                <w:spacing w:val="0"/>
                <w:w w:val="100"/>
                <w:position w:val="0"/>
                <w:sz w:val="13"/>
                <w:szCs w:val="13"/>
              </w:rPr>
              <w:t>年</w:t>
            </w:r>
          </w:p>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160" w:line="240" w:lineRule="auto"/>
              <w:ind w:left="0" w:right="0" w:firstLine="220"/>
              <w:jc w:val="left"/>
              <w:rPr>
                <w:sz w:val="13"/>
                <w:szCs w:val="13"/>
              </w:rPr>
            </w:pPr>
            <w:r>
              <w:rPr>
                <w:color w:val="000000"/>
                <w:spacing w:val="0"/>
                <w:w w:val="100"/>
                <w:position w:val="0"/>
                <w:sz w:val="13"/>
                <w:szCs w:val="13"/>
              </w:rPr>
              <w:t>减值准备</w:t>
            </w:r>
          </w:p>
          <w:p>
            <w:pPr>
              <w:pStyle w:val="Style2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年末余额</w:t>
            </w:r>
          </w:p>
        </w:tc>
      </w:tr>
      <w:tr>
        <w:trPr>
          <w:trHeight w:val="1176" w:hRule="exact"/>
        </w:trPr>
        <w:tc>
          <w:tcPr>
            <w:tcBorders>
              <w:top w:val="single" w:sz="4"/>
            </w:tcBorders>
            <w:shd w:val="clear" w:color="auto" w:fill="FFFFFF"/>
            <w:vAlign w:val="top"/>
          </w:tcPr>
          <w:p>
            <w:pPr>
              <w:pStyle w:val="Style23"/>
              <w:keepNext w:val="0"/>
              <w:keepLines w:val="0"/>
              <w:widowControl w:val="0"/>
              <w:shd w:val="clear" w:color="auto" w:fill="auto"/>
              <w:bidi w:val="0"/>
              <w:spacing w:before="120" w:after="160" w:line="240" w:lineRule="auto"/>
              <w:ind w:left="0" w:right="0" w:firstLine="340"/>
              <w:jc w:val="left"/>
              <w:rPr>
                <w:sz w:val="13"/>
                <w:szCs w:val="13"/>
              </w:rPr>
            </w:pPr>
            <w:r>
              <w:rPr>
                <w:color w:val="000000"/>
                <w:spacing w:val="0"/>
                <w:w w:val="100"/>
                <w:position w:val="0"/>
                <w:sz w:val="13"/>
                <w:szCs w:val="13"/>
              </w:rPr>
              <w:t>按权益法调整</w:t>
            </w:r>
          </w:p>
          <w:p>
            <w:pPr>
              <w:pStyle w:val="Style23"/>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的净损益</w:t>
            </w:r>
          </w:p>
        </w:tc>
        <w:tc>
          <w:tcPr>
            <w:tcBorders>
              <w:top w:val="single" w:sz="4"/>
            </w:tcBorders>
            <w:shd w:val="clear" w:color="auto" w:fill="FFFFFF"/>
            <w:vAlign w:val="top"/>
          </w:tcPr>
          <w:p>
            <w:pPr>
              <w:pStyle w:val="Style23"/>
              <w:keepNext w:val="0"/>
              <w:keepLines w:val="0"/>
              <w:widowControl w:val="0"/>
              <w:shd w:val="clear" w:color="auto" w:fill="auto"/>
              <w:bidi w:val="0"/>
              <w:spacing w:before="140" w:after="160" w:line="240" w:lineRule="auto"/>
              <w:ind w:left="0" w:right="0" w:firstLine="340"/>
              <w:jc w:val="left"/>
              <w:rPr>
                <w:sz w:val="13"/>
                <w:szCs w:val="13"/>
              </w:rPr>
            </w:pPr>
            <w:r>
              <w:rPr>
                <w:color w:val="000000"/>
                <w:spacing w:val="0"/>
                <w:w w:val="100"/>
                <w:position w:val="0"/>
                <w:sz w:val="13"/>
                <w:szCs w:val="13"/>
              </w:rPr>
              <w:t>转回内部交易</w:t>
            </w:r>
          </w:p>
          <w:p>
            <w:pPr>
              <w:pStyle w:val="Style23"/>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未实现利润</w:t>
            </w:r>
          </w:p>
        </w:tc>
        <w:tc>
          <w:tcPr>
            <w:tcBorders>
              <w:top w:val="single" w:sz="4"/>
            </w:tcBorders>
            <w:shd w:val="clear" w:color="auto" w:fill="FFFFFF"/>
            <w:vAlign w:val="top"/>
          </w:tcPr>
          <w:p>
            <w:pPr>
              <w:pStyle w:val="Style23"/>
              <w:keepNext w:val="0"/>
              <w:keepLines w:val="0"/>
              <w:widowControl w:val="0"/>
              <w:shd w:val="clear" w:color="auto" w:fill="auto"/>
              <w:bidi w:val="0"/>
              <w:spacing w:before="140" w:after="160" w:line="240" w:lineRule="auto"/>
              <w:ind w:left="0" w:right="0" w:firstLine="700"/>
              <w:jc w:val="left"/>
              <w:rPr>
                <w:sz w:val="13"/>
                <w:szCs w:val="13"/>
              </w:rPr>
            </w:pPr>
            <w:r>
              <w:rPr>
                <w:color w:val="000000"/>
                <w:spacing w:val="0"/>
                <w:w w:val="100"/>
                <w:position w:val="0"/>
                <w:sz w:val="13"/>
                <w:szCs w:val="13"/>
              </w:rPr>
              <w:t>其他综合</w:t>
            </w:r>
          </w:p>
          <w:p>
            <w:pPr>
              <w:pStyle w:val="Style23"/>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3"/>
                <w:szCs w:val="13"/>
              </w:rPr>
              <w:t>收益调整</w:t>
            </w:r>
            <w:r>
              <w:rPr>
                <w:rFonts w:ascii="Arial" w:eastAsia="Arial" w:hAnsi="Arial" w:cs="Arial"/>
                <w:color w:val="000000"/>
                <w:spacing w:val="0"/>
                <w:w w:val="100"/>
                <w:position w:val="0"/>
                <w:sz w:val="14"/>
                <w:szCs w:val="14"/>
              </w:rPr>
              <w:t>(i)</w:t>
            </w:r>
          </w:p>
        </w:tc>
        <w:tc>
          <w:tcPr>
            <w:vMerge/>
            <w:tcBorders/>
            <w:shd w:val="clear" w:color="auto" w:fill="FFFFFF"/>
            <w:vAlign w:val="bottom"/>
          </w:tcPr>
          <w:p>
            <w:pPr/>
          </w:p>
        </w:tc>
        <w:tc>
          <w:tcPr>
            <w:vMerge/>
            <w:tcBorders/>
            <w:shd w:val="clear" w:color="auto" w:fill="FFFFFF"/>
            <w:vAlign w:val="bottom"/>
          </w:tcPr>
          <w:p>
            <w:pPr/>
          </w:p>
        </w:tc>
      </w:tr>
      <w:tr>
        <w:trPr>
          <w:trHeight w:val="80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41,230,843.95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34,916,188.43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38,039,652.03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24,130,105.33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r>
        <w:trPr>
          <w:trHeight w:val="638" w:hRule="exact"/>
        </w:trPr>
        <w:tc>
          <w:tcPr>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9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63,761.84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7,454,356.42</w:t>
            </w:r>
          </w:p>
        </w:tc>
        <w:tc>
          <w:tcPr>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r>
        <w:trPr>
          <w:trHeight w:val="8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40,000,000.00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r>
        <w:trPr>
          <w:trHeight w:val="63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3,252.99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2,747,252.99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r>
        <w:trPr>
          <w:trHeight w:val="64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(396,893.12)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4,407,006.88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r>
        <w:trPr>
          <w:trHeight w:val="4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(2,068,112.76)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12,931,887.24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38,769,091.06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34,916,188.43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38,103,413.87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91,670,608.86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8400" w:h="11900"/>
          <w:pgMar w:top="1468" w:right="1051" w:bottom="1468" w:left="0" w:header="0" w:footer="3" w:gutter="0"/>
          <w:pgNumType w:start="227"/>
          <w:cols w:space="720"/>
          <w:noEndnote/>
          <w:rtlGutter w:val="0"/>
          <w:docGrid w:linePitch="360"/>
        </w:sectPr>
      </w:pPr>
    </w:p>
    <w:p>
      <w:pPr>
        <w:pStyle w:val="Style27"/>
        <w:keepNext/>
        <w:keepLines/>
        <w:widowControl w:val="0"/>
        <w:shd w:val="clear" w:color="auto" w:fill="auto"/>
        <w:bidi w:val="0"/>
        <w:spacing w:before="0" w:after="340" w:line="240" w:lineRule="auto"/>
        <w:ind w:left="0" w:right="0" w:firstLine="0"/>
        <w:jc w:val="left"/>
      </w:pPr>
      <w:bookmarkStart w:id="784" w:name="bookmark784"/>
      <w:bookmarkStart w:id="785" w:name="bookmark785"/>
      <w:bookmarkStart w:id="786" w:name="bookmark786"/>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84"/>
      <w:bookmarkEnd w:id="785"/>
      <w:bookmarkEnd w:id="786"/>
    </w:p>
    <w:p>
      <w:pPr>
        <w:pStyle w:val="Style27"/>
        <w:keepNext/>
        <w:keepLines/>
        <w:widowControl w:val="0"/>
        <w:shd w:val="clear" w:color="auto" w:fill="auto"/>
        <w:tabs>
          <w:tab w:pos="732" w:val="left"/>
        </w:tabs>
        <w:bidi w:val="0"/>
        <w:spacing w:before="0" w:after="340" w:line="240" w:lineRule="auto"/>
        <w:ind w:left="0" w:right="0" w:firstLine="0"/>
        <w:jc w:val="left"/>
      </w:pPr>
      <w:bookmarkStart w:id="784" w:name="bookmark784"/>
      <w:bookmarkStart w:id="785" w:name="bookmark785"/>
      <w:bookmarkStart w:id="787" w:name="bookmark787"/>
      <w:r>
        <w:rPr>
          <w:rFonts w:ascii="Arial" w:eastAsia="Arial" w:hAnsi="Arial" w:cs="Arial"/>
          <w:b w:val="0"/>
          <w:bCs w:val="0"/>
          <w:color w:val="000000"/>
          <w:spacing w:val="0"/>
          <w:w w:val="100"/>
          <w:position w:val="0"/>
          <w:sz w:val="24"/>
          <w:szCs w:val="24"/>
        </w:rPr>
        <w:t>（12）</w:t>
        <w:tab/>
      </w:r>
      <w:r>
        <w:rPr>
          <w:color w:val="000000"/>
          <w:spacing w:val="0"/>
          <w:w w:val="100"/>
          <w:position w:val="0"/>
          <w:sz w:val="22"/>
          <w:szCs w:val="22"/>
        </w:rPr>
        <w:t>长期股权投资</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84"/>
      <w:bookmarkEnd w:id="785"/>
      <w:bookmarkEnd w:id="787"/>
    </w:p>
    <w:p>
      <w:pPr>
        <w:pStyle w:val="Style33"/>
        <w:keepNext w:val="0"/>
        <w:keepLines w:val="0"/>
        <w:widowControl w:val="0"/>
        <w:shd w:val="clear" w:color="auto" w:fill="auto"/>
        <w:tabs>
          <w:tab w:pos="732" w:val="left"/>
        </w:tabs>
        <w:bidi w:val="0"/>
        <w:spacing w:before="0" w:after="44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联营企业</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本年增减变动</w:t>
      </w:r>
    </w:p>
    <w:tbl>
      <w:tblPr>
        <w:tblOverlap w:val="never"/>
        <w:jc w:val="center"/>
        <w:tblLayout w:type="fixed"/>
      </w:tblPr>
      <w:tblGrid>
        <w:gridCol w:w="3379"/>
        <w:gridCol w:w="1310"/>
        <w:gridCol w:w="1099"/>
        <w:gridCol w:w="1258"/>
        <w:gridCol w:w="1368"/>
        <w:gridCol w:w="965"/>
        <w:gridCol w:w="1085"/>
        <w:gridCol w:w="1085"/>
        <w:gridCol w:w="1152"/>
        <w:gridCol w:w="1027"/>
      </w:tblGrid>
      <w:tr>
        <w:trPr>
          <w:trHeight w:val="240"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760"/>
              <w:jc w:val="left"/>
              <w:rPr>
                <w:sz w:val="12"/>
                <w:szCs w:val="12"/>
              </w:rPr>
            </w:pPr>
            <w:r>
              <w:rPr>
                <w:rFonts w:ascii="Arial" w:eastAsia="Arial" w:hAnsi="Arial" w:cs="Arial"/>
                <w:color w:val="000000"/>
                <w:spacing w:val="0"/>
                <w:w w:val="100"/>
                <w:position w:val="0"/>
                <w:sz w:val="12"/>
                <w:szCs w:val="12"/>
              </w:rPr>
              <w:t xml:space="preserve">2015 </w:t>
            </w:r>
            <w:r>
              <w:rPr>
                <w:color w:val="000000"/>
                <w:spacing w:val="0"/>
                <w:w w:val="100"/>
                <w:position w:val="0"/>
                <w:sz w:val="12"/>
                <w:szCs w:val="12"/>
              </w:rPr>
              <w:t>年</w:t>
            </w:r>
          </w:p>
          <w:p>
            <w:pPr>
              <w:pStyle w:val="Style23"/>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12</w:t>
            </w:r>
            <w:r>
              <w:rPr>
                <w:color w:val="000000"/>
                <w:spacing w:val="0"/>
                <w:w w:val="100"/>
                <w:position w:val="0"/>
                <w:sz w:val="12"/>
                <w:szCs w:val="12"/>
              </w:rPr>
              <w:t>月</w:t>
            </w:r>
            <w:r>
              <w:rPr>
                <w:rFonts w:ascii="Arial" w:eastAsia="Arial" w:hAnsi="Arial" w:cs="Arial"/>
                <w:color w:val="000000"/>
                <w:spacing w:val="0"/>
                <w:w w:val="100"/>
                <w:position w:val="0"/>
                <w:sz w:val="12"/>
                <w:szCs w:val="12"/>
              </w:rPr>
              <w:t>31</w:t>
            </w:r>
            <w:r>
              <w:rPr>
                <w:color w:val="000000"/>
                <w:spacing w:val="0"/>
                <w:w w:val="100"/>
                <w:position w:val="0"/>
                <w:sz w:val="12"/>
                <w:szCs w:val="12"/>
              </w:rPr>
              <w:t>日</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新增投资</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jc w:val="left"/>
              <w:rPr>
                <w:sz w:val="12"/>
                <w:szCs w:val="12"/>
              </w:rPr>
            </w:pPr>
            <w:r>
              <w:rPr>
                <w:color w:val="000000"/>
                <w:spacing w:val="0"/>
                <w:w w:val="100"/>
                <w:position w:val="0"/>
                <w:sz w:val="12"/>
                <w:szCs w:val="12"/>
              </w:rPr>
              <w:t>按权益法调整</w:t>
            </w:r>
          </w:p>
          <w:p>
            <w:pPr>
              <w:pStyle w:val="Style23"/>
              <w:keepNext w:val="0"/>
              <w:keepLines w:val="0"/>
              <w:widowControl w:val="0"/>
              <w:shd w:val="clear" w:color="auto" w:fill="auto"/>
              <w:bidi w:val="0"/>
              <w:spacing w:before="0" w:after="0" w:line="240" w:lineRule="auto"/>
              <w:ind w:left="0" w:right="240" w:firstLine="0"/>
              <w:jc w:val="right"/>
              <w:rPr>
                <w:sz w:val="12"/>
                <w:szCs w:val="12"/>
              </w:rPr>
            </w:pPr>
            <w:r>
              <w:rPr>
                <w:color w:val="000000"/>
                <w:spacing w:val="0"/>
                <w:w w:val="100"/>
                <w:position w:val="0"/>
                <w:sz w:val="12"/>
                <w:szCs w:val="12"/>
              </w:rPr>
              <w:t>的净损益</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其他综合</w:t>
            </w: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rFonts w:ascii="Arial" w:eastAsia="Arial" w:hAnsi="Arial" w:cs="Arial"/>
                <w:color w:val="000000"/>
                <w:spacing w:val="0"/>
                <w:w w:val="100"/>
                <w:position w:val="0"/>
                <w:sz w:val="12"/>
                <w:szCs w:val="12"/>
              </w:rPr>
              <w:t xml:space="preserve">2016 </w:t>
            </w:r>
            <w:r>
              <w:rPr>
                <w:color w:val="000000"/>
                <w:spacing w:val="0"/>
                <w:w w:val="100"/>
                <w:position w:val="0"/>
                <w:sz w:val="12"/>
                <w:szCs w:val="12"/>
              </w:rPr>
              <w:t>年</w:t>
            </w:r>
          </w:p>
          <w:p>
            <w:pPr>
              <w:pStyle w:val="Style23"/>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color w:val="000000"/>
                <w:spacing w:val="0"/>
                <w:w w:val="100"/>
                <w:position w:val="0"/>
                <w:sz w:val="12"/>
                <w:szCs w:val="12"/>
              </w:rPr>
              <w:t>12</w:t>
            </w:r>
            <w:r>
              <w:rPr>
                <w:color w:val="000000"/>
                <w:spacing w:val="0"/>
                <w:w w:val="100"/>
                <w:position w:val="0"/>
                <w:sz w:val="12"/>
                <w:szCs w:val="12"/>
              </w:rPr>
              <w:t>月</w:t>
            </w:r>
            <w:r>
              <w:rPr>
                <w:rFonts w:ascii="Arial" w:eastAsia="Arial" w:hAnsi="Arial" w:cs="Arial"/>
                <w:color w:val="000000"/>
                <w:spacing w:val="0"/>
                <w:w w:val="100"/>
                <w:position w:val="0"/>
                <w:sz w:val="12"/>
                <w:szCs w:val="12"/>
              </w:rPr>
              <w:t>31</w:t>
            </w:r>
            <w:r>
              <w:rPr>
                <w:color w:val="000000"/>
                <w:spacing w:val="0"/>
                <w:w w:val="100"/>
                <w:position w:val="0"/>
                <w:sz w:val="12"/>
                <w:szCs w:val="12"/>
              </w:rPr>
              <w:t>日</w:t>
            </w: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减值准备</w:t>
            </w:r>
          </w:p>
          <w:p>
            <w:pPr>
              <w:pStyle w:val="Style2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年末余额</w:t>
            </w:r>
          </w:p>
        </w:tc>
      </w:tr>
      <w:tr>
        <w:trPr>
          <w:trHeight w:val="480"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2"/>
                <w:szCs w:val="12"/>
              </w:rPr>
            </w:pPr>
            <w:r>
              <w:rPr>
                <w:color w:val="000000"/>
                <w:spacing w:val="0"/>
                <w:w w:val="100"/>
                <w:position w:val="0"/>
                <w:sz w:val="12"/>
                <w:szCs w:val="12"/>
              </w:rPr>
              <w:t>收益调整</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140"/>
              <w:jc w:val="left"/>
              <w:rPr>
                <w:sz w:val="12"/>
                <w:szCs w:val="12"/>
              </w:rPr>
            </w:pPr>
            <w:r>
              <w:rPr>
                <w:color w:val="000000"/>
                <w:spacing w:val="0"/>
                <w:w w:val="100"/>
                <w:position w:val="0"/>
                <w:sz w:val="12"/>
                <w:szCs w:val="12"/>
              </w:rPr>
              <w:t>其他权益变动</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rPr>
                <w:sz w:val="12"/>
                <w:szCs w:val="12"/>
              </w:rPr>
            </w:pPr>
            <w:r>
              <w:rPr>
                <w:color w:val="000000"/>
                <w:spacing w:val="0"/>
                <w:w w:val="100"/>
                <w:position w:val="0"/>
                <w:sz w:val="12"/>
                <w:szCs w:val="12"/>
              </w:rPr>
              <w:t>本年分配股利</w:t>
            </w:r>
          </w:p>
        </w:tc>
        <w:tc>
          <w:tcPr>
            <w:vMerge/>
            <w:tcBorders/>
            <w:shd w:val="clear" w:color="auto" w:fill="FFFFFF"/>
            <w:vAlign w:val="top"/>
          </w:tcPr>
          <w:p>
            <w:pPr/>
          </w:p>
        </w:tc>
        <w:tc>
          <w:tcPr>
            <w:vMerge/>
            <w:tcBorders/>
            <w:shd w:val="clear" w:color="auto" w:fill="FFFFFF"/>
            <w:vAlign w:val="top"/>
          </w:tcPr>
          <w:p>
            <w:pP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北京数字绿土科技有限公司（以下简称“数字绿土”）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22,750,000.00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(370,447.76)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22,379,552.24</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深圳市丰巢科技有限公司（以下简称“丰巢科技”）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165,037,582.23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225,000,000.00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(15,325,878.88)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(77,871,737.05)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296,839,966.30</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深圳市百米生活股份有限公司（以下简称“百米生活”）</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82,122,485.27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(17,206,960.21)</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2,145,603.83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67,061,128.89</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蜂网投资有限公司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50,038,771.21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(1,368,435.03)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(675,000.00)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47,995,336.18</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珠海随变科技有限公司（以下简称“珠海随变”）</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48,012,408.45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60,000,000.00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(18,594,027.76)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89,418,380.69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(11,020,689.60)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小红帽发行股份有限公司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45,721,421.69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(521,237.08)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45,200,184.61</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深圳智航无人机有限公司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21,597,951.11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(2,045,626.48)</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2,522,784.49</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22,075,109.12</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朗星无人机系统有限公司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20,000,000.00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28,000,000.00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48,000,000.00</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深圳中顺易金融服务有限公司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20,894,611.78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15,000,000.00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(22,480,883.10)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(13,413,728.68)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深圳市顺捷丰达速运有限公司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10,553,900.13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(5,045,824.44)</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2,789,015.69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8,297,091.38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(20,480,557.60)</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Collect&amp;Returns International Limited</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color w:val="000000"/>
                <w:spacing w:val="0"/>
                <w:w w:val="100"/>
                <w:position w:val="0"/>
                <w:sz w:val="12"/>
                <w:szCs w:val="12"/>
              </w:rPr>
              <w:t>9,381,838.68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(1,658,466.53)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664,418.58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8,387,790.73</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杭州午苇农作物开发有限公司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(3,784,976.50)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顺丰彩（深圳）科技发展有限责任公司（以下简称“顺丰彩”）</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22,500,000.00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(126,385.49)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22,373,614.51</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上海牵趣网络科技有限公司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473,360,970.55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373,250,000.00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(37,806,761.98)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(138,222,876.51)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664,418.58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7,457,404.01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(675,000.00)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678,028,154.65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(35,286,223.70)</w:t>
            </w:r>
          </w:p>
        </w:tc>
      </w:tr>
    </w:tbl>
    <w:p>
      <w:pPr>
        <w:widowControl w:val="0"/>
        <w:spacing w:after="399" w:line="1" w:lineRule="exact"/>
      </w:pPr>
    </w:p>
    <w:p>
      <w:pPr>
        <w:pStyle w:val="Style33"/>
        <w:keepNext w:val="0"/>
        <w:keepLines w:val="0"/>
        <w:widowControl w:val="0"/>
        <w:shd w:val="clear" w:color="auto" w:fill="auto"/>
        <w:bidi w:val="0"/>
        <w:spacing w:before="0" w:after="360" w:line="240" w:lineRule="auto"/>
        <w:ind w:left="0" w:right="0" w:firstLine="0"/>
        <w:jc w:val="left"/>
        <w:rPr>
          <w:sz w:val="22"/>
          <w:szCs w:val="22"/>
        </w:rPr>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1516" w:right="1148" w:bottom="1516" w:left="1964" w:header="0" w:footer="3" w:gutter="0"/>
          <w:cols w:space="720"/>
          <w:noEndnote/>
          <w:rtlGutter w:val="0"/>
          <w:docGrid w:linePitch="360"/>
        </w:sectPr>
      </w:pPr>
      <w:r>
        <w:rPr>
          <w:b w:val="0"/>
          <w:bCs w:val="0"/>
          <w:color w:val="000000"/>
          <w:spacing w:val="0"/>
          <w:w w:val="100"/>
          <w:position w:val="0"/>
          <w:sz w:val="22"/>
          <w:szCs w:val="22"/>
        </w:rPr>
        <w:t>在联营企业中的权益相关信息见附注六</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w:t>
      </w:r>
    </w:p>
    <w:p>
      <w:pPr>
        <w:pStyle w:val="Style27"/>
        <w:keepNext/>
        <w:keepLines/>
        <w:widowControl w:val="0"/>
        <w:shd w:val="clear" w:color="auto" w:fill="auto"/>
        <w:bidi w:val="0"/>
        <w:spacing w:before="0" w:after="380" w:line="240" w:lineRule="auto"/>
        <w:ind w:left="0" w:right="0" w:firstLine="0"/>
        <w:jc w:val="left"/>
        <w:rPr>
          <w:sz w:val="22"/>
          <w:szCs w:val="22"/>
        </w:rPr>
      </w:pPr>
      <w:bookmarkStart w:id="788" w:name="bookmark788"/>
      <w:bookmarkStart w:id="789" w:name="bookmark789"/>
      <w:bookmarkStart w:id="790" w:name="bookmark790"/>
      <w:r>
        <w:rPr>
          <w:rFonts w:ascii="Arial" w:eastAsia="Arial" w:hAnsi="Arial" w:cs="Arial"/>
          <w:b w:val="0"/>
          <w:bCs w:val="0"/>
          <w:color w:val="000000"/>
          <w:spacing w:val="0"/>
          <w:w w:val="100"/>
          <w:position w:val="0"/>
          <w:sz w:val="24"/>
          <w:szCs w:val="24"/>
        </w:rPr>
        <w:t>（13）</w:t>
      </w:r>
      <w:r>
        <w:rPr>
          <w:color w:val="000000"/>
          <w:spacing w:val="0"/>
          <w:w w:val="100"/>
          <w:position w:val="0"/>
          <w:sz w:val="22"/>
          <w:szCs w:val="22"/>
        </w:rPr>
        <w:t>投资性房地产</w:t>
      </w:r>
      <w:bookmarkEnd w:id="788"/>
      <w:bookmarkEnd w:id="789"/>
      <w:bookmarkEnd w:id="790"/>
    </w:p>
    <w:tbl>
      <w:tblPr>
        <w:tblOverlap w:val="never"/>
        <w:jc w:val="center"/>
        <w:tblLayout w:type="fixed"/>
      </w:tblPr>
      <w:tblGrid>
        <w:gridCol w:w="2606"/>
        <w:gridCol w:w="2208"/>
        <w:gridCol w:w="2088"/>
        <w:gridCol w:w="1963"/>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建筑物</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土地使用权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合计</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114,971,195.86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40,364,138.73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155,335,334.59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非同一控制下企业合并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800,540,904.54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1,104,642,740.75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1,905,183,645.29</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本年自用资产转入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135,118,113.45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19,521,133.74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154,639,247.19</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本年其他增加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10,722,672.95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2,298,374.93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13,021,047.88</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本年减少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(3,702,580.26)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(2,842,922.61)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(6,545,502.87)</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1,057,650,306.54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1,163,983,465.54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2,221,633,772.08</w:t>
            </w:r>
          </w:p>
        </w:tc>
      </w:tr>
      <w:tr>
        <w:trPr>
          <w:trHeight w:val="67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3,239,853.22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1,577,745.41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4,817,598.63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非同一控制下企业合并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29,492,788.27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17,146,042.61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46,638,830.88</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本年自用资产转入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521,224.67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188,871.32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710,095.99</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本年计提</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10,344,116.74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11,337,127.85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21,681,244.59</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本年减少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(164,684.72)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(144,606.39)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(309,291.11)</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43,433,298.18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30,105,180.80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73,538,478.98</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1,014,217,008.36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1,133,878,284.74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2,148,095,293.10</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111,731,342.64</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38,786,393.32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150,517,735.96</w:t>
            </w:r>
          </w:p>
        </w:tc>
      </w:tr>
    </w:tbl>
    <w:p>
      <w:pPr>
        <w:widowControl w:val="0"/>
        <w:spacing w:after="339" w:line="1" w:lineRule="exact"/>
      </w:pPr>
    </w:p>
    <w:p>
      <w:pPr>
        <w:pStyle w:val="Style33"/>
        <w:keepNext w:val="0"/>
        <w:keepLines w:val="0"/>
        <w:widowControl w:val="0"/>
        <w:shd w:val="clear" w:color="auto" w:fill="auto"/>
        <w:bidi w:val="0"/>
        <w:spacing w:before="0" w:after="30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年度，无资本化计入投资性房地产的借款费用</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94"/>
        <w:keepNext w:val="0"/>
        <w:keepLines w:val="0"/>
        <w:widowControl w:val="0"/>
        <w:shd w:val="clear" w:color="auto" w:fill="auto"/>
        <w:tabs>
          <w:tab w:pos="672" w:val="left"/>
        </w:tabs>
        <w:bidi w:val="0"/>
        <w:spacing w:before="0" w:after="300" w:line="322" w:lineRule="exact"/>
        <w:ind w:left="680" w:right="0" w:hanging="680"/>
        <w:jc w:val="left"/>
        <w:rPr>
          <w:sz w:val="22"/>
          <w:szCs w:val="22"/>
        </w:rPr>
      </w:pPr>
      <w:bookmarkStart w:id="791" w:name="bookmark791"/>
      <w:r>
        <w:rPr>
          <w:color w:val="000000"/>
          <w:spacing w:val="0"/>
          <w:w w:val="100"/>
          <w:position w:val="0"/>
          <w:sz w:val="24"/>
          <w:szCs w:val="24"/>
        </w:rPr>
        <w:t>（</w:t>
      </w:r>
      <w:bookmarkEnd w:id="791"/>
      <w:r>
        <w:rPr>
          <w:color w:val="000000"/>
          <w:spacing w:val="0"/>
          <w:w w:val="100"/>
          <w:position w:val="0"/>
          <w:sz w:val="24"/>
          <w:szCs w:val="24"/>
        </w:rPr>
        <w:t>a）</w:t>
        <w:tab/>
      </w: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日，本集团账面原值</w:t>
      </w:r>
      <w:r>
        <w:rPr>
          <w:color w:val="000000"/>
          <w:spacing w:val="0"/>
          <w:w w:val="100"/>
          <w:position w:val="0"/>
          <w:sz w:val="24"/>
          <w:szCs w:val="24"/>
        </w:rPr>
        <w:t>135,101,862.83</w:t>
      </w:r>
      <w:r>
        <w:rPr>
          <w:rFonts w:ascii="SimSun" w:eastAsia="SimSun" w:hAnsi="SimSun" w:cs="SimSun"/>
          <w:color w:val="000000"/>
          <w:spacing w:val="0"/>
          <w:w w:val="100"/>
          <w:position w:val="0"/>
          <w:sz w:val="22"/>
          <w:szCs w:val="22"/>
        </w:rPr>
        <w:t xml:space="preserve">元，净值 </w:t>
      </w:r>
      <w:r>
        <w:rPr>
          <w:color w:val="000000"/>
          <w:spacing w:val="0"/>
          <w:w w:val="100"/>
          <w:position w:val="0"/>
          <w:sz w:val="24"/>
          <w:szCs w:val="24"/>
        </w:rPr>
        <w:t>133,989,541.15</w:t>
      </w:r>
      <w:r>
        <w:rPr>
          <w:rFonts w:ascii="SimSun" w:eastAsia="SimSun" w:hAnsi="SimSun" w:cs="SimSun"/>
          <w:color w:val="000000"/>
          <w:spacing w:val="0"/>
          <w:w w:val="100"/>
          <w:position w:val="0"/>
          <w:sz w:val="22"/>
          <w:szCs w:val="22"/>
        </w:rPr>
        <w:t>元</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日：无</w:t>
      </w:r>
      <w:r>
        <w:rPr>
          <w:color w:val="000000"/>
          <w:spacing w:val="0"/>
          <w:w w:val="100"/>
          <w:position w:val="0"/>
          <w:sz w:val="24"/>
          <w:szCs w:val="24"/>
        </w:rPr>
        <w:t>）</w:t>
      </w:r>
      <w:r>
        <w:rPr>
          <w:rFonts w:ascii="SimSun" w:eastAsia="SimSun" w:hAnsi="SimSun" w:cs="SimSun"/>
          <w:color w:val="000000"/>
          <w:spacing w:val="0"/>
          <w:w w:val="100"/>
          <w:position w:val="0"/>
          <w:sz w:val="22"/>
          <w:szCs w:val="22"/>
        </w:rPr>
        <w:t>的土地使用权尚未办妥产权证。</w:t>
      </w:r>
    </w:p>
    <w:p>
      <w:pPr>
        <w:pStyle w:val="Style94"/>
        <w:keepNext w:val="0"/>
        <w:keepLines w:val="0"/>
        <w:widowControl w:val="0"/>
        <w:shd w:val="clear" w:color="auto" w:fill="auto"/>
        <w:tabs>
          <w:tab w:pos="672" w:val="left"/>
        </w:tabs>
        <w:bidi w:val="0"/>
        <w:spacing w:before="0" w:after="0" w:line="322" w:lineRule="exact"/>
        <w:ind w:left="0" w:right="0" w:firstLine="0"/>
        <w:jc w:val="left"/>
        <w:rPr>
          <w:sz w:val="22"/>
          <w:szCs w:val="22"/>
        </w:rPr>
      </w:pPr>
      <w:bookmarkStart w:id="792" w:name="bookmark792"/>
      <w:r>
        <w:rPr>
          <w:color w:val="000000"/>
          <w:spacing w:val="0"/>
          <w:w w:val="100"/>
          <w:position w:val="0"/>
          <w:sz w:val="24"/>
          <w:szCs w:val="24"/>
        </w:rPr>
        <w:t>（</w:t>
      </w:r>
      <w:bookmarkEnd w:id="792"/>
      <w:r>
        <w:rPr>
          <w:color w:val="000000"/>
          <w:spacing w:val="0"/>
          <w:w w:val="100"/>
          <w:position w:val="0"/>
          <w:sz w:val="24"/>
          <w:szCs w:val="24"/>
        </w:rPr>
        <w:t>b）</w:t>
        <w:tab/>
      </w: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日，账面价值为</w:t>
      </w:r>
      <w:r>
        <w:rPr>
          <w:color w:val="000000"/>
          <w:spacing w:val="0"/>
          <w:w w:val="100"/>
          <w:position w:val="0"/>
          <w:sz w:val="24"/>
          <w:szCs w:val="24"/>
        </w:rPr>
        <w:t>1,841,545,768.52</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原值为</w:t>
      </w:r>
    </w:p>
    <w:p>
      <w:pPr>
        <w:pStyle w:val="Style94"/>
        <w:keepNext w:val="0"/>
        <w:keepLines w:val="0"/>
        <w:widowControl w:val="0"/>
        <w:shd w:val="clear" w:color="auto" w:fill="auto"/>
        <w:bidi w:val="0"/>
        <w:spacing w:before="0" w:after="320" w:line="322" w:lineRule="exact"/>
        <w:ind w:left="0" w:right="0" w:firstLine="680"/>
        <w:jc w:val="left"/>
        <w:rPr>
          <w:sz w:val="22"/>
          <w:szCs w:val="22"/>
        </w:rPr>
        <w:sectPr>
          <w:footnotePr>
            <w:pos w:val="pageBottom"/>
            <w:numFmt w:val="decimal"/>
            <w:numRestart w:val="continuous"/>
          </w:footnotePr>
          <w:pgSz w:w="11900" w:h="16840"/>
          <w:pgMar w:top="2161" w:right="1072" w:bottom="2161" w:left="1962" w:header="0" w:footer="3" w:gutter="0"/>
          <w:cols w:space="720"/>
          <w:noEndnote/>
          <w:rtlGutter w:val="0"/>
          <w:docGrid w:linePitch="360"/>
        </w:sectPr>
      </w:pPr>
      <w:r>
        <w:rPr>
          <w:color w:val="000000"/>
          <w:spacing w:val="0"/>
          <w:w w:val="100"/>
          <w:position w:val="0"/>
          <w:sz w:val="24"/>
          <w:szCs w:val="24"/>
        </w:rPr>
        <w:t>1,905,183,645.29</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的投资性房地产</w:t>
      </w:r>
      <w:r>
        <w:rPr>
          <w:color w:val="000000"/>
          <w:spacing w:val="0"/>
          <w:w w:val="100"/>
          <w:position w:val="0"/>
          <w:sz w:val="24"/>
          <w:szCs w:val="24"/>
        </w:rPr>
        <w:t>（2015</w:t>
      </w:r>
      <w:r>
        <w:rPr>
          <w:rFonts w:ascii="SimSun" w:eastAsia="SimSun" w:hAnsi="SimSun" w:cs="SimSun"/>
          <w:color w:val="000000"/>
          <w:spacing w:val="0"/>
          <w:w w:val="100"/>
          <w:position w:val="0"/>
          <w:sz w:val="22"/>
          <w:szCs w:val="22"/>
        </w:rPr>
        <w:t>年：无</w:t>
      </w:r>
      <w:r>
        <w:rPr>
          <w:color w:val="000000"/>
          <w:spacing w:val="0"/>
          <w:w w:val="100"/>
          <w:position w:val="0"/>
          <w:sz w:val="24"/>
          <w:szCs w:val="24"/>
        </w:rPr>
        <w:t>）</w:t>
      </w:r>
      <w:r>
        <w:rPr>
          <w:rFonts w:ascii="SimSun" w:eastAsia="SimSun" w:hAnsi="SimSun" w:cs="SimSun"/>
          <w:color w:val="000000"/>
          <w:spacing w:val="0"/>
          <w:w w:val="100"/>
          <w:position w:val="0"/>
          <w:sz w:val="22"/>
          <w:szCs w:val="22"/>
        </w:rPr>
        <w:t>作为长期借款的抵押物。</w:t>
      </w:r>
    </w:p>
    <w:p>
      <w:pPr>
        <w:pStyle w:val="Style27"/>
        <w:keepNext/>
        <w:keepLines/>
        <w:widowControl w:val="0"/>
        <w:shd w:val="clear" w:color="auto" w:fill="auto"/>
        <w:bidi w:val="0"/>
        <w:spacing w:before="0" w:after="340" w:line="240" w:lineRule="auto"/>
        <w:ind w:left="0" w:right="0" w:firstLine="0"/>
        <w:jc w:val="left"/>
      </w:pPr>
      <w:bookmarkStart w:id="793" w:name="bookmark793"/>
      <w:bookmarkStart w:id="794" w:name="bookmark794"/>
      <w:bookmarkStart w:id="795" w:name="bookmark795"/>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93"/>
      <w:bookmarkEnd w:id="794"/>
      <w:bookmarkEnd w:id="795"/>
    </w:p>
    <w:p>
      <w:pPr>
        <w:pStyle w:val="Style27"/>
        <w:keepNext/>
        <w:keepLines/>
        <w:widowControl w:val="0"/>
        <w:shd w:val="clear" w:color="auto" w:fill="auto"/>
        <w:bidi w:val="0"/>
        <w:spacing w:before="0" w:after="440" w:line="240" w:lineRule="auto"/>
        <w:ind w:left="0" w:right="0" w:firstLine="0"/>
        <w:jc w:val="left"/>
        <w:rPr>
          <w:sz w:val="22"/>
          <w:szCs w:val="22"/>
        </w:rPr>
      </w:pPr>
      <w:bookmarkStart w:id="793" w:name="bookmark793"/>
      <w:bookmarkStart w:id="794" w:name="bookmark794"/>
      <w:bookmarkStart w:id="796" w:name="bookmark796"/>
      <w:r>
        <w:rPr>
          <w:rFonts w:ascii="Arial" w:eastAsia="Arial" w:hAnsi="Arial" w:cs="Arial"/>
          <w:b w:val="0"/>
          <w:bCs w:val="0"/>
          <w:color w:val="000000"/>
          <w:spacing w:val="0"/>
          <w:w w:val="100"/>
          <w:position w:val="0"/>
          <w:sz w:val="24"/>
          <w:szCs w:val="24"/>
        </w:rPr>
        <w:t>(14)</w:t>
      </w:r>
      <w:r>
        <w:rPr>
          <w:color w:val="000000"/>
          <w:spacing w:val="0"/>
          <w:w w:val="100"/>
          <w:position w:val="0"/>
          <w:sz w:val="22"/>
          <w:szCs w:val="22"/>
        </w:rPr>
        <w:t>固定资产</w:t>
      </w:r>
      <w:bookmarkEnd w:id="793"/>
      <w:bookmarkEnd w:id="794"/>
      <w:bookmarkEnd w:id="796"/>
    </w:p>
    <w:tbl>
      <w:tblPr>
        <w:tblOverlap w:val="never"/>
        <w:jc w:val="center"/>
        <w:tblLayout w:type="fixed"/>
      </w:tblPr>
      <w:tblGrid>
        <w:gridCol w:w="2462"/>
        <w:gridCol w:w="1651"/>
        <w:gridCol w:w="1656"/>
        <w:gridCol w:w="1459"/>
        <w:gridCol w:w="1810"/>
        <w:gridCol w:w="1627"/>
        <w:gridCol w:w="1613"/>
        <w:gridCol w:w="1406"/>
      </w:tblGrid>
      <w:tr>
        <w:trPr>
          <w:trHeight w:val="245"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1060" w:right="0" w:firstLine="0"/>
              <w:jc w:val="left"/>
              <w:rPr>
                <w:sz w:val="13"/>
                <w:szCs w:val="13"/>
              </w:rPr>
            </w:pPr>
            <w:r>
              <w:rPr>
                <w:color w:val="000000"/>
                <w:spacing w:val="0"/>
                <w:w w:val="100"/>
                <w:position w:val="0"/>
                <w:sz w:val="13"/>
                <w:szCs w:val="13"/>
              </w:rPr>
              <w:t>房屋</w:t>
            </w:r>
          </w:p>
          <w:p>
            <w:pPr>
              <w:pStyle w:val="Style23"/>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及建筑物</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运输工具</w:t>
            </w: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780"/>
              <w:jc w:val="left"/>
              <w:rPr>
                <w:sz w:val="13"/>
                <w:szCs w:val="13"/>
              </w:rPr>
            </w:pPr>
            <w:r>
              <w:rPr>
                <w:color w:val="000000"/>
                <w:spacing w:val="0"/>
                <w:w w:val="100"/>
                <w:position w:val="0"/>
                <w:sz w:val="13"/>
                <w:szCs w:val="13"/>
              </w:rPr>
              <w:t>计算机及</w:t>
            </w:r>
          </w:p>
          <w:p>
            <w:pPr>
              <w:pStyle w:val="Style23"/>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电子设备</w:t>
            </w: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飞机、飞机发动机、周转</w:t>
            </w:r>
          </w:p>
          <w:p>
            <w:pPr>
              <w:pStyle w:val="Style23"/>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件及高价维修工具</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办公设备</w:t>
            </w:r>
          </w:p>
        </w:tc>
      </w:tr>
      <w:tr>
        <w:trPr>
          <w:trHeight w:val="322"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机器设备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及其他设备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合计</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w:t>
            </w:r>
            <w:r>
              <w:rPr>
                <w:rFonts w:ascii="Arial" w:eastAsia="Arial" w:hAnsi="Arial" w:cs="Arial"/>
                <w:color w:val="000000"/>
                <w:spacing w:val="0"/>
                <w:w w:val="100"/>
                <w:position w:val="0"/>
                <w:sz w:val="13"/>
                <w:szCs w:val="13"/>
              </w:rPr>
              <w:t>12</w:t>
            </w:r>
            <w:r>
              <w:rPr>
                <w:color w:val="000000"/>
                <w:spacing w:val="0"/>
                <w:w w:val="100"/>
                <w:position w:val="0"/>
                <w:sz w:val="13"/>
                <w:szCs w:val="13"/>
              </w:rPr>
              <w:t>月</w:t>
            </w:r>
            <w:r>
              <w:rPr>
                <w:rFonts w:ascii="Arial" w:eastAsia="Arial" w:hAnsi="Arial" w:cs="Arial"/>
                <w:color w:val="000000"/>
                <w:spacing w:val="0"/>
                <w:w w:val="100"/>
                <w:position w:val="0"/>
                <w:sz w:val="13"/>
                <w:szCs w:val="13"/>
              </w:rPr>
              <w:t>31</w:t>
            </w:r>
            <w:r>
              <w:rPr>
                <w:color w:val="000000"/>
                <w:spacing w:val="0"/>
                <w:w w:val="100"/>
                <w:position w:val="0"/>
                <w:sz w:val="13"/>
                <w:szCs w:val="13"/>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1,633,090,514.39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3,583,249,826.89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1,525,923,608.19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2,219,909,980.31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1,355,826,334.86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1,502,656,903.86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11,820,657,168.50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非同一控制下企业合并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1,046,817,436.13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rFonts w:ascii="Arial" w:eastAsia="Arial" w:hAnsi="Arial" w:cs="Arial"/>
                <w:color w:val="000000"/>
                <w:spacing w:val="0"/>
                <w:w w:val="100"/>
                <w:position w:val="0"/>
                <w:sz w:val="13"/>
                <w:szCs w:val="13"/>
              </w:rPr>
              <w:t>286,996.80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rFonts w:ascii="Arial" w:eastAsia="Arial" w:hAnsi="Arial" w:cs="Arial"/>
                <w:color w:val="000000"/>
                <w:spacing w:val="0"/>
                <w:w w:val="100"/>
                <w:position w:val="0"/>
                <w:sz w:val="13"/>
                <w:szCs w:val="13"/>
              </w:rPr>
              <w:t>270,404.80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rFonts w:ascii="Arial" w:eastAsia="Arial" w:hAnsi="Arial" w:cs="Arial"/>
                <w:color w:val="000000"/>
                <w:spacing w:val="0"/>
                <w:w w:val="100"/>
                <w:position w:val="0"/>
                <w:sz w:val="13"/>
                <w:szCs w:val="13"/>
              </w:rPr>
              <w:t>293,992.35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1,047,668,830.08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在建工程转入</w:t>
            </w:r>
            <w:r>
              <w:rPr>
                <w:rFonts w:ascii="Arial" w:eastAsia="Arial" w:hAnsi="Arial" w:cs="Arial"/>
                <w:color w:val="000000"/>
                <w:spacing w:val="0"/>
                <w:w w:val="100"/>
                <w:position w:val="0"/>
                <w:sz w:val="13"/>
                <w:szCs w:val="13"/>
              </w:rPr>
              <w:t>(</w:t>
            </w:r>
            <w:r>
              <w:rPr>
                <w:color w:val="000000"/>
                <w:spacing w:val="0"/>
                <w:w w:val="100"/>
                <w:position w:val="0"/>
                <w:sz w:val="13"/>
                <w:szCs w:val="13"/>
              </w:rPr>
              <w:t>附注四</w:t>
            </w:r>
            <w:r>
              <w:rPr>
                <w:rFonts w:ascii="Arial" w:eastAsia="Arial" w:hAnsi="Arial" w:cs="Arial"/>
                <w:color w:val="000000"/>
                <w:spacing w:val="0"/>
                <w:w w:val="100"/>
                <w:position w:val="0"/>
                <w:sz w:val="13"/>
                <w:szCs w:val="13"/>
              </w:rPr>
              <w:t>(15))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1,426,299,997.44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rPr>
              <w:t>1,489,658.01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98,255,203.93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1,020,550,508.99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392,069,281.43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437,854,929.72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3,376,519,579.52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长期待摊费用转入</w:t>
            </w:r>
            <w:r>
              <w:rPr>
                <w:rFonts w:ascii="Arial" w:eastAsia="Arial" w:hAnsi="Arial" w:cs="Arial"/>
                <w:color w:val="000000"/>
                <w:spacing w:val="0"/>
                <w:w w:val="100"/>
                <w:position w:val="0"/>
                <w:sz w:val="13"/>
                <w:szCs w:val="13"/>
              </w:rPr>
              <w:t>(</w:t>
            </w:r>
            <w:r>
              <w:rPr>
                <w:color w:val="000000"/>
                <w:spacing w:val="0"/>
                <w:w w:val="100"/>
                <w:position w:val="0"/>
                <w:sz w:val="13"/>
                <w:szCs w:val="13"/>
              </w:rPr>
              <w:t>附注四</w:t>
            </w:r>
            <w:r>
              <w:rPr>
                <w:rFonts w:ascii="Arial" w:eastAsia="Arial" w:hAnsi="Arial" w:cs="Arial"/>
                <w:color w:val="000000"/>
                <w:spacing w:val="0"/>
                <w:w w:val="100"/>
                <w:position w:val="0"/>
                <w:sz w:val="13"/>
                <w:szCs w:val="13"/>
              </w:rPr>
              <w:t>(19))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3"/>
                <w:szCs w:val="13"/>
              </w:rPr>
              <w:t>103,913,486.33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103,913,486.33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本年其他增加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color w:val="000000"/>
                <w:spacing w:val="0"/>
                <w:w w:val="100"/>
                <w:position w:val="0"/>
                <w:sz w:val="13"/>
                <w:szCs w:val="13"/>
              </w:rPr>
              <w:t>18,505,785.45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625,705,537.28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342,451,562.10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3"/>
                <w:szCs w:val="13"/>
              </w:rPr>
              <w:t>288,089,345.65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50,745,484.50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color w:val="000000"/>
                <w:spacing w:val="0"/>
                <w:w w:val="100"/>
                <w:position w:val="0"/>
                <w:sz w:val="13"/>
                <w:szCs w:val="13"/>
              </w:rPr>
              <w:t>52,485,945.08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1,377,983,660.06</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本年转入投资性房地产</w:t>
            </w:r>
            <w:r>
              <w:rPr>
                <w:rFonts w:ascii="Arial" w:eastAsia="Arial" w:hAnsi="Arial" w:cs="Arial"/>
                <w:color w:val="000000"/>
                <w:spacing w:val="0"/>
                <w:w w:val="100"/>
                <w:position w:val="0"/>
                <w:sz w:val="13"/>
                <w:szCs w:val="13"/>
              </w:rPr>
              <w:t>(</w:t>
            </w:r>
            <w:r>
              <w:rPr>
                <w:color w:val="000000"/>
                <w:spacing w:val="0"/>
                <w:w w:val="100"/>
                <w:position w:val="0"/>
                <w:sz w:val="13"/>
                <w:szCs w:val="13"/>
              </w:rPr>
              <w:t>附注四</w:t>
            </w:r>
            <w:r>
              <w:rPr>
                <w:rFonts w:ascii="Arial" w:eastAsia="Arial" w:hAnsi="Arial" w:cs="Arial"/>
                <w:color w:val="000000"/>
                <w:spacing w:val="0"/>
                <w:w w:val="100"/>
                <w:position w:val="0"/>
                <w:sz w:val="13"/>
                <w:szCs w:val="13"/>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(135,118,113.45)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(135,118,113.45)</w:t>
            </w: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本年其他减少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(201,928,742.85)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(99,392,396.01)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3"/>
                <w:szCs w:val="13"/>
              </w:rPr>
              <w:t>(21,569,117.74)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(7,737,471.28)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(28,926,130.97)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(359,553,858.85)</w:t>
            </w:r>
          </w:p>
        </w:tc>
      </w:tr>
      <w:tr>
        <w:trPr>
          <w:trHeight w:val="33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w:t>
            </w:r>
            <w:r>
              <w:rPr>
                <w:rFonts w:ascii="Arial" w:eastAsia="Arial" w:hAnsi="Arial" w:cs="Arial"/>
                <w:color w:val="000000"/>
                <w:spacing w:val="0"/>
                <w:w w:val="100"/>
                <w:position w:val="0"/>
                <w:sz w:val="13"/>
                <w:szCs w:val="13"/>
              </w:rPr>
              <w:t>12</w:t>
            </w:r>
            <w:r>
              <w:rPr>
                <w:color w:val="000000"/>
                <w:spacing w:val="0"/>
                <w:w w:val="100"/>
                <w:position w:val="0"/>
                <w:sz w:val="13"/>
                <w:szCs w:val="13"/>
              </w:rPr>
              <w:t>月</w:t>
            </w:r>
            <w:r>
              <w:rPr>
                <w:rFonts w:ascii="Arial" w:eastAsia="Arial" w:hAnsi="Arial" w:cs="Arial"/>
                <w:color w:val="000000"/>
                <w:spacing w:val="0"/>
                <w:w w:val="100"/>
                <w:position w:val="0"/>
                <w:sz w:val="13"/>
                <w:szCs w:val="13"/>
              </w:rPr>
              <w:t>31</w:t>
            </w:r>
            <w:r>
              <w:rPr>
                <w:color w:val="000000"/>
                <w:spacing w:val="0"/>
                <w:w w:val="100"/>
                <w:position w:val="0"/>
                <w:sz w:val="13"/>
                <w:szCs w:val="13"/>
              </w:rPr>
              <w:t>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3,989,595,619.96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4,008,803,276.13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1,867,508,383.01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3,610,894,203.54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1,791,197,621.86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1,964,071,647.69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17,232,070,752.19</w:t>
            </w:r>
          </w:p>
        </w:tc>
      </w:tr>
      <w:tr>
        <w:trPr>
          <w:trHeight w:val="70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w:t>
            </w:r>
            <w:r>
              <w:rPr>
                <w:rFonts w:ascii="Arial" w:eastAsia="Arial" w:hAnsi="Arial" w:cs="Arial"/>
                <w:color w:val="000000"/>
                <w:spacing w:val="0"/>
                <w:w w:val="100"/>
                <w:position w:val="0"/>
                <w:sz w:val="13"/>
                <w:szCs w:val="13"/>
              </w:rPr>
              <w:t>12</w:t>
            </w:r>
            <w:r>
              <w:rPr>
                <w:color w:val="000000"/>
                <w:spacing w:val="0"/>
                <w:w w:val="100"/>
                <w:position w:val="0"/>
                <w:sz w:val="13"/>
                <w:szCs w:val="13"/>
              </w:rPr>
              <w:t>月</w:t>
            </w:r>
            <w:r>
              <w:rPr>
                <w:rFonts w:ascii="Arial" w:eastAsia="Arial" w:hAnsi="Arial" w:cs="Arial"/>
                <w:color w:val="000000"/>
                <w:spacing w:val="0"/>
                <w:w w:val="100"/>
                <w:position w:val="0"/>
                <w:sz w:val="13"/>
                <w:szCs w:val="13"/>
              </w:rPr>
              <w:t>31</w:t>
            </w:r>
            <w:r>
              <w:rPr>
                <w:color w:val="000000"/>
                <w:spacing w:val="0"/>
                <w:w w:val="100"/>
                <w:position w:val="0"/>
                <w:sz w:val="13"/>
                <w:szCs w:val="13"/>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177,755,978.21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2,003,989,584.02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753,782,515.29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3"/>
                <w:szCs w:val="13"/>
              </w:rPr>
              <w:t>533,424,876.79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94,640,004.68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430,765,146.34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3,994,358,105.33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非同一控制下企业合并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color w:val="000000"/>
                <w:spacing w:val="0"/>
                <w:w w:val="100"/>
                <w:position w:val="0"/>
                <w:sz w:val="13"/>
                <w:szCs w:val="13"/>
              </w:rPr>
              <w:t>38,661,101.60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color w:val="000000"/>
                <w:spacing w:val="0"/>
                <w:w w:val="100"/>
                <w:position w:val="0"/>
                <w:sz w:val="13"/>
                <w:szCs w:val="13"/>
              </w:rPr>
              <w:t>52,616.05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color w:val="000000"/>
                <w:spacing w:val="0"/>
                <w:w w:val="100"/>
                <w:position w:val="0"/>
                <w:sz w:val="13"/>
                <w:szCs w:val="13"/>
              </w:rPr>
              <w:t>49,574.21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Arial" w:eastAsia="Arial" w:hAnsi="Arial" w:cs="Arial"/>
                <w:color w:val="000000"/>
                <w:spacing w:val="0"/>
                <w:w w:val="100"/>
                <w:position w:val="0"/>
                <w:sz w:val="13"/>
                <w:szCs w:val="13"/>
              </w:rPr>
              <w:t>53,898.56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38,817,190.42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长期待摊费用转入</w:t>
            </w:r>
            <w:r>
              <w:rPr>
                <w:rFonts w:ascii="Arial" w:eastAsia="Arial" w:hAnsi="Arial" w:cs="Arial"/>
                <w:color w:val="000000"/>
                <w:spacing w:val="0"/>
                <w:w w:val="100"/>
                <w:position w:val="0"/>
                <w:sz w:val="13"/>
                <w:szCs w:val="13"/>
              </w:rPr>
              <w:t>(</w:t>
            </w:r>
            <w:r>
              <w:rPr>
                <w:color w:val="000000"/>
                <w:spacing w:val="0"/>
                <w:w w:val="100"/>
                <w:position w:val="0"/>
                <w:sz w:val="13"/>
                <w:szCs w:val="13"/>
              </w:rPr>
              <w:t>附注四</w:t>
            </w:r>
            <w:r>
              <w:rPr>
                <w:rFonts w:ascii="Arial" w:eastAsia="Arial" w:hAnsi="Arial" w:cs="Arial"/>
                <w:color w:val="000000"/>
                <w:spacing w:val="0"/>
                <w:w w:val="100"/>
                <w:position w:val="0"/>
                <w:sz w:val="13"/>
                <w:szCs w:val="13"/>
              </w:rPr>
              <w:t>(19))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rFonts w:ascii="Arial" w:eastAsia="Arial" w:hAnsi="Arial" w:cs="Arial"/>
                <w:color w:val="000000"/>
                <w:spacing w:val="0"/>
                <w:w w:val="100"/>
                <w:position w:val="0"/>
                <w:sz w:val="13"/>
                <w:szCs w:val="13"/>
              </w:rPr>
              <w:t>30,568,801.42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30,568,801.42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本年计提</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color w:val="000000"/>
                <w:spacing w:val="0"/>
                <w:w w:val="100"/>
                <w:position w:val="0"/>
                <w:sz w:val="13"/>
                <w:szCs w:val="13"/>
              </w:rPr>
              <w:t>52,998,040.78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698,964,239.64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319,004,058.22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3"/>
                <w:szCs w:val="13"/>
              </w:rPr>
              <w:t>344,725,873.96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97,500,183.39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268,070,182.16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1,781,262,578.15</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本年转入投资性房地产</w:t>
            </w:r>
            <w:r>
              <w:rPr>
                <w:rFonts w:ascii="Arial" w:eastAsia="Arial" w:hAnsi="Arial" w:cs="Arial"/>
                <w:color w:val="000000"/>
                <w:spacing w:val="0"/>
                <w:w w:val="100"/>
                <w:position w:val="0"/>
                <w:sz w:val="13"/>
                <w:szCs w:val="13"/>
              </w:rPr>
              <w:t>(</w:t>
            </w:r>
            <w:r>
              <w:rPr>
                <w:color w:val="000000"/>
                <w:spacing w:val="0"/>
                <w:w w:val="100"/>
                <w:position w:val="0"/>
                <w:sz w:val="13"/>
                <w:szCs w:val="13"/>
              </w:rPr>
              <w:t>附注四</w:t>
            </w:r>
            <w:r>
              <w:rPr>
                <w:rFonts w:ascii="Arial" w:eastAsia="Arial" w:hAnsi="Arial" w:cs="Arial"/>
                <w:color w:val="000000"/>
                <w:spacing w:val="0"/>
                <w:w w:val="100"/>
                <w:position w:val="0"/>
                <w:sz w:val="13"/>
                <w:szCs w:val="13"/>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rPr>
              <w:t>(521,224.67)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(521,224.67)</w:t>
            </w: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本年其他减少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(180,849,842.73)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(84,002,216.07)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3"/>
                <w:szCs w:val="13"/>
              </w:rPr>
            </w:pPr>
            <w:r>
              <w:rPr>
                <w:rFonts w:ascii="Arial" w:eastAsia="Arial" w:hAnsi="Arial" w:cs="Arial"/>
                <w:color w:val="000000"/>
                <w:spacing w:val="0"/>
                <w:w w:val="100"/>
                <w:position w:val="0"/>
                <w:sz w:val="13"/>
                <w:szCs w:val="13"/>
              </w:rPr>
              <w:t>(2,317,374.92)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(2,127,549.80)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(21,460,292.60)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(290,757,276.12)</w:t>
            </w:r>
          </w:p>
        </w:tc>
      </w:tr>
      <w:tr>
        <w:trPr>
          <w:trHeight w:val="33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w:t>
            </w:r>
            <w:r>
              <w:rPr>
                <w:rFonts w:ascii="Arial" w:eastAsia="Arial" w:hAnsi="Arial" w:cs="Arial"/>
                <w:color w:val="000000"/>
                <w:spacing w:val="0"/>
                <w:w w:val="100"/>
                <w:position w:val="0"/>
                <w:sz w:val="13"/>
                <w:szCs w:val="13"/>
              </w:rPr>
              <w:t>12</w:t>
            </w:r>
            <w:r>
              <w:rPr>
                <w:color w:val="000000"/>
                <w:spacing w:val="0"/>
                <w:w w:val="100"/>
                <w:position w:val="0"/>
                <w:sz w:val="13"/>
                <w:szCs w:val="13"/>
              </w:rPr>
              <w:t>月</w:t>
            </w:r>
            <w:r>
              <w:rPr>
                <w:rFonts w:ascii="Arial" w:eastAsia="Arial" w:hAnsi="Arial" w:cs="Arial"/>
                <w:color w:val="000000"/>
                <w:spacing w:val="0"/>
                <w:w w:val="100"/>
                <w:position w:val="0"/>
                <w:sz w:val="13"/>
                <w:szCs w:val="13"/>
              </w:rPr>
              <w:t>31</w:t>
            </w:r>
            <w:r>
              <w:rPr>
                <w:color w:val="000000"/>
                <w:spacing w:val="0"/>
                <w:w w:val="100"/>
                <w:position w:val="0"/>
                <w:sz w:val="13"/>
                <w:szCs w:val="13"/>
              </w:rPr>
              <w:t>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268,893,895.92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2,522,156,596.98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988,833,931.65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3"/>
                <w:szCs w:val="13"/>
              </w:rPr>
              <w:t>906,402,177.25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190,066,536.83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rPr>
              <w:t>677,375,035.90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5,553,728,174.53</w:t>
            </w:r>
          </w:p>
        </w:tc>
      </w:tr>
      <w:tr>
        <w:trPr>
          <w:trHeight w:val="70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净值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2016</w:t>
            </w:r>
            <w:r>
              <w:rPr>
                <w:color w:val="000000"/>
                <w:spacing w:val="0"/>
                <w:w w:val="100"/>
                <w:position w:val="0"/>
                <w:sz w:val="13"/>
                <w:szCs w:val="13"/>
              </w:rPr>
              <w:t>年</w:t>
            </w:r>
            <w:r>
              <w:rPr>
                <w:rFonts w:ascii="Arial" w:eastAsia="Arial" w:hAnsi="Arial" w:cs="Arial"/>
                <w:color w:val="000000"/>
                <w:spacing w:val="0"/>
                <w:w w:val="100"/>
                <w:position w:val="0"/>
                <w:sz w:val="13"/>
                <w:szCs w:val="13"/>
              </w:rPr>
              <w:t>12</w:t>
            </w:r>
            <w:r>
              <w:rPr>
                <w:color w:val="000000"/>
                <w:spacing w:val="0"/>
                <w:w w:val="100"/>
                <w:position w:val="0"/>
                <w:sz w:val="13"/>
                <w:szCs w:val="13"/>
              </w:rPr>
              <w:t>月</w:t>
            </w:r>
            <w:r>
              <w:rPr>
                <w:rFonts w:ascii="Arial" w:eastAsia="Arial" w:hAnsi="Arial" w:cs="Arial"/>
                <w:color w:val="000000"/>
                <w:spacing w:val="0"/>
                <w:w w:val="100"/>
                <w:position w:val="0"/>
                <w:sz w:val="13"/>
                <w:szCs w:val="13"/>
              </w:rPr>
              <w:t>31</w:t>
            </w:r>
            <w:r>
              <w:rPr>
                <w:color w:val="000000"/>
                <w:spacing w:val="0"/>
                <w:w w:val="100"/>
                <w:position w:val="0"/>
                <w:sz w:val="13"/>
                <w:szCs w:val="13"/>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3,720,701,724.04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1,486,646,679.15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878,674,451.36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2,704,492,026.29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1,601,131,085.03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1,286,696,611.79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11,678,342,577.66</w:t>
            </w:r>
          </w:p>
        </w:tc>
      </w:tr>
      <w:tr>
        <w:trPr>
          <w:trHeight w:val="370"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2015</w:t>
            </w:r>
            <w:r>
              <w:rPr>
                <w:color w:val="000000"/>
                <w:spacing w:val="0"/>
                <w:w w:val="100"/>
                <w:position w:val="0"/>
                <w:sz w:val="13"/>
                <w:szCs w:val="13"/>
              </w:rPr>
              <w:t>年</w:t>
            </w:r>
            <w:r>
              <w:rPr>
                <w:rFonts w:ascii="Arial" w:eastAsia="Arial" w:hAnsi="Arial" w:cs="Arial"/>
                <w:color w:val="000000"/>
                <w:spacing w:val="0"/>
                <w:w w:val="100"/>
                <w:position w:val="0"/>
                <w:sz w:val="13"/>
                <w:szCs w:val="13"/>
              </w:rPr>
              <w:t>12</w:t>
            </w:r>
            <w:r>
              <w:rPr>
                <w:color w:val="000000"/>
                <w:spacing w:val="0"/>
                <w:w w:val="100"/>
                <w:position w:val="0"/>
                <w:sz w:val="13"/>
                <w:szCs w:val="13"/>
              </w:rPr>
              <w:t>月</w:t>
            </w:r>
            <w:r>
              <w:rPr>
                <w:rFonts w:ascii="Arial" w:eastAsia="Arial" w:hAnsi="Arial" w:cs="Arial"/>
                <w:color w:val="000000"/>
                <w:spacing w:val="0"/>
                <w:w w:val="100"/>
                <w:position w:val="0"/>
                <w:sz w:val="13"/>
                <w:szCs w:val="13"/>
              </w:rPr>
              <w:t>31</w:t>
            </w:r>
            <w:r>
              <w:rPr>
                <w:color w:val="000000"/>
                <w:spacing w:val="0"/>
                <w:w w:val="100"/>
                <w:position w:val="0"/>
                <w:sz w:val="13"/>
                <w:szCs w:val="13"/>
              </w:rPr>
              <w:t>日</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1,455,334,536.18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1,579,260,242.87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772,141,092.90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rPr>
              <w:t>1,686,485,103.52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1,261,186,330.18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rPr>
              <w:t>1,071,891,757.52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7,826,299,063.17</w:t>
            </w:r>
          </w:p>
        </w:tc>
      </w:tr>
    </w:tbl>
    <w:p>
      <w:pPr>
        <w:sectPr>
          <w:footnotePr>
            <w:pos w:val="pageBottom"/>
            <w:numFmt w:val="decimal"/>
            <w:numRestart w:val="continuous"/>
          </w:footnotePr>
          <w:pgSz w:w="16840" w:h="11900" w:orient="landscape"/>
          <w:pgMar w:top="1516" w:right="1158" w:bottom="1355" w:left="1998" w:header="0" w:footer="3" w:gutter="0"/>
          <w:cols w:space="720"/>
          <w:noEndnote/>
          <w:rtlGutter w:val="0"/>
          <w:docGrid w:linePitch="360"/>
        </w:sectPr>
      </w:pPr>
    </w:p>
    <w:p>
      <w:pPr>
        <w:pStyle w:val="Style94"/>
        <w:keepNext w:val="0"/>
        <w:keepLines w:val="0"/>
        <w:widowControl w:val="0"/>
        <w:shd w:val="clear" w:color="auto" w:fill="auto"/>
        <w:tabs>
          <w:tab w:pos="754" w:val="left"/>
        </w:tabs>
        <w:bidi w:val="0"/>
        <w:spacing w:before="0" w:after="360" w:line="240" w:lineRule="auto"/>
        <w:ind w:left="0" w:right="0" w:firstLine="0"/>
        <w:jc w:val="left"/>
        <w:rPr>
          <w:sz w:val="28"/>
          <w:szCs w:val="28"/>
        </w:rPr>
      </w:pPr>
      <w:r>
        <w:rPr>
          <w:color w:val="000000"/>
          <w:spacing w:val="0"/>
          <w:w w:val="100"/>
          <w:position w:val="0"/>
          <w:sz w:val="24"/>
          <w:szCs w:val="24"/>
        </w:rPr>
        <w:t>(14)</w:t>
        <w:tab/>
      </w:r>
      <w:r>
        <w:rPr>
          <w:rFonts w:ascii="SimSun" w:eastAsia="SimSun" w:hAnsi="SimSun" w:cs="SimSun"/>
          <w:b/>
          <w:bCs/>
          <w:color w:val="000000"/>
          <w:spacing w:val="0"/>
          <w:w w:val="100"/>
          <w:position w:val="0"/>
          <w:sz w:val="22"/>
          <w:szCs w:val="22"/>
        </w:rPr>
        <w:t>固定资产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754" w:val="lef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tab/>
      </w:r>
      <w:r>
        <w:rPr>
          <w:b w:val="0"/>
          <w:bCs w:val="0"/>
          <w:color w:val="000000"/>
          <w:spacing w:val="0"/>
          <w:w w:val="100"/>
          <w:position w:val="0"/>
          <w:sz w:val="22"/>
          <w:szCs w:val="22"/>
        </w:rPr>
        <w:t>计入营业成本、销售费用及管理费用的折旧费用分别为:</w:t>
      </w:r>
    </w:p>
    <w:p>
      <w:pPr>
        <w:widowControl w:val="0"/>
        <w:spacing w:line="1" w:lineRule="exact"/>
      </w:pPr>
      <w:r>
        <mc:AlternateContent>
          <mc:Choice Requires="wps">
            <w:drawing>
              <wp:anchor distT="139700" distB="0" distL="0" distR="0" simplePos="0" relativeHeight="125829435" behindDoc="0" locked="0" layoutInCell="1" allowOverlap="1">
                <wp:simplePos x="0" y="0"/>
                <wp:positionH relativeFrom="page">
                  <wp:posOffset>4461510</wp:posOffset>
                </wp:positionH>
                <wp:positionV relativeFrom="paragraph">
                  <wp:posOffset>139700</wp:posOffset>
                </wp:positionV>
                <wp:extent cx="709930" cy="189230"/>
                <wp:wrapTopAndBottom/>
                <wp:docPr id="165" name="Shape 165"/>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91" type="#_x0000_t202" style="position:absolute;margin-left:351.30000000000001pt;margin-top:11.pt;width:55.899999999999999pt;height:14.9pt;z-index:-125829318;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39700" distB="0" distL="0" distR="0" simplePos="0" relativeHeight="125829437" behindDoc="0" locked="0" layoutInCell="1" allowOverlap="1">
                <wp:simplePos x="0" y="0"/>
                <wp:positionH relativeFrom="page">
                  <wp:posOffset>6046470</wp:posOffset>
                </wp:positionH>
                <wp:positionV relativeFrom="paragraph">
                  <wp:posOffset>139700</wp:posOffset>
                </wp:positionV>
                <wp:extent cx="709930" cy="189230"/>
                <wp:wrapTopAndBottom/>
                <wp:docPr id="167" name="Shape 167"/>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93" type="#_x0000_t202" style="position:absolute;margin-left:476.10000000000002pt;margin-top:11.pt;width:55.899999999999999pt;height:14.9pt;z-index:-125829316;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pPr>
      <w:r>
        <mc:AlternateContent>
          <mc:Choice Requires="wps">
            <w:drawing>
              <wp:anchor distT="165100" distB="219075" distL="0" distR="0" simplePos="0" relativeHeight="125829439" behindDoc="0" locked="0" layoutInCell="1" allowOverlap="1">
                <wp:simplePos x="0" y="0"/>
                <wp:positionH relativeFrom="page">
                  <wp:posOffset>1249045</wp:posOffset>
                </wp:positionH>
                <wp:positionV relativeFrom="paragraph">
                  <wp:posOffset>165100</wp:posOffset>
                </wp:positionV>
                <wp:extent cx="631190" cy="628015"/>
                <wp:wrapTopAndBottom/>
                <wp:docPr id="169" name="Shape 169"/>
                <a:graphic xmlns:a="http://schemas.openxmlformats.org/drawingml/2006/main">
                  <a:graphicData uri="http://schemas.microsoft.com/office/word/2010/wordprocessingShape">
                    <wps:wsp>
                      <wps:cNvSpPr txBox="1"/>
                      <wps:spPr>
                        <a:xfrm>
                          <a:ext cx="631190" cy="628015"/>
                        </a:xfrm>
                        <a:prstGeom prst="rect"/>
                        <a:noFill/>
                      </wps:spPr>
                      <wps:txbx>
                        <w:txbxContent>
                          <w:p>
                            <w:pPr>
                              <w:pStyle w:val="Style33"/>
                              <w:keepNext w:val="0"/>
                              <w:keepLines w:val="0"/>
                              <w:widowControl w:val="0"/>
                              <w:shd w:val="clear" w:color="auto" w:fill="auto"/>
                              <w:bidi w:val="0"/>
                              <w:spacing w:before="0" w:after="0" w:line="322" w:lineRule="exact"/>
                              <w:ind w:left="0" w:right="0" w:firstLine="0"/>
                              <w:jc w:val="both"/>
                              <w:rPr>
                                <w:sz w:val="22"/>
                                <w:szCs w:val="22"/>
                              </w:rPr>
                            </w:pPr>
                            <w:r>
                              <w:rPr>
                                <w:b w:val="0"/>
                                <w:bCs w:val="0"/>
                                <w:color w:val="000000"/>
                                <w:spacing w:val="0"/>
                                <w:w w:val="100"/>
                                <w:position w:val="0"/>
                                <w:sz w:val="22"/>
                                <w:szCs w:val="22"/>
                              </w:rPr>
                              <w:t>营业成本 销售费用 管理费用</w:t>
                            </w:r>
                          </w:p>
                        </w:txbxContent>
                      </wps:txbx>
                      <wps:bodyPr lIns="0" tIns="0" rIns="0" bIns="0">
                        <a:noAutoFit/>
                      </wps:bodyPr>
                    </wps:wsp>
                  </a:graphicData>
                </a:graphic>
              </wp:anchor>
            </w:drawing>
          </mc:Choice>
          <mc:Fallback>
            <w:pict>
              <v:shape id="_x0000_s1195" type="#_x0000_t202" style="position:absolute;margin-left:98.350000000000009pt;margin-top:13.pt;width:49.700000000000003pt;height:49.450000000000003pt;z-index:-125829314;mso-wrap-distance-left:0;mso-wrap-distance-top:13.pt;mso-wrap-distance-right:0;mso-wrap-distance-bottom:17.25pt;mso-position-horizontal-relative:page" filled="f" stroked="f">
                <v:textbox inset="0,0,0,0">
                  <w:txbxContent>
                    <w:p>
                      <w:pPr>
                        <w:pStyle w:val="Style33"/>
                        <w:keepNext w:val="0"/>
                        <w:keepLines w:val="0"/>
                        <w:widowControl w:val="0"/>
                        <w:shd w:val="clear" w:color="auto" w:fill="auto"/>
                        <w:bidi w:val="0"/>
                        <w:spacing w:before="0" w:after="0" w:line="322" w:lineRule="exact"/>
                        <w:ind w:left="0" w:right="0" w:firstLine="0"/>
                        <w:jc w:val="both"/>
                        <w:rPr>
                          <w:sz w:val="22"/>
                          <w:szCs w:val="22"/>
                        </w:rPr>
                      </w:pPr>
                      <w:r>
                        <w:rPr>
                          <w:b w:val="0"/>
                          <w:bCs w:val="0"/>
                          <w:color w:val="000000"/>
                          <w:spacing w:val="0"/>
                          <w:w w:val="100"/>
                          <w:position w:val="0"/>
                          <w:sz w:val="22"/>
                          <w:szCs w:val="22"/>
                        </w:rPr>
                        <w:t>营业成本 销售费用 管理费用</w:t>
                      </w:r>
                    </w:p>
                  </w:txbxContent>
                </v:textbox>
                <w10:wrap type="topAndBottom" anchorx="page"/>
              </v:shape>
            </w:pict>
          </mc:Fallback>
        </mc:AlternateContent>
      </w:r>
      <w:r>
        <mc:AlternateContent>
          <mc:Choice Requires="wps">
            <w:drawing>
              <wp:anchor distT="207645" distB="0" distL="0" distR="0" simplePos="0" relativeHeight="125829441" behindDoc="0" locked="0" layoutInCell="1" allowOverlap="1">
                <wp:simplePos x="0" y="0"/>
                <wp:positionH relativeFrom="page">
                  <wp:posOffset>3968115</wp:posOffset>
                </wp:positionH>
                <wp:positionV relativeFrom="paragraph">
                  <wp:posOffset>207645</wp:posOffset>
                </wp:positionV>
                <wp:extent cx="1212850" cy="804545"/>
                <wp:wrapTopAndBottom/>
                <wp:docPr id="171" name="Shape 171"/>
                <a:graphic xmlns:a="http://schemas.openxmlformats.org/drawingml/2006/main">
                  <a:graphicData uri="http://schemas.microsoft.com/office/word/2010/wordprocessingShape">
                    <wps:wsp>
                      <wps:cNvSpPr txBox="1"/>
                      <wps:spPr>
                        <a:xfrm>
                          <a:ext cx="1212850"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1,636,447,526.31</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22,799,847.73</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122,015,204.11</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1,781,262,57'875</w:t>
                            </w:r>
                          </w:p>
                        </w:txbxContent>
                      </wps:txbx>
                      <wps:bodyPr lIns="0" tIns="0" rIns="0" bIns="0">
                        <a:noAutoFit/>
                      </wps:bodyPr>
                    </wps:wsp>
                  </a:graphicData>
                </a:graphic>
              </wp:anchor>
            </w:drawing>
          </mc:Choice>
          <mc:Fallback>
            <w:pict>
              <v:shape id="_x0000_s1197" type="#_x0000_t202" style="position:absolute;margin-left:312.44999999999999pt;margin-top:16.350000000000001pt;width:95.5pt;height:63.350000000000001pt;z-index:-125829312;mso-wrap-distance-left:0;mso-wrap-distance-top:16.35000000000000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1,636,447,526.31</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22,799,847.73</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122,015,204.11</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1,781,262,57'875</w:t>
                      </w:r>
                    </w:p>
                  </w:txbxContent>
                </v:textbox>
                <w10:wrap type="topAndBottom" anchorx="page"/>
              </v:shape>
            </w:pict>
          </mc:Fallback>
        </mc:AlternateContent>
      </w:r>
      <w:r>
        <mc:AlternateContent>
          <mc:Choice Requires="wps">
            <w:drawing>
              <wp:anchor distT="207645" distB="0" distL="0" distR="0" simplePos="0" relativeHeight="125829443" behindDoc="0" locked="0" layoutInCell="1" allowOverlap="1">
                <wp:simplePos x="0" y="0"/>
                <wp:positionH relativeFrom="page">
                  <wp:posOffset>5553075</wp:posOffset>
                </wp:positionH>
                <wp:positionV relativeFrom="paragraph">
                  <wp:posOffset>207645</wp:posOffset>
                </wp:positionV>
                <wp:extent cx="1212850" cy="804545"/>
                <wp:wrapTopAndBottom/>
                <wp:docPr id="173" name="Shape 173"/>
                <a:graphic xmlns:a="http://schemas.openxmlformats.org/drawingml/2006/main">
                  <a:graphicData uri="http://schemas.microsoft.com/office/word/2010/wordprocessingShape">
                    <wps:wsp>
                      <wps:cNvSpPr txBox="1"/>
                      <wps:spPr>
                        <a:xfrm>
                          <a:ext cx="1212850"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1,416,482,015.67</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32,502,880.91</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106,491,117.91</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1,555,476,01479</w:t>
                            </w:r>
                          </w:p>
                        </w:txbxContent>
                      </wps:txbx>
                      <wps:bodyPr lIns="0" tIns="0" rIns="0" bIns="0">
                        <a:noAutoFit/>
                      </wps:bodyPr>
                    </wps:wsp>
                  </a:graphicData>
                </a:graphic>
              </wp:anchor>
            </w:drawing>
          </mc:Choice>
          <mc:Fallback>
            <w:pict>
              <v:shape id="_x0000_s1199" type="#_x0000_t202" style="position:absolute;margin-left:437.25pt;margin-top:16.350000000000001pt;width:95.5pt;height:63.350000000000001pt;z-index:-125829310;mso-wrap-distance-left:0;mso-wrap-distance-top:16.35000000000000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1,416,482,015.67</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32,502,880.91</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106,491,117.91</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1,555,476,01479</w:t>
                      </w:r>
                    </w:p>
                  </w:txbxContent>
                </v:textbox>
                <w10:wrap type="topAndBottom" anchorx="page"/>
              </v:shape>
            </w:pict>
          </mc:Fallback>
        </mc:AlternateContent>
      </w:r>
    </w:p>
    <w:p>
      <w:pPr>
        <w:pStyle w:val="Style94"/>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4"/>
          <w:szCs w:val="24"/>
        </w:rPr>
        <w:t xml:space="preserve">(b) </w:t>
      </w: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日，账面价值为</w:t>
      </w:r>
      <w:r>
        <w:rPr>
          <w:color w:val="000000"/>
          <w:spacing w:val="0"/>
          <w:w w:val="100"/>
          <w:position w:val="0"/>
          <w:sz w:val="24"/>
          <w:szCs w:val="24"/>
        </w:rPr>
        <w:t>994,432,762.37</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原值为</w:t>
      </w:r>
    </w:p>
    <w:p>
      <w:pPr>
        <w:pStyle w:val="Style94"/>
        <w:keepNext w:val="0"/>
        <w:keepLines w:val="0"/>
        <w:widowControl w:val="0"/>
        <w:shd w:val="clear" w:color="auto" w:fill="auto"/>
        <w:bidi w:val="0"/>
        <w:spacing w:before="0" w:after="360" w:line="240" w:lineRule="auto"/>
        <w:ind w:left="0" w:right="0" w:firstLine="720"/>
        <w:jc w:val="both"/>
        <w:rPr>
          <w:sz w:val="22"/>
          <w:szCs w:val="22"/>
        </w:rPr>
      </w:pPr>
      <w:r>
        <w:rPr>
          <w:color w:val="000000"/>
          <w:spacing w:val="0"/>
          <w:w w:val="100"/>
          <w:position w:val="0"/>
          <w:sz w:val="24"/>
          <w:szCs w:val="24"/>
        </w:rPr>
        <w:t>1,041,778,339.36</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的固定资产</w:t>
      </w:r>
      <w:r>
        <w:rPr>
          <w:color w:val="000000"/>
          <w:spacing w:val="0"/>
          <w:w w:val="100"/>
          <w:position w:val="0"/>
          <w:sz w:val="24"/>
          <w:szCs w:val="24"/>
        </w:rPr>
        <w:t>(2015</w:t>
      </w:r>
      <w:r>
        <w:rPr>
          <w:rFonts w:ascii="SimSun" w:eastAsia="SimSun" w:hAnsi="SimSun" w:cs="SimSun"/>
          <w:color w:val="000000"/>
          <w:spacing w:val="0"/>
          <w:w w:val="100"/>
          <w:position w:val="0"/>
          <w:sz w:val="22"/>
          <w:szCs w:val="22"/>
        </w:rPr>
        <w:t>年：无</w:t>
      </w:r>
      <w:r>
        <w:rPr>
          <w:color w:val="000000"/>
          <w:spacing w:val="0"/>
          <w:w w:val="100"/>
          <w:position w:val="0"/>
          <w:sz w:val="24"/>
          <w:szCs w:val="24"/>
        </w:rPr>
        <w:t>)</w:t>
      </w:r>
      <w:r>
        <w:rPr>
          <w:rFonts w:ascii="SimSun" w:eastAsia="SimSun" w:hAnsi="SimSun" w:cs="SimSun"/>
          <w:color w:val="000000"/>
          <w:spacing w:val="0"/>
          <w:w w:val="100"/>
          <w:position w:val="0"/>
          <w:sz w:val="22"/>
          <w:szCs w:val="22"/>
        </w:rPr>
        <w:t>作为长期借款的抵押物。</w:t>
      </w:r>
    </w:p>
    <w:p>
      <w:pPr>
        <w:pStyle w:val="Style33"/>
        <w:keepNext w:val="0"/>
        <w:keepLines w:val="0"/>
        <w:widowControl w:val="0"/>
        <w:numPr>
          <w:ilvl w:val="0"/>
          <w:numId w:val="45"/>
        </w:numPr>
        <w:shd w:val="clear" w:color="auto" w:fill="auto"/>
        <w:bidi w:val="0"/>
        <w:spacing w:before="0" w:after="360" w:line="240" w:lineRule="auto"/>
        <w:ind w:left="0" w:right="0" w:firstLine="0"/>
        <w:jc w:val="left"/>
        <w:rPr>
          <w:sz w:val="22"/>
          <w:szCs w:val="22"/>
        </w:rPr>
      </w:pPr>
      <w:bookmarkStart w:id="797" w:name="bookmark797"/>
      <w:bookmarkEnd w:id="797"/>
      <w:r>
        <w:rPr>
          <w:b w:val="0"/>
          <w:bCs w:val="0"/>
          <w:color w:val="000000"/>
          <w:spacing w:val="0"/>
          <w:w w:val="100"/>
          <w:position w:val="0"/>
          <w:sz w:val="22"/>
          <w:szCs w:val="22"/>
        </w:rPr>
        <w:t>融资租入的固定资产</w:t>
      </w:r>
    </w:p>
    <w:p>
      <w:pPr>
        <w:pStyle w:val="Style29"/>
        <w:keepNext w:val="0"/>
        <w:keepLines w:val="0"/>
        <w:widowControl w:val="0"/>
        <w:shd w:val="clear" w:color="auto" w:fill="auto"/>
        <w:bidi w:val="0"/>
        <w:spacing w:before="0" w:after="0" w:line="240" w:lineRule="auto"/>
        <w:ind w:left="4800"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1762"/>
        <w:gridCol w:w="2381"/>
        <w:gridCol w:w="1742"/>
        <w:gridCol w:w="1392"/>
        <w:gridCol w:w="1565"/>
      </w:tblGrid>
      <w:tr>
        <w:trPr>
          <w:trHeight w:val="51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700" w:right="0" w:firstLine="0"/>
              <w:jc w:val="left"/>
              <w:rPr>
                <w:sz w:val="19"/>
                <w:szCs w:val="19"/>
              </w:rPr>
            </w:pPr>
            <w:r>
              <w:rPr>
                <w:color w:val="000000"/>
                <w:spacing w:val="0"/>
                <w:w w:val="100"/>
                <w:position w:val="0"/>
                <w:sz w:val="19"/>
                <w:szCs w:val="19"/>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00"/>
              <w:jc w:val="left"/>
              <w:rPr>
                <w:sz w:val="19"/>
                <w:szCs w:val="19"/>
              </w:rPr>
            </w:pPr>
            <w:r>
              <w:rPr>
                <w:color w:val="000000"/>
                <w:spacing w:val="0"/>
                <w:w w:val="100"/>
                <w:position w:val="0"/>
                <w:sz w:val="19"/>
                <w:szCs w:val="19"/>
              </w:rPr>
              <w:t>累计折旧</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60"/>
              <w:jc w:val="left"/>
              <w:rPr>
                <w:sz w:val="19"/>
                <w:szCs w:val="19"/>
              </w:rPr>
            </w:pPr>
            <w:r>
              <w:rPr>
                <w:color w:val="000000"/>
                <w:spacing w:val="0"/>
                <w:w w:val="100"/>
                <w:position w:val="0"/>
                <w:sz w:val="19"/>
                <w:szCs w:val="19"/>
              </w:rPr>
              <w:t>减值准备</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40" w:firstLine="0"/>
              <w:jc w:val="right"/>
              <w:rPr>
                <w:sz w:val="19"/>
                <w:szCs w:val="19"/>
              </w:rPr>
            </w:pPr>
            <w:r>
              <w:rPr>
                <w:color w:val="000000"/>
                <w:spacing w:val="0"/>
                <w:w w:val="100"/>
                <w:position w:val="0"/>
                <w:sz w:val="19"/>
                <w:szCs w:val="19"/>
              </w:rPr>
              <w:t>净值</w:t>
            </w:r>
          </w:p>
        </w:tc>
      </w:tr>
      <w:tr>
        <w:trPr>
          <w:trHeight w:val="47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运输工具</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520" w:firstLine="0"/>
              <w:jc w:val="right"/>
              <w:rPr>
                <w:sz w:val="19"/>
                <w:szCs w:val="19"/>
              </w:rPr>
            </w:pPr>
            <w:r>
              <w:rPr>
                <w:color w:val="000000"/>
                <w:spacing w:val="0"/>
                <w:w w:val="100"/>
                <w:position w:val="0"/>
                <w:sz w:val="19"/>
                <w:szCs w:val="19"/>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40" w:firstLine="0"/>
              <w:jc w:val="right"/>
              <w:rPr>
                <w:sz w:val="19"/>
                <w:szCs w:val="19"/>
              </w:rPr>
            </w:pPr>
            <w:r>
              <w:rPr>
                <w:color w:val="000000"/>
                <w:spacing w:val="0"/>
                <w:w w:val="100"/>
                <w:position w:val="0"/>
                <w:sz w:val="19"/>
                <w:szCs w:val="19"/>
              </w:rPr>
              <w:t>-</w:t>
            </w:r>
          </w:p>
        </w:tc>
      </w:tr>
      <w:tr>
        <w:trPr>
          <w:trHeight w:val="66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700" w:right="0" w:firstLine="0"/>
              <w:jc w:val="left"/>
              <w:rPr>
                <w:sz w:val="19"/>
                <w:szCs w:val="19"/>
              </w:rPr>
            </w:pPr>
            <w:r>
              <w:rPr>
                <w:color w:val="000000"/>
                <w:spacing w:val="0"/>
                <w:w w:val="100"/>
                <w:position w:val="0"/>
                <w:sz w:val="19"/>
                <w:szCs w:val="19"/>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00"/>
              <w:jc w:val="left"/>
              <w:rPr>
                <w:sz w:val="19"/>
                <w:szCs w:val="19"/>
              </w:rPr>
            </w:pPr>
            <w:r>
              <w:rPr>
                <w:color w:val="000000"/>
                <w:spacing w:val="0"/>
                <w:w w:val="100"/>
                <w:position w:val="0"/>
                <w:sz w:val="19"/>
                <w:szCs w:val="19"/>
              </w:rPr>
              <w:t>累计折旧</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60"/>
              <w:jc w:val="left"/>
              <w:rPr>
                <w:sz w:val="19"/>
                <w:szCs w:val="19"/>
              </w:rPr>
            </w:pPr>
            <w:r>
              <w:rPr>
                <w:color w:val="000000"/>
                <w:spacing w:val="0"/>
                <w:w w:val="100"/>
                <w:position w:val="0"/>
                <w:sz w:val="19"/>
                <w:szCs w:val="19"/>
              </w:rPr>
              <w:t>减值准备</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40" w:firstLine="0"/>
              <w:jc w:val="right"/>
              <w:rPr>
                <w:sz w:val="19"/>
                <w:szCs w:val="19"/>
              </w:rPr>
            </w:pPr>
            <w:r>
              <w:rPr>
                <w:color w:val="000000"/>
                <w:spacing w:val="0"/>
                <w:w w:val="100"/>
                <w:position w:val="0"/>
                <w:sz w:val="19"/>
                <w:szCs w:val="19"/>
              </w:rPr>
              <w:t>净值</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运输工具</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2,814,533.33</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(703,653.97)</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2,110,879.36</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2108" w:right="1096" w:bottom="6586" w:left="1958" w:header="0" w:footer="3" w:gutter="0"/>
          <w:cols w:space="720"/>
          <w:noEndnote/>
          <w:rtlGutter w:val="0"/>
          <w:docGrid w:linePitch="360"/>
        </w:sectPr>
      </w:pPr>
    </w:p>
    <w:p>
      <w:pPr>
        <w:pStyle w:val="Style94"/>
        <w:keepNext w:val="0"/>
        <w:keepLines w:val="0"/>
        <w:widowControl w:val="0"/>
        <w:shd w:val="clear" w:color="auto" w:fill="auto"/>
        <w:tabs>
          <w:tab w:pos="821" w:val="left"/>
        </w:tabs>
        <w:bidi w:val="0"/>
        <w:spacing w:before="200" w:after="360" w:line="240" w:lineRule="auto"/>
        <w:ind w:left="0" w:right="0" w:firstLine="0"/>
        <w:jc w:val="left"/>
        <w:rPr>
          <w:sz w:val="28"/>
          <w:szCs w:val="28"/>
        </w:rPr>
      </w:pPr>
      <w:r>
        <w:rPr>
          <w:color w:val="000000"/>
          <w:spacing w:val="0"/>
          <w:w w:val="100"/>
          <w:position w:val="0"/>
          <w:sz w:val="24"/>
          <w:szCs w:val="24"/>
        </w:rPr>
        <w:t>（14）</w:t>
        <w:tab/>
      </w:r>
      <w:r>
        <w:rPr>
          <w:rFonts w:ascii="SimSun" w:eastAsia="SimSun" w:hAnsi="SimSun" w:cs="SimSun"/>
          <w:b/>
          <w:bCs/>
          <w:color w:val="000000"/>
          <w:spacing w:val="0"/>
          <w:w w:val="100"/>
          <w:position w:val="0"/>
          <w:sz w:val="22"/>
          <w:szCs w:val="22"/>
        </w:rPr>
        <w:t>固定资产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400" w:line="240" w:lineRule="auto"/>
        <w:ind w:left="0" w:right="0" w:firstLine="0"/>
        <w:jc w:val="left"/>
        <w:rPr>
          <w:sz w:val="22"/>
          <w:szCs w:val="22"/>
        </w:rPr>
      </w:pPr>
      <w:bookmarkStart w:id="798" w:name="bookmark798"/>
      <w:r>
        <w:rPr>
          <w:rFonts w:ascii="Arial" w:eastAsia="Arial" w:hAnsi="Arial" w:cs="Arial"/>
          <w:b w:val="0"/>
          <w:bCs w:val="0"/>
          <w:color w:val="000000"/>
          <w:spacing w:val="0"/>
          <w:w w:val="100"/>
          <w:position w:val="0"/>
          <w:sz w:val="24"/>
          <w:szCs w:val="24"/>
        </w:rPr>
        <w:t>（</w:t>
      </w:r>
      <w:bookmarkEnd w:id="798"/>
      <w:r>
        <w:rPr>
          <w:rFonts w:ascii="Arial" w:eastAsia="Arial" w:hAnsi="Arial" w:cs="Arial"/>
          <w:b w:val="0"/>
          <w:bCs w:val="0"/>
          <w:color w:val="000000"/>
          <w:spacing w:val="0"/>
          <w:w w:val="100"/>
          <w:position w:val="0"/>
          <w:sz w:val="24"/>
          <w:szCs w:val="24"/>
        </w:rPr>
        <w:t>d）</w:t>
      </w:r>
      <w:r>
        <w:rPr>
          <w:b w:val="0"/>
          <w:bCs w:val="0"/>
          <w:color w:val="000000"/>
          <w:spacing w:val="0"/>
          <w:w w:val="100"/>
          <w:position w:val="0"/>
          <w:sz w:val="22"/>
          <w:szCs w:val="22"/>
        </w:rPr>
        <w:t>未办妥产权证书的固定资产</w:t>
      </w:r>
    </w:p>
    <w:tbl>
      <w:tblPr>
        <w:tblOverlap w:val="never"/>
        <w:jc w:val="center"/>
        <w:tblLayout w:type="fixed"/>
      </w:tblPr>
      <w:tblGrid>
        <w:gridCol w:w="1891"/>
        <w:gridCol w:w="2242"/>
        <w:gridCol w:w="2160"/>
        <w:gridCol w:w="970"/>
        <w:gridCol w:w="1584"/>
      </w:tblGrid>
      <w:tr>
        <w:trPr>
          <w:trHeight w:val="245" w:hRule="exact"/>
        </w:trPr>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r>
      <w:tr>
        <w:trPr>
          <w:trHeight w:val="979" w:hRule="exact"/>
        </w:trPr>
        <w:tc>
          <w:tcPr>
            <w:vMerge/>
            <w:tcBorders/>
            <w:shd w:val="clear" w:color="auto" w:fill="FFFFFF"/>
            <w:vAlign w:val="bottom"/>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1680" w:right="0" w:firstLine="0"/>
              <w:jc w:val="left"/>
            </w:pPr>
            <w:r>
              <w:rPr>
                <w:color w:val="000000"/>
                <w:spacing w:val="0"/>
                <w:w w:val="100"/>
                <w:position w:val="0"/>
              </w:rPr>
              <w:t>原值</w:t>
            </w:r>
          </w:p>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947,494,681.43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680"/>
              <w:jc w:val="left"/>
            </w:pPr>
            <w:r>
              <w:rPr>
                <w:color w:val="000000"/>
                <w:spacing w:val="0"/>
                <w:w w:val="100"/>
                <w:position w:val="0"/>
              </w:rPr>
              <w:t>累计折旧</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(6,848,412.93)</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140" w:firstLine="0"/>
              <w:jc w:val="right"/>
            </w:pPr>
            <w:r>
              <w:rPr>
                <w:color w:val="000000"/>
                <w:spacing w:val="0"/>
                <w:w w:val="100"/>
                <w:position w:val="0"/>
              </w:rPr>
              <w:t>净值</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940,646,268.50</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 xml:space="preserve">2015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 xml:space="preserve">12 </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31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1680" w:right="0" w:firstLine="0"/>
              <w:jc w:val="left"/>
            </w:pPr>
            <w:r>
              <w:rPr>
                <w:color w:val="000000"/>
                <w:spacing w:val="0"/>
                <w:w w:val="100"/>
                <w:position w:val="0"/>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680"/>
              <w:jc w:val="left"/>
            </w:pPr>
            <w:r>
              <w:rPr>
                <w:color w:val="000000"/>
                <w:spacing w:val="0"/>
                <w:w w:val="100"/>
                <w:position w:val="0"/>
              </w:rPr>
              <w:t>累计折旧</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140" w:firstLine="0"/>
              <w:jc w:val="right"/>
            </w:pPr>
            <w:r>
              <w:rPr>
                <w:color w:val="000000"/>
                <w:spacing w:val="0"/>
                <w:w w:val="100"/>
                <w:position w:val="0"/>
              </w:rPr>
              <w:t>净值</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956,784,342.55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(29,493,526.78)</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380" w:firstLine="0"/>
              <w:jc w:val="righ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927,290,815.77</w:t>
            </w:r>
          </w:p>
        </w:tc>
      </w:tr>
    </w:tbl>
    <w:p>
      <w:pPr>
        <w:widowControl w:val="0"/>
        <w:spacing w:after="279" w:line="1" w:lineRule="exact"/>
      </w:pPr>
    </w:p>
    <w:p>
      <w:pPr>
        <w:pStyle w:val="Style94"/>
        <w:keepNext w:val="0"/>
        <w:keepLines w:val="0"/>
        <w:widowControl w:val="0"/>
        <w:shd w:val="clear" w:color="auto" w:fill="auto"/>
        <w:bidi w:val="0"/>
        <w:spacing w:before="0" w:after="360" w:line="331" w:lineRule="exact"/>
        <w:ind w:left="0" w:right="0" w:firstLine="0"/>
        <w:jc w:val="both"/>
        <w:rPr>
          <w:sz w:val="22"/>
          <w:szCs w:val="22"/>
        </w:rPr>
      </w:pPr>
      <w:r>
        <w:rPr>
          <w:rFonts w:ascii="SimSun" w:eastAsia="SimSun" w:hAnsi="SimSun" w:cs="SimSun"/>
          <w:color w:val="000000"/>
          <w:spacing w:val="0"/>
          <w:w w:val="100"/>
          <w:position w:val="0"/>
          <w:sz w:val="22"/>
          <w:szCs w:val="22"/>
        </w:rPr>
        <w:t>此外，于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日，房屋及建筑物中账面原值</w:t>
      </w:r>
      <w:r>
        <w:rPr>
          <w:color w:val="000000"/>
          <w:spacing w:val="0"/>
          <w:w w:val="100"/>
          <w:position w:val="0"/>
          <w:sz w:val="24"/>
          <w:szCs w:val="24"/>
        </w:rPr>
        <w:t>12,431,206.64</w:t>
      </w:r>
      <w:r>
        <w:rPr>
          <w:rFonts w:ascii="SimSun" w:eastAsia="SimSun" w:hAnsi="SimSun" w:cs="SimSun"/>
          <w:color w:val="000000"/>
          <w:spacing w:val="0"/>
          <w:w w:val="100"/>
          <w:position w:val="0"/>
          <w:sz w:val="22"/>
          <w:szCs w:val="22"/>
        </w:rPr>
        <w:t xml:space="preserve">元，净值 </w:t>
      </w:r>
      <w:r>
        <w:rPr>
          <w:color w:val="000000"/>
          <w:spacing w:val="0"/>
          <w:w w:val="100"/>
          <w:position w:val="0"/>
          <w:sz w:val="24"/>
          <w:szCs w:val="24"/>
        </w:rPr>
        <w:t>1</w:t>
      </w:r>
      <w:r>
        <w:rPr>
          <w:color w:val="000000"/>
          <w:spacing w:val="0"/>
          <w:w w:val="100"/>
          <w:position w:val="0"/>
          <w:sz w:val="24"/>
          <w:szCs w:val="24"/>
        </w:rPr>
        <w:t xml:space="preserve">1,348,269.98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 xml:space="preserve">日：原值 </w:t>
      </w:r>
      <w:r>
        <w:rPr>
          <w:color w:val="000000"/>
          <w:spacing w:val="0"/>
          <w:w w:val="100"/>
          <w:position w:val="0"/>
          <w:sz w:val="24"/>
          <w:szCs w:val="24"/>
        </w:rPr>
        <w:t>1</w:t>
      </w:r>
      <w:r>
        <w:rPr>
          <w:color w:val="000000"/>
          <w:spacing w:val="0"/>
          <w:w w:val="100"/>
          <w:position w:val="0"/>
          <w:sz w:val="24"/>
          <w:szCs w:val="24"/>
        </w:rPr>
        <w:t xml:space="preserve">0,897,552.00 </w:t>
      </w:r>
      <w:r>
        <w:rPr>
          <w:rFonts w:ascii="SimSun" w:eastAsia="SimSun" w:hAnsi="SimSun" w:cs="SimSun"/>
          <w:color w:val="000000"/>
          <w:spacing w:val="0"/>
          <w:w w:val="100"/>
          <w:position w:val="0"/>
          <w:sz w:val="22"/>
          <w:szCs w:val="22"/>
        </w:rPr>
        <w:t xml:space="preserve">元，净值 </w:t>
      </w:r>
      <w:r>
        <w:rPr>
          <w:color w:val="000000"/>
          <w:spacing w:val="0"/>
          <w:w w:val="100"/>
          <w:position w:val="0"/>
          <w:sz w:val="24"/>
          <w:szCs w:val="24"/>
        </w:rPr>
        <w:t>1</w:t>
      </w:r>
      <w:r>
        <w:rPr>
          <w:color w:val="000000"/>
          <w:spacing w:val="0"/>
          <w:w w:val="100"/>
          <w:position w:val="0"/>
          <w:sz w:val="24"/>
          <w:szCs w:val="24"/>
        </w:rPr>
        <w:t xml:space="preserve">0,457,358.87 </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的房屋系本集团购买的企业人才公共租赁住房，该等房屋为有限制权利的产权。</w:t>
      </w:r>
      <w:r>
        <w:br w:type="page"/>
      </w:r>
    </w:p>
    <w:p>
      <w:pPr>
        <w:pStyle w:val="Style33"/>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 xml:space="preserve">(15) </w:t>
      </w:r>
      <w:r>
        <w:rPr>
          <w:b/>
          <w:bCs/>
          <w:color w:val="000000"/>
          <w:spacing w:val="0"/>
          <w:w w:val="100"/>
          <w:position w:val="0"/>
          <w:sz w:val="22"/>
          <w:szCs w:val="22"/>
        </w:rPr>
        <w:t>在建工程</w:t>
      </w:r>
    </w:p>
    <w:tbl>
      <w:tblPr>
        <w:tblOverlap w:val="never"/>
        <w:jc w:val="center"/>
        <w:tblLayout w:type="fixed"/>
      </w:tblPr>
      <w:tblGrid>
        <w:gridCol w:w="3466"/>
        <w:gridCol w:w="2909"/>
        <w:gridCol w:w="2443"/>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飞机引进改装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249,472,864.38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484,947,515.14</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前海顺丰总部大楼</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189,031,235.46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40,219,017.67</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上海青浦华新项目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72,508,838.96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405,576,367.02</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鄞州顺丰快件转运中心</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64,848,928.62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智能分拣合肥基地项目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33,937,282.87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温州市港陆电商产业园项目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20,075,299.87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吴江中转场项目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17,518,179.22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16,335,000.00</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东南运转中心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16,282,216.26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61,477,807.76</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杭州中转场项目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5,780,923.42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32,516,937.00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无锡中转场项目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731,623.94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43,536,705.97</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厦门软件园三期项目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27,368,839.18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22,060,871.73</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贵州区贵阳龙洞堡项目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7,043,182.05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哈尔滨哈安项目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7,648,253.49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天津机场中转场二期项目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12,456,233.36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香港中转场分拨设备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89,985,588.05</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南昌中转场项目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47,219,873.38</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义乌中转场分拣系统</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22,589,229.80</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义乌产业园建筑工程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118,575,361.28</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嘉兴中转场项目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33,758,281.53</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盐城中转场项目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30,082,403.18</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深圳软件产业基地工程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24,136,600.00</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119,794,149.54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165,570,699.33</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844,498,050.62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1,638,588,258.84</w:t>
            </w:r>
          </w:p>
        </w:tc>
      </w:tr>
    </w:tbl>
    <w:p>
      <w:pPr>
        <w:pStyle w:val="Style29"/>
        <w:keepNext w:val="0"/>
        <w:keepLines w:val="0"/>
        <w:widowControl w:val="0"/>
        <w:shd w:val="clear" w:color="auto" w:fill="auto"/>
        <w:bidi w:val="0"/>
        <w:spacing w:before="0" w:after="0" w:line="240" w:lineRule="auto"/>
        <w:ind w:left="0" w:right="0" w:firstLine="0"/>
        <w:jc w:val="center"/>
        <w:rPr>
          <w:sz w:val="22"/>
          <w:szCs w:val="22"/>
        </w:rPr>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810" w:right="1101" w:bottom="4969" w:left="1953" w:header="0" w:footer="3" w:gutter="0"/>
          <w:cols w:space="720"/>
          <w:noEndnote/>
          <w:titlePg/>
          <w:rtlGutter w:val="0"/>
          <w:docGrid w:linePitch="360"/>
        </w:sectPr>
      </w:pPr>
      <w:r>
        <w:rPr>
          <w:color w:val="000000"/>
          <w:spacing w:val="0"/>
          <w:w w:val="100"/>
          <w:position w:val="0"/>
          <w:sz w:val="22"/>
          <w:szCs w:val="22"/>
        </w:rPr>
        <w:t>于</w:t>
      </w: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日，本集团认为无需对在建工程计提减值准备。</w:t>
      </w:r>
    </w:p>
    <w:p>
      <w:pPr>
        <w:pStyle w:val="Style27"/>
        <w:keepNext/>
        <w:keepLines/>
        <w:widowControl w:val="0"/>
        <w:shd w:val="clear" w:color="auto" w:fill="auto"/>
        <w:bidi w:val="0"/>
        <w:spacing w:before="0" w:after="340" w:line="240" w:lineRule="auto"/>
        <w:ind w:left="0" w:right="0" w:firstLine="0"/>
        <w:jc w:val="left"/>
      </w:pPr>
      <w:bookmarkStart w:id="799" w:name="bookmark799"/>
      <w:bookmarkStart w:id="800" w:name="bookmark800"/>
      <w:bookmarkStart w:id="801" w:name="bookmark801"/>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799"/>
      <w:bookmarkEnd w:id="800"/>
      <w:bookmarkEnd w:id="801"/>
    </w:p>
    <w:p>
      <w:pPr>
        <w:pStyle w:val="Style94"/>
        <w:keepNext w:val="0"/>
        <w:keepLines w:val="0"/>
        <w:widowControl w:val="0"/>
        <w:shd w:val="clear" w:color="auto" w:fill="auto"/>
        <w:tabs>
          <w:tab w:pos="778" w:val="left"/>
        </w:tabs>
        <w:bidi w:val="0"/>
        <w:spacing w:before="0" w:after="440" w:line="240" w:lineRule="auto"/>
        <w:ind w:left="0" w:right="0" w:firstLine="0"/>
        <w:jc w:val="left"/>
      </w:pPr>
      <w:r>
        <w:rPr>
          <w:color w:val="000000"/>
          <w:spacing w:val="0"/>
          <w:w w:val="100"/>
          <w:position w:val="0"/>
          <w:sz w:val="24"/>
          <w:szCs w:val="24"/>
        </w:rPr>
        <w:t>(15)</w:t>
        <w:tab/>
      </w:r>
      <w:r>
        <w:rPr>
          <w:rFonts w:ascii="SimSun" w:eastAsia="SimSun" w:hAnsi="SimSun" w:cs="SimSun"/>
          <w:b/>
          <w:bCs/>
          <w:color w:val="000000"/>
          <w:spacing w:val="0"/>
          <w:w w:val="100"/>
          <w:position w:val="0"/>
          <w:sz w:val="22"/>
          <w:szCs w:val="22"/>
        </w:rPr>
        <w:t>在建工程</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color w:val="000000"/>
          <w:spacing w:val="0"/>
          <w:w w:val="100"/>
          <w:position w:val="0"/>
          <w:sz w:val="24"/>
          <w:szCs w:val="24"/>
        </w:rPr>
        <w:t>)</w:t>
      </w:r>
    </w:p>
    <w:tbl>
      <w:tblPr>
        <w:tblOverlap w:val="never"/>
        <w:jc w:val="center"/>
        <w:tblLayout w:type="fixed"/>
      </w:tblPr>
      <w:tblGrid>
        <w:gridCol w:w="1872"/>
        <w:gridCol w:w="1459"/>
        <w:gridCol w:w="1046"/>
        <w:gridCol w:w="1046"/>
        <w:gridCol w:w="1166"/>
        <w:gridCol w:w="1018"/>
        <w:gridCol w:w="955"/>
        <w:gridCol w:w="600"/>
        <w:gridCol w:w="634"/>
        <w:gridCol w:w="931"/>
        <w:gridCol w:w="898"/>
        <w:gridCol w:w="686"/>
        <w:gridCol w:w="1406"/>
      </w:tblGrid>
      <w:tr>
        <w:trPr>
          <w:trHeight w:val="250" w:hRule="exact"/>
        </w:trPr>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工程名称</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12"/>
                <w:szCs w:val="12"/>
              </w:rPr>
            </w:pPr>
            <w:r>
              <w:rPr>
                <w:color w:val="000000"/>
                <w:spacing w:val="0"/>
                <w:w w:val="100"/>
                <w:position w:val="0"/>
                <w:sz w:val="12"/>
                <w:szCs w:val="12"/>
              </w:rPr>
              <w:t>预算数</w:t>
            </w:r>
          </w:p>
        </w:tc>
        <w:tc>
          <w:tcPr>
            <w:vMerge w:val="restart"/>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rFonts w:ascii="Arial" w:eastAsia="Arial" w:hAnsi="Arial" w:cs="Arial"/>
                <w:color w:val="000000"/>
                <w:spacing w:val="0"/>
                <w:w w:val="100"/>
                <w:position w:val="0"/>
                <w:sz w:val="12"/>
                <w:szCs w:val="12"/>
              </w:rPr>
              <w:t xml:space="preserve">2015 </w:t>
            </w:r>
            <w:r>
              <w:rPr>
                <w:color w:val="000000"/>
                <w:spacing w:val="0"/>
                <w:w w:val="100"/>
                <w:position w:val="0"/>
                <w:sz w:val="12"/>
                <w:szCs w:val="12"/>
              </w:rPr>
              <w:t>年</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12</w:t>
            </w:r>
            <w:r>
              <w:rPr>
                <w:color w:val="000000"/>
                <w:spacing w:val="0"/>
                <w:w w:val="100"/>
                <w:position w:val="0"/>
                <w:sz w:val="12"/>
                <w:szCs w:val="12"/>
              </w:rPr>
              <w:t>月</w:t>
            </w:r>
            <w:r>
              <w:rPr>
                <w:rFonts w:ascii="Arial" w:eastAsia="Arial" w:hAnsi="Arial" w:cs="Arial"/>
                <w:color w:val="000000"/>
                <w:spacing w:val="0"/>
                <w:w w:val="100"/>
                <w:position w:val="0"/>
                <w:sz w:val="12"/>
                <w:szCs w:val="12"/>
              </w:rPr>
              <w:t>31</w:t>
            </w:r>
            <w:r>
              <w:rPr>
                <w:color w:val="000000"/>
                <w:spacing w:val="0"/>
                <w:w w:val="100"/>
                <w:position w:val="0"/>
                <w:sz w:val="12"/>
                <w:szCs w:val="12"/>
              </w:rPr>
              <w:t>日</w:t>
            </w:r>
          </w:p>
        </w:tc>
        <w:tc>
          <w:tcPr>
            <w:gridSpan w:val="3"/>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本年转入</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固定资产</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工程投入</w:t>
            </w:r>
          </w:p>
        </w:tc>
        <w:tc>
          <w:tcPr>
            <w:vMerge w:val="restart"/>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right"/>
              <w:rPr>
                <w:sz w:val="12"/>
                <w:szCs w:val="12"/>
              </w:rPr>
            </w:pPr>
            <w:r>
              <w:rPr>
                <w:color w:val="000000"/>
                <w:spacing w:val="0"/>
                <w:w w:val="100"/>
                <w:position w:val="0"/>
                <w:sz w:val="12"/>
                <w:szCs w:val="12"/>
              </w:rPr>
              <w:t>借款费用</w:t>
            </w:r>
          </w:p>
          <w:p>
            <w:pPr>
              <w:pStyle w:val="Style23"/>
              <w:keepNext w:val="0"/>
              <w:keepLines w:val="0"/>
              <w:widowControl w:val="0"/>
              <w:shd w:val="clear" w:color="auto" w:fill="auto"/>
              <w:bidi w:val="0"/>
              <w:spacing w:before="0" w:after="180" w:line="240" w:lineRule="auto"/>
              <w:ind w:left="0" w:right="0" w:firstLine="0"/>
              <w:jc w:val="right"/>
              <w:rPr>
                <w:sz w:val="12"/>
                <w:szCs w:val="12"/>
              </w:rPr>
            </w:pPr>
            <w:r>
              <w:rPr>
                <w:color w:val="000000"/>
                <w:spacing w:val="0"/>
                <w:w w:val="100"/>
                <w:position w:val="0"/>
                <w:sz w:val="12"/>
                <w:szCs w:val="12"/>
              </w:rPr>
              <w:t>资本化</w:t>
            </w:r>
          </w:p>
          <w:p>
            <w:pPr>
              <w:pStyle w:val="Style23"/>
              <w:keepNext w:val="0"/>
              <w:keepLines w:val="0"/>
              <w:widowControl w:val="0"/>
              <w:shd w:val="clear" w:color="auto" w:fill="auto"/>
              <w:bidi w:val="0"/>
              <w:spacing w:before="0" w:after="180" w:line="240" w:lineRule="auto"/>
              <w:ind w:left="0" w:right="0" w:firstLine="0"/>
              <w:jc w:val="right"/>
              <w:rPr>
                <w:sz w:val="12"/>
                <w:szCs w:val="12"/>
              </w:rPr>
            </w:pPr>
            <w:r>
              <w:rPr>
                <w:color w:val="000000"/>
                <w:spacing w:val="0"/>
                <w:w w:val="100"/>
                <w:position w:val="0"/>
                <w:sz w:val="12"/>
                <w:szCs w:val="12"/>
              </w:rPr>
              <w:t>累计金额</w:t>
            </w:r>
          </w:p>
        </w:tc>
        <w:tc>
          <w:tcPr>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其中：本年</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借款费用</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资本化金额</w:t>
            </w:r>
          </w:p>
        </w:tc>
        <w:tc>
          <w:tcPr>
            <w:gridSpan w:val="2"/>
            <w:vMerge w:val="restart"/>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300"/>
              <w:jc w:val="both"/>
              <w:rPr>
                <w:sz w:val="13"/>
                <w:szCs w:val="13"/>
              </w:rPr>
            </w:pPr>
            <w:r>
              <w:rPr>
                <w:color w:val="000000"/>
                <w:spacing w:val="0"/>
                <w:w w:val="100"/>
                <w:position w:val="0"/>
                <w:sz w:val="13"/>
                <w:szCs w:val="13"/>
              </w:rPr>
              <w:t>本年</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借款费用</w:t>
            </w:r>
          </w:p>
        </w:tc>
      </w:tr>
      <w:tr>
        <w:trPr>
          <w:trHeight w:val="322"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c>
          <w:tcPr>
            <w:gridSpan w:val="3"/>
            <w:vMerge/>
            <w:tcBorders/>
            <w:shd w:val="clear" w:color="auto" w:fill="FFFFFF"/>
            <w:vAlign w:val="top"/>
          </w:tcPr>
          <w:p>
            <w:pPr/>
          </w:p>
        </w:tc>
        <w:tc>
          <w:tcPr>
            <w:vMerge w:val="restart"/>
            <w:tcBorders/>
            <w:shd w:val="clear" w:color="auto" w:fill="FFFFFF"/>
            <w:vAlign w:val="top"/>
          </w:tcPr>
          <w:p>
            <w:pPr>
              <w:pStyle w:val="Style23"/>
              <w:keepNext w:val="0"/>
              <w:keepLines w:val="0"/>
              <w:widowControl w:val="0"/>
              <w:shd w:val="clear" w:color="auto" w:fill="auto"/>
              <w:bidi w:val="0"/>
              <w:spacing w:before="80" w:after="16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2016 </w:t>
            </w:r>
            <w:r>
              <w:rPr>
                <w:color w:val="000000"/>
                <w:spacing w:val="0"/>
                <w:w w:val="100"/>
                <w:position w:val="0"/>
                <w:sz w:val="12"/>
                <w:szCs w:val="12"/>
              </w:rPr>
              <w:t>年</w:t>
            </w:r>
          </w:p>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w:t>
            </w:r>
            <w:r>
              <w:rPr>
                <w:color w:val="000000"/>
                <w:spacing w:val="0"/>
                <w:w w:val="100"/>
                <w:position w:val="0"/>
                <w:sz w:val="12"/>
                <w:szCs w:val="12"/>
              </w:rPr>
              <w:t>月</w:t>
            </w:r>
            <w:r>
              <w:rPr>
                <w:rFonts w:ascii="Arial" w:eastAsia="Arial" w:hAnsi="Arial" w:cs="Arial"/>
                <w:color w:val="000000"/>
                <w:spacing w:val="0"/>
                <w:w w:val="100"/>
                <w:position w:val="0"/>
                <w:sz w:val="12"/>
                <w:szCs w:val="12"/>
              </w:rPr>
              <w:t>31</w:t>
            </w:r>
            <w:r>
              <w:rPr>
                <w:color w:val="000000"/>
                <w:spacing w:val="0"/>
                <w:w w:val="100"/>
                <w:position w:val="0"/>
                <w:sz w:val="12"/>
                <w:szCs w:val="12"/>
              </w:rPr>
              <w:t>日</w:t>
            </w:r>
          </w:p>
        </w:tc>
        <w:tc>
          <w:tcPr>
            <w:gridSpan w:val="2"/>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占预算</w:t>
            </w:r>
          </w:p>
        </w:tc>
        <w:tc>
          <w:tcPr>
            <w:vMerge/>
            <w:tcBorders/>
            <w:shd w:val="clear" w:color="auto" w:fill="FFFFFF"/>
            <w:vAlign w:val="top"/>
          </w:tcPr>
          <w:p>
            <w:pPr/>
          </w:p>
        </w:tc>
        <w:tc>
          <w:tcPr>
            <w:vMerge/>
            <w:tcBorders/>
            <w:shd w:val="clear" w:color="auto" w:fill="FFFFFF"/>
            <w:vAlign w:val="top"/>
          </w:tcPr>
          <w:p>
            <w:pPr/>
          </w:p>
        </w:tc>
        <w:tc>
          <w:tcPr>
            <w:gridSpan w:val="2"/>
            <w:vMerge/>
            <w:tcBorders/>
            <w:shd w:val="clear" w:color="auto" w:fill="FFFFFF"/>
            <w:vAlign w:val="top"/>
          </w:tcPr>
          <w:p>
            <w:pPr/>
          </w:p>
        </w:tc>
      </w:tr>
      <w:tr>
        <w:trPr>
          <w:trHeight w:val="480"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60"/>
              <w:jc w:val="left"/>
              <w:rPr>
                <w:sz w:val="12"/>
                <w:szCs w:val="12"/>
              </w:rPr>
            </w:pPr>
            <w:r>
              <w:rPr>
                <w:color w:val="000000"/>
                <w:spacing w:val="0"/>
                <w:w w:val="100"/>
                <w:position w:val="0"/>
                <w:sz w:val="12"/>
                <w:szCs w:val="12"/>
              </w:rPr>
              <w:t>本年增加</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60"/>
              <w:jc w:val="left"/>
              <w:rPr>
                <w:sz w:val="12"/>
                <w:szCs w:val="12"/>
              </w:rPr>
            </w:pPr>
            <w:r>
              <w:rPr>
                <w:color w:val="000000"/>
                <w:spacing w:val="0"/>
                <w:w w:val="100"/>
                <w:position w:val="0"/>
                <w:sz w:val="12"/>
                <w:szCs w:val="12"/>
              </w:rPr>
              <w:t>附注四</w:t>
            </w:r>
            <w:r>
              <w:rPr>
                <w:rFonts w:ascii="Arial" w:eastAsia="Arial" w:hAnsi="Arial" w:cs="Arial"/>
                <w:color w:val="000000"/>
                <w:spacing w:val="0"/>
                <w:w w:val="100"/>
                <w:position w:val="0"/>
                <w:sz w:val="12"/>
                <w:szCs w:val="12"/>
              </w:rPr>
              <w:t>(14)</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20"/>
              <w:jc w:val="left"/>
              <w:rPr>
                <w:sz w:val="12"/>
                <w:szCs w:val="12"/>
              </w:rPr>
            </w:pPr>
            <w:r>
              <w:rPr>
                <w:color w:val="000000"/>
                <w:spacing w:val="0"/>
                <w:w w:val="100"/>
                <w:position w:val="0"/>
                <w:sz w:val="12"/>
                <w:szCs w:val="12"/>
              </w:rPr>
              <w:t>其他减少</w:t>
            </w: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2"/>
                <w:szCs w:val="12"/>
              </w:rPr>
            </w:pPr>
            <w:r>
              <w:rPr>
                <w:color w:val="000000"/>
                <w:spacing w:val="0"/>
                <w:w w:val="100"/>
                <w:position w:val="0"/>
                <w:sz w:val="12"/>
                <w:szCs w:val="12"/>
              </w:rPr>
              <w:t>的比例</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2"/>
                <w:szCs w:val="12"/>
              </w:rPr>
            </w:pPr>
            <w:r>
              <w:rPr>
                <w:color w:val="000000"/>
                <w:spacing w:val="0"/>
                <w:w w:val="100"/>
                <w:position w:val="0"/>
                <w:sz w:val="12"/>
                <w:szCs w:val="12"/>
              </w:rPr>
              <w:t>工程进度</w:t>
            </w: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2"/>
                <w:szCs w:val="12"/>
              </w:rPr>
            </w:pPr>
            <w:r>
              <w:rPr>
                <w:color w:val="000000"/>
                <w:spacing w:val="0"/>
                <w:w w:val="100"/>
                <w:position w:val="0"/>
                <w:sz w:val="12"/>
                <w:szCs w:val="12"/>
              </w:rPr>
              <w:t>资本化率</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3"/>
                <w:szCs w:val="13"/>
              </w:rPr>
            </w:pPr>
            <w:r>
              <w:rPr>
                <w:color w:val="000000"/>
                <w:spacing w:val="0"/>
                <w:w w:val="100"/>
                <w:position w:val="0"/>
                <w:sz w:val="13"/>
                <w:szCs w:val="13"/>
              </w:rPr>
              <w:t>资金来源</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飞机引进改装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1,537,805,634.52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484,947,515.14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785,07 5,858.23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(1,020,550,508.99)</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249,472,864.38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82.59%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82.59%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上海青浦华新项目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870,825,691.96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405,576,367.02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407,93 3,882.78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(739,112,054.08)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(1,889,356.76)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72 ,508,838.96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95.52%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95.52%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13,367,103.90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13 ,367,103.90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5.02%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自有资金及金融机构借款</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义乌产业园建筑工程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272,844,210.17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118,575,361.28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154,26 8,848.89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(272,844,210.17)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香港中转场分拨设备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240,000,000.00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89,985,588.05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104,86 4,417.76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(194,850,005.81)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81.19%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81.19%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8,480,582.44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8 ,480,582.44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6.95%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自有资金及金融机构借款</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东南运转中心</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295,696,735.61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61,477,807.76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185,83 5,363.35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(231,030,954.85)</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16,282,216.26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83.64%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83.64%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3,283,482.33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2 ,136,882.33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4.45%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自有资金及金融机构借款</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南昌中转场项目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113,228,326.00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47,219,873.38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57,51 2,353.40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(104,732,226.78)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92.50%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92.50%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819,653.42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819,653.42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4.49%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自有资金及金融机构借款</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无锡中转场项目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295,294,816.51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43,536,705.97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83,19 8,946.63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(126,004,028.66)</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731,623.94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88.06%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88.06%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10,451,526.11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3 ,772,089.86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5.70%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自有资金及金融机构借款</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前海顺丰总部大楼</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1,144,716,792.00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40,219,017.67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148,81 2,217.79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189,031,235.46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16.51%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16.51%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12,621,609.53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9 ,876,732.82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3.49%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自有资金及金融机构借款</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顺航中转场项目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135,607,525.63</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75,52 1,144.62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(75,521,144.62)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55.69%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55.69%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深圳软件产业基地工程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32,570,890.16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24,136,600.00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8,43 4,290.16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(32,570,890.16)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杭州中转场项目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86,275,224.42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32,516,937.00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46,44 7,148.32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(50,342,916.66)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(22,840,245.24)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5,780,923.42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91.53%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91.53%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嘉兴中转场项目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53,137,667.99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33,758,281.53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1,81 0,925.67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(30,761,235.24)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(4,807,971.96)</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93.40%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93.40%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青衣物流中心冷冻仓库</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72,007,692.19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72,00 7,692.19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(72,007,692.19)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义乌中转场分拣系统</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104,366,425.64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22,589,229.80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32,01 8,999.88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(54,608,229.68)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56.60%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56.60%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盐城中转场项目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38,711,043.00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30,082,403.18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3,69 8,500.52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(12,880,799.23)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(20,900,104.47)</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87.26%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87.26%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华南陆运枢纽装修工程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65,036,162.42</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48,44 7,878.36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(22,566,761.23)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(25,881,117.13)</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74.49%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74.49%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鄞州顺丰快件转运中心</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131,235,989.00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64,84 8,928.62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64 ,848,928.62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49.41%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49.41%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智能分拣合肥基地项目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960,225,086.00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33,93 7,282.87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33,937,282.87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温州市港陆电商产业园项目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175,552,340.00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20,07 5,299.87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20 ,075,299.87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11.44%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吴江中转场项目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96,775,514.00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16,335,000.00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32,95 8,036.68</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(31,774,857.46)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17,518,179.22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50.94%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50.94%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r>
        <w:trPr>
          <w:trHeight w:val="24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厦门软件园三期项目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28,368,839.18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22,060,871.73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5,30 7,967.45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27,368,839.18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96.48%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96.48%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2"/>
                <w:szCs w:val="12"/>
              </w:rPr>
            </w:pPr>
            <w:r>
              <w:rPr>
                <w:color w:val="000000"/>
                <w:spacing w:val="0"/>
                <w:w w:val="100"/>
                <w:position w:val="0"/>
                <w:sz w:val="12"/>
                <w:szCs w:val="12"/>
              </w:rPr>
              <w:t>自有资金</w:t>
            </w:r>
          </w:p>
        </w:tc>
      </w:tr>
    </w:tbl>
    <w:p>
      <w:pPr>
        <w:spacing w:lineRule="exact" w:line="1"/>
        <w:rPr>
          <w:sz w:val="2"/>
          <w:szCs w:val="2"/>
        </w:rPr>
      </w:pPr>
      <w:r>
        <w:br w:type="page"/>
      </w:r>
    </w:p>
    <w:tbl>
      <w:tblPr>
        <w:tblOverlap w:val="never"/>
        <w:jc w:val="center"/>
        <w:tblLayout w:type="fixed"/>
      </w:tblPr>
      <w:tblGrid>
        <w:gridCol w:w="1886"/>
        <w:gridCol w:w="1392"/>
        <w:gridCol w:w="1042"/>
        <w:gridCol w:w="1094"/>
        <w:gridCol w:w="1138"/>
        <w:gridCol w:w="1042"/>
        <w:gridCol w:w="984"/>
        <w:gridCol w:w="605"/>
        <w:gridCol w:w="605"/>
        <w:gridCol w:w="931"/>
        <w:gridCol w:w="1013"/>
        <w:gridCol w:w="1982"/>
      </w:tblGrid>
      <w:tr>
        <w:trPr>
          <w:trHeight w:val="24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贵州区贵阳龙洞堡项</w:t>
            </w:r>
          </w:p>
        </w:tc>
        <w:tc>
          <w:tcPr>
            <w:gridSpan w:val="2"/>
            <w:tcBorders/>
            <w:shd w:val="clear" w:color="auto" w:fill="FFFFFF"/>
            <w:vAlign w:val="top"/>
          </w:tcPr>
          <w:p>
            <w:pPr>
              <w:pStyle w:val="Style23"/>
              <w:keepNext w:val="0"/>
              <w:keepLines w:val="0"/>
              <w:widowControl w:val="0"/>
              <w:shd w:val="clear" w:color="auto" w:fill="auto"/>
              <w:tabs>
                <w:tab w:pos="2140" w:val="left"/>
              </w:tabs>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17,583,910.00</w:t>
              <w:tab/>
            </w:r>
            <w:r>
              <w:rPr>
                <w:rFonts w:ascii="Arial" w:eastAsia="Arial" w:hAnsi="Arial" w:cs="Arial"/>
                <w:color w:val="000000"/>
                <w:spacing w:val="0"/>
                <w:w w:val="100"/>
                <w:position w:val="0"/>
                <w:sz w:val="12"/>
                <w:szCs w:val="12"/>
              </w:rPr>
              <w:t>-</w:t>
            </w:r>
          </w:p>
        </w:tc>
        <w:tc>
          <w:tcPr>
            <w:gridSpan w:val="2"/>
            <w:tcBorders/>
            <w:shd w:val="clear" w:color="auto" w:fill="FFFFFF"/>
            <w:vAlign w:val="top"/>
          </w:tcPr>
          <w:p>
            <w:pPr>
              <w:pStyle w:val="Style23"/>
              <w:keepNext w:val="0"/>
              <w:keepLines w:val="0"/>
              <w:widowControl w:val="0"/>
              <w:shd w:val="clear" w:color="auto" w:fill="auto"/>
              <w:tabs>
                <w:tab w:pos="1613" w:val="left"/>
              </w:tabs>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7,043,182.05</w:t>
              <w:tab/>
            </w:r>
            <w:r>
              <w:rPr>
                <w:rFonts w:ascii="Arial" w:eastAsia="Arial" w:hAnsi="Arial" w:cs="Arial"/>
                <w:color w:val="000000"/>
                <w:spacing w:val="0"/>
                <w:w w:val="100"/>
                <w:position w:val="0"/>
                <w:sz w:val="12"/>
                <w:szCs w:val="12"/>
              </w:rPr>
              <w:t>-</w:t>
            </w:r>
          </w:p>
        </w:tc>
        <w:tc>
          <w:tcPr>
            <w:gridSpan w:val="2"/>
            <w:tcBorders/>
            <w:shd w:val="clear" w:color="auto" w:fill="FFFFFF"/>
            <w:vAlign w:val="top"/>
          </w:tcPr>
          <w:p>
            <w:pPr>
              <w:pStyle w:val="Style23"/>
              <w:keepNext w:val="0"/>
              <w:keepLines w:val="0"/>
              <w:widowControl w:val="0"/>
              <w:shd w:val="clear" w:color="auto" w:fill="auto"/>
              <w:tabs>
                <w:tab w:pos="514" w:val="left"/>
              </w:tabs>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tab/>
              <w:t>7,043,182.05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40.05%</w:t>
            </w:r>
          </w:p>
        </w:tc>
        <w:tc>
          <w:tcPr>
            <w:gridSpan w:val="3"/>
            <w:tcBorders/>
            <w:shd w:val="clear" w:color="auto" w:fill="FFFFFF"/>
            <w:vAlign w:val="top"/>
          </w:tcPr>
          <w:p>
            <w:pPr>
              <w:pStyle w:val="Style23"/>
              <w:keepNext w:val="0"/>
              <w:keepLines w:val="0"/>
              <w:widowControl w:val="0"/>
              <w:shd w:val="clear" w:color="auto" w:fill="auto"/>
              <w:tabs>
                <w:tab w:pos="1109" w:val="left"/>
                <w:tab w:pos="2045"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40.05%</w:t>
              <w:tab/>
              <w:t>-</w:t>
              <w:tab/>
              <w:t>-</w:t>
            </w:r>
          </w:p>
        </w:tc>
        <w:tc>
          <w:tcPr>
            <w:tcBorders/>
            <w:shd w:val="clear" w:color="auto" w:fill="FFFFFF"/>
            <w:vAlign w:val="top"/>
          </w:tcPr>
          <w:p>
            <w:pPr>
              <w:pStyle w:val="Style23"/>
              <w:keepNext w:val="0"/>
              <w:keepLines w:val="0"/>
              <w:widowControl w:val="0"/>
              <w:shd w:val="clear" w:color="auto" w:fill="auto"/>
              <w:tabs>
                <w:tab w:pos="1446" w:val="left"/>
              </w:tabs>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w:t>
              <w:tab/>
            </w:r>
            <w:r>
              <w:rPr>
                <w:color w:val="000000"/>
                <w:spacing w:val="0"/>
                <w:w w:val="100"/>
                <w:position w:val="0"/>
                <w:sz w:val="12"/>
                <w:szCs w:val="12"/>
              </w:rPr>
              <w:t>自有资金</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哈尔滨哈安项目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17,430,281.00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11,28 7,709.22</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(3,639,455.73)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7,648,253.49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64.76%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64.76%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tabs>
                <w:tab w:pos="1446" w:val="left"/>
              </w:tabs>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w:t>
              <w:tab/>
            </w:r>
            <w:r>
              <w:rPr>
                <w:color w:val="000000"/>
                <w:spacing w:val="0"/>
                <w:w w:val="100"/>
                <w:position w:val="0"/>
                <w:sz w:val="12"/>
                <w:szCs w:val="12"/>
              </w:rPr>
              <w:t>自有资金</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天津机场中转场二期项目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24,648,135.00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12,45 6,233.36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12 ,456,233.36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50.54%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50.54%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tabs>
                <w:tab w:pos="1446" w:val="left"/>
              </w:tabs>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w:t>
              <w:tab/>
            </w:r>
            <w:r>
              <w:rPr>
                <w:color w:val="000000"/>
                <w:spacing w:val="0"/>
                <w:w w:val="100"/>
                <w:position w:val="0"/>
                <w:sz w:val="12"/>
                <w:szCs w:val="12"/>
              </w:rPr>
              <w:t>自有资金</w:t>
            </w:r>
          </w:p>
        </w:tc>
      </w:tr>
      <w:tr>
        <w:trPr>
          <w:trHeight w:val="26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165,570,699.33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577,59 2,178.03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(440,714,503.52)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(182,654,224.30)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119,794,149.54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17,373,912.83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4 ,962,215.28</w:t>
            </w:r>
          </w:p>
        </w:tc>
        <w:tc>
          <w:tcPr>
            <w:tcBorders/>
            <w:shd w:val="clear" w:color="auto" w:fill="FFFFFF"/>
            <w:vAlign w:val="bottom"/>
          </w:tcPr>
          <w:p>
            <w:pPr>
              <w:pStyle w:val="Style23"/>
              <w:keepNext w:val="0"/>
              <w:keepLines w:val="0"/>
              <w:widowControl w:val="0"/>
              <w:shd w:val="clear" w:color="auto" w:fill="auto"/>
              <w:tabs>
                <w:tab w:pos="494" w:val="left"/>
              </w:tabs>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4.51%</w:t>
              <w:tab/>
            </w:r>
            <w:r>
              <w:rPr>
                <w:color w:val="000000"/>
                <w:spacing w:val="0"/>
                <w:w w:val="100"/>
                <w:position w:val="0"/>
                <w:sz w:val="12"/>
                <w:szCs w:val="12"/>
              </w:rPr>
              <w:t>自有资金及金融机构借款</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1,638,588,258.84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2,981,395,286.70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(3,376,519,579.52)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(398,965,915.40)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844 ,498,050.62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66,397,870.56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43</w:t>
            </w:r>
            <w:r>
              <w:rPr>
                <w:rFonts w:ascii="Arial" w:eastAsia="Arial" w:hAnsi="Arial" w:cs="Arial"/>
                <w:color w:val="000000"/>
                <w:spacing w:val="0"/>
                <w:w w:val="100"/>
                <w:position w:val="0"/>
                <w:sz w:val="12"/>
                <w:szCs w:val="12"/>
              </w:rPr>
              <w:t>,415,260.05</w:t>
            </w:r>
          </w:p>
        </w:tc>
        <w:tc>
          <w:tcPr>
            <w:tcBorders/>
            <w:shd w:val="clear" w:color="auto" w:fill="FFFFFF"/>
            <w:vAlign w:val="top"/>
          </w:tcPr>
          <w:p>
            <w:pPr>
              <w:widowControl w:val="0"/>
              <w:rPr>
                <w:sz w:val="10"/>
                <w:szCs w:val="10"/>
              </w:rPr>
            </w:pP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1516" w:right="1156" w:bottom="1149" w:left="1965" w:header="0" w:footer="3" w:gutter="0"/>
          <w:cols w:space="720"/>
          <w:noEndnote/>
          <w:rtlGutter w:val="0"/>
          <w:docGrid w:linePitch="360"/>
        </w:sectPr>
      </w:pPr>
    </w:p>
    <w:p>
      <w:pPr>
        <w:pStyle w:val="Style27"/>
        <w:keepNext/>
        <w:keepLines/>
        <w:widowControl w:val="0"/>
        <w:shd w:val="clear" w:color="auto" w:fill="auto"/>
        <w:bidi w:val="0"/>
        <w:spacing w:before="0" w:after="280" w:line="240" w:lineRule="auto"/>
        <w:ind w:left="0" w:right="0" w:firstLine="0"/>
        <w:jc w:val="left"/>
      </w:pPr>
      <w:bookmarkStart w:id="802" w:name="bookmark802"/>
      <w:bookmarkStart w:id="803" w:name="bookmark803"/>
      <w:bookmarkStart w:id="804" w:name="bookmark804"/>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02"/>
      <w:bookmarkEnd w:id="803"/>
      <w:bookmarkEnd w:id="804"/>
    </w:p>
    <w:p>
      <w:pPr>
        <w:pStyle w:val="Style94"/>
        <w:keepNext w:val="0"/>
        <w:keepLines w:val="0"/>
        <w:widowControl w:val="0"/>
        <w:shd w:val="clear" w:color="auto" w:fill="auto"/>
        <w:tabs>
          <w:tab w:pos="778" w:val="left"/>
        </w:tabs>
        <w:bidi w:val="0"/>
        <w:spacing w:before="0" w:line="341" w:lineRule="exact"/>
        <w:ind w:left="0" w:right="0" w:firstLine="0"/>
        <w:jc w:val="left"/>
        <w:rPr>
          <w:sz w:val="28"/>
          <w:szCs w:val="28"/>
        </w:rPr>
      </w:pPr>
      <w:bookmarkStart w:id="805" w:name="bookmark805"/>
      <w:r>
        <w:rPr>
          <w:color w:val="000000"/>
          <w:spacing w:val="0"/>
          <w:w w:val="100"/>
          <w:position w:val="0"/>
          <w:sz w:val="24"/>
          <w:szCs w:val="24"/>
        </w:rPr>
        <w:t>（</w:t>
      </w:r>
      <w:bookmarkEnd w:id="805"/>
      <w:r>
        <w:rPr>
          <w:color w:val="000000"/>
          <w:spacing w:val="0"/>
          <w:w w:val="100"/>
          <w:position w:val="0"/>
          <w:sz w:val="24"/>
          <w:szCs w:val="24"/>
        </w:rPr>
        <w:t>15）</w:t>
        <w:tab/>
      </w:r>
      <w:r>
        <w:rPr>
          <w:rFonts w:ascii="SimSun" w:eastAsia="SimSun" w:hAnsi="SimSun" w:cs="SimSun"/>
          <w:b/>
          <w:bCs/>
          <w:color w:val="000000"/>
          <w:spacing w:val="0"/>
          <w:w w:val="100"/>
          <w:position w:val="0"/>
          <w:sz w:val="22"/>
          <w:szCs w:val="22"/>
        </w:rPr>
        <w:t>在建工程</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94"/>
        <w:keepNext w:val="0"/>
        <w:keepLines w:val="0"/>
        <w:widowControl w:val="0"/>
        <w:shd w:val="clear" w:color="auto" w:fill="auto"/>
        <w:bidi w:val="0"/>
        <w:spacing w:before="0" w:line="341" w:lineRule="exact"/>
        <w:ind w:left="0" w:right="0" w:firstLine="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日，账面价值为</w:t>
      </w:r>
      <w:r>
        <w:rPr>
          <w:color w:val="000000"/>
          <w:spacing w:val="0"/>
          <w:w w:val="100"/>
          <w:position w:val="0"/>
          <w:sz w:val="24"/>
          <w:szCs w:val="24"/>
        </w:rPr>
        <w:t>27,368,839.18</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原值</w:t>
      </w:r>
      <w:r>
        <w:rPr>
          <w:color w:val="000000"/>
          <w:spacing w:val="0"/>
          <w:w w:val="100"/>
          <w:position w:val="0"/>
          <w:sz w:val="24"/>
          <w:szCs w:val="24"/>
        </w:rPr>
        <w:t>27,368,839.18</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的在建工程</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r>
        <w:rPr>
          <w:color w:val="000000"/>
          <w:spacing w:val="0"/>
          <w:w w:val="100"/>
          <w:position w:val="0"/>
          <w:sz w:val="24"/>
          <w:szCs w:val="24"/>
        </w:rPr>
        <w:t>22,060,871.73</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 </w:t>
      </w:r>
      <w:r>
        <w:rPr>
          <w:rFonts w:ascii="SimSun" w:eastAsia="SimSun" w:hAnsi="SimSun" w:cs="SimSun"/>
          <w:color w:val="000000"/>
          <w:spacing w:val="0"/>
          <w:w w:val="100"/>
          <w:position w:val="0"/>
          <w:sz w:val="22"/>
          <w:szCs w:val="22"/>
        </w:rPr>
        <w:t>作为长期借款的抵押物。</w:t>
      </w:r>
    </w:p>
    <w:p>
      <w:pPr>
        <w:pStyle w:val="Style94"/>
        <w:keepNext w:val="0"/>
        <w:keepLines w:val="0"/>
        <w:widowControl w:val="0"/>
        <w:shd w:val="clear" w:color="auto" w:fill="auto"/>
        <w:tabs>
          <w:tab w:pos="778" w:val="left"/>
        </w:tabs>
        <w:bidi w:val="0"/>
        <w:spacing w:before="0" w:after="420" w:line="341" w:lineRule="exact"/>
        <w:ind w:left="0" w:right="0" w:firstLine="0"/>
        <w:jc w:val="left"/>
        <w:rPr>
          <w:sz w:val="22"/>
          <w:szCs w:val="22"/>
        </w:rPr>
      </w:pPr>
      <w:bookmarkStart w:id="806" w:name="bookmark806"/>
      <w:r>
        <w:rPr>
          <w:color w:val="000000"/>
          <w:spacing w:val="0"/>
          <w:w w:val="100"/>
          <w:position w:val="0"/>
          <w:sz w:val="24"/>
          <w:szCs w:val="24"/>
        </w:rPr>
        <w:t>（</w:t>
      </w:r>
      <w:bookmarkEnd w:id="806"/>
      <w:r>
        <w:rPr>
          <w:color w:val="000000"/>
          <w:spacing w:val="0"/>
          <w:w w:val="100"/>
          <w:position w:val="0"/>
          <w:sz w:val="24"/>
          <w:szCs w:val="24"/>
        </w:rPr>
        <w:t>16）</w:t>
        <w:tab/>
      </w:r>
      <w:r>
        <w:rPr>
          <w:rFonts w:ascii="SimSun" w:eastAsia="SimSun" w:hAnsi="SimSun" w:cs="SimSun"/>
          <w:b/>
          <w:bCs/>
          <w:color w:val="000000"/>
          <w:spacing w:val="0"/>
          <w:w w:val="100"/>
          <w:position w:val="0"/>
          <w:sz w:val="22"/>
          <w:szCs w:val="22"/>
        </w:rPr>
        <w:t>无形资产</w:t>
      </w:r>
    </w:p>
    <w:tbl>
      <w:tblPr>
        <w:tblOverlap w:val="never"/>
        <w:jc w:val="center"/>
        <w:tblLayout w:type="fixed"/>
      </w:tblPr>
      <w:tblGrid>
        <w:gridCol w:w="2266"/>
        <w:gridCol w:w="2064"/>
        <w:gridCol w:w="1608"/>
        <w:gridCol w:w="1632"/>
        <w:gridCol w:w="1608"/>
        <w:gridCol w:w="1670"/>
        <w:gridCol w:w="1440"/>
        <w:gridCol w:w="1507"/>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土地使用权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外购软件</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自行开发软件</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专利权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商标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其他</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合计</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2,005,347,984.36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227,534,423.60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188,384,289.61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42,233,693.65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26,395,254.04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7,827,182.25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2,497,722,827.51</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购置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Arial" w:eastAsia="Arial" w:hAnsi="Arial" w:cs="Arial"/>
                <w:color w:val="000000"/>
                <w:spacing w:val="0"/>
                <w:w w:val="100"/>
                <w:position w:val="0"/>
                <w:sz w:val="15"/>
                <w:szCs w:val="15"/>
              </w:rPr>
              <w:t>668,993,242.62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50,332,356.00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2,520,725.45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1,507,365.71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887,934.88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724,241,624.66</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内部研发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247,500,381.31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247,500,381.31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非同一控制下企业合并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1,437,519,149.27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1,437,519,149.27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处置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(709,401.72)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Arial" w:eastAsia="Arial" w:hAnsi="Arial" w:cs="Arial"/>
                <w:color w:val="000000"/>
                <w:spacing w:val="0"/>
                <w:w w:val="100"/>
                <w:position w:val="0"/>
                <w:sz w:val="15"/>
                <w:szCs w:val="15"/>
              </w:rPr>
              <w:t>(11,850.00)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(721,251.72)</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本年转为投资性房地产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Arial" w:eastAsia="Arial" w:hAnsi="Arial" w:cs="Arial"/>
                <w:color w:val="000000"/>
                <w:spacing w:val="0"/>
                <w:w w:val="100"/>
                <w:position w:val="0"/>
                <w:sz w:val="15"/>
                <w:szCs w:val="15"/>
              </w:rPr>
              <w:t>(19,521,133.74)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(19,521,133.74)</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2016</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4,092,339,242.51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277,157,377.88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435,884,670.92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44,754,419.10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27,890,769.75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8,715,117.13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4,886,741,597.29</w:t>
            </w:r>
          </w:p>
        </w:tc>
      </w:tr>
      <w:tr>
        <w:trPr>
          <w:trHeight w:val="69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累计摊销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2015</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45,922,332.93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125,914,436.33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32,482,597.31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4,238,664.40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1,626,608.08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912,124.50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211,096,763.55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计提</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54,903,503.74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42,211,867.28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68,197,421.66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8,461,949.60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2,752,701.35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850,027.97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177,377,471.60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非同一控制下企业合并</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22,312,883.32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22,312,883.32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处置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(153,703.68)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(1,678.75)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(155,382.43)</w:t>
            </w:r>
          </w:p>
        </w:tc>
      </w:tr>
      <w:tr>
        <w:trPr>
          <w:trHeight w:val="26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本年转为投资性房地产</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15"/>
                <w:szCs w:val="15"/>
              </w:rPr>
            </w:pPr>
            <w:r>
              <w:rPr>
                <w:rFonts w:ascii="Arial" w:eastAsia="Arial" w:hAnsi="Arial" w:cs="Arial"/>
                <w:color w:val="000000"/>
                <w:spacing w:val="0"/>
                <w:w w:val="100"/>
                <w:position w:val="0"/>
                <w:sz w:val="15"/>
                <w:szCs w:val="15"/>
              </w:rPr>
              <w:t>(188,871.32)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(188,871.32)</w:t>
            </w:r>
          </w:p>
        </w:tc>
      </w:tr>
    </w:tbl>
    <w:p>
      <w:pPr>
        <w:spacing w:lineRule="exact" w:line="1"/>
        <w:rPr>
          <w:sz w:val="2"/>
          <w:szCs w:val="2"/>
        </w:rPr>
      </w:pPr>
      <w:r>
        <w:br w:type="page"/>
      </w:r>
    </w:p>
    <w:tbl>
      <w:tblPr>
        <w:tblOverlap w:val="never"/>
        <w:jc w:val="center"/>
        <w:tblLayout w:type="fixed"/>
      </w:tblPr>
      <w:tblGrid>
        <w:gridCol w:w="1162"/>
        <w:gridCol w:w="922"/>
        <w:gridCol w:w="2227"/>
        <w:gridCol w:w="1608"/>
        <w:gridCol w:w="1646"/>
        <w:gridCol w:w="1608"/>
        <w:gridCol w:w="1651"/>
        <w:gridCol w:w="1459"/>
        <w:gridCol w:w="1421"/>
      </w:tblGrid>
      <w:tr>
        <w:trPr>
          <w:trHeight w:val="22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2016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12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122,949,848.67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167,972,599.93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100,680,018.97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12,700,614.00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4,377,630.68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1,762,152.47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410,442,864.72</w:t>
            </w:r>
          </w:p>
        </w:tc>
      </w:tr>
      <w:tr>
        <w:trPr>
          <w:trHeight w:val="69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账面价值</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2016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12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rPr>
              <w:t>3,969,389,393.84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109,184,777.95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335,204,651.95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32,053,805.10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23,513,139.07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6,952,964.66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4,476,298,732.57</w:t>
            </w:r>
          </w:p>
        </w:tc>
      </w:tr>
      <w:tr>
        <w:trPr>
          <w:trHeight w:val="37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2015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12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31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rPr>
              <w:t>1,959,425,651.43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101,619,987.27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155,901,692.30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37,995,029.25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24,768,645.96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6,915,057.75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2,286,626,063.96</w:t>
            </w:r>
          </w:p>
        </w:tc>
      </w:tr>
    </w:tbl>
    <w:p>
      <w:pPr>
        <w:sectPr>
          <w:footnotePr>
            <w:pos w:val="pageBottom"/>
            <w:numFmt w:val="decimal"/>
            <w:numRestart w:val="continuous"/>
          </w:footnotePr>
          <w:pgSz w:w="16840" w:h="11900" w:orient="landscape"/>
          <w:pgMar w:top="1233" w:right="1103" w:bottom="1402" w:left="1941" w:header="0" w:footer="3" w:gutter="0"/>
          <w:cols w:space="720"/>
          <w:noEndnote/>
          <w:rtlGutter w:val="0"/>
          <w:docGrid w:linePitch="360"/>
        </w:sectPr>
      </w:pPr>
    </w:p>
    <w:p>
      <w:pPr>
        <w:pStyle w:val="Style94"/>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4"/>
          <w:szCs w:val="24"/>
        </w:rPr>
        <w:t>（16）</w:t>
      </w:r>
      <w:r>
        <w:rPr>
          <w:rFonts w:ascii="SimSun" w:eastAsia="SimSun" w:hAnsi="SimSun" w:cs="SimSun"/>
          <w:b/>
          <w:bCs/>
          <w:color w:val="000000"/>
          <w:spacing w:val="0"/>
          <w:w w:val="100"/>
          <w:position w:val="0"/>
          <w:sz w:val="22"/>
          <w:szCs w:val="22"/>
        </w:rPr>
        <w:t>无形资产</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color w:val="000000"/>
          <w:spacing w:val="0"/>
          <w:w w:val="100"/>
          <w:position w:val="0"/>
          <w:sz w:val="24"/>
          <w:szCs w:val="24"/>
        </w:rPr>
        <w:t xml:space="preserve">） </w:t>
      </w:r>
      <w:r>
        <w:rPr>
          <w:color w:val="000000"/>
          <w:spacing w:val="0"/>
          <w:w w:val="100"/>
          <w:position w:val="0"/>
          <w:sz w:val="24"/>
          <w:szCs w:val="24"/>
        </w:rPr>
        <w:t>2016</w:t>
      </w:r>
      <w:r>
        <w:rPr>
          <w:rFonts w:ascii="SimSun" w:eastAsia="SimSun" w:hAnsi="SimSun" w:cs="SimSun"/>
          <w:color w:val="000000"/>
          <w:spacing w:val="0"/>
          <w:w w:val="100"/>
          <w:position w:val="0"/>
          <w:sz w:val="22"/>
          <w:szCs w:val="22"/>
        </w:rPr>
        <w:t>年度无形资产的摊销金额为</w:t>
      </w:r>
      <w:r>
        <w:rPr>
          <w:color w:val="000000"/>
          <w:spacing w:val="0"/>
          <w:w w:val="100"/>
          <w:position w:val="0"/>
          <w:sz w:val="24"/>
          <w:szCs w:val="24"/>
        </w:rPr>
        <w:t>1</w:t>
      </w:r>
      <w:r>
        <w:rPr>
          <w:color w:val="000000"/>
          <w:spacing w:val="0"/>
          <w:w w:val="100"/>
          <w:position w:val="0"/>
          <w:sz w:val="24"/>
          <w:szCs w:val="24"/>
        </w:rPr>
        <w:t>77,377,471.60</w:t>
      </w:r>
      <w:r>
        <w:rPr>
          <w:rFonts w:ascii="SimSun" w:eastAsia="SimSun" w:hAnsi="SimSun" w:cs="SimSun"/>
          <w:color w:val="000000"/>
          <w:spacing w:val="0"/>
          <w:w w:val="100"/>
          <w:position w:val="0"/>
          <w:sz w:val="22"/>
          <w:szCs w:val="22"/>
        </w:rPr>
        <w:t>元</w:t>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r>
        <w:rPr>
          <w:color w:val="000000"/>
          <w:spacing w:val="0"/>
          <w:w w:val="100"/>
          <w:position w:val="0"/>
          <w:sz w:val="24"/>
          <w:szCs w:val="24"/>
        </w:rPr>
        <w:t>43,550,520.23</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w:t>
      </w:r>
    </w:p>
    <w:p>
      <w:pPr>
        <w:pStyle w:val="Style33"/>
        <w:keepNext w:val="0"/>
        <w:keepLines w:val="0"/>
        <w:widowControl w:val="0"/>
        <w:shd w:val="clear" w:color="auto" w:fill="auto"/>
        <w:tabs>
          <w:tab w:pos="672" w:val="lef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tab/>
      </w:r>
      <w:r>
        <w:rPr>
          <w:b w:val="0"/>
          <w:bCs w:val="0"/>
          <w:color w:val="000000"/>
          <w:spacing w:val="0"/>
          <w:w w:val="100"/>
          <w:position w:val="0"/>
          <w:sz w:val="22"/>
          <w:szCs w:val="22"/>
        </w:rPr>
        <w:t>本集团用于长期借款抵押的土地使用权:</w:t>
      </w:r>
    </w:p>
    <w:p>
      <w:pPr>
        <w:widowControl w:val="0"/>
        <w:spacing w:line="1" w:lineRule="exact"/>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2161" w:right="1096" w:bottom="5660" w:left="1958" w:header="0" w:footer="3" w:gutter="0"/>
          <w:cols w:space="720"/>
          <w:noEndnote/>
          <w:titlePg/>
          <w:rtlGutter w:val="0"/>
          <w:docGrid w:linePitch="360"/>
        </w:sectPr>
      </w:pPr>
      <w:r>
        <mc:AlternateContent>
          <mc:Choice Requires="wps">
            <w:drawing>
              <wp:anchor distT="781050" distB="1063625" distL="0" distR="0" simplePos="0" relativeHeight="125829445" behindDoc="0" locked="0" layoutInCell="1" allowOverlap="1">
                <wp:simplePos x="0" y="0"/>
                <wp:positionH relativeFrom="page">
                  <wp:posOffset>1245870</wp:posOffset>
                </wp:positionH>
                <wp:positionV relativeFrom="paragraph">
                  <wp:posOffset>781050</wp:posOffset>
                </wp:positionV>
                <wp:extent cx="658495" cy="161290"/>
                <wp:wrapTopAndBottom/>
                <wp:docPr id="235" name="Shape 235"/>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土地使用权</w:t>
                            </w:r>
                          </w:p>
                        </w:txbxContent>
                      </wps:txbx>
                      <wps:bodyPr wrap="none" lIns="0" tIns="0" rIns="0" bIns="0">
                        <a:noAutoFit/>
                      </wps:bodyPr>
                    </wps:wsp>
                  </a:graphicData>
                </a:graphic>
              </wp:anchor>
            </w:drawing>
          </mc:Choice>
          <mc:Fallback>
            <w:pict>
              <v:shape id="_x0000_s1261" type="#_x0000_t202" style="position:absolute;margin-left:98.100000000000009pt;margin-top:61.5pt;width:51.850000000000001pt;height:12.700000000000001pt;z-index:-125829308;mso-wrap-distance-left:0;mso-wrap-distance-top:61.5pt;mso-wrap-distance-right:0;mso-wrap-distance-bottom:83.7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土地使用权</w:t>
                      </w:r>
                    </w:p>
                  </w:txbxContent>
                </v:textbox>
                <w10:wrap type="topAndBottom" anchorx="page"/>
              </v:shape>
            </w:pict>
          </mc:Fallback>
        </mc:AlternateContent>
      </w:r>
      <w:r>
        <mc:AlternateContent>
          <mc:Choice Requires="wps">
            <w:drawing>
              <wp:anchor distT="1823085" distB="21590" distL="0" distR="0" simplePos="0" relativeHeight="125829447" behindDoc="0" locked="0" layoutInCell="1" allowOverlap="1">
                <wp:simplePos x="0" y="0"/>
                <wp:positionH relativeFrom="page">
                  <wp:posOffset>1245870</wp:posOffset>
                </wp:positionH>
                <wp:positionV relativeFrom="paragraph">
                  <wp:posOffset>1823085</wp:posOffset>
                </wp:positionV>
                <wp:extent cx="658495" cy="161290"/>
                <wp:wrapTopAndBottom/>
                <wp:docPr id="237" name="Shape 237"/>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土地使用权</w:t>
                            </w:r>
                          </w:p>
                        </w:txbxContent>
                      </wps:txbx>
                      <wps:bodyPr wrap="none" lIns="0" tIns="0" rIns="0" bIns="0">
                        <a:noAutoFit/>
                      </wps:bodyPr>
                    </wps:wsp>
                  </a:graphicData>
                </a:graphic>
              </wp:anchor>
            </w:drawing>
          </mc:Choice>
          <mc:Fallback>
            <w:pict>
              <v:shape id="_x0000_s1263" type="#_x0000_t202" style="position:absolute;margin-left:98.100000000000009pt;margin-top:143.55000000000001pt;width:51.850000000000001pt;height:12.700000000000001pt;z-index:-125829306;mso-wrap-distance-left:0;mso-wrap-distance-top:143.55000000000001pt;mso-wrap-distance-right:0;mso-wrap-distance-bottom:1.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土地使用权</w:t>
                      </w:r>
                    </w:p>
                  </w:txbxContent>
                </v:textbox>
                <w10:wrap type="topAndBottom" anchorx="page"/>
              </v:shape>
            </w:pict>
          </mc:Fallback>
        </mc:AlternateContent>
      </w:r>
      <w:r>
        <mc:AlternateContent>
          <mc:Choice Requires="wps">
            <w:drawing>
              <wp:anchor distT="326390" distB="0" distL="0" distR="0" simplePos="0" relativeHeight="125829449" behindDoc="0" locked="0" layoutInCell="1" allowOverlap="1">
                <wp:simplePos x="0" y="0"/>
                <wp:positionH relativeFrom="page">
                  <wp:posOffset>2486660</wp:posOffset>
                </wp:positionH>
                <wp:positionV relativeFrom="paragraph">
                  <wp:posOffset>326390</wp:posOffset>
                </wp:positionV>
                <wp:extent cx="4373880" cy="1679575"/>
                <wp:wrapTopAndBottom/>
                <wp:docPr id="239" name="Shape 239"/>
                <a:graphic xmlns:a="http://schemas.openxmlformats.org/drawingml/2006/main">
                  <a:graphicData uri="http://schemas.microsoft.com/office/word/2010/wordprocessingShape">
                    <wps:wsp>
                      <wps:cNvSpPr txBox="1"/>
                      <wps:spPr>
                        <a:xfrm>
                          <a:ext cx="4373880" cy="1679575"/>
                        </a:xfrm>
                        <a:prstGeom prst="rect"/>
                        <a:noFill/>
                      </wps:spPr>
                      <wps:txbx>
                        <w:txbxContent>
                          <w:tbl>
                            <w:tblPr>
                              <w:tblOverlap w:val="never"/>
                              <w:jc w:val="left"/>
                              <w:tblLayout w:type="fixed"/>
                            </w:tblPr>
                            <w:tblGrid>
                              <w:gridCol w:w="2275"/>
                              <w:gridCol w:w="2453"/>
                              <w:gridCol w:w="2160"/>
                            </w:tblGrid>
                            <w:tr>
                              <w:trPr>
                                <w:tblHeader/>
                                <w:trHeight w:val="523"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left"/>
                                    <w:rPr>
                                      <w:sz w:val="19"/>
                                      <w:szCs w:val="19"/>
                                    </w:rPr>
                                  </w:pPr>
                                  <w:r>
                                    <w:rPr>
                                      <w:color w:val="000000"/>
                                      <w:spacing w:val="0"/>
                                      <w:w w:val="100"/>
                                      <w:position w:val="0"/>
                                      <w:sz w:val="19"/>
                                      <w:szCs w:val="19"/>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300" w:right="0" w:firstLine="0"/>
                                    <w:jc w:val="left"/>
                                    <w:rPr>
                                      <w:sz w:val="19"/>
                                      <w:szCs w:val="19"/>
                                    </w:rPr>
                                  </w:pPr>
                                  <w:r>
                                    <w:rPr>
                                      <w:color w:val="000000"/>
                                      <w:spacing w:val="0"/>
                                      <w:w w:val="100"/>
                                      <w:position w:val="0"/>
                                      <w:sz w:val="19"/>
                                      <w:szCs w:val="19"/>
                                    </w:rPr>
                                    <w:t>累计摊销</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60" w:firstLine="0"/>
                                    <w:jc w:val="right"/>
                                    <w:rPr>
                                      <w:sz w:val="19"/>
                                      <w:szCs w:val="19"/>
                                    </w:rPr>
                                  </w:pPr>
                                  <w:r>
                                    <w:rPr>
                                      <w:color w:val="000000"/>
                                      <w:spacing w:val="0"/>
                                      <w:w w:val="100"/>
                                      <w:position w:val="0"/>
                                      <w:sz w:val="19"/>
                                      <w:szCs w:val="19"/>
                                    </w:rPr>
                                    <w:t>净值</w:t>
                                  </w:r>
                                </w:p>
                              </w:tc>
                            </w:tr>
                            <w:tr>
                              <w:trPr>
                                <w:trHeight w:val="4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2,851,125,356.27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(87,078,023.10)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2,764,047,333.17</w:t>
                                  </w:r>
                                </w:p>
                              </w:tc>
                            </w:tr>
                            <w:tr>
                              <w:trPr>
                                <w:trHeight w:val="662"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518"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left"/>
                                    <w:rPr>
                                      <w:sz w:val="19"/>
                                      <w:szCs w:val="19"/>
                                    </w:rPr>
                                  </w:pPr>
                                  <w:r>
                                    <w:rPr>
                                      <w:color w:val="000000"/>
                                      <w:spacing w:val="0"/>
                                      <w:w w:val="100"/>
                                      <w:position w:val="0"/>
                                      <w:sz w:val="19"/>
                                      <w:szCs w:val="19"/>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300" w:right="0" w:firstLine="0"/>
                                    <w:jc w:val="left"/>
                                    <w:rPr>
                                      <w:sz w:val="19"/>
                                      <w:szCs w:val="19"/>
                                    </w:rPr>
                                  </w:pPr>
                                  <w:r>
                                    <w:rPr>
                                      <w:color w:val="000000"/>
                                      <w:spacing w:val="0"/>
                                      <w:w w:val="100"/>
                                      <w:position w:val="0"/>
                                      <w:sz w:val="19"/>
                                      <w:szCs w:val="19"/>
                                    </w:rPr>
                                    <w:t>累计摊销</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60" w:firstLine="0"/>
                                    <w:jc w:val="right"/>
                                    <w:rPr>
                                      <w:sz w:val="19"/>
                                      <w:szCs w:val="19"/>
                                    </w:rPr>
                                  </w:pPr>
                                  <w:r>
                                    <w:rPr>
                                      <w:color w:val="000000"/>
                                      <w:spacing w:val="0"/>
                                      <w:w w:val="100"/>
                                      <w:position w:val="0"/>
                                      <w:sz w:val="19"/>
                                      <w:szCs w:val="19"/>
                                    </w:rPr>
                                    <w:t>净值</w:t>
                                  </w:r>
                                </w:p>
                              </w:tc>
                            </w:tr>
                            <w:tr>
                              <w:trPr>
                                <w:trHeight w:val="480" w:hRule="exact"/>
                              </w:trPr>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92,504,468.35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(7,503,915.56)</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85,000,552.79</w:t>
                                  </w:r>
                                </w:p>
                              </w:tc>
                            </w:tr>
                          </w:tbl>
                          <w:p>
                            <w:pPr>
                              <w:widowControl w:val="0"/>
                              <w:spacing w:line="1" w:lineRule="exact"/>
                            </w:pPr>
                          </w:p>
                        </w:txbxContent>
                      </wps:txbx>
                      <wps:bodyPr lIns="0" tIns="0" rIns="0" bIns="0">
                        <a:noAutoFit/>
                      </wps:bodyPr>
                    </wps:wsp>
                  </a:graphicData>
                </a:graphic>
              </wp:anchor>
            </w:drawing>
          </mc:Choice>
          <mc:Fallback>
            <w:pict>
              <v:shape id="_x0000_s1265" type="#_x0000_t202" style="position:absolute;margin-left:195.80000000000001pt;margin-top:25.699999999999999pt;width:344.40000000000003pt;height:132.25pt;z-index:-125829304;mso-wrap-distance-left:0;mso-wrap-distance-top:25.699999999999999pt;mso-wrap-distance-right:0;mso-position-horizontal-relative:page" filled="f" stroked="f">
                <v:textbox inset="0,0,0,0">
                  <w:txbxContent>
                    <w:tbl>
                      <w:tblPr>
                        <w:tblOverlap w:val="never"/>
                        <w:jc w:val="left"/>
                        <w:tblLayout w:type="fixed"/>
                      </w:tblPr>
                      <w:tblGrid>
                        <w:gridCol w:w="2275"/>
                        <w:gridCol w:w="2453"/>
                        <w:gridCol w:w="2160"/>
                      </w:tblGrid>
                      <w:tr>
                        <w:trPr>
                          <w:tblHeader/>
                          <w:trHeight w:val="523"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left"/>
                              <w:rPr>
                                <w:sz w:val="19"/>
                                <w:szCs w:val="19"/>
                              </w:rPr>
                            </w:pPr>
                            <w:r>
                              <w:rPr>
                                <w:color w:val="000000"/>
                                <w:spacing w:val="0"/>
                                <w:w w:val="100"/>
                                <w:position w:val="0"/>
                                <w:sz w:val="19"/>
                                <w:szCs w:val="19"/>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300" w:right="0" w:firstLine="0"/>
                              <w:jc w:val="left"/>
                              <w:rPr>
                                <w:sz w:val="19"/>
                                <w:szCs w:val="19"/>
                              </w:rPr>
                            </w:pPr>
                            <w:r>
                              <w:rPr>
                                <w:color w:val="000000"/>
                                <w:spacing w:val="0"/>
                                <w:w w:val="100"/>
                                <w:position w:val="0"/>
                                <w:sz w:val="19"/>
                                <w:szCs w:val="19"/>
                              </w:rPr>
                              <w:t>累计摊销</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60" w:firstLine="0"/>
                              <w:jc w:val="right"/>
                              <w:rPr>
                                <w:sz w:val="19"/>
                                <w:szCs w:val="19"/>
                              </w:rPr>
                            </w:pPr>
                            <w:r>
                              <w:rPr>
                                <w:color w:val="000000"/>
                                <w:spacing w:val="0"/>
                                <w:w w:val="100"/>
                                <w:position w:val="0"/>
                                <w:sz w:val="19"/>
                                <w:szCs w:val="19"/>
                              </w:rPr>
                              <w:t>净值</w:t>
                            </w:r>
                          </w:p>
                        </w:tc>
                      </w:tr>
                      <w:tr>
                        <w:trPr>
                          <w:trHeight w:val="4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2,851,125,356.27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(87,078,023.10)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2,764,047,333.17</w:t>
                            </w:r>
                          </w:p>
                        </w:tc>
                      </w:tr>
                      <w:tr>
                        <w:trPr>
                          <w:trHeight w:val="662"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518"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620" w:right="0" w:firstLine="0"/>
                              <w:jc w:val="left"/>
                              <w:rPr>
                                <w:sz w:val="19"/>
                                <w:szCs w:val="19"/>
                              </w:rPr>
                            </w:pPr>
                            <w:r>
                              <w:rPr>
                                <w:color w:val="000000"/>
                                <w:spacing w:val="0"/>
                                <w:w w:val="100"/>
                                <w:position w:val="0"/>
                                <w:sz w:val="19"/>
                                <w:szCs w:val="19"/>
                              </w:rPr>
                              <w:t>原值</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1300" w:right="0" w:firstLine="0"/>
                              <w:jc w:val="left"/>
                              <w:rPr>
                                <w:sz w:val="19"/>
                                <w:szCs w:val="19"/>
                              </w:rPr>
                            </w:pPr>
                            <w:r>
                              <w:rPr>
                                <w:color w:val="000000"/>
                                <w:spacing w:val="0"/>
                                <w:w w:val="100"/>
                                <w:position w:val="0"/>
                                <w:sz w:val="19"/>
                                <w:szCs w:val="19"/>
                              </w:rPr>
                              <w:t>累计摊销</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160" w:firstLine="0"/>
                              <w:jc w:val="right"/>
                              <w:rPr>
                                <w:sz w:val="19"/>
                                <w:szCs w:val="19"/>
                              </w:rPr>
                            </w:pPr>
                            <w:r>
                              <w:rPr>
                                <w:color w:val="000000"/>
                                <w:spacing w:val="0"/>
                                <w:w w:val="100"/>
                                <w:position w:val="0"/>
                                <w:sz w:val="19"/>
                                <w:szCs w:val="19"/>
                              </w:rPr>
                              <w:t>净值</w:t>
                            </w:r>
                          </w:p>
                        </w:tc>
                      </w:tr>
                      <w:tr>
                        <w:trPr>
                          <w:trHeight w:val="480" w:hRule="exact"/>
                        </w:trPr>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92,504,468.35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(7,503,915.56)</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85,000,552.79</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4071620</wp:posOffset>
                </wp:positionH>
                <wp:positionV relativeFrom="paragraph">
                  <wp:posOffset>165100</wp:posOffset>
                </wp:positionV>
                <wp:extent cx="1130935" cy="158750"/>
                <wp:wrapNone/>
                <wp:docPr id="241" name="Shape 241"/>
                <a:graphic xmlns:a="http://schemas.openxmlformats.org/drawingml/2006/main">
                  <a:graphicData uri="http://schemas.microsoft.com/office/word/2010/wordprocessingShape">
                    <wps:wsp>
                      <wps:cNvSpPr txBox="1"/>
                      <wps:spPr>
                        <a:xfrm>
                          <a:ext cx="1130935"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xbxContent>
                      </wps:txbx>
                      <wps:bodyPr lIns="0" tIns="0" rIns="0" bIns="0">
                        <a:noAutoFit/>
                      </wps:bodyPr>
                    </wps:wsp>
                  </a:graphicData>
                </a:graphic>
              </wp:anchor>
            </w:drawing>
          </mc:Choice>
          <mc:Fallback>
            <w:pict>
              <v:shape id="_x0000_s1267" type="#_x0000_t202" style="position:absolute;margin-left:320.60000000000002pt;margin-top:13.pt;width:89.049999999999997pt;height:12.5pt;z-index:25165773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xbxContent>
                </v:textbox>
                <w10:wrap anchorx="page"/>
              </v:shape>
            </w:pict>
          </mc:Fallback>
        </mc:AlternateContent>
      </w:r>
    </w:p>
    <w:p>
      <w:pPr>
        <w:widowControl w:val="0"/>
        <w:spacing w:line="182" w:lineRule="exact"/>
        <w:rPr>
          <w:sz w:val="15"/>
          <w:szCs w:val="15"/>
        </w:rPr>
      </w:pPr>
    </w:p>
    <w:p>
      <w:pPr>
        <w:widowControl w:val="0"/>
        <w:spacing w:line="1" w:lineRule="exact"/>
        <w:sectPr>
          <w:footnotePr>
            <w:pos w:val="pageBottom"/>
            <w:numFmt w:val="decimal"/>
            <w:numRestart w:val="continuous"/>
          </w:footnotePr>
          <w:type w:val="continuous"/>
          <w:pgSz w:w="11900" w:h="16840"/>
          <w:pgMar w:top="2161" w:right="0" w:bottom="5660" w:left="0" w:header="0" w:footer="3" w:gutter="0"/>
          <w:cols w:space="720"/>
          <w:noEndnote/>
          <w:rtlGutter w:val="0"/>
          <w:docGrid w:linePitch="360"/>
        </w:sectPr>
      </w:pPr>
    </w:p>
    <w:p>
      <w:pPr>
        <w:pStyle w:val="Style94"/>
        <w:keepNext w:val="0"/>
        <w:keepLines w:val="0"/>
        <w:widowControl w:val="0"/>
        <w:shd w:val="clear" w:color="auto" w:fill="auto"/>
        <w:bidi w:val="0"/>
        <w:spacing w:before="0" w:after="340" w:line="322" w:lineRule="exact"/>
        <w:ind w:left="400" w:right="0" w:firstLine="0"/>
        <w:jc w:val="both"/>
        <w:rPr>
          <w:sz w:val="22"/>
          <w:szCs w:val="22"/>
        </w:rPr>
      </w:pPr>
      <w:r>
        <mc:AlternateContent>
          <mc:Choice Requires="wps">
            <w:drawing>
              <wp:anchor distT="0" distB="0" distL="0" distR="0" simplePos="0" relativeHeight="125829451" behindDoc="0" locked="0" layoutInCell="1" allowOverlap="1">
                <wp:simplePos x="0" y="0"/>
                <wp:positionH relativeFrom="page">
                  <wp:posOffset>1249045</wp:posOffset>
                </wp:positionH>
                <wp:positionV relativeFrom="paragraph">
                  <wp:posOffset>50800</wp:posOffset>
                </wp:positionV>
                <wp:extent cx="207010" cy="191770"/>
                <wp:wrapSquare wrapText="bothSides"/>
                <wp:docPr id="243" name="Shape 243"/>
                <a:graphic xmlns:a="http://schemas.openxmlformats.org/drawingml/2006/main">
                  <a:graphicData uri="http://schemas.microsoft.com/office/word/2010/wordprocessingShape">
                    <wps:wsp>
                      <wps:cNvSpPr txBox="1"/>
                      <wps:spPr>
                        <a:xfrm>
                          <a:ext cx="207010" cy="1917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269" type="#_x0000_t202" style="position:absolute;margin-left:98.350000000000009pt;margin-top:4.pt;width:16.300000000000001pt;height:15.1pt;z-index:-125829302;mso-wrap-distance-left:0;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v:textbox>
                <w10:wrap type="square" anchorx="page"/>
              </v:shape>
            </w:pict>
          </mc:Fallback>
        </mc:AlternateContent>
      </w: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日，本集团账面原值</w:t>
      </w:r>
      <w:r>
        <w:rPr>
          <w:color w:val="000000"/>
          <w:spacing w:val="0"/>
          <w:w w:val="100"/>
          <w:position w:val="0"/>
          <w:sz w:val="24"/>
          <w:szCs w:val="24"/>
        </w:rPr>
        <w:t>73,840,759.12</w:t>
      </w:r>
      <w:r>
        <w:rPr>
          <w:rFonts w:ascii="SimSun" w:eastAsia="SimSun" w:hAnsi="SimSun" w:cs="SimSun"/>
          <w:color w:val="000000"/>
          <w:spacing w:val="0"/>
          <w:w w:val="100"/>
          <w:position w:val="0"/>
          <w:sz w:val="22"/>
          <w:szCs w:val="22"/>
        </w:rPr>
        <w:t>元，净值</w:t>
      </w:r>
      <w:r>
        <w:rPr>
          <w:color w:val="000000"/>
          <w:spacing w:val="0"/>
          <w:w w:val="100"/>
          <w:position w:val="0"/>
          <w:sz w:val="24"/>
          <w:szCs w:val="24"/>
        </w:rPr>
        <w:t xml:space="preserve">72,610,081.93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 xml:space="preserve">日：账面原值 </w:t>
      </w:r>
      <w:r>
        <w:rPr>
          <w:color w:val="000000"/>
          <w:spacing w:val="0"/>
          <w:w w:val="100"/>
          <w:position w:val="0"/>
          <w:sz w:val="24"/>
          <w:szCs w:val="24"/>
        </w:rPr>
        <w:t xml:space="preserve">14,580,893.00 </w:t>
      </w:r>
      <w:r>
        <w:rPr>
          <w:rFonts w:ascii="SimSun" w:eastAsia="SimSun" w:hAnsi="SimSun" w:cs="SimSun"/>
          <w:color w:val="000000"/>
          <w:spacing w:val="0"/>
          <w:w w:val="100"/>
          <w:position w:val="0"/>
          <w:sz w:val="22"/>
          <w:szCs w:val="22"/>
        </w:rPr>
        <w:t xml:space="preserve">元，净值 </w:t>
      </w:r>
      <w:r>
        <w:rPr>
          <w:color w:val="000000"/>
          <w:spacing w:val="0"/>
          <w:w w:val="100"/>
          <w:position w:val="0"/>
          <w:sz w:val="24"/>
          <w:szCs w:val="24"/>
        </w:rPr>
        <w:t xml:space="preserve">14,504,950.85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 </w:t>
      </w:r>
      <w:r>
        <w:rPr>
          <w:rFonts w:ascii="SimSun" w:eastAsia="SimSun" w:hAnsi="SimSun" w:cs="SimSun"/>
          <w:color w:val="000000"/>
          <w:spacing w:val="0"/>
          <w:w w:val="100"/>
          <w:position w:val="0"/>
          <w:sz w:val="22"/>
          <w:szCs w:val="22"/>
        </w:rPr>
        <w:t>的土地使用权尚未办妥产权证。</w:t>
      </w:r>
    </w:p>
    <w:p>
      <w:pPr>
        <w:pStyle w:val="Style33"/>
        <w:keepNext w:val="0"/>
        <w:keepLines w:val="0"/>
        <w:widowControl w:val="0"/>
        <w:shd w:val="clear" w:color="auto" w:fill="auto"/>
        <w:bidi w:val="0"/>
        <w:spacing w:before="0" w:after="0" w:line="317" w:lineRule="exact"/>
        <w:ind w:left="400" w:right="0" w:firstLine="0"/>
        <w:jc w:val="both"/>
        <w:rPr>
          <w:sz w:val="22"/>
          <w:szCs w:val="22"/>
        </w:rPr>
      </w:pPr>
      <w:r>
        <mc:AlternateContent>
          <mc:Choice Requires="wps">
            <w:drawing>
              <wp:anchor distT="0" distB="0" distL="0" distR="0" simplePos="0" relativeHeight="125829453" behindDoc="0" locked="0" layoutInCell="1" allowOverlap="1">
                <wp:simplePos x="0" y="0"/>
                <wp:positionH relativeFrom="page">
                  <wp:posOffset>1249045</wp:posOffset>
                </wp:positionH>
                <wp:positionV relativeFrom="paragraph">
                  <wp:posOffset>38100</wp:posOffset>
                </wp:positionV>
                <wp:extent cx="198120" cy="204470"/>
                <wp:wrapSquare wrapText="bothSides"/>
                <wp:docPr id="245" name="Shape 245"/>
                <a:graphic xmlns:a="http://schemas.openxmlformats.org/drawingml/2006/main">
                  <a:graphicData uri="http://schemas.microsoft.com/office/word/2010/wordprocessingShape">
                    <wps:wsp>
                      <wps:cNvSpPr txBox="1"/>
                      <wps:spPr>
                        <a:xfrm>
                          <a:ext cx="198120" cy="2044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p>
                        </w:txbxContent>
                      </wps:txbx>
                      <wps:bodyPr wrap="none" lIns="0" tIns="0" rIns="0" bIns="0">
                        <a:noAutoFit/>
                      </wps:bodyPr>
                    </wps:wsp>
                  </a:graphicData>
                </a:graphic>
              </wp:anchor>
            </w:drawing>
          </mc:Choice>
          <mc:Fallback>
            <w:pict>
              <v:shape id="_x0000_s1271" type="#_x0000_t202" style="position:absolute;margin-left:98.350000000000009pt;margin-top:3.pt;width:15.6pt;height:16.100000000000001pt;z-index:-125829300;mso-wrap-distance-left:0;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p>
                  </w:txbxContent>
                </v:textbox>
                <w10:wrap type="square" anchorx="page"/>
              </v:shape>
            </w:pict>
          </mc:Fallback>
        </mc:AlternateContent>
      </w: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日，通过本集团内部研发形成的无形资产占无形资产账面 价值的比例为</w:t>
      </w:r>
      <w:r>
        <w:rPr>
          <w:rFonts w:ascii="Arial" w:eastAsia="Arial" w:hAnsi="Arial" w:cs="Arial"/>
          <w:b w:val="0"/>
          <w:bCs w:val="0"/>
          <w:color w:val="000000"/>
          <w:spacing w:val="0"/>
          <w:w w:val="100"/>
          <w:position w:val="0"/>
          <w:sz w:val="24"/>
          <w:szCs w:val="24"/>
        </w:rPr>
        <w:t>7.49%（2015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w:t>
      </w:r>
      <w:r>
        <w:rPr>
          <w:rFonts w:ascii="Arial" w:eastAsia="Arial" w:hAnsi="Arial" w:cs="Arial"/>
          <w:b w:val="0"/>
          <w:bCs w:val="0"/>
          <w:color w:val="000000"/>
          <w:spacing w:val="0"/>
          <w:w w:val="100"/>
          <w:position w:val="0"/>
          <w:sz w:val="24"/>
          <w:szCs w:val="24"/>
        </w:rPr>
        <w:t>6.82%）</w:t>
      </w:r>
      <w:r>
        <w:rPr>
          <w:b w:val="0"/>
          <w:bCs w:val="0"/>
          <w:color w:val="000000"/>
          <w:spacing w:val="0"/>
          <w:w w:val="100"/>
          <w:position w:val="0"/>
          <w:sz w:val="22"/>
          <w:szCs w:val="22"/>
        </w:rPr>
        <w:t>。</w:t>
      </w:r>
    </w:p>
    <w:p>
      <w:pPr>
        <w:widowControl w:val="0"/>
        <w:spacing w:line="1" w:lineRule="exact"/>
      </w:pPr>
      <w:r>
        <mc:AlternateContent>
          <mc:Choice Requires="wps">
            <w:drawing>
              <wp:anchor distT="139700" distB="0" distL="0" distR="0" simplePos="0" relativeHeight="125829455" behindDoc="0" locked="0" layoutInCell="1" allowOverlap="1">
                <wp:simplePos x="0" y="0"/>
                <wp:positionH relativeFrom="page">
                  <wp:posOffset>3809365</wp:posOffset>
                </wp:positionH>
                <wp:positionV relativeFrom="paragraph">
                  <wp:posOffset>139700</wp:posOffset>
                </wp:positionV>
                <wp:extent cx="1353185" cy="189230"/>
                <wp:wrapTopAndBottom/>
                <wp:docPr id="247" name="Shape 247"/>
                <a:graphic xmlns:a="http://schemas.openxmlformats.org/drawingml/2006/main">
                  <a:graphicData uri="http://schemas.microsoft.com/office/word/2010/wordprocessingShape">
                    <wps:wsp>
                      <wps:cNvSpPr txBox="1"/>
                      <wps:spPr>
                        <a:xfrm>
                          <a:ext cx="1353185"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273" type="#_x0000_t202" style="position:absolute;margin-left:299.94999999999999pt;margin-top:11.pt;width:106.55pt;height:14.9pt;z-index:-125829298;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39700" distB="0" distL="0" distR="0" simplePos="0" relativeHeight="125829457" behindDoc="0" locked="0" layoutInCell="1" allowOverlap="1">
                <wp:simplePos x="0" y="0"/>
                <wp:positionH relativeFrom="page">
                  <wp:posOffset>5394325</wp:posOffset>
                </wp:positionH>
                <wp:positionV relativeFrom="paragraph">
                  <wp:posOffset>139700</wp:posOffset>
                </wp:positionV>
                <wp:extent cx="1353185" cy="189230"/>
                <wp:wrapTopAndBottom/>
                <wp:docPr id="249" name="Shape 249"/>
                <a:graphic xmlns:a="http://schemas.openxmlformats.org/drawingml/2006/main">
                  <a:graphicData uri="http://schemas.microsoft.com/office/word/2010/wordprocessingShape">
                    <wps:wsp>
                      <wps:cNvSpPr txBox="1"/>
                      <wps:spPr>
                        <a:xfrm>
                          <a:ext cx="1353185"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275" type="#_x0000_t202" style="position:absolute;margin-left:424.75pt;margin-top:11.pt;width:106.55pt;height:14.9pt;z-index:-125829296;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line="1" w:lineRule="exact"/>
      </w:pPr>
      <w:r>
        <mc:AlternateContent>
          <mc:Choice Requires="wps">
            <w:drawing>
              <wp:anchor distT="190500" distB="3175" distL="0" distR="0" simplePos="0" relativeHeight="125829459" behindDoc="0" locked="0" layoutInCell="1" allowOverlap="1">
                <wp:simplePos x="0" y="0"/>
                <wp:positionH relativeFrom="page">
                  <wp:posOffset>1245870</wp:posOffset>
                </wp:positionH>
                <wp:positionV relativeFrom="paragraph">
                  <wp:posOffset>190500</wp:posOffset>
                </wp:positionV>
                <wp:extent cx="2310130" cy="618490"/>
                <wp:wrapTopAndBottom/>
                <wp:docPr id="251" name="Shape 251"/>
                <a:graphic xmlns:a="http://schemas.openxmlformats.org/drawingml/2006/main">
                  <a:graphicData uri="http://schemas.microsoft.com/office/word/2010/wordprocessingShape">
                    <wps:wsp>
                      <wps:cNvSpPr txBox="1"/>
                      <wps:spPr>
                        <a:xfrm>
                          <a:ext cx="2310130" cy="618490"/>
                        </a:xfrm>
                        <a:prstGeom prst="rect"/>
                        <a:noFill/>
                      </wps:spPr>
                      <wps:txbx>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内部研发形成的无形资产账面价值 无形资产账面价值</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占比</w:t>
                            </w:r>
                          </w:p>
                        </w:txbxContent>
                      </wps:txbx>
                      <wps:bodyPr lIns="0" tIns="0" rIns="0" bIns="0">
                        <a:noAutoFit/>
                      </wps:bodyPr>
                    </wps:wsp>
                  </a:graphicData>
                </a:graphic>
              </wp:anchor>
            </w:drawing>
          </mc:Choice>
          <mc:Fallback>
            <w:pict>
              <v:shape id="_x0000_s1277" type="#_x0000_t202" style="position:absolute;margin-left:98.100000000000009pt;margin-top:15.pt;width:181.90000000000001pt;height:48.700000000000003pt;z-index:-125829294;mso-wrap-distance-left:0;mso-wrap-distance-top:15.pt;mso-wrap-distance-right:0;mso-wrap-distance-bottom:0.25pt;mso-position-horizontal-relative:page" filled="f" stroked="f">
                <v:textbox inset="0,0,0,0">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内部研发形成的无形资产账面价值 无形资产账面价值</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占比</w:t>
                      </w:r>
                    </w:p>
                  </w:txbxContent>
                </v:textbox>
                <w10:wrap type="topAndBottom" anchorx="page"/>
              </v:shape>
            </w:pict>
          </mc:Fallback>
        </mc:AlternateContent>
      </w:r>
      <w:r>
        <mc:AlternateContent>
          <mc:Choice Requires="wps">
            <w:drawing>
              <wp:anchor distT="217805" distB="0" distL="0" distR="0" simplePos="0" relativeHeight="125829461" behindDoc="0" locked="0" layoutInCell="1" allowOverlap="1">
                <wp:simplePos x="0" y="0"/>
                <wp:positionH relativeFrom="page">
                  <wp:posOffset>3946525</wp:posOffset>
                </wp:positionH>
                <wp:positionV relativeFrom="paragraph">
                  <wp:posOffset>217805</wp:posOffset>
                </wp:positionV>
                <wp:extent cx="1216025" cy="594360"/>
                <wp:wrapTopAndBottom/>
                <wp:docPr id="253" name="Shape 253"/>
                <a:graphic xmlns:a="http://schemas.openxmlformats.org/drawingml/2006/main">
                  <a:graphicData uri="http://schemas.microsoft.com/office/word/2010/wordprocessingShape">
                    <wps:wsp>
                      <wps:cNvSpPr txBox="1"/>
                      <wps:spPr>
                        <a:xfrm>
                          <a:ext cx="1216025" cy="59436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335,204,651.95</w:t>
                            </w:r>
                          </w:p>
                          <w:p>
                            <w:pPr>
                              <w:pStyle w:val="Style94"/>
                              <w:keepNext w:val="0"/>
                              <w:keepLines w:val="0"/>
                              <w:widowControl w:val="0"/>
                              <w:shd w:val="clear" w:color="auto" w:fill="auto"/>
                              <w:bidi w:val="0"/>
                              <w:spacing w:before="0" w:after="40" w:line="240" w:lineRule="auto"/>
                              <w:ind w:left="0" w:right="0" w:firstLine="0"/>
                              <w:jc w:val="left"/>
                            </w:pPr>
                            <w:bookmarkStart w:id="807" w:name="bookmark807"/>
                            <w:r>
                              <w:rPr>
                                <w:color w:val="000000"/>
                                <w:spacing w:val="0"/>
                                <w:w w:val="100"/>
                                <w:position w:val="0"/>
                                <w:sz w:val="24"/>
                                <w:szCs w:val="24"/>
                              </w:rPr>
                              <w:t>4</w:t>
                            </w:r>
                            <w:bookmarkEnd w:id="807"/>
                            <w:r>
                              <w:rPr>
                                <w:color w:val="000000"/>
                                <w:spacing w:val="0"/>
                                <w:w w:val="100"/>
                                <w:position w:val="0"/>
                                <w:sz w:val="24"/>
                                <w:szCs w:val="24"/>
                              </w:rPr>
                              <w:t>,476,298,732.57</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7.49%</w:t>
                            </w:r>
                          </w:p>
                        </w:txbxContent>
                      </wps:txbx>
                      <wps:bodyPr lIns="0" tIns="0" rIns="0" bIns="0">
                        <a:noAutoFit/>
                      </wps:bodyPr>
                    </wps:wsp>
                  </a:graphicData>
                </a:graphic>
              </wp:anchor>
            </w:drawing>
          </mc:Choice>
          <mc:Fallback>
            <w:pict>
              <v:shape id="_x0000_s1279" type="#_x0000_t202" style="position:absolute;margin-left:310.75pt;margin-top:17.150000000000002pt;width:95.75pt;height:46.800000000000004pt;z-index:-125829292;mso-wrap-distance-left:0;mso-wrap-distance-top:17.150000000000002pt;mso-wrap-distance-right:0;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335,204,651.95</w:t>
                      </w:r>
                    </w:p>
                    <w:p>
                      <w:pPr>
                        <w:pStyle w:val="Style94"/>
                        <w:keepNext w:val="0"/>
                        <w:keepLines w:val="0"/>
                        <w:widowControl w:val="0"/>
                        <w:shd w:val="clear" w:color="auto" w:fill="auto"/>
                        <w:bidi w:val="0"/>
                        <w:spacing w:before="0" w:after="40" w:line="240" w:lineRule="auto"/>
                        <w:ind w:left="0" w:right="0" w:firstLine="0"/>
                        <w:jc w:val="left"/>
                      </w:pPr>
                      <w:bookmarkStart w:id="807" w:name="bookmark807"/>
                      <w:r>
                        <w:rPr>
                          <w:color w:val="000000"/>
                          <w:spacing w:val="0"/>
                          <w:w w:val="100"/>
                          <w:position w:val="0"/>
                          <w:sz w:val="24"/>
                          <w:szCs w:val="24"/>
                        </w:rPr>
                        <w:t>4</w:t>
                      </w:r>
                      <w:bookmarkEnd w:id="807"/>
                      <w:r>
                        <w:rPr>
                          <w:color w:val="000000"/>
                          <w:spacing w:val="0"/>
                          <w:w w:val="100"/>
                          <w:position w:val="0"/>
                          <w:sz w:val="24"/>
                          <w:szCs w:val="24"/>
                        </w:rPr>
                        <w:t>,476,298,732.57</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7.49%</w:t>
                      </w:r>
                    </w:p>
                  </w:txbxContent>
                </v:textbox>
                <w10:wrap type="topAndBottom" anchorx="page"/>
              </v:shape>
            </w:pict>
          </mc:Fallback>
        </mc:AlternateContent>
      </w:r>
      <w:r>
        <mc:AlternateContent>
          <mc:Choice Requires="wps">
            <w:drawing>
              <wp:anchor distT="217805" distB="0" distL="0" distR="0" simplePos="0" relativeHeight="125829463" behindDoc="0" locked="0" layoutInCell="1" allowOverlap="1">
                <wp:simplePos x="0" y="0"/>
                <wp:positionH relativeFrom="page">
                  <wp:posOffset>5531485</wp:posOffset>
                </wp:positionH>
                <wp:positionV relativeFrom="paragraph">
                  <wp:posOffset>217805</wp:posOffset>
                </wp:positionV>
                <wp:extent cx="1216025" cy="594360"/>
                <wp:wrapTopAndBottom/>
                <wp:docPr id="255" name="Shape 255"/>
                <a:graphic xmlns:a="http://schemas.openxmlformats.org/drawingml/2006/main">
                  <a:graphicData uri="http://schemas.microsoft.com/office/word/2010/wordprocessingShape">
                    <wps:wsp>
                      <wps:cNvSpPr txBox="1"/>
                      <wps:spPr>
                        <a:xfrm>
                          <a:ext cx="1216025" cy="59436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155,901,692.30</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2,286,626,063.96</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6.82%</w:t>
                            </w:r>
                          </w:p>
                        </w:txbxContent>
                      </wps:txbx>
                      <wps:bodyPr lIns="0" tIns="0" rIns="0" bIns="0">
                        <a:noAutoFit/>
                      </wps:bodyPr>
                    </wps:wsp>
                  </a:graphicData>
                </a:graphic>
              </wp:anchor>
            </w:drawing>
          </mc:Choice>
          <mc:Fallback>
            <w:pict>
              <v:shape id="_x0000_s1281" type="#_x0000_t202" style="position:absolute;margin-left:435.55000000000001pt;margin-top:17.150000000000002pt;width:95.75pt;height:46.800000000000004pt;z-index:-125829290;mso-wrap-distance-left:0;mso-wrap-distance-top:17.150000000000002pt;mso-wrap-distance-right:0;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155,901,692.30</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2,286,626,063.96</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6.82%</w:t>
                      </w:r>
                    </w:p>
                  </w:txbxContent>
                </v:textbox>
                <w10:wrap type="topAndBottom" anchorx="page"/>
              </v:shape>
            </w:pict>
          </mc:Fallback>
        </mc:AlternateContent>
      </w:r>
      <w:r>
        <w:br w:type="page"/>
      </w:r>
    </w:p>
    <w:p>
      <w:pPr>
        <w:pStyle w:val="Style27"/>
        <w:keepNext/>
        <w:keepLines/>
        <w:widowControl w:val="0"/>
        <w:shd w:val="clear" w:color="auto" w:fill="auto"/>
        <w:bidi w:val="0"/>
        <w:spacing w:before="0" w:after="380" w:line="240" w:lineRule="auto"/>
        <w:ind w:left="0" w:right="0" w:firstLine="0"/>
        <w:jc w:val="left"/>
        <w:rPr>
          <w:sz w:val="22"/>
          <w:szCs w:val="22"/>
        </w:rPr>
      </w:pPr>
      <w:bookmarkStart w:id="808" w:name="bookmark808"/>
      <w:bookmarkStart w:id="809" w:name="bookmark809"/>
      <w:bookmarkStart w:id="810" w:name="bookmark810"/>
      <w:r>
        <w:rPr>
          <w:rFonts w:ascii="Arial" w:eastAsia="Arial" w:hAnsi="Arial" w:cs="Arial"/>
          <w:b w:val="0"/>
          <w:bCs w:val="0"/>
          <w:color w:val="000000"/>
          <w:spacing w:val="0"/>
          <w:w w:val="100"/>
          <w:position w:val="0"/>
          <w:sz w:val="24"/>
          <w:szCs w:val="24"/>
        </w:rPr>
        <w:t>(17)</w:t>
      </w:r>
      <w:r>
        <w:rPr>
          <w:color w:val="000000"/>
          <w:spacing w:val="0"/>
          <w:w w:val="100"/>
          <w:position w:val="0"/>
          <w:sz w:val="22"/>
          <w:szCs w:val="22"/>
        </w:rPr>
        <w:t>开发支出</w:t>
      </w:r>
      <w:bookmarkEnd w:id="808"/>
      <w:bookmarkEnd w:id="809"/>
      <w:bookmarkEnd w:id="810"/>
    </w:p>
    <w:tbl>
      <w:tblPr>
        <w:tblOverlap w:val="never"/>
        <w:jc w:val="center"/>
        <w:tblLayout w:type="fixed"/>
      </w:tblPr>
      <w:tblGrid>
        <w:gridCol w:w="1949"/>
        <w:gridCol w:w="1685"/>
        <w:gridCol w:w="1733"/>
        <w:gridCol w:w="1814"/>
        <w:gridCol w:w="1608"/>
      </w:tblGrid>
      <w:tr>
        <w:trPr>
          <w:trHeight w:val="76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80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本年增加</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780"/>
              <w:jc w:val="left"/>
              <w:rPr>
                <w:sz w:val="19"/>
                <w:szCs w:val="19"/>
              </w:rPr>
            </w:pPr>
            <w:r>
              <w:rPr>
                <w:color w:val="000000"/>
                <w:spacing w:val="0"/>
                <w:w w:val="100"/>
                <w:position w:val="0"/>
                <w:sz w:val="19"/>
                <w:szCs w:val="19"/>
              </w:rPr>
              <w:t>本年转为</w:t>
            </w:r>
          </w:p>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无形资产</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年</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SAP</w:t>
            </w:r>
            <w:r>
              <w:rPr>
                <w:color w:val="000000"/>
                <w:spacing w:val="0"/>
                <w:w w:val="100"/>
                <w:position w:val="0"/>
                <w:sz w:val="19"/>
                <w:szCs w:val="19"/>
              </w:rPr>
              <w:t>结算平台项目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74,497,594.76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91,598,811.22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(80,113,039.13)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85,983,366.85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SAP</w:t>
            </w:r>
            <w:r>
              <w:rPr>
                <w:color w:val="000000"/>
                <w:spacing w:val="0"/>
                <w:w w:val="100"/>
                <w:position w:val="0"/>
                <w:sz w:val="19"/>
                <w:szCs w:val="19"/>
              </w:rPr>
              <w:t>客户管理系统项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29,038,626.31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18,446,631.33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(46,170,643.53)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1,314,614.11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知识管理系统项目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22,932,547.86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2,230,351.47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(25,106,625.83)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56,273.50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仓配业务系统项目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14,570,718.27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29,678.06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(14,600,396.33)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数据分析平台项目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7,913,170.06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2,373,195.20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(10,286,365.26)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飞机管理系统项目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5,280,000.00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1,320,000.00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(6,600,000.00)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大地网系统项目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49,315,969.82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49,315,969.82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预算编制与管控系统</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7,887,695.00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(1,077,367.81)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6,810,327.19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 xml:space="preserve">SHIVA </w:t>
            </w:r>
            <w:r>
              <w:rPr>
                <w:rFonts w:ascii="Arial" w:eastAsia="Arial" w:hAnsi="Arial" w:cs="Arial"/>
                <w:color w:val="000000"/>
                <w:spacing w:val="0"/>
                <w:w w:val="100"/>
                <w:position w:val="0"/>
                <w:sz w:val="20"/>
                <w:szCs w:val="20"/>
              </w:rPr>
              <w:t>-</w:t>
            </w:r>
            <w:r>
              <w:rPr>
                <w:color w:val="000000"/>
                <w:spacing w:val="0"/>
                <w:w w:val="100"/>
                <w:position w:val="0"/>
                <w:sz w:val="19"/>
                <w:szCs w:val="19"/>
              </w:rPr>
              <w:t>营运系统群</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24,827,590.15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24,827,590.15</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丰声项目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6,182,257.03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6,182,257.03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经营管理工作平台虚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拟项目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6,019,188.21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6,019,188.21</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45,907,862.25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80,444,859.88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(63,545,943.42)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62,806,778.71</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200,140,519.51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290,676,227.37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(247,500,381.31)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243,316,365.57</w:t>
            </w:r>
          </w:p>
        </w:tc>
      </w:tr>
    </w:tbl>
    <w:p>
      <w:pPr>
        <w:sectPr>
          <w:footnotePr>
            <w:pos w:val="pageBottom"/>
            <w:numFmt w:val="decimal"/>
            <w:numRestart w:val="continuous"/>
          </w:footnotePr>
          <w:type w:val="continuous"/>
          <w:pgSz w:w="11900" w:h="16840"/>
          <w:pgMar w:top="2161" w:right="1052" w:bottom="5660" w:left="2058" w:header="0" w:footer="3" w:gutter="0"/>
          <w:cols w:space="720"/>
          <w:noEndnote/>
          <w:rtlGutter w:val="0"/>
          <w:docGrid w:linePitch="360"/>
        </w:sectPr>
      </w:pPr>
    </w:p>
    <w:p>
      <w:pPr>
        <w:pStyle w:val="Style27"/>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11"/>
      <w:bookmarkEnd w:id="812"/>
      <w:bookmarkEnd w:id="813"/>
    </w:p>
    <w:p>
      <w:pPr>
        <w:pStyle w:val="Style94"/>
        <w:keepNext w:val="0"/>
        <w:keepLines w:val="0"/>
        <w:widowControl w:val="0"/>
        <w:shd w:val="clear" w:color="auto" w:fill="auto"/>
        <w:bidi w:val="0"/>
        <w:spacing w:before="0" w:after="420" w:line="240" w:lineRule="auto"/>
        <w:ind w:left="0" w:right="0" w:firstLine="0"/>
        <w:jc w:val="left"/>
        <w:rPr>
          <w:sz w:val="22"/>
          <w:szCs w:val="22"/>
        </w:rPr>
      </w:pPr>
      <w:r>
        <w:rPr>
          <w:color w:val="000000"/>
          <w:spacing w:val="0"/>
          <w:w w:val="100"/>
          <w:position w:val="0"/>
          <w:sz w:val="24"/>
          <w:szCs w:val="24"/>
        </w:rPr>
        <w:t xml:space="preserve">(18) </w:t>
      </w:r>
      <w:r>
        <w:rPr>
          <w:rFonts w:ascii="SimSun" w:eastAsia="SimSun" w:hAnsi="SimSun" w:cs="SimSun"/>
          <w:b/>
          <w:bCs/>
          <w:color w:val="000000"/>
          <w:spacing w:val="0"/>
          <w:w w:val="100"/>
          <w:position w:val="0"/>
          <w:sz w:val="22"/>
          <w:szCs w:val="22"/>
        </w:rPr>
        <w:t>商誉</w:t>
      </w:r>
    </w:p>
    <w:tbl>
      <w:tblPr>
        <w:tblOverlap w:val="never"/>
        <w:jc w:val="center"/>
        <w:tblLayout w:type="fixed"/>
      </w:tblPr>
      <w:tblGrid>
        <w:gridCol w:w="5208"/>
        <w:gridCol w:w="3619"/>
        <w:gridCol w:w="2798"/>
        <w:gridCol w:w="2088"/>
      </w:tblGrid>
      <w:tr>
        <w:trPr>
          <w:trHeight w:val="73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960" w:firstLine="0"/>
              <w:jc w:val="right"/>
              <w:rPr>
                <w:sz w:val="16"/>
                <w:szCs w:val="16"/>
              </w:rPr>
            </w:pPr>
            <w:r>
              <w:rPr>
                <w:rFonts w:ascii="Arial" w:eastAsia="Arial" w:hAnsi="Arial" w:cs="Arial"/>
                <w:color w:val="000000"/>
                <w:spacing w:val="0"/>
                <w:w w:val="100"/>
                <w:position w:val="0"/>
                <w:sz w:val="16"/>
                <w:szCs w:val="16"/>
              </w:rPr>
              <w:t xml:space="preserve">2015 </w:t>
            </w:r>
            <w:r>
              <w:rPr>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1860" w:right="0" w:firstLine="0"/>
              <w:jc w:val="both"/>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本年汇率变动</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2016 </w:t>
            </w:r>
            <w:r>
              <w:rPr>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商誉</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成都顺意丰医药有限公司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6"/>
                <w:szCs w:val="16"/>
              </w:rPr>
            </w:pPr>
            <w:r>
              <w:rPr>
                <w:rFonts w:ascii="Arial" w:eastAsia="Arial" w:hAnsi="Arial" w:cs="Arial"/>
                <w:color w:val="000000"/>
                <w:spacing w:val="0"/>
                <w:w w:val="100"/>
                <w:position w:val="0"/>
                <w:sz w:val="16"/>
                <w:szCs w:val="16"/>
              </w:rPr>
              <w:t>2,434,509.81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2,434,509.81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重庆雪狐快递有限责任公司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10,555,317.54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10,555,317.54</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贵州星程宅配快递有限公司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10,199,760.21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10,199,760.21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汉兴行有限公司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6"/>
                <w:szCs w:val="16"/>
              </w:rPr>
            </w:pPr>
            <w:r>
              <w:rPr>
                <w:rFonts w:ascii="Arial" w:eastAsia="Arial" w:hAnsi="Arial" w:cs="Arial"/>
                <w:color w:val="000000"/>
                <w:spacing w:val="0"/>
                <w:w w:val="100"/>
                <w:position w:val="0"/>
                <w:sz w:val="16"/>
                <w:szCs w:val="16"/>
              </w:rPr>
              <w:t>1,427,346.64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101,084.19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1,528,430.83</w:t>
            </w: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厦门锐特信息技术有限公司</w:t>
            </w:r>
            <w:r>
              <w:rPr>
                <w:rFonts w:ascii="Arial" w:eastAsia="Arial" w:hAnsi="Arial" w:cs="Arial"/>
                <w:color w:val="000000"/>
                <w:spacing w:val="0"/>
                <w:w w:val="100"/>
                <w:position w:val="0"/>
                <w:sz w:val="16"/>
                <w:szCs w:val="16"/>
              </w:rPr>
              <w:t>(</w:t>
            </w:r>
            <w:r>
              <w:rPr>
                <w:color w:val="000000"/>
                <w:spacing w:val="0"/>
                <w:w w:val="100"/>
                <w:position w:val="0"/>
                <w:sz w:val="16"/>
                <w:szCs w:val="16"/>
              </w:rPr>
              <w:t>以下简称“厦门锐特"</w:t>
            </w:r>
            <w:r>
              <w:rPr>
                <w:color w:val="000000"/>
                <w:spacing w:val="0"/>
                <w:w w:val="100"/>
                <w:position w:val="0"/>
                <w:sz w:val="19"/>
                <w:szCs w:val="19"/>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56,502,329.98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56,502,329.98</w:t>
            </w:r>
          </w:p>
        </w:tc>
      </w:tr>
      <w:tr>
        <w:trPr>
          <w:trHeight w:val="32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81,119,264.18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101,084.19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81,220,348.37</w:t>
            </w:r>
          </w:p>
        </w:tc>
      </w:tr>
      <w:tr>
        <w:trPr>
          <w:trHeight w:val="69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减：减值准备</w:t>
            </w:r>
            <w:r>
              <w:rPr>
                <w:rFonts w:ascii="Arial" w:eastAsia="Arial" w:hAnsi="Arial" w:cs="Arial"/>
                <w:color w:val="000000"/>
                <w:spacing w:val="0"/>
                <w:w w:val="100"/>
                <w:position w:val="0"/>
                <w:sz w:val="16"/>
                <w:szCs w:val="16"/>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成都顺意丰医药有限公司</w:t>
            </w:r>
            <w:r>
              <w:rPr>
                <w:rFonts w:ascii="Arial" w:eastAsia="Arial" w:hAnsi="Arial" w:cs="Arial"/>
                <w:color w:val="000000"/>
                <w:spacing w:val="0"/>
                <w:w w:val="100"/>
                <w:position w:val="0"/>
                <w:sz w:val="16"/>
                <w:szCs w:val="16"/>
              </w:rPr>
              <w:t>(i)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6"/>
                <w:szCs w:val="16"/>
              </w:rPr>
            </w:pPr>
            <w:r>
              <w:rPr>
                <w:rFonts w:ascii="Arial" w:eastAsia="Arial" w:hAnsi="Arial" w:cs="Arial"/>
                <w:color w:val="000000"/>
                <w:spacing w:val="0"/>
                <w:w w:val="100"/>
                <w:position w:val="0"/>
                <w:sz w:val="16"/>
                <w:szCs w:val="16"/>
              </w:rPr>
              <w:t>(2,434,509.81)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(2,434,509.81)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重庆雪狐快递有限责任公司</w:t>
            </w:r>
            <w:r>
              <w:rPr>
                <w:rFonts w:ascii="Arial" w:eastAsia="Arial" w:hAnsi="Arial" w:cs="Arial"/>
                <w:color w:val="000000"/>
                <w:spacing w:val="0"/>
                <w:w w:val="100"/>
                <w:position w:val="0"/>
                <w:sz w:val="16"/>
                <w:szCs w:val="16"/>
              </w:rPr>
              <w:t>(i)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(10,555,317.54)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(10,555,317.54)</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贵州星程宅配快递有限公司</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(10,199,760.21)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(10,199,760.21)</w:t>
            </w:r>
          </w:p>
        </w:tc>
      </w:tr>
      <w:tr>
        <w:trPr>
          <w:trHeight w:val="33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(23,189,587.56)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(23,189,587.56)</w:t>
            </w:r>
          </w:p>
        </w:tc>
      </w:tr>
      <w:tr>
        <w:trPr>
          <w:trHeight w:val="67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6"/>
                <w:szCs w:val="16"/>
              </w:rPr>
            </w:pPr>
            <w:r>
              <w:rPr>
                <w:rFonts w:ascii="Arial" w:eastAsia="Arial" w:hAnsi="Arial" w:cs="Arial"/>
                <w:color w:val="000000"/>
                <w:spacing w:val="0"/>
                <w:w w:val="100"/>
                <w:position w:val="0"/>
                <w:sz w:val="16"/>
                <w:szCs w:val="16"/>
              </w:rPr>
              <w:t>57,929,676.62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101,084.19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58,030,760.81</w:t>
            </w:r>
          </w:p>
        </w:tc>
      </w:tr>
    </w:tbl>
    <w:p>
      <w:pPr>
        <w:widowControl w:val="0"/>
        <w:spacing w:after="639" w:line="1" w:lineRule="exact"/>
      </w:pPr>
    </w:p>
    <w:p>
      <w:pPr>
        <w:pStyle w:val="Style33"/>
        <w:keepNext w:val="0"/>
        <w:keepLines w:val="0"/>
        <w:widowControl w:val="0"/>
        <w:shd w:val="clear" w:color="auto" w:fill="auto"/>
        <w:bidi w:val="0"/>
        <w:spacing w:before="0" w:after="320" w:line="312" w:lineRule="exact"/>
        <w:ind w:left="0" w:right="0" w:firstLine="0"/>
        <w:jc w:val="left"/>
        <w:rPr>
          <w:sz w:val="22"/>
          <w:szCs w:val="22"/>
        </w:rPr>
      </w:pPr>
      <w:r>
        <w:rPr>
          <w:b w:val="0"/>
          <w:bCs w:val="0"/>
          <w:color w:val="000000"/>
          <w:spacing w:val="0"/>
          <w:w w:val="100"/>
          <w:position w:val="0"/>
          <w:sz w:val="22"/>
          <w:szCs w:val="22"/>
        </w:rPr>
        <w:t>本集团商誉系购买成都顺意丰医药有限公司</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股权、重庆雪狐快递有限责任公司</w:t>
      </w:r>
      <w:r>
        <w:rPr>
          <w:rFonts w:ascii="Arial" w:eastAsia="Arial" w:hAnsi="Arial" w:cs="Arial"/>
          <w:b w:val="0"/>
          <w:bCs w:val="0"/>
          <w:color w:val="000000"/>
          <w:spacing w:val="0"/>
          <w:w w:val="100"/>
          <w:position w:val="0"/>
          <w:sz w:val="24"/>
          <w:szCs w:val="24"/>
        </w:rPr>
        <w:t>60%</w:t>
      </w:r>
      <w:r>
        <w:rPr>
          <w:b w:val="0"/>
          <w:bCs w:val="0"/>
          <w:color w:val="000000"/>
          <w:spacing w:val="0"/>
          <w:w w:val="100"/>
          <w:position w:val="0"/>
          <w:sz w:val="22"/>
          <w:szCs w:val="22"/>
        </w:rPr>
        <w:t>股权、贵州星程宅配快递有限公司</w:t>
      </w:r>
      <w:r>
        <w:rPr>
          <w:rFonts w:ascii="Arial" w:eastAsia="Arial" w:hAnsi="Arial" w:cs="Arial"/>
          <w:b w:val="0"/>
          <w:bCs w:val="0"/>
          <w:color w:val="000000"/>
          <w:spacing w:val="0"/>
          <w:w w:val="100"/>
          <w:position w:val="0"/>
          <w:sz w:val="24"/>
          <w:szCs w:val="24"/>
        </w:rPr>
        <w:t>60%</w:t>
      </w:r>
      <w:r>
        <w:rPr>
          <w:b w:val="0"/>
          <w:bCs w:val="0"/>
          <w:color w:val="000000"/>
          <w:spacing w:val="0"/>
          <w:w w:val="100"/>
          <w:position w:val="0"/>
          <w:sz w:val="22"/>
          <w:szCs w:val="22"/>
        </w:rPr>
        <w:t>股 权、汉兴行有限公司</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股权及厦门锐特</w:t>
      </w:r>
      <w:r>
        <w:rPr>
          <w:rFonts w:ascii="Arial" w:eastAsia="Arial" w:hAnsi="Arial" w:cs="Arial"/>
          <w:b w:val="0"/>
          <w:bCs w:val="0"/>
          <w:color w:val="000000"/>
          <w:spacing w:val="0"/>
          <w:w w:val="100"/>
          <w:position w:val="0"/>
          <w:sz w:val="24"/>
          <w:szCs w:val="24"/>
        </w:rPr>
        <w:t>70%</w:t>
      </w:r>
      <w:r>
        <w:rPr>
          <w:b w:val="0"/>
          <w:bCs w:val="0"/>
          <w:color w:val="000000"/>
          <w:spacing w:val="0"/>
          <w:w w:val="100"/>
          <w:position w:val="0"/>
          <w:sz w:val="22"/>
          <w:szCs w:val="22"/>
        </w:rPr>
        <w:t>股权所致。</w:t>
      </w:r>
    </w:p>
    <w:p>
      <w:pPr>
        <w:pStyle w:val="Style33"/>
        <w:keepNext w:val="0"/>
        <w:keepLines w:val="0"/>
        <w:widowControl w:val="0"/>
        <w:shd w:val="clear" w:color="auto" w:fill="auto"/>
        <w:bidi w:val="0"/>
        <w:spacing w:before="0" w:after="380" w:line="312" w:lineRule="exact"/>
        <w:ind w:left="0" w:right="0" w:firstLine="0"/>
        <w:jc w:val="left"/>
        <w:rPr>
          <w:sz w:val="22"/>
          <w:szCs w:val="22"/>
        </w:rPr>
        <w:sectPr>
          <w:footnotePr>
            <w:pos w:val="pageBottom"/>
            <w:numFmt w:val="decimal"/>
            <w:numRestart w:val="continuous"/>
          </w:footnotePr>
          <w:pgSz w:w="16840" w:h="11900" w:orient="landscape"/>
          <w:pgMar w:top="1516" w:right="1110" w:bottom="1370" w:left="1969" w:header="0" w:footer="3" w:gutter="0"/>
          <w:cols w:space="720"/>
          <w:noEndnote/>
          <w:rtlGutter w:val="0"/>
          <w:docGrid w:linePitch="360"/>
        </w:sectPr>
      </w:pPr>
      <w:r>
        <w:rPr>
          <w:b w:val="0"/>
          <w:bCs w:val="0"/>
          <w:color w:val="000000"/>
          <w:spacing w:val="0"/>
          <w:w w:val="100"/>
          <w:position w:val="0"/>
          <w:sz w:val="22"/>
          <w:szCs w:val="22"/>
        </w:rPr>
        <w:t>⑴ 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日，本集团在评估了上述被投资单位的未来经营情况和可回收金额后对该等商誉全额计提了减值准备。</w:t>
      </w:r>
    </w:p>
    <w:p>
      <w:pPr>
        <w:pStyle w:val="Style27"/>
        <w:keepNext/>
        <w:keepLines/>
        <w:widowControl w:val="0"/>
        <w:shd w:val="clear" w:color="auto" w:fill="auto"/>
        <w:tabs>
          <w:tab w:pos="778" w:val="left"/>
        </w:tabs>
        <w:bidi w:val="0"/>
        <w:spacing w:before="0" w:after="440" w:line="240" w:lineRule="auto"/>
        <w:ind w:left="0" w:right="0" w:firstLine="0"/>
        <w:jc w:val="left"/>
        <w:rPr>
          <w:sz w:val="22"/>
          <w:szCs w:val="22"/>
        </w:rPr>
      </w:pPr>
      <w:bookmarkStart w:id="814" w:name="bookmark814"/>
      <w:bookmarkStart w:id="815" w:name="bookmark815"/>
      <w:bookmarkStart w:id="816" w:name="bookmark816"/>
      <w:r>
        <w:rPr>
          <w:rFonts w:ascii="Arial" w:eastAsia="Arial" w:hAnsi="Arial" w:cs="Arial"/>
          <w:b w:val="0"/>
          <w:bCs w:val="0"/>
          <w:color w:val="000000"/>
          <w:spacing w:val="0"/>
          <w:w w:val="100"/>
          <w:position w:val="0"/>
          <w:sz w:val="24"/>
          <w:szCs w:val="24"/>
        </w:rPr>
        <w:t>(19)</w:t>
        <w:tab/>
      </w:r>
      <w:r>
        <w:rPr>
          <w:color w:val="000000"/>
          <w:spacing w:val="0"/>
          <w:w w:val="100"/>
          <w:position w:val="0"/>
          <w:sz w:val="22"/>
          <w:szCs w:val="22"/>
        </w:rPr>
        <w:t>长期待摊费用</w:t>
      </w:r>
      <w:bookmarkEnd w:id="814"/>
      <w:bookmarkEnd w:id="815"/>
      <w:bookmarkEnd w:id="816"/>
    </w:p>
    <w:tbl>
      <w:tblPr>
        <w:tblOverlap w:val="never"/>
        <w:jc w:val="center"/>
        <w:tblLayout w:type="fixed"/>
      </w:tblPr>
      <w:tblGrid>
        <w:gridCol w:w="1939"/>
        <w:gridCol w:w="1522"/>
        <w:gridCol w:w="1354"/>
        <w:gridCol w:w="1435"/>
        <w:gridCol w:w="1291"/>
        <w:gridCol w:w="1219"/>
      </w:tblGrid>
      <w:tr>
        <w:trPr>
          <w:trHeight w:val="73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840"/>
              <w:jc w:val="left"/>
              <w:rPr>
                <w:sz w:val="13"/>
                <w:szCs w:val="13"/>
              </w:rPr>
            </w:pPr>
            <w:r>
              <w:rPr>
                <w:rFonts w:ascii="Arial" w:eastAsia="Arial" w:hAnsi="Arial" w:cs="Arial"/>
                <w:color w:val="000000"/>
                <w:spacing w:val="0"/>
                <w:w w:val="100"/>
                <w:position w:val="0"/>
                <w:sz w:val="14"/>
                <w:szCs w:val="14"/>
              </w:rPr>
              <w:t xml:space="preserve">2015 </w:t>
            </w:r>
            <w:r>
              <w:rPr>
                <w:color w:val="000000"/>
                <w:spacing w:val="0"/>
                <w:w w:val="100"/>
                <w:position w:val="0"/>
                <w:sz w:val="13"/>
                <w:szCs w:val="13"/>
              </w:rPr>
              <w:t>年</w:t>
            </w:r>
          </w:p>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本年增加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本年摊销</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center"/>
              <w:rPr>
                <w:sz w:val="13"/>
                <w:szCs w:val="13"/>
              </w:rPr>
            </w:pPr>
            <w:r>
              <w:rPr>
                <w:color w:val="000000"/>
                <w:spacing w:val="0"/>
                <w:w w:val="100"/>
                <w:position w:val="0"/>
                <w:sz w:val="13"/>
                <w:szCs w:val="13"/>
              </w:rPr>
              <w:t>转入固定资产</w:t>
            </w:r>
          </w:p>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w:t>
            </w:r>
            <w:r>
              <w:rPr>
                <w:color w:val="000000"/>
                <w:spacing w:val="0"/>
                <w:w w:val="100"/>
                <w:position w:val="0"/>
                <w:sz w:val="13"/>
                <w:szCs w:val="13"/>
              </w:rPr>
              <w:t>附注四</w:t>
            </w:r>
            <w:r>
              <w:rPr>
                <w:rFonts w:ascii="Arial" w:eastAsia="Arial" w:hAnsi="Arial" w:cs="Arial"/>
                <w:color w:val="000000"/>
                <w:spacing w:val="0"/>
                <w:w w:val="100"/>
                <w:position w:val="0"/>
                <w:sz w:val="14"/>
                <w:szCs w:val="14"/>
              </w:rPr>
              <w:t>(14))</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right"/>
              <w:rPr>
                <w:sz w:val="13"/>
                <w:szCs w:val="13"/>
              </w:rPr>
            </w:pPr>
            <w:r>
              <w:rPr>
                <w:rFonts w:ascii="Arial" w:eastAsia="Arial" w:hAnsi="Arial" w:cs="Arial"/>
                <w:color w:val="000000"/>
                <w:spacing w:val="0"/>
                <w:w w:val="100"/>
                <w:position w:val="0"/>
                <w:sz w:val="14"/>
                <w:szCs w:val="14"/>
              </w:rPr>
              <w:t xml:space="preserve">2016 </w:t>
            </w:r>
            <w:r>
              <w:rPr>
                <w:color w:val="000000"/>
                <w:spacing w:val="0"/>
                <w:w w:val="100"/>
                <w:position w:val="0"/>
                <w:sz w:val="13"/>
                <w:szCs w:val="13"/>
              </w:rPr>
              <w:t>年</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经营租入固定资产改良</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666,652,860.84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518,297,023.60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(291,293,439.96)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893,656,444.48</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飞行员安家费及引进费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323,531,751.21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103,956,518.78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(72,401,706.49)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355,086,563.50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经营租入飞机发动机维修费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66,122,178.61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14,827,480.77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(7,604,974.47)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(73,344,684.91)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19,220,509.07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13,852,738.76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(10,686,426.19)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22,386,821.64</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1,075,527,299.73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650,933,761.91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(381,986,547.11)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(73,344,684.91)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1,271,129,829.62</w:t>
            </w:r>
          </w:p>
        </w:tc>
      </w:tr>
    </w:tbl>
    <w:p>
      <w:pPr>
        <w:widowControl w:val="0"/>
        <w:spacing w:after="339" w:line="1" w:lineRule="exact"/>
      </w:pPr>
    </w:p>
    <w:p>
      <w:pPr>
        <w:pStyle w:val="Style27"/>
        <w:keepNext/>
        <w:keepLines/>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2161" w:right="1183" w:bottom="8569" w:left="1958" w:header="0" w:footer="3" w:gutter="0"/>
          <w:cols w:space="720"/>
          <w:noEndnote/>
          <w:rtlGutter w:val="0"/>
          <w:docGrid w:linePitch="360"/>
        </w:sectPr>
      </w:pPr>
      <w:bookmarkStart w:id="817" w:name="bookmark817"/>
      <w:bookmarkStart w:id="818" w:name="bookmark818"/>
      <w:bookmarkStart w:id="819" w:name="bookmark819"/>
      <w:r>
        <w:rPr>
          <w:rFonts w:ascii="Arial" w:eastAsia="Arial" w:hAnsi="Arial" w:cs="Arial"/>
          <w:b w:val="0"/>
          <w:bCs w:val="0"/>
          <w:color w:val="000000"/>
          <w:spacing w:val="0"/>
          <w:w w:val="100"/>
          <w:position w:val="0"/>
          <w:sz w:val="24"/>
          <w:szCs w:val="24"/>
        </w:rPr>
        <w:t xml:space="preserve">(20) </w:t>
      </w:r>
      <w:r>
        <w:rPr>
          <w:color w:val="000000"/>
          <w:spacing w:val="0"/>
          <w:w w:val="100"/>
          <w:position w:val="0"/>
          <w:sz w:val="22"/>
          <w:szCs w:val="22"/>
        </w:rPr>
        <w:t>其他非流动资产</w:t>
      </w:r>
      <w:bookmarkEnd w:id="817"/>
      <w:bookmarkEnd w:id="818"/>
      <w:bookmarkEnd w:id="819"/>
    </w:p>
    <w:p>
      <w:pPr>
        <w:widowControl w:val="0"/>
        <w:spacing w:line="238" w:lineRule="exact"/>
        <w:rPr>
          <w:sz w:val="19"/>
          <w:szCs w:val="19"/>
        </w:rPr>
      </w:pPr>
    </w:p>
    <w:p>
      <w:pPr>
        <w:widowControl w:val="0"/>
        <w:spacing w:line="1" w:lineRule="exact"/>
        <w:sectPr>
          <w:footnotePr>
            <w:pos w:val="pageBottom"/>
            <w:numFmt w:val="decimal"/>
            <w:numRestart w:val="continuous"/>
          </w:footnotePr>
          <w:type w:val="continuous"/>
          <w:pgSz w:w="11900" w:h="16840"/>
          <w:pgMar w:top="2161" w:right="0" w:bottom="8569"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2161" w:right="1201" w:bottom="8569" w:left="6071" w:header="0" w:footer="3" w:gutter="0"/>
          <w:cols w:num="2" w:space="355"/>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160" w:lineRule="exact"/>
        <w:rPr>
          <w:sz w:val="13"/>
          <w:szCs w:val="13"/>
        </w:rPr>
      </w:pPr>
    </w:p>
    <w:p>
      <w:pPr>
        <w:widowControl w:val="0"/>
        <w:spacing w:line="1" w:lineRule="exact"/>
        <w:sectPr>
          <w:footnotePr>
            <w:pos w:val="pageBottom"/>
            <w:numFmt w:val="decimal"/>
            <w:numRestart w:val="continuous"/>
          </w:footnotePr>
          <w:type w:val="continuous"/>
          <w:pgSz w:w="11900" w:h="16840"/>
          <w:pgMar w:top="2161" w:right="0" w:bottom="2161"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65" behindDoc="0" locked="0" layoutInCell="1" allowOverlap="1">
                <wp:simplePos x="0" y="0"/>
                <wp:positionH relativeFrom="page">
                  <wp:posOffset>1245870</wp:posOffset>
                </wp:positionH>
                <wp:positionV relativeFrom="paragraph">
                  <wp:posOffset>12700</wp:posOffset>
                </wp:positionV>
                <wp:extent cx="1090930" cy="618490"/>
                <wp:wrapSquare wrapText="bothSides"/>
                <wp:docPr id="257" name="Shape 257"/>
                <a:graphic xmlns:a="http://schemas.openxmlformats.org/drawingml/2006/main">
                  <a:graphicData uri="http://schemas.microsoft.com/office/word/2010/wordprocessingShape">
                    <wps:wsp>
                      <wps:cNvSpPr txBox="1"/>
                      <wps:spPr>
                        <a:xfrm>
                          <a:ext cx="1090930" cy="618490"/>
                        </a:xfrm>
                        <a:prstGeom prst="rect"/>
                        <a:noFill/>
                      </wps:spPr>
                      <wps:txbx>
                        <w:txbxContent>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预付工程设备款 预付土地款</w:t>
                            </w:r>
                          </w:p>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预付租金和押金</w:t>
                            </w:r>
                          </w:p>
                        </w:txbxContent>
                      </wps:txbx>
                      <wps:bodyPr lIns="0" tIns="0" rIns="0" bIns="0">
                        <a:noAutoFit/>
                      </wps:bodyPr>
                    </wps:wsp>
                  </a:graphicData>
                </a:graphic>
              </wp:anchor>
            </w:drawing>
          </mc:Choice>
          <mc:Fallback>
            <w:pict>
              <v:shape id="_x0000_s1283" type="#_x0000_t202" style="position:absolute;margin-left:98.100000000000009pt;margin-top:1.pt;width:85.900000000000006pt;height:48.700000000000003pt;z-index:-125829288;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预付工程设备款 预付土地款</w:t>
                      </w:r>
                    </w:p>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预付租金和押金</w:t>
                      </w:r>
                    </w:p>
                  </w:txbxContent>
                </v:textbox>
                <w10:wrap type="square" anchorx="page"/>
              </v:shape>
            </w:pict>
          </mc:Fallback>
        </mc:AlternateContent>
      </w:r>
      <w:r>
        <mc:AlternateContent>
          <mc:Choice Requires="wps">
            <w:drawing>
              <wp:anchor distT="0" distB="0" distL="0" distR="0" simplePos="0" relativeHeight="125829467" behindDoc="0" locked="0" layoutInCell="1" allowOverlap="1">
                <wp:simplePos x="0" y="0"/>
                <wp:positionH relativeFrom="page">
                  <wp:posOffset>5690235</wp:posOffset>
                </wp:positionH>
                <wp:positionV relativeFrom="paragraph">
                  <wp:posOffset>33655</wp:posOffset>
                </wp:positionV>
                <wp:extent cx="1100455" cy="804545"/>
                <wp:wrapSquare wrapText="bothSides"/>
                <wp:docPr id="259" name="Shape 259"/>
                <a:graphic xmlns:a="http://schemas.openxmlformats.org/drawingml/2006/main">
                  <a:graphicData uri="http://schemas.microsoft.com/office/word/2010/wordprocessingShape">
                    <wps:wsp>
                      <wps:cNvSpPr txBox="1"/>
                      <wps:spPr>
                        <a:xfrm>
                          <a:ext cx="1100455" cy="80454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423,496,869.27</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104,764,256.08</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18,557,496.69</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546,818,622&amp;</w:t>
                            </w:r>
                          </w:p>
                        </w:txbxContent>
                      </wps:txbx>
                      <wps:bodyPr lIns="0" tIns="0" rIns="0" bIns="0">
                        <a:noAutoFit/>
                      </wps:bodyPr>
                    </wps:wsp>
                  </a:graphicData>
                </a:graphic>
              </wp:anchor>
            </w:drawing>
          </mc:Choice>
          <mc:Fallback>
            <w:pict>
              <v:shape id="_x0000_s1285" type="#_x0000_t202" style="position:absolute;margin-left:448.05000000000001pt;margin-top:2.6499999999999999pt;width:86.650000000000006pt;height:63.350000000000001pt;z-index:-125829286;mso-wrap-distance-left:0;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423,496,869.27</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104,764,256.08</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18,557,496.69</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546,818,622&amp;</w:t>
                      </w:r>
                    </w:p>
                  </w:txbxContent>
                </v:textbox>
                <w10:wrap type="square" anchorx="page"/>
              </v:shape>
            </w:pict>
          </mc:Fallback>
        </mc:AlternateContent>
      </w:r>
    </w:p>
    <w:p>
      <w:pPr>
        <w:pStyle w:val="Style94"/>
        <w:keepNext w:val="0"/>
        <w:keepLines w:val="0"/>
        <w:widowControl w:val="0"/>
        <w:shd w:val="clear" w:color="auto" w:fill="auto"/>
        <w:bidi w:val="0"/>
        <w:spacing w:before="0" w:after="0" w:line="240" w:lineRule="auto"/>
        <w:ind w:left="2800" w:right="0" w:firstLine="0"/>
        <w:jc w:val="left"/>
      </w:pPr>
      <w:r>
        <w:rPr>
          <w:color w:val="000000"/>
          <w:spacing w:val="0"/>
          <w:w w:val="100"/>
          <w:position w:val="0"/>
          <w:sz w:val="24"/>
          <w:szCs w:val="24"/>
        </w:rPr>
        <w:t>126,548,491.72</w:t>
      </w:r>
    </w:p>
    <w:p>
      <w:pPr>
        <w:pStyle w:val="Style94"/>
        <w:keepNext w:val="0"/>
        <w:keepLines w:val="0"/>
        <w:widowControl w:val="0"/>
        <w:shd w:val="clear" w:color="auto" w:fill="auto"/>
        <w:bidi w:val="0"/>
        <w:spacing w:before="0" w:after="0" w:line="240" w:lineRule="auto"/>
        <w:ind w:left="2940" w:right="0" w:firstLine="0"/>
        <w:jc w:val="left"/>
      </w:pPr>
      <w:r>
        <w:rPr>
          <w:color w:val="000000"/>
          <w:spacing w:val="0"/>
          <w:w w:val="100"/>
          <w:position w:val="0"/>
          <w:sz w:val="24"/>
          <w:szCs w:val="24"/>
        </w:rPr>
        <w:t>51,336,000.00</w:t>
      </w:r>
    </w:p>
    <w:p>
      <w:pPr>
        <w:pStyle w:val="Style94"/>
        <w:keepNext w:val="0"/>
        <w:keepLines w:val="0"/>
        <w:widowControl w:val="0"/>
        <w:shd w:val="clear" w:color="auto" w:fill="auto"/>
        <w:bidi w:val="0"/>
        <w:spacing w:before="0" w:after="0" w:line="240" w:lineRule="auto"/>
        <w:ind w:left="2940" w:right="0" w:firstLine="0"/>
        <w:jc w:val="left"/>
      </w:pPr>
      <w:r>
        <w:rPr>
          <w:color w:val="000000"/>
          <w:spacing w:val="0"/>
          <w:w w:val="100"/>
          <w:position w:val="0"/>
          <w:sz w:val="24"/>
          <w:szCs w:val="24"/>
        </w:rPr>
        <w:t>19,941,882.19</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2800" w:right="0" w:firstLine="0"/>
        <w:jc w:val="left"/>
        <w:sectPr>
          <w:footnotePr>
            <w:pos w:val="pageBottom"/>
            <w:numFmt w:val="decimal"/>
            <w:numRestart w:val="continuous"/>
          </w:footnotePr>
          <w:type w:val="continuous"/>
          <w:pgSz w:w="11900" w:h="16840"/>
          <w:pgMar w:top="2161" w:right="2939" w:bottom="2161" w:left="3681" w:header="0" w:footer="3" w:gutter="0"/>
          <w:cols w:space="720"/>
          <w:noEndnote/>
          <w:rtlGutter w:val="0"/>
          <w:docGrid w:linePitch="360"/>
        </w:sectPr>
      </w:pPr>
      <w:r>
        <w:rPr>
          <w:color w:val="000000"/>
          <w:spacing w:val="0"/>
          <w:w w:val="100"/>
          <w:position w:val="0"/>
          <w:sz w:val="24"/>
          <w:szCs w:val="24"/>
        </w:rPr>
        <w:t>197,826,373.~91</w:t>
      </w:r>
    </w:p>
    <w:p>
      <w:pPr>
        <w:pStyle w:val="Style27"/>
        <w:keepNext/>
        <w:keepLines/>
        <w:widowControl w:val="0"/>
        <w:shd w:val="clear" w:color="auto" w:fill="auto"/>
        <w:bidi w:val="0"/>
        <w:spacing w:before="0" w:after="340" w:line="240" w:lineRule="auto"/>
        <w:ind w:left="0" w:right="0" w:firstLine="0"/>
        <w:jc w:val="left"/>
      </w:pPr>
      <w:bookmarkStart w:id="820" w:name="bookmark820"/>
      <w:bookmarkStart w:id="821" w:name="bookmark821"/>
      <w:bookmarkStart w:id="822" w:name="bookmark822"/>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20"/>
      <w:bookmarkEnd w:id="821"/>
      <w:bookmarkEnd w:id="822"/>
    </w:p>
    <w:p>
      <w:pPr>
        <w:pStyle w:val="Style27"/>
        <w:keepNext/>
        <w:keepLines/>
        <w:widowControl w:val="0"/>
        <w:shd w:val="clear" w:color="auto" w:fill="auto"/>
        <w:tabs>
          <w:tab w:pos="816" w:val="left"/>
        </w:tabs>
        <w:bidi w:val="0"/>
        <w:spacing w:before="0" w:after="400" w:line="240" w:lineRule="auto"/>
        <w:ind w:left="0" w:right="0" w:firstLine="0"/>
        <w:jc w:val="left"/>
        <w:rPr>
          <w:sz w:val="22"/>
          <w:szCs w:val="22"/>
        </w:rPr>
      </w:pPr>
      <w:bookmarkStart w:id="820" w:name="bookmark820"/>
      <w:bookmarkStart w:id="821" w:name="bookmark821"/>
      <w:bookmarkStart w:id="823" w:name="bookmark823"/>
      <w:r>
        <w:rPr>
          <w:rFonts w:ascii="Arial" w:eastAsia="Arial" w:hAnsi="Arial" w:cs="Arial"/>
          <w:b w:val="0"/>
          <w:bCs w:val="0"/>
          <w:color w:val="000000"/>
          <w:spacing w:val="0"/>
          <w:w w:val="100"/>
          <w:position w:val="0"/>
          <w:sz w:val="24"/>
          <w:szCs w:val="24"/>
        </w:rPr>
        <w:t>(21)</w:t>
        <w:tab/>
      </w:r>
      <w:r>
        <w:rPr>
          <w:color w:val="000000"/>
          <w:spacing w:val="0"/>
          <w:w w:val="100"/>
          <w:position w:val="0"/>
          <w:sz w:val="22"/>
          <w:szCs w:val="22"/>
        </w:rPr>
        <w:t>资产减值准备</w:t>
      </w:r>
      <w:bookmarkEnd w:id="820"/>
      <w:bookmarkEnd w:id="821"/>
      <w:bookmarkEnd w:id="823"/>
    </w:p>
    <w:tbl>
      <w:tblPr>
        <w:tblOverlap w:val="never"/>
        <w:jc w:val="center"/>
        <w:tblLayout w:type="fixed"/>
      </w:tblPr>
      <w:tblGrid>
        <w:gridCol w:w="3019"/>
        <w:gridCol w:w="2256"/>
        <w:gridCol w:w="1738"/>
        <w:gridCol w:w="1565"/>
        <w:gridCol w:w="1584"/>
        <w:gridCol w:w="1901"/>
        <w:gridCol w:w="1728"/>
      </w:tblGrid>
      <w:tr>
        <w:trPr>
          <w:trHeight w:val="240"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center"/>
            </w:pPr>
            <w:r>
              <w:rPr>
                <w:rFonts w:ascii="Arial" w:eastAsia="Arial" w:hAnsi="Arial" w:cs="Arial"/>
                <w:color w:val="000000"/>
                <w:spacing w:val="0"/>
                <w:w w:val="100"/>
                <w:position w:val="0"/>
                <w:sz w:val="18"/>
                <w:szCs w:val="18"/>
              </w:rPr>
              <w:t xml:space="preserve">2015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c>
          <w:tcPr>
            <w:vMerge w:val="restart"/>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820"/>
              <w:jc w:val="left"/>
            </w:pPr>
            <w:r>
              <w:rPr>
                <w:color w:val="000000"/>
                <w:spacing w:val="0"/>
                <w:w w:val="100"/>
                <w:position w:val="0"/>
              </w:rPr>
              <w:t>本年增加</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vMerge w:val="restart"/>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right"/>
            </w:pPr>
            <w:r>
              <w:rPr>
                <w:rFonts w:ascii="Arial" w:eastAsia="Arial" w:hAnsi="Arial" w:cs="Arial"/>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r>
      <w:tr>
        <w:trPr>
          <w:trHeight w:val="523"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140" w:firstLine="0"/>
              <w:jc w:val="right"/>
            </w:pPr>
            <w:r>
              <w:rPr>
                <w:color w:val="000000"/>
                <w:spacing w:val="0"/>
                <w:w w:val="100"/>
                <w:position w:val="0"/>
              </w:rPr>
              <w:t>转回</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60"/>
              <w:jc w:val="left"/>
            </w:pPr>
            <w:r>
              <w:rPr>
                <w:color w:val="000000"/>
                <w:spacing w:val="0"/>
                <w:w w:val="100"/>
                <w:position w:val="0"/>
              </w:rPr>
              <w:t>处置子公司</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400" w:firstLine="0"/>
              <w:jc w:val="right"/>
            </w:pPr>
            <w:r>
              <w:rPr>
                <w:color w:val="000000"/>
                <w:spacing w:val="0"/>
                <w:w w:val="100"/>
                <w:position w:val="0"/>
              </w:rPr>
              <w:t>核销</w:t>
            </w:r>
          </w:p>
        </w:tc>
        <w:tc>
          <w:tcPr>
            <w:vMerge/>
            <w:tcBorders/>
            <w:shd w:val="clear" w:color="auto" w:fill="FFFFFF"/>
            <w:vAlign w:val="top"/>
          </w:tcPr>
          <w:p>
            <w:pPr/>
          </w:p>
        </w:tc>
      </w:tr>
      <w:tr>
        <w:trPr>
          <w:trHeight w:val="4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99,834,816.58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56,504,633.21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(44,978,514.33)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(42,6</w:t>
            </w:r>
            <w:r>
              <w:rPr>
                <w:rFonts w:ascii="Arial" w:eastAsia="Arial" w:hAnsi="Arial" w:cs="Arial"/>
                <w:color w:val="000000"/>
                <w:spacing w:val="0"/>
                <w:w w:val="100"/>
                <w:position w:val="0"/>
                <w:sz w:val="18"/>
                <w:szCs w:val="18"/>
              </w:rPr>
              <w:t>32,170.63)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68,728,764.83</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其中：应收账款坏账准备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41,309,842.18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28,427,164.28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(15,2</w:t>
            </w:r>
            <w:r>
              <w:rPr>
                <w:rFonts w:ascii="Arial" w:eastAsia="Arial" w:hAnsi="Arial" w:cs="Arial"/>
                <w:color w:val="000000"/>
                <w:spacing w:val="0"/>
                <w:w w:val="100"/>
                <w:position w:val="0"/>
                <w:sz w:val="18"/>
                <w:szCs w:val="18"/>
              </w:rPr>
              <w:t>58,007.65)</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54,478,998.81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7"/>
                <w:szCs w:val="17"/>
              </w:rPr>
              <w:t>其他应收款坏账准备</w:t>
            </w:r>
            <w:r>
              <w:rPr>
                <w:rFonts w:ascii="Arial" w:eastAsia="Arial" w:hAnsi="Arial" w:cs="Arial"/>
                <w:color w:val="000000"/>
                <w:spacing w:val="0"/>
                <w:w w:val="100"/>
                <w:position w:val="0"/>
                <w:sz w:val="18"/>
                <w:szCs w:val="18"/>
              </w:rPr>
              <w:t>(i)</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57,202,092.57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20,687,704.69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(44,978,514.33)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(18,661,516.91)</w:t>
            </w:r>
          </w:p>
        </w:tc>
        <w:tc>
          <w:tcPr>
            <w:tcBorders>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14,249,766.02</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长期应收款坏帐准备</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1,322,881.83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7,389,764.24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 xml:space="preserve">(8,7 </w:t>
            </w:r>
            <w:r>
              <w:rPr>
                <w:rFonts w:ascii="Arial" w:eastAsia="Arial" w:hAnsi="Arial" w:cs="Arial"/>
                <w:color w:val="000000"/>
                <w:spacing w:val="0"/>
                <w:w w:val="100"/>
                <w:position w:val="0"/>
                <w:sz w:val="18"/>
                <w:szCs w:val="18"/>
              </w:rPr>
              <w:t>12,646.07)</w:t>
            </w:r>
          </w:p>
        </w:tc>
        <w:tc>
          <w:tcPr>
            <w:tcBorders>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35,286,223.70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35,286,223.70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发放贷款及垫款减值准备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9,085,805.46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4,212,161.76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(12,627,505.50)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670,461.72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应收保理款减值准备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1,243,136.61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3,434,211.36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(4,677,347.97)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23,189,587.56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23,189,587.56</w:t>
            </w:r>
          </w:p>
        </w:tc>
      </w:tr>
      <w:tr>
        <w:trPr>
          <w:trHeight w:val="38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168,639,569.91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64,151,006.33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(44,978,514.33)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(17,304,853.47)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(42,6</w:t>
            </w:r>
            <w:r>
              <w:rPr>
                <w:rFonts w:ascii="Arial" w:eastAsia="Arial" w:hAnsi="Arial" w:cs="Arial"/>
                <w:color w:val="000000"/>
                <w:spacing w:val="0"/>
                <w:w w:val="100"/>
                <w:position w:val="0"/>
                <w:sz w:val="18"/>
                <w:szCs w:val="18"/>
              </w:rPr>
              <w:t>32,170.63)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127,875,037.81</w:t>
            </w:r>
          </w:p>
        </w:tc>
      </w:tr>
    </w:tbl>
    <w:p>
      <w:pPr>
        <w:widowControl w:val="0"/>
        <w:spacing w:after="279" w:line="1" w:lineRule="exact"/>
      </w:pPr>
    </w:p>
    <w:p>
      <w:pPr>
        <w:pStyle w:val="Style33"/>
        <w:keepNext w:val="0"/>
        <w:keepLines w:val="0"/>
        <w:widowControl w:val="0"/>
        <w:shd w:val="clear" w:color="auto" w:fill="auto"/>
        <w:bidi w:val="0"/>
        <w:spacing w:before="0" w:after="340" w:line="317" w:lineRule="exact"/>
        <w:ind w:left="380" w:right="0" w:hanging="380"/>
        <w:jc w:val="left"/>
        <w:rPr>
          <w:sz w:val="22"/>
          <w:szCs w:val="22"/>
        </w:rPr>
        <w:sectPr>
          <w:footnotePr>
            <w:pos w:val="pageBottom"/>
            <w:numFmt w:val="decimal"/>
            <w:numRestart w:val="continuous"/>
          </w:footnotePr>
          <w:pgSz w:w="16840" w:h="11900" w:orient="landscape"/>
          <w:pgMar w:top="1516" w:right="1090" w:bottom="1516" w:left="1911" w:header="0" w:footer="3" w:gutter="0"/>
          <w:cols w:space="720"/>
          <w:noEndnote/>
          <w:rtlGutter w:val="0"/>
          <w:docGrid w:linePitch="360"/>
        </w:sectPr>
      </w:pPr>
      <w:r>
        <w:rPr>
          <w:b w:val="0"/>
          <w:bCs w:val="0"/>
          <w:color w:val="000000"/>
          <w:spacing w:val="0"/>
          <w:w w:val="100"/>
          <w:position w:val="0"/>
          <w:sz w:val="22"/>
          <w:szCs w:val="22"/>
        </w:rPr>
        <w:t>⑴ 其他应收款坏账准备本年转回</w:t>
      </w:r>
      <w:r>
        <w:rPr>
          <w:rFonts w:ascii="Arial" w:eastAsia="Arial" w:hAnsi="Arial" w:cs="Arial"/>
          <w:b w:val="0"/>
          <w:bCs w:val="0"/>
          <w:color w:val="000000"/>
          <w:spacing w:val="0"/>
          <w:w w:val="100"/>
          <w:position w:val="0"/>
          <w:sz w:val="24"/>
          <w:szCs w:val="24"/>
        </w:rPr>
        <w:t>44,978,514.33</w:t>
      </w:r>
      <w:r>
        <w:rPr>
          <w:b w:val="0"/>
          <w:bCs w:val="0"/>
          <w:color w:val="000000"/>
          <w:spacing w:val="0"/>
          <w:w w:val="100"/>
          <w:position w:val="0"/>
          <w:sz w:val="22"/>
          <w:szCs w:val="22"/>
        </w:rPr>
        <w:t>元，是本集团对上海牵趣网络科技有限公司及其子公司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以下简称“牵趣网络及其子 公司”</w:t>
      </w:r>
      <w:r>
        <w:rPr>
          <w:b w:val="0"/>
          <w:bCs w:val="0"/>
          <w:color w:val="000000"/>
          <w:spacing w:val="0"/>
          <w:w w:val="100"/>
          <w:position w:val="0"/>
          <w:sz w:val="28"/>
          <w:szCs w:val="28"/>
        </w:rPr>
        <w:t>)</w:t>
      </w:r>
      <w:r>
        <w:rPr>
          <w:b w:val="0"/>
          <w:bCs w:val="0"/>
          <w:color w:val="000000"/>
          <w:spacing w:val="0"/>
          <w:w w:val="100"/>
          <w:position w:val="0"/>
          <w:sz w:val="22"/>
          <w:szCs w:val="22"/>
        </w:rPr>
        <w:t>的其他应收款。截至</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日该款项已全部偿还</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附注八</w:t>
      </w:r>
      <w:r>
        <w:rPr>
          <w:rFonts w:ascii="Arial" w:eastAsia="Arial" w:hAnsi="Arial" w:cs="Arial"/>
          <w:b w:val="0"/>
          <w:bCs w:val="0"/>
          <w:color w:val="000000"/>
          <w:spacing w:val="0"/>
          <w:w w:val="100"/>
          <w:position w:val="0"/>
          <w:sz w:val="24"/>
          <w:szCs w:val="24"/>
        </w:rPr>
        <w:t>(3)(n))</w:t>
      </w:r>
      <w:r>
        <w:rPr>
          <w:b w:val="0"/>
          <w:bCs w:val="0"/>
          <w:color w:val="000000"/>
          <w:spacing w:val="0"/>
          <w:w w:val="100"/>
          <w:position w:val="0"/>
          <w:sz w:val="22"/>
          <w:szCs w:val="22"/>
        </w:rPr>
        <w:t>。</w:t>
      </w: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(22)</w:t>
      </w:r>
      <w:r>
        <w:rPr>
          <w:b/>
          <w:bCs/>
          <w:color w:val="000000"/>
          <w:spacing w:val="0"/>
          <w:w w:val="100"/>
          <w:position w:val="0"/>
          <w:sz w:val="22"/>
          <w:szCs w:val="22"/>
        </w:rPr>
        <w:t>短期借款</w:t>
      </w:r>
    </w:p>
    <w:tbl>
      <w:tblPr>
        <w:tblOverlap w:val="never"/>
        <w:jc w:val="center"/>
        <w:tblLayout w:type="fixed"/>
      </w:tblPr>
      <w:tblGrid>
        <w:gridCol w:w="2213"/>
        <w:gridCol w:w="1766"/>
        <w:gridCol w:w="2405"/>
        <w:gridCol w:w="2323"/>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币种</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人民币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3,840,000,000.00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3,480,000,000.00</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保证借款</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人民币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1,626,278,976.31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3,105,339,112.59</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5,466,278,976.31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6,585,339,112.59</w:t>
            </w:r>
          </w:p>
        </w:tc>
      </w:tr>
    </w:tbl>
    <w:p>
      <w:pPr>
        <w:widowControl w:val="0"/>
        <w:spacing w:after="299" w:line="1" w:lineRule="exact"/>
      </w:pPr>
    </w:p>
    <w:p>
      <w:pPr>
        <w:pStyle w:val="Style94"/>
        <w:keepNext w:val="0"/>
        <w:keepLines w:val="0"/>
        <w:widowControl w:val="0"/>
        <w:shd w:val="clear" w:color="auto" w:fill="auto"/>
        <w:bidi w:val="0"/>
        <w:spacing w:before="0" w:after="300" w:line="322" w:lineRule="exact"/>
        <w:ind w:left="720" w:right="0" w:hanging="720"/>
        <w:jc w:val="left"/>
        <w:rPr>
          <w:sz w:val="22"/>
          <w:szCs w:val="22"/>
        </w:rPr>
      </w:pPr>
      <w:r>
        <w:rPr>
          <w:color w:val="000000"/>
          <w:spacing w:val="0"/>
          <w:w w:val="100"/>
          <w:position w:val="0"/>
          <w:sz w:val="24"/>
          <w:szCs w:val="24"/>
        </w:rPr>
        <w:t xml:space="preserve">(a) </w:t>
      </w:r>
      <w:r>
        <w:rPr>
          <w:rFonts w:ascii="SimSun" w:eastAsia="SimSun" w:hAnsi="SimSun" w:cs="SimSun"/>
          <w:color w:val="000000"/>
          <w:spacing w:val="0"/>
          <w:w w:val="100"/>
          <w:position w:val="0"/>
          <w:sz w:val="22"/>
          <w:szCs w:val="22"/>
        </w:rPr>
        <w:t xml:space="preserve">于 </w:t>
      </w:r>
      <w:r>
        <w:rPr>
          <w:color w:val="000000"/>
          <w:spacing w:val="0"/>
          <w:w w:val="100"/>
          <w:position w:val="0"/>
          <w:sz w:val="24"/>
          <w:szCs w:val="24"/>
        </w:rPr>
        <w:t xml:space="preserve">2016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 xml:space="preserve">日，保证借款中 </w:t>
      </w:r>
      <w:r>
        <w:rPr>
          <w:color w:val="000000"/>
          <w:spacing w:val="0"/>
          <w:w w:val="100"/>
          <w:position w:val="0"/>
          <w:sz w:val="24"/>
          <w:szCs w:val="24"/>
        </w:rPr>
        <w:t xml:space="preserve">1,626,278,976.31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日：</w:t>
      </w:r>
      <w:r>
        <w:rPr>
          <w:color w:val="000000"/>
          <w:spacing w:val="0"/>
          <w:w w:val="100"/>
          <w:position w:val="0"/>
          <w:sz w:val="24"/>
          <w:szCs w:val="24"/>
        </w:rPr>
        <w:t>3,105,339,112.59</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系由泰森控股或本集团内子公司提供保证。</w:t>
      </w:r>
    </w:p>
    <w:p>
      <w:pPr>
        <w:pStyle w:val="Style94"/>
        <w:keepNext w:val="0"/>
        <w:keepLines w:val="0"/>
        <w:widowControl w:val="0"/>
        <w:shd w:val="clear" w:color="auto" w:fill="auto"/>
        <w:bidi w:val="0"/>
        <w:spacing w:before="0" w:after="300" w:line="322" w:lineRule="exact"/>
        <w:ind w:left="720" w:right="0" w:hanging="720"/>
        <w:jc w:val="left"/>
        <w:rPr>
          <w:sz w:val="22"/>
          <w:szCs w:val="22"/>
        </w:rPr>
      </w:pPr>
      <w:r>
        <w:rPr>
          <w:color w:val="000000"/>
          <w:spacing w:val="0"/>
          <w:w w:val="100"/>
          <w:position w:val="0"/>
          <w:sz w:val="24"/>
          <w:szCs w:val="24"/>
        </w:rPr>
        <w:t xml:space="preserve">(b) </w:t>
      </w: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日，短期借款的年利率区间为</w:t>
      </w:r>
      <w:r>
        <w:rPr>
          <w:color w:val="000000"/>
          <w:spacing w:val="0"/>
          <w:w w:val="100"/>
          <w:position w:val="0"/>
          <w:sz w:val="24"/>
          <w:szCs w:val="24"/>
        </w:rPr>
        <w:t>1.26%</w:t>
      </w:r>
      <w:r>
        <w:rPr>
          <w:rFonts w:ascii="SimSun" w:eastAsia="SimSun" w:hAnsi="SimSun" w:cs="SimSun"/>
          <w:color w:val="000000"/>
          <w:spacing w:val="0"/>
          <w:w w:val="100"/>
          <w:position w:val="0"/>
          <w:sz w:val="22"/>
          <w:szCs w:val="22"/>
        </w:rPr>
        <w:t>至</w:t>
      </w:r>
      <w:r>
        <w:rPr>
          <w:color w:val="000000"/>
          <w:spacing w:val="0"/>
          <w:w w:val="100"/>
          <w:position w:val="0"/>
          <w:sz w:val="24"/>
          <w:szCs w:val="24"/>
        </w:rPr>
        <w:t>4.35%(2015</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日：</w:t>
      </w:r>
      <w:r>
        <w:rPr>
          <w:color w:val="000000"/>
          <w:spacing w:val="0"/>
          <w:w w:val="100"/>
          <w:position w:val="0"/>
          <w:sz w:val="24"/>
          <w:szCs w:val="24"/>
        </w:rPr>
        <w:t>1.22%</w:t>
      </w:r>
      <w:r>
        <w:rPr>
          <w:rFonts w:ascii="SimSun" w:eastAsia="SimSun" w:hAnsi="SimSun" w:cs="SimSun"/>
          <w:color w:val="000000"/>
          <w:spacing w:val="0"/>
          <w:w w:val="100"/>
          <w:position w:val="0"/>
          <w:sz w:val="22"/>
          <w:szCs w:val="22"/>
        </w:rPr>
        <w:t xml:space="preserve">至 </w:t>
      </w:r>
      <w:r>
        <w:rPr>
          <w:color w:val="000000"/>
          <w:spacing w:val="0"/>
          <w:w w:val="100"/>
          <w:position w:val="0"/>
          <w:sz w:val="24"/>
          <w:szCs w:val="24"/>
        </w:rPr>
        <w:t>4.45%)</w:t>
      </w:r>
      <w:r>
        <w:rPr>
          <w:rFonts w:ascii="SimSun" w:eastAsia="SimSun" w:hAnsi="SimSun" w:cs="SimSun"/>
          <w:color w:val="000000"/>
          <w:spacing w:val="0"/>
          <w:w w:val="100"/>
          <w:position w:val="0"/>
          <w:sz w:val="22"/>
          <w:szCs w:val="22"/>
        </w:rPr>
        <w:t>。</w:t>
      </w:r>
    </w:p>
    <w:p>
      <w:pPr>
        <w:pStyle w:val="Style33"/>
        <w:keepNext w:val="0"/>
        <w:keepLines w:val="0"/>
        <w:widowControl w:val="0"/>
        <w:shd w:val="clear" w:color="auto" w:fill="auto"/>
        <w:bidi w:val="0"/>
        <w:spacing w:before="0" w:after="360" w:line="322" w:lineRule="exact"/>
        <w:ind w:left="0" w:right="0" w:firstLine="0"/>
        <w:jc w:val="left"/>
        <w:rPr>
          <w:sz w:val="22"/>
          <w:szCs w:val="22"/>
        </w:rPr>
      </w:pPr>
      <w:r>
        <w:rPr>
          <w:rFonts w:ascii="Arial" w:eastAsia="Arial" w:hAnsi="Arial" w:cs="Arial"/>
          <w:b w:val="0"/>
          <w:bCs w:val="0"/>
          <w:color w:val="000000"/>
          <w:spacing w:val="0"/>
          <w:w w:val="100"/>
          <w:position w:val="0"/>
          <w:sz w:val="24"/>
          <w:szCs w:val="24"/>
        </w:rPr>
        <w:t>(23)</w:t>
      </w:r>
      <w:r>
        <w:rPr>
          <w:color w:val="000000"/>
          <w:spacing w:val="0"/>
          <w:w w:val="100"/>
          <w:position w:val="0"/>
          <w:sz w:val="22"/>
          <w:szCs w:val="22"/>
        </w:rPr>
        <w:t>应付账款</w:t>
      </w:r>
    </w:p>
    <w:tbl>
      <w:tblPr>
        <w:tblOverlap w:val="never"/>
        <w:jc w:val="center"/>
        <w:tblLayout w:type="fixed"/>
      </w:tblPr>
      <w:tblGrid>
        <w:gridCol w:w="3614"/>
        <w:gridCol w:w="2760"/>
        <w:gridCol w:w="2458"/>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应付关联方款项</w:t>
            </w:r>
            <w:r>
              <w:rPr>
                <w:rFonts w:ascii="Arial" w:eastAsia="Arial" w:hAnsi="Arial" w:cs="Arial"/>
                <w:color w:val="000000"/>
                <w:spacing w:val="0"/>
                <w:w w:val="100"/>
                <w:position w:val="0"/>
                <w:sz w:val="24"/>
                <w:szCs w:val="24"/>
              </w:rPr>
              <w:t>(</w:t>
            </w:r>
            <w:r>
              <w:rPr>
                <w:color w:val="000000"/>
                <w:spacing w:val="0"/>
                <w:w w:val="100"/>
                <w:position w:val="0"/>
                <w:sz w:val="22"/>
                <w:szCs w:val="22"/>
              </w:rPr>
              <w:t>附注八</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4)(e))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118,086,528.17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380,435,514.58</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应付外包成本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3,368,434,604.34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764,357,934.89</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应付运输成本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850,146,850.08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1,139,133,936.79</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应付物资及材料费用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533,312,729.68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435,297,312.73</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应付办公及租赁费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335,082,691.20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220,562,397.89</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应付关务成本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17,718,464.95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24,509,310.51</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36,395,337.95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131,176,681.30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5,259,177,206.37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3,095,473,088.69</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2161" w:right="1105" w:bottom="2161" w:left="1962" w:header="0" w:footer="3" w:gutter="0"/>
          <w:cols w:space="720"/>
          <w:noEndnote/>
          <w:rtlGutter w:val="0"/>
          <w:docGrid w:linePitch="360"/>
        </w:sectPr>
      </w:pPr>
    </w:p>
    <w:p>
      <w:pPr>
        <w:pStyle w:val="Style94"/>
        <w:keepNext w:val="0"/>
        <w:keepLines w:val="0"/>
        <w:widowControl w:val="0"/>
        <w:shd w:val="clear" w:color="auto" w:fill="auto"/>
        <w:bidi w:val="0"/>
        <w:spacing w:before="0" w:after="380" w:line="240" w:lineRule="auto"/>
        <w:ind w:left="0" w:right="0" w:firstLine="0"/>
        <w:jc w:val="left"/>
        <w:rPr>
          <w:sz w:val="28"/>
          <w:szCs w:val="28"/>
        </w:rPr>
      </w:pPr>
      <w:r>
        <w:rPr>
          <w:color w:val="000000"/>
          <w:spacing w:val="0"/>
          <w:w w:val="100"/>
          <w:position w:val="0"/>
          <w:sz w:val="24"/>
          <w:szCs w:val="24"/>
        </w:rPr>
        <w:t xml:space="preserve">(23) </w:t>
      </w:r>
      <w:r>
        <w:rPr>
          <w:rFonts w:ascii="SimSun" w:eastAsia="SimSun" w:hAnsi="SimSun" w:cs="SimSun"/>
          <w:b/>
          <w:bCs/>
          <w:color w:val="000000"/>
          <w:spacing w:val="0"/>
          <w:w w:val="100"/>
          <w:position w:val="0"/>
          <w:sz w:val="22"/>
          <w:szCs w:val="22"/>
        </w:rPr>
        <w:t>应付账款</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20" w:line="240" w:lineRule="auto"/>
        <w:ind w:left="0" w:right="0" w:firstLine="0"/>
        <w:jc w:val="left"/>
        <w:rPr>
          <w:sz w:val="22"/>
          <w:szCs w:val="22"/>
        </w:rPr>
      </w:pPr>
      <w:r>
        <w:rPr>
          <w:b w:val="0"/>
          <w:bCs w:val="0"/>
          <w:color w:val="000000"/>
          <w:spacing w:val="0"/>
          <w:w w:val="100"/>
          <w:position w:val="0"/>
          <w:sz w:val="22"/>
          <w:szCs w:val="22"/>
        </w:rPr>
        <w:t>账龄超过一年的应付账款</w:t>
      </w:r>
    </w:p>
    <w:p>
      <w:pPr>
        <w:widowControl w:val="0"/>
        <w:spacing w:line="1" w:lineRule="exact"/>
      </w:pPr>
      <w:r>
        <mc:AlternateContent>
          <mc:Choice Requires="wps">
            <w:drawing>
              <wp:anchor distT="152400" distB="0" distL="0" distR="0" simplePos="0" relativeHeight="125829469" behindDoc="0" locked="0" layoutInCell="1" allowOverlap="1">
                <wp:simplePos x="0" y="0"/>
                <wp:positionH relativeFrom="page">
                  <wp:posOffset>3855085</wp:posOffset>
                </wp:positionH>
                <wp:positionV relativeFrom="paragraph">
                  <wp:posOffset>152400</wp:posOffset>
                </wp:positionV>
                <wp:extent cx="1353185" cy="189230"/>
                <wp:wrapTopAndBottom/>
                <wp:docPr id="275" name="Shape 275"/>
                <a:graphic xmlns:a="http://schemas.openxmlformats.org/drawingml/2006/main">
                  <a:graphicData uri="http://schemas.microsoft.com/office/word/2010/wordprocessingShape">
                    <wps:wsp>
                      <wps:cNvSpPr txBox="1"/>
                      <wps:spPr>
                        <a:xfrm>
                          <a:ext cx="1353185"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301" type="#_x0000_t202" style="position:absolute;margin-left:303.55000000000001pt;margin-top:12.pt;width:106.55pt;height:14.9pt;z-index:-125829284;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52400" distB="0" distL="0" distR="0" simplePos="0" relativeHeight="125829471" behindDoc="0" locked="0" layoutInCell="1" allowOverlap="1">
                <wp:simplePos x="0" y="0"/>
                <wp:positionH relativeFrom="page">
                  <wp:posOffset>5436870</wp:posOffset>
                </wp:positionH>
                <wp:positionV relativeFrom="paragraph">
                  <wp:posOffset>152400</wp:posOffset>
                </wp:positionV>
                <wp:extent cx="1356360" cy="189230"/>
                <wp:wrapTopAndBottom/>
                <wp:docPr id="277" name="Shape 277"/>
                <a:graphic xmlns:a="http://schemas.openxmlformats.org/drawingml/2006/main">
                  <a:graphicData uri="http://schemas.microsoft.com/office/word/2010/wordprocessingShape">
                    <wps:wsp>
                      <wps:cNvSpPr txBox="1"/>
                      <wps:spPr>
                        <a:xfrm>
                          <a:ext cx="135636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303" type="#_x0000_t202" style="position:absolute;margin-left:428.10000000000002pt;margin-top:12.pt;width:106.8pt;height:14.9pt;z-index:-125829282;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line="1" w:lineRule="exact"/>
      </w:pPr>
      <w:r>
        <mc:AlternateContent>
          <mc:Choice Requires="wps">
            <w:drawing>
              <wp:anchor distT="215900" distB="0" distL="0" distR="0" simplePos="0" relativeHeight="125829473" behindDoc="0" locked="0" layoutInCell="1" allowOverlap="1">
                <wp:simplePos x="0" y="0"/>
                <wp:positionH relativeFrom="page">
                  <wp:posOffset>1245870</wp:posOffset>
                </wp:positionH>
                <wp:positionV relativeFrom="paragraph">
                  <wp:posOffset>215900</wp:posOffset>
                </wp:positionV>
                <wp:extent cx="1082040" cy="615950"/>
                <wp:wrapTopAndBottom/>
                <wp:docPr id="279" name="Shape 279"/>
                <a:graphic xmlns:a="http://schemas.openxmlformats.org/drawingml/2006/main">
                  <a:graphicData uri="http://schemas.microsoft.com/office/word/2010/wordprocessingShape">
                    <wps:wsp>
                      <wps:cNvSpPr txBox="1"/>
                      <wps:spPr>
                        <a:xfrm>
                          <a:ext cx="1082040" cy="615950"/>
                        </a:xfrm>
                        <a:prstGeom prst="rect"/>
                        <a:noFill/>
                      </wps:spPr>
                      <wps:txbx>
                        <w:txbxContent>
                          <w:p>
                            <w:pPr>
                              <w:pStyle w:val="Style33"/>
                              <w:keepNext w:val="0"/>
                              <w:keepLines w:val="0"/>
                              <w:widowControl w:val="0"/>
                              <w:shd w:val="clear" w:color="auto" w:fill="auto"/>
                              <w:bidi w:val="0"/>
                              <w:spacing w:before="0" w:after="380" w:line="240" w:lineRule="auto"/>
                              <w:ind w:left="0" w:right="0" w:firstLine="0"/>
                              <w:jc w:val="left"/>
                              <w:rPr>
                                <w:sz w:val="22"/>
                                <w:szCs w:val="22"/>
                              </w:rPr>
                            </w:pPr>
                            <w:r>
                              <w:rPr>
                                <w:b w:val="0"/>
                                <w:bCs w:val="0"/>
                                <w:color w:val="000000"/>
                                <w:spacing w:val="0"/>
                                <w:w w:val="100"/>
                                <w:position w:val="0"/>
                                <w:sz w:val="22"/>
                                <w:szCs w:val="22"/>
                              </w:rPr>
                              <w:t>银行承兑汇票</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(25)</w:t>
                            </w:r>
                            <w:r>
                              <w:rPr>
                                <w:color w:val="000000"/>
                                <w:spacing w:val="0"/>
                                <w:w w:val="100"/>
                                <w:position w:val="0"/>
                                <w:sz w:val="22"/>
                                <w:szCs w:val="22"/>
                              </w:rPr>
                              <w:t>预收款项</w:t>
                            </w:r>
                          </w:p>
                        </w:txbxContent>
                      </wps:txbx>
                      <wps:bodyPr lIns="0" tIns="0" rIns="0" bIns="0">
                        <a:noAutoFit/>
                      </wps:bodyPr>
                    </wps:wsp>
                  </a:graphicData>
                </a:graphic>
              </wp:anchor>
            </w:drawing>
          </mc:Choice>
          <mc:Fallback>
            <w:pict>
              <v:shape id="_x0000_s1305" type="#_x0000_t202" style="position:absolute;margin-left:98.100000000000009pt;margin-top:17.pt;width:85.200000000000003pt;height:48.5pt;z-index:-125829280;mso-wrap-distance-left:0;mso-wrap-distance-top:17.pt;mso-wrap-distance-right:0;mso-position-horizontal-relative:page" filled="f" stroked="f">
                <v:textbox inset="0,0,0,0">
                  <w:txbxContent>
                    <w:p>
                      <w:pPr>
                        <w:pStyle w:val="Style33"/>
                        <w:keepNext w:val="0"/>
                        <w:keepLines w:val="0"/>
                        <w:widowControl w:val="0"/>
                        <w:shd w:val="clear" w:color="auto" w:fill="auto"/>
                        <w:bidi w:val="0"/>
                        <w:spacing w:before="0" w:after="380" w:line="240" w:lineRule="auto"/>
                        <w:ind w:left="0" w:right="0" w:firstLine="0"/>
                        <w:jc w:val="left"/>
                        <w:rPr>
                          <w:sz w:val="22"/>
                          <w:szCs w:val="22"/>
                        </w:rPr>
                      </w:pPr>
                      <w:r>
                        <w:rPr>
                          <w:b w:val="0"/>
                          <w:bCs w:val="0"/>
                          <w:color w:val="000000"/>
                          <w:spacing w:val="0"/>
                          <w:w w:val="100"/>
                          <w:position w:val="0"/>
                          <w:sz w:val="22"/>
                          <w:szCs w:val="22"/>
                        </w:rPr>
                        <w:t>银行承兑汇票</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(25)</w:t>
                      </w:r>
                      <w:r>
                        <w:rPr>
                          <w:color w:val="000000"/>
                          <w:spacing w:val="0"/>
                          <w:w w:val="100"/>
                          <w:position w:val="0"/>
                          <w:sz w:val="22"/>
                          <w:szCs w:val="22"/>
                        </w:rPr>
                        <w:t>预收款项</w:t>
                      </w:r>
                    </w:p>
                  </w:txbxContent>
                </v:textbox>
                <w10:wrap type="topAndBottom" anchorx="page"/>
              </v:shape>
            </w:pict>
          </mc:Fallback>
        </mc:AlternateContent>
      </w:r>
      <w:r>
        <mc:AlternateContent>
          <mc:Choice Requires="wps">
            <w:drawing>
              <wp:anchor distT="215900" distB="426720" distL="0" distR="0" simplePos="0" relativeHeight="125829475" behindDoc="0" locked="0" layoutInCell="1" allowOverlap="1">
                <wp:simplePos x="0" y="0"/>
                <wp:positionH relativeFrom="page">
                  <wp:posOffset>5702300</wp:posOffset>
                </wp:positionH>
                <wp:positionV relativeFrom="paragraph">
                  <wp:posOffset>215900</wp:posOffset>
                </wp:positionV>
                <wp:extent cx="1075690" cy="189230"/>
                <wp:wrapTopAndBottom/>
                <wp:docPr id="281" name="Shape 281"/>
                <a:graphic xmlns:a="http://schemas.openxmlformats.org/drawingml/2006/main">
                  <a:graphicData uri="http://schemas.microsoft.com/office/word/2010/wordprocessingShape">
                    <wps:wsp>
                      <wps:cNvSpPr txBox="1"/>
                      <wps:spPr>
                        <a:xfrm>
                          <a:ext cx="1075690" cy="18923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190,000,000.00</w:t>
                            </w:r>
                          </w:p>
                        </w:txbxContent>
                      </wps:txbx>
                      <wps:bodyPr wrap="none" lIns="0" tIns="0" rIns="0" bIns="0">
                        <a:noAutoFit/>
                      </wps:bodyPr>
                    </wps:wsp>
                  </a:graphicData>
                </a:graphic>
              </wp:anchor>
            </w:drawing>
          </mc:Choice>
          <mc:Fallback>
            <w:pict>
              <v:shape id="_x0000_s1307" type="#_x0000_t202" style="position:absolute;margin-left:449.pt;margin-top:17.pt;width:84.700000000000003pt;height:14.9pt;z-index:-125829278;mso-wrap-distance-left:0;mso-wrap-distance-top:17.pt;mso-wrap-distance-right:0;mso-wrap-distance-bottom:33.600000000000001pt;mso-position-horizontal-relative:page"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190,000,000.00</w:t>
                      </w:r>
                    </w:p>
                  </w:txbxContent>
                </v:textbox>
                <w10:wrap type="topAndBottom" anchorx="page"/>
              </v:shape>
            </w:pict>
          </mc:Fallback>
        </mc:AlternateContent>
      </w:r>
    </w:p>
    <w:p>
      <w:pPr>
        <w:widowControl w:val="0"/>
        <w:spacing w:line="1" w:lineRule="exact"/>
      </w:pPr>
      <w:r>
        <mc:AlternateContent>
          <mc:Choice Requires="wps">
            <w:drawing>
              <wp:anchor distT="215900" distB="0" distL="0" distR="0" simplePos="0" relativeHeight="125829477" behindDoc="0" locked="0" layoutInCell="1" allowOverlap="1">
                <wp:simplePos x="0" y="0"/>
                <wp:positionH relativeFrom="page">
                  <wp:posOffset>3855085</wp:posOffset>
                </wp:positionH>
                <wp:positionV relativeFrom="paragraph">
                  <wp:posOffset>215900</wp:posOffset>
                </wp:positionV>
                <wp:extent cx="1353185" cy="189230"/>
                <wp:wrapTopAndBottom/>
                <wp:docPr id="283" name="Shape 283"/>
                <a:graphic xmlns:a="http://schemas.openxmlformats.org/drawingml/2006/main">
                  <a:graphicData uri="http://schemas.microsoft.com/office/word/2010/wordprocessingShape">
                    <wps:wsp>
                      <wps:cNvSpPr txBox="1"/>
                      <wps:spPr>
                        <a:xfrm>
                          <a:ext cx="1353185"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309" type="#_x0000_t202" style="position:absolute;margin-left:303.55000000000001pt;margin-top:17.pt;width:106.55pt;height:14.9pt;z-index:-125829276;mso-wrap-distance-left:0;mso-wrap-distance-top:17.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215900" distB="0" distL="0" distR="0" simplePos="0" relativeHeight="125829479" behindDoc="0" locked="0" layoutInCell="1" allowOverlap="1">
                <wp:simplePos x="0" y="0"/>
                <wp:positionH relativeFrom="page">
                  <wp:posOffset>5436870</wp:posOffset>
                </wp:positionH>
                <wp:positionV relativeFrom="paragraph">
                  <wp:posOffset>215900</wp:posOffset>
                </wp:positionV>
                <wp:extent cx="1356360" cy="189230"/>
                <wp:wrapTopAndBottom/>
                <wp:docPr id="285" name="Shape 285"/>
                <a:graphic xmlns:a="http://schemas.openxmlformats.org/drawingml/2006/main">
                  <a:graphicData uri="http://schemas.microsoft.com/office/word/2010/wordprocessingShape">
                    <wps:wsp>
                      <wps:cNvSpPr txBox="1"/>
                      <wps:spPr>
                        <a:xfrm>
                          <a:ext cx="135636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311" type="#_x0000_t202" style="position:absolute;margin-left:428.10000000000002pt;margin-top:17.pt;width:106.8pt;height:14.9pt;z-index:-125829274;mso-wrap-distance-left:0;mso-wrap-distance-top:17.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line="1" w:lineRule="exact"/>
      </w:pPr>
      <w:r>
        <mc:AlternateContent>
          <mc:Choice Requires="wps">
            <w:drawing>
              <wp:anchor distT="190500" distB="250190" distL="0" distR="0" simplePos="0" relativeHeight="125829481" behindDoc="0" locked="0" layoutInCell="1" allowOverlap="1">
                <wp:simplePos x="0" y="0"/>
                <wp:positionH relativeFrom="page">
                  <wp:posOffset>1245870</wp:posOffset>
                </wp:positionH>
                <wp:positionV relativeFrom="paragraph">
                  <wp:posOffset>190500</wp:posOffset>
                </wp:positionV>
                <wp:extent cx="1978025" cy="816610"/>
                <wp:wrapTopAndBottom/>
                <wp:docPr id="287" name="Shape 287"/>
                <a:graphic xmlns:a="http://schemas.openxmlformats.org/drawingml/2006/main">
                  <a:graphicData uri="http://schemas.microsoft.com/office/word/2010/wordprocessingShape">
                    <wps:wsp>
                      <wps:cNvSpPr txBox="1"/>
                      <wps:spPr>
                        <a:xfrm>
                          <a:ext cx="1978025" cy="816610"/>
                        </a:xfrm>
                        <a:prstGeom prst="rect"/>
                        <a:noFill/>
                      </wps:spPr>
                      <wps:txbx>
                        <w:txbxContent>
                          <w:p>
                            <w:pPr>
                              <w:pStyle w:val="Style33"/>
                              <w:keepNext w:val="0"/>
                              <w:keepLines w:val="0"/>
                              <w:widowControl w:val="0"/>
                              <w:shd w:val="clear" w:color="auto" w:fill="auto"/>
                              <w:bidi w:val="0"/>
                              <w:spacing w:before="0" w:after="0" w:line="324" w:lineRule="exact"/>
                              <w:ind w:left="0" w:right="0" w:firstLine="0"/>
                              <w:jc w:val="left"/>
                              <w:rPr>
                                <w:sz w:val="22"/>
                                <w:szCs w:val="22"/>
                              </w:rPr>
                            </w:pPr>
                            <w:r>
                              <w:rPr>
                                <w:b w:val="0"/>
                                <w:bCs w:val="0"/>
                                <w:color w:val="000000"/>
                                <w:spacing w:val="0"/>
                                <w:w w:val="100"/>
                                <w:position w:val="0"/>
                                <w:sz w:val="22"/>
                                <w:szCs w:val="22"/>
                              </w:rPr>
                              <w:t>预收关联方款项</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附注八</w:t>
                            </w:r>
                            <w:r>
                              <w:rPr>
                                <w:rFonts w:ascii="Arial" w:eastAsia="Arial" w:hAnsi="Arial" w:cs="Arial"/>
                                <w:b w:val="0"/>
                                <w:bCs w:val="0"/>
                                <w:color w:val="000000"/>
                                <w:spacing w:val="0"/>
                                <w:w w:val="100"/>
                                <w:position w:val="0"/>
                                <w:sz w:val="24"/>
                                <w:szCs w:val="24"/>
                              </w:rPr>
                              <w:t xml:space="preserve">(4)(f)) </w:t>
                            </w:r>
                            <w:r>
                              <w:rPr>
                                <w:b w:val="0"/>
                                <w:bCs w:val="0"/>
                                <w:color w:val="000000"/>
                                <w:spacing w:val="0"/>
                                <w:w w:val="100"/>
                                <w:position w:val="0"/>
                                <w:sz w:val="22"/>
                                <w:szCs w:val="22"/>
                              </w:rPr>
                              <w:t>储值卡 商品款</w:t>
                            </w:r>
                          </w:p>
                          <w:p>
                            <w:pPr>
                              <w:pStyle w:val="Style33"/>
                              <w:keepNext w:val="0"/>
                              <w:keepLines w:val="0"/>
                              <w:widowControl w:val="0"/>
                              <w:shd w:val="clear" w:color="auto" w:fill="auto"/>
                              <w:bidi w:val="0"/>
                              <w:spacing w:before="0" w:after="0" w:line="324" w:lineRule="exact"/>
                              <w:ind w:left="0" w:right="0" w:firstLine="0"/>
                              <w:jc w:val="left"/>
                              <w:rPr>
                                <w:sz w:val="22"/>
                                <w:szCs w:val="22"/>
                              </w:rPr>
                            </w:pPr>
                            <w:r>
                              <w:rPr>
                                <w:b w:val="0"/>
                                <w:bCs w:val="0"/>
                                <w:color w:val="000000"/>
                                <w:spacing w:val="0"/>
                                <w:w w:val="100"/>
                                <w:position w:val="0"/>
                                <w:sz w:val="22"/>
                                <w:szCs w:val="22"/>
                              </w:rPr>
                              <w:t>预收运费及其他</w:t>
                            </w:r>
                          </w:p>
                        </w:txbxContent>
                      </wps:txbx>
                      <wps:bodyPr lIns="0" tIns="0" rIns="0" bIns="0">
                        <a:noAutoFit/>
                      </wps:bodyPr>
                    </wps:wsp>
                  </a:graphicData>
                </a:graphic>
              </wp:anchor>
            </w:drawing>
          </mc:Choice>
          <mc:Fallback>
            <w:pict>
              <v:shape id="_x0000_s1313" type="#_x0000_t202" style="position:absolute;margin-left:98.100000000000009pt;margin-top:15.pt;width:155.75pt;height:64.299999999999997pt;z-index:-125829272;mso-wrap-distance-left:0;mso-wrap-distance-top:15.pt;mso-wrap-distance-right:0;mso-wrap-distance-bottom:19.699999999999999pt;mso-position-horizontal-relative:page" filled="f" stroked="f">
                <v:textbox inset="0,0,0,0">
                  <w:txbxContent>
                    <w:p>
                      <w:pPr>
                        <w:pStyle w:val="Style33"/>
                        <w:keepNext w:val="0"/>
                        <w:keepLines w:val="0"/>
                        <w:widowControl w:val="0"/>
                        <w:shd w:val="clear" w:color="auto" w:fill="auto"/>
                        <w:bidi w:val="0"/>
                        <w:spacing w:before="0" w:after="0" w:line="324" w:lineRule="exact"/>
                        <w:ind w:left="0" w:right="0" w:firstLine="0"/>
                        <w:jc w:val="left"/>
                        <w:rPr>
                          <w:sz w:val="22"/>
                          <w:szCs w:val="22"/>
                        </w:rPr>
                      </w:pPr>
                      <w:r>
                        <w:rPr>
                          <w:b w:val="0"/>
                          <w:bCs w:val="0"/>
                          <w:color w:val="000000"/>
                          <w:spacing w:val="0"/>
                          <w:w w:val="100"/>
                          <w:position w:val="0"/>
                          <w:sz w:val="22"/>
                          <w:szCs w:val="22"/>
                        </w:rPr>
                        <w:t>预收关联方款项</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附注八</w:t>
                      </w:r>
                      <w:r>
                        <w:rPr>
                          <w:rFonts w:ascii="Arial" w:eastAsia="Arial" w:hAnsi="Arial" w:cs="Arial"/>
                          <w:b w:val="0"/>
                          <w:bCs w:val="0"/>
                          <w:color w:val="000000"/>
                          <w:spacing w:val="0"/>
                          <w:w w:val="100"/>
                          <w:position w:val="0"/>
                          <w:sz w:val="24"/>
                          <w:szCs w:val="24"/>
                        </w:rPr>
                        <w:t xml:space="preserve">(4)(f)) </w:t>
                      </w:r>
                      <w:r>
                        <w:rPr>
                          <w:b w:val="0"/>
                          <w:bCs w:val="0"/>
                          <w:color w:val="000000"/>
                          <w:spacing w:val="0"/>
                          <w:w w:val="100"/>
                          <w:position w:val="0"/>
                          <w:sz w:val="22"/>
                          <w:szCs w:val="22"/>
                        </w:rPr>
                        <w:t>储值卡 商品款</w:t>
                      </w:r>
                    </w:p>
                    <w:p>
                      <w:pPr>
                        <w:pStyle w:val="Style33"/>
                        <w:keepNext w:val="0"/>
                        <w:keepLines w:val="0"/>
                        <w:widowControl w:val="0"/>
                        <w:shd w:val="clear" w:color="auto" w:fill="auto"/>
                        <w:bidi w:val="0"/>
                        <w:spacing w:before="0" w:after="0" w:line="324" w:lineRule="exact"/>
                        <w:ind w:left="0" w:right="0" w:firstLine="0"/>
                        <w:jc w:val="left"/>
                        <w:rPr>
                          <w:sz w:val="22"/>
                          <w:szCs w:val="22"/>
                        </w:rPr>
                      </w:pPr>
                      <w:r>
                        <w:rPr>
                          <w:b w:val="0"/>
                          <w:bCs w:val="0"/>
                          <w:color w:val="000000"/>
                          <w:spacing w:val="0"/>
                          <w:w w:val="100"/>
                          <w:position w:val="0"/>
                          <w:sz w:val="22"/>
                          <w:szCs w:val="22"/>
                        </w:rPr>
                        <w:t>预收运费及其他</w:t>
                      </w:r>
                    </w:p>
                  </w:txbxContent>
                </v:textbox>
                <w10:wrap type="topAndBottom" anchorx="page"/>
              </v:shape>
            </w:pict>
          </mc:Fallback>
        </mc:AlternateContent>
      </w:r>
      <w:r>
        <mc:AlternateContent>
          <mc:Choice Requires="wps">
            <w:drawing>
              <wp:anchor distT="214630" distB="0" distL="0" distR="0" simplePos="0" relativeHeight="125829483" behindDoc="0" locked="0" layoutInCell="1" allowOverlap="1">
                <wp:simplePos x="0" y="0"/>
                <wp:positionH relativeFrom="page">
                  <wp:posOffset>4107815</wp:posOffset>
                </wp:positionH>
                <wp:positionV relativeFrom="paragraph">
                  <wp:posOffset>214630</wp:posOffset>
                </wp:positionV>
                <wp:extent cx="1100455" cy="1042670"/>
                <wp:wrapTopAndBottom/>
                <wp:docPr id="289" name="Shape 289"/>
                <a:graphic xmlns:a="http://schemas.openxmlformats.org/drawingml/2006/main">
                  <a:graphicData uri="http://schemas.microsoft.com/office/word/2010/wordprocessingShape">
                    <wps:wsp>
                      <wps:cNvSpPr txBox="1"/>
                      <wps:spPr>
                        <a:xfrm>
                          <a:ext cx="1100455" cy="1042670"/>
                        </a:xfrm>
                        <a:prstGeom prst="rect"/>
                        <a:noFill/>
                      </wps:spPr>
                      <wps:txbx>
                        <w:txbxContent>
                          <w:p>
                            <w:pPr>
                              <w:pStyle w:val="Style94"/>
                              <w:keepNext w:val="0"/>
                              <w:keepLines w:val="0"/>
                              <w:widowControl w:val="0"/>
                              <w:shd w:val="clear" w:color="auto" w:fill="auto"/>
                              <w:bidi w:val="0"/>
                              <w:spacing w:before="0" w:after="0" w:line="288" w:lineRule="auto"/>
                              <w:ind w:left="0" w:right="0" w:firstLine="0"/>
                              <w:jc w:val="right"/>
                            </w:pPr>
                            <w:r>
                              <w:rPr>
                                <w:color w:val="000000"/>
                                <w:spacing w:val="0"/>
                                <w:w w:val="100"/>
                                <w:position w:val="0"/>
                                <w:sz w:val="24"/>
                                <w:szCs w:val="24"/>
                              </w:rPr>
                              <w:t>402,385.27</w:t>
                            </w:r>
                          </w:p>
                          <w:p>
                            <w:pPr>
                              <w:pStyle w:val="Style94"/>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rPr>
                              <w:t>183,785,584.30</w:t>
                            </w:r>
                          </w:p>
                          <w:p>
                            <w:pPr>
                              <w:pStyle w:val="Style94"/>
                              <w:keepNext w:val="0"/>
                              <w:keepLines w:val="0"/>
                              <w:widowControl w:val="0"/>
                              <w:shd w:val="clear" w:color="auto" w:fill="auto"/>
                              <w:bidi w:val="0"/>
                              <w:spacing w:before="0" w:after="0" w:line="288" w:lineRule="auto"/>
                              <w:ind w:left="0" w:right="0" w:firstLine="0"/>
                              <w:jc w:val="right"/>
                            </w:pPr>
                            <w:r>
                              <w:rPr>
                                <w:color w:val="000000"/>
                                <w:spacing w:val="0"/>
                                <w:w w:val="100"/>
                                <w:position w:val="0"/>
                                <w:sz w:val="24"/>
                                <w:szCs w:val="24"/>
                              </w:rPr>
                              <w:t>2,194,817.70</w:t>
                            </w:r>
                          </w:p>
                          <w:p>
                            <w:pPr>
                              <w:pStyle w:val="Style94"/>
                              <w:keepNext w:val="0"/>
                              <w:keepLines w:val="0"/>
                              <w:widowControl w:val="0"/>
                              <w:numPr>
                                <w:ilvl w:val="0"/>
                                <w:numId w:val="57"/>
                              </w:numPr>
                              <w:pBdr>
                                <w:top w:val="single" w:sz="4" w:space="0" w:color="auto"/>
                                <w:bottom w:val="single" w:sz="4" w:space="0" w:color="auto"/>
                              </w:pBdr>
                              <w:shd w:val="clear" w:color="auto" w:fill="auto"/>
                              <w:bidi w:val="0"/>
                              <w:spacing w:before="0" w:after="0" w:line="288" w:lineRule="auto"/>
                              <w:ind w:left="0" w:right="0" w:firstLine="0"/>
                              <w:jc w:val="right"/>
                              <w:rPr>
                                <w:sz w:val="28"/>
                                <w:szCs w:val="28"/>
                              </w:rPr>
                            </w:pPr>
                            <w:bookmarkStart w:id="824" w:name="bookmark824"/>
                            <w:bookmarkEnd w:id="824"/>
                            <w:r>
                              <w:rPr>
                                <w:color w:val="000000"/>
                                <w:spacing w:val="0"/>
                                <w:w w:val="100"/>
                                <w:position w:val="0"/>
                                <w:sz w:val="24"/>
                                <w:szCs w:val="24"/>
                              </w:rPr>
                              <w:t xml:space="preserve"> </w:t>
                            </w:r>
                            <w:r>
                              <w:rPr>
                                <w:color w:val="000000"/>
                                <w:spacing w:val="0"/>
                                <w:w w:val="100"/>
                                <w:position w:val="0"/>
                                <w:sz w:val="24"/>
                                <w:szCs w:val="24"/>
                              </w:rPr>
                              <w:t>286,348,742</w:t>
                            </w:r>
                            <w:r>
                              <w:rPr>
                                <w:rFonts w:ascii="SimSun" w:eastAsia="SimSun" w:hAnsi="SimSun" w:cs="SimSun"/>
                                <w:color w:val="000000"/>
                                <w:spacing w:val="0"/>
                                <w:w w:val="100"/>
                                <w:position w:val="0"/>
                                <w:sz w:val="28"/>
                                <w:szCs w:val="28"/>
                              </w:rPr>
                              <w:t>奏</w:t>
                            </w:r>
                          </w:p>
                        </w:txbxContent>
                      </wps:txbx>
                      <wps:bodyPr lIns="0" tIns="0" rIns="0" bIns="0">
                        <a:noAutoFit/>
                      </wps:bodyPr>
                    </wps:wsp>
                  </a:graphicData>
                </a:graphic>
              </wp:anchor>
            </w:drawing>
          </mc:Choice>
          <mc:Fallback>
            <w:pict>
              <v:shape id="_x0000_s1315" type="#_x0000_t202" style="position:absolute;margin-left:323.44999999999999pt;margin-top:16.899999999999999pt;width:86.650000000000006pt;height:82.100000000000009pt;z-index:-125829270;mso-wrap-distance-left:0;mso-wrap-distance-top:16.899999999999999pt;mso-wrap-distance-right:0;mso-position-horizontal-relative:page" filled="f" stroked="f">
                <v:textbox inset="0,0,0,0">
                  <w:txbxContent>
                    <w:p>
                      <w:pPr>
                        <w:pStyle w:val="Style94"/>
                        <w:keepNext w:val="0"/>
                        <w:keepLines w:val="0"/>
                        <w:widowControl w:val="0"/>
                        <w:shd w:val="clear" w:color="auto" w:fill="auto"/>
                        <w:bidi w:val="0"/>
                        <w:spacing w:before="0" w:after="0" w:line="288" w:lineRule="auto"/>
                        <w:ind w:left="0" w:right="0" w:firstLine="0"/>
                        <w:jc w:val="right"/>
                      </w:pPr>
                      <w:r>
                        <w:rPr>
                          <w:color w:val="000000"/>
                          <w:spacing w:val="0"/>
                          <w:w w:val="100"/>
                          <w:position w:val="0"/>
                          <w:sz w:val="24"/>
                          <w:szCs w:val="24"/>
                        </w:rPr>
                        <w:t>402,385.27</w:t>
                      </w:r>
                    </w:p>
                    <w:p>
                      <w:pPr>
                        <w:pStyle w:val="Style94"/>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rPr>
                        <w:t>183,785,584.30</w:t>
                      </w:r>
                    </w:p>
                    <w:p>
                      <w:pPr>
                        <w:pStyle w:val="Style94"/>
                        <w:keepNext w:val="0"/>
                        <w:keepLines w:val="0"/>
                        <w:widowControl w:val="0"/>
                        <w:shd w:val="clear" w:color="auto" w:fill="auto"/>
                        <w:bidi w:val="0"/>
                        <w:spacing w:before="0" w:after="0" w:line="288" w:lineRule="auto"/>
                        <w:ind w:left="0" w:right="0" w:firstLine="0"/>
                        <w:jc w:val="right"/>
                      </w:pPr>
                      <w:r>
                        <w:rPr>
                          <w:color w:val="000000"/>
                          <w:spacing w:val="0"/>
                          <w:w w:val="100"/>
                          <w:position w:val="0"/>
                          <w:sz w:val="24"/>
                          <w:szCs w:val="24"/>
                        </w:rPr>
                        <w:t>2,194,817.70</w:t>
                      </w:r>
                    </w:p>
                    <w:p>
                      <w:pPr>
                        <w:pStyle w:val="Style94"/>
                        <w:keepNext w:val="0"/>
                        <w:keepLines w:val="0"/>
                        <w:widowControl w:val="0"/>
                        <w:numPr>
                          <w:ilvl w:val="0"/>
                          <w:numId w:val="57"/>
                        </w:numPr>
                        <w:pBdr>
                          <w:top w:val="single" w:sz="4" w:space="0" w:color="auto"/>
                          <w:bottom w:val="single" w:sz="4" w:space="0" w:color="auto"/>
                        </w:pBdr>
                        <w:shd w:val="clear" w:color="auto" w:fill="auto"/>
                        <w:bidi w:val="0"/>
                        <w:spacing w:before="0" w:after="0" w:line="288" w:lineRule="auto"/>
                        <w:ind w:left="0" w:right="0" w:firstLine="0"/>
                        <w:jc w:val="right"/>
                        <w:rPr>
                          <w:sz w:val="28"/>
                          <w:szCs w:val="28"/>
                        </w:rPr>
                      </w:pPr>
                      <w:bookmarkStart w:id="824" w:name="bookmark824"/>
                      <w:bookmarkEnd w:id="824"/>
                      <w:r>
                        <w:rPr>
                          <w:color w:val="000000"/>
                          <w:spacing w:val="0"/>
                          <w:w w:val="100"/>
                          <w:position w:val="0"/>
                          <w:sz w:val="24"/>
                          <w:szCs w:val="24"/>
                        </w:rPr>
                        <w:t xml:space="preserve"> </w:t>
                      </w:r>
                      <w:r>
                        <w:rPr>
                          <w:color w:val="000000"/>
                          <w:spacing w:val="0"/>
                          <w:w w:val="100"/>
                          <w:position w:val="0"/>
                          <w:sz w:val="24"/>
                          <w:szCs w:val="24"/>
                        </w:rPr>
                        <w:t>286,348,742</w:t>
                      </w:r>
                      <w:r>
                        <w:rPr>
                          <w:rFonts w:ascii="SimSun" w:eastAsia="SimSun" w:hAnsi="SimSun" w:cs="SimSun"/>
                          <w:color w:val="000000"/>
                          <w:spacing w:val="0"/>
                          <w:w w:val="100"/>
                          <w:position w:val="0"/>
                          <w:sz w:val="28"/>
                          <w:szCs w:val="28"/>
                        </w:rPr>
                        <w:t>奏</w:t>
                      </w:r>
                    </w:p>
                  </w:txbxContent>
                </v:textbox>
                <w10:wrap type="topAndBottom" anchorx="page"/>
              </v:shape>
            </w:pict>
          </mc:Fallback>
        </mc:AlternateContent>
      </w:r>
      <w:r>
        <mc:AlternateContent>
          <mc:Choice Requires="wps">
            <w:drawing>
              <wp:anchor distT="214630" distB="33655" distL="0" distR="0" simplePos="0" relativeHeight="125829485" behindDoc="0" locked="0" layoutInCell="1" allowOverlap="1">
                <wp:simplePos x="0" y="0"/>
                <wp:positionH relativeFrom="page">
                  <wp:posOffset>5689600</wp:posOffset>
                </wp:positionH>
                <wp:positionV relativeFrom="paragraph">
                  <wp:posOffset>214630</wp:posOffset>
                </wp:positionV>
                <wp:extent cx="1100455" cy="1009015"/>
                <wp:wrapTopAndBottom/>
                <wp:docPr id="291" name="Shape 291"/>
                <a:graphic xmlns:a="http://schemas.openxmlformats.org/drawingml/2006/main">
                  <a:graphicData uri="http://schemas.microsoft.com/office/word/2010/wordprocessingShape">
                    <wps:wsp>
                      <wps:cNvSpPr txBox="1"/>
                      <wps:spPr>
                        <a:xfrm>
                          <a:ext cx="1100455" cy="100901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bookmarkStart w:id="825" w:name="bookmark825"/>
                            <w:r>
                              <w:rPr>
                                <w:color w:val="000000"/>
                                <w:spacing w:val="0"/>
                                <w:w w:val="100"/>
                                <w:position w:val="0"/>
                                <w:sz w:val="24"/>
                                <w:szCs w:val="24"/>
                              </w:rPr>
                              <w:t>1</w:t>
                            </w:r>
                            <w:bookmarkEnd w:id="825"/>
                            <w:r>
                              <w:rPr>
                                <w:color w:val="000000"/>
                                <w:spacing w:val="0"/>
                                <w:w w:val="100"/>
                                <w:position w:val="0"/>
                                <w:sz w:val="24"/>
                                <w:szCs w:val="24"/>
                              </w:rPr>
                              <w:t>,100,369.52</w:t>
                            </w:r>
                          </w:p>
                          <w:p>
                            <w:pPr>
                              <w:pStyle w:val="Style9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142,423,337.44</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56,623,651.21</w:t>
                            </w:r>
                          </w:p>
                          <w:p>
                            <w:pPr>
                              <w:pStyle w:val="Style94"/>
                              <w:keepNext w:val="0"/>
                              <w:keepLines w:val="0"/>
                              <w:widowControl w:val="0"/>
                              <w:pBdr>
                                <w:top w:val="single" w:sz="4" w:space="0" w:color="auto"/>
                                <w:bottom w:val="single" w:sz="4" w:space="0" w:color="auto"/>
                              </w:pBdr>
                              <w:shd w:val="clear" w:color="auto" w:fill="auto"/>
                              <w:bidi w:val="0"/>
                              <w:spacing w:before="0" w:after="180" w:line="240" w:lineRule="auto"/>
                              <w:ind w:left="0" w:right="0" w:firstLine="0"/>
                              <w:jc w:val="left"/>
                            </w:pPr>
                            <w:bookmarkStart w:id="826" w:name="bookmark826"/>
                            <w:r>
                              <w:rPr>
                                <w:color w:val="000000"/>
                                <w:spacing w:val="0"/>
                                <w:w w:val="100"/>
                                <w:position w:val="0"/>
                                <w:sz w:val="24"/>
                                <w:szCs w:val="24"/>
                              </w:rPr>
                              <w:t>2</w:t>
                            </w:r>
                            <w:bookmarkEnd w:id="826"/>
                            <w:r>
                              <w:rPr>
                                <w:color w:val="000000"/>
                                <w:spacing w:val="0"/>
                                <w:w w:val="100"/>
                                <w:position w:val="0"/>
                                <w:sz w:val="24"/>
                                <w:szCs w:val="24"/>
                              </w:rPr>
                              <w:t>00,147,358.17</w:t>
                            </w:r>
                          </w:p>
                        </w:txbxContent>
                      </wps:txbx>
                      <wps:bodyPr lIns="0" tIns="0" rIns="0" bIns="0">
                        <a:noAutoFit/>
                      </wps:bodyPr>
                    </wps:wsp>
                  </a:graphicData>
                </a:graphic>
              </wp:anchor>
            </w:drawing>
          </mc:Choice>
          <mc:Fallback>
            <w:pict>
              <v:shape id="_x0000_s1317" type="#_x0000_t202" style="position:absolute;margin-left:448.pt;margin-top:16.899999999999999pt;width:86.650000000000006pt;height:79.450000000000003pt;z-index:-125829268;mso-wrap-distance-left:0;mso-wrap-distance-top:16.899999999999999pt;mso-wrap-distance-right:0;mso-wrap-distance-bottom:2.6499999999999999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right"/>
                      </w:pPr>
                      <w:bookmarkStart w:id="825" w:name="bookmark825"/>
                      <w:r>
                        <w:rPr>
                          <w:color w:val="000000"/>
                          <w:spacing w:val="0"/>
                          <w:w w:val="100"/>
                          <w:position w:val="0"/>
                          <w:sz w:val="24"/>
                          <w:szCs w:val="24"/>
                        </w:rPr>
                        <w:t>1</w:t>
                      </w:r>
                      <w:bookmarkEnd w:id="825"/>
                      <w:r>
                        <w:rPr>
                          <w:color w:val="000000"/>
                          <w:spacing w:val="0"/>
                          <w:w w:val="100"/>
                          <w:position w:val="0"/>
                          <w:sz w:val="24"/>
                          <w:szCs w:val="24"/>
                        </w:rPr>
                        <w:t>,100,369.52</w:t>
                      </w:r>
                    </w:p>
                    <w:p>
                      <w:pPr>
                        <w:pStyle w:val="Style9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142,423,337.44</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56,623,651.21</w:t>
                      </w:r>
                    </w:p>
                    <w:p>
                      <w:pPr>
                        <w:pStyle w:val="Style94"/>
                        <w:keepNext w:val="0"/>
                        <w:keepLines w:val="0"/>
                        <w:widowControl w:val="0"/>
                        <w:pBdr>
                          <w:top w:val="single" w:sz="4" w:space="0" w:color="auto"/>
                          <w:bottom w:val="single" w:sz="4" w:space="0" w:color="auto"/>
                        </w:pBdr>
                        <w:shd w:val="clear" w:color="auto" w:fill="auto"/>
                        <w:bidi w:val="0"/>
                        <w:spacing w:before="0" w:after="180" w:line="240" w:lineRule="auto"/>
                        <w:ind w:left="0" w:right="0" w:firstLine="0"/>
                        <w:jc w:val="left"/>
                      </w:pPr>
                      <w:bookmarkStart w:id="826" w:name="bookmark826"/>
                      <w:r>
                        <w:rPr>
                          <w:color w:val="000000"/>
                          <w:spacing w:val="0"/>
                          <w:w w:val="100"/>
                          <w:position w:val="0"/>
                          <w:sz w:val="24"/>
                          <w:szCs w:val="24"/>
                        </w:rPr>
                        <w:t>2</w:t>
                      </w:r>
                      <w:bookmarkEnd w:id="826"/>
                      <w:r>
                        <w:rPr>
                          <w:color w:val="000000"/>
                          <w:spacing w:val="0"/>
                          <w:w w:val="100"/>
                          <w:position w:val="0"/>
                          <w:sz w:val="24"/>
                          <w:szCs w:val="24"/>
                        </w:rPr>
                        <w:t>00,147,358.17</w:t>
                      </w:r>
                    </w:p>
                  </w:txbxContent>
                </v:textbox>
                <w10:wrap type="topAndBottom" anchorx="page"/>
              </v:shape>
            </w:pict>
          </mc:Fallback>
        </mc:AlternateContent>
      </w:r>
    </w:p>
    <w:tbl>
      <w:tblPr>
        <w:tblOverlap w:val="never"/>
        <w:jc w:val="left"/>
        <w:tblLayout w:type="fixed"/>
      </w:tblPr>
      <w:tblGrid>
        <w:gridCol w:w="2525"/>
        <w:gridCol w:w="2309"/>
        <w:gridCol w:w="2261"/>
        <w:gridCol w:w="1651"/>
      </w:tblGrid>
      <w:tr>
        <w:trPr>
          <w:trHeight w:val="307" w:hRule="exact"/>
        </w:trPr>
        <w:tc>
          <w:tcPr>
            <w:tcBorders/>
            <w:shd w:val="clear" w:color="auto" w:fill="FFFFFF"/>
            <w:vAlign w:val="top"/>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应付运输成本</w:t>
            </w:r>
          </w:p>
        </w:tc>
        <w:tc>
          <w:tcPr>
            <w:tcBorders/>
            <w:shd w:val="clear" w:color="auto" w:fill="FFFFFF"/>
            <w:vAlign w:val="top"/>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680"/>
              <w:jc w:val="left"/>
              <w:rPr>
                <w:sz w:val="24"/>
                <w:szCs w:val="24"/>
              </w:rPr>
            </w:pPr>
            <w:r>
              <w:rPr>
                <w:rFonts w:ascii="Arial" w:eastAsia="Arial" w:hAnsi="Arial" w:cs="Arial"/>
                <w:color w:val="000000"/>
                <w:spacing w:val="0"/>
                <w:w w:val="100"/>
                <w:position w:val="0"/>
                <w:sz w:val="24"/>
                <w:szCs w:val="24"/>
              </w:rPr>
              <w:t>249,493.82</w:t>
            </w:r>
          </w:p>
        </w:tc>
        <w:tc>
          <w:tcPr>
            <w:tcBorders/>
            <w:shd w:val="clear" w:color="auto" w:fill="FFFFFF"/>
            <w:vAlign w:val="top"/>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113,953,331.68</w:t>
            </w:r>
          </w:p>
        </w:tc>
        <w:tc>
          <w:tcPr>
            <w:tcBorders/>
            <w:shd w:val="clear" w:color="auto" w:fill="FFFFFF"/>
            <w:vAlign w:val="top"/>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供应商未开票</w:t>
            </w:r>
          </w:p>
        </w:tc>
      </w:tr>
      <w:tr>
        <w:trPr>
          <w:trHeight w:val="317" w:hRule="exact"/>
        </w:trPr>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应付物资及材料费用</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3,916,850.72</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14,546,543.62</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供应商未开票</w:t>
            </w:r>
          </w:p>
        </w:tc>
      </w:tr>
      <w:tr>
        <w:trPr>
          <w:trHeight w:val="322" w:hRule="exact"/>
        </w:trPr>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应付外包成本</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680"/>
              <w:jc w:val="left"/>
              <w:rPr>
                <w:sz w:val="24"/>
                <w:szCs w:val="24"/>
              </w:rPr>
            </w:pPr>
            <w:r>
              <w:rPr>
                <w:rFonts w:ascii="Arial" w:eastAsia="Arial" w:hAnsi="Arial" w:cs="Arial"/>
                <w:color w:val="000000"/>
                <w:spacing w:val="0"/>
                <w:w w:val="100"/>
                <w:position w:val="0"/>
                <w:sz w:val="24"/>
                <w:szCs w:val="24"/>
              </w:rPr>
              <w:t>879,681.48</w:t>
            </w:r>
          </w:p>
        </w:tc>
        <w:tc>
          <w:tcPr>
            <w:tcBorders/>
            <w:shd w:val="clear" w:color="auto" w:fill="FFFFFF"/>
            <w:vAlign w:val="center"/>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供应商未开票</w:t>
            </w:r>
          </w:p>
        </w:tc>
      </w:tr>
      <w:tr>
        <w:trPr>
          <w:trHeight w:val="326" w:hRule="exact"/>
        </w:trPr>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应付办公及租赁费</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1,790,732.74</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10,360,657.63</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预提未付租金</w:t>
            </w:r>
          </w:p>
        </w:tc>
      </w:tr>
      <w:tr>
        <w:trPr>
          <w:trHeight w:val="302" w:hRule="exact"/>
        </w:trPr>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4,519,001.24</w:t>
            </w:r>
          </w:p>
        </w:tc>
        <w:tc>
          <w:tcPr>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4,782,514.44</w:t>
            </w:r>
          </w:p>
        </w:tc>
        <w:tc>
          <w:tcPr>
            <w:tcBorders/>
            <w:shd w:val="clear" w:color="auto" w:fill="FFFFFF"/>
            <w:vAlign w:val="top"/>
          </w:tcPr>
          <w:p>
            <w:pPr>
              <w:framePr w:w="8746" w:h="1934" w:hSpace="24" w:vSpace="648" w:wrap="notBeside" w:vAnchor="text" w:hAnchor="text" w:x="65" w:y="1009"/>
              <w:widowControl w:val="0"/>
              <w:rPr>
                <w:sz w:val="10"/>
                <w:szCs w:val="10"/>
              </w:rPr>
            </w:pPr>
          </w:p>
        </w:tc>
      </w:tr>
      <w:tr>
        <w:trPr>
          <w:trHeight w:val="360" w:hRule="exact"/>
        </w:trPr>
        <w:tc>
          <w:tcPr>
            <w:tcBorders>
              <w:top w:val="single" w:sz="4"/>
              <w:bottom w:val="single" w:sz="4"/>
            </w:tcBorders>
            <w:shd w:val="clear" w:color="auto" w:fill="FFFFFF"/>
            <w:vAlign w:val="top"/>
          </w:tcPr>
          <w:p>
            <w:pPr>
              <w:framePr w:w="8746" w:h="1934" w:hSpace="24" w:vSpace="648" w:wrap="notBeside" w:vAnchor="text" w:hAnchor="text" w:x="65" w:y="100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11,355,760.00</w:t>
            </w:r>
          </w:p>
        </w:tc>
        <w:tc>
          <w:tcPr>
            <w:tcBorders>
              <w:top w:val="single" w:sz="4"/>
              <w:bottom w:val="single" w:sz="4"/>
            </w:tcBorders>
            <w:shd w:val="clear" w:color="auto" w:fill="FFFFFF"/>
            <w:vAlign w:val="bottom"/>
          </w:tcPr>
          <w:p>
            <w:pPr>
              <w:pStyle w:val="Style23"/>
              <w:keepNext w:val="0"/>
              <w:keepLines w:val="0"/>
              <w:framePr w:w="8746" w:h="1934" w:hSpace="24" w:vSpace="648" w:wrap="notBeside" w:vAnchor="text" w:hAnchor="text" w:x="65" w:y="1009"/>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143,643,047.37</w:t>
            </w:r>
          </w:p>
        </w:tc>
        <w:tc>
          <w:tcPr>
            <w:tcBorders/>
            <w:shd w:val="clear" w:color="auto" w:fill="FFFFFF"/>
            <w:vAlign w:val="top"/>
          </w:tcPr>
          <w:p>
            <w:pPr>
              <w:framePr w:w="8746" w:h="1934" w:hSpace="24" w:vSpace="648" w:wrap="notBeside" w:vAnchor="text" w:hAnchor="text" w:x="65" w:y="1009"/>
              <w:widowControl w:val="0"/>
              <w:rPr>
                <w:sz w:val="10"/>
                <w:szCs w:val="10"/>
              </w:rPr>
            </w:pPr>
          </w:p>
        </w:tc>
      </w:tr>
    </w:tbl>
    <w:p>
      <w:pPr>
        <w:pStyle w:val="Style29"/>
        <w:keepNext w:val="0"/>
        <w:keepLines w:val="0"/>
        <w:framePr w:w="2131" w:h="298" w:hSpace="40" w:wrap="notBeside" w:vAnchor="text" w:hAnchor="text" w:x="2388" w:y="37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2136" w:h="298" w:hSpace="40" w:wrap="notBeside" w:vAnchor="text" w:hAnchor="text" w:x="4879" w:y="37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994" w:h="662" w:hSpace="40" w:wrap="notBeside" w:vAnchor="text" w:hAnchor="text" w:x="7817" w:y="1"/>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尚未结清 主要原因</w:t>
      </w:r>
    </w:p>
    <w:p>
      <w:pPr>
        <w:pStyle w:val="Style29"/>
        <w:keepNext w:val="0"/>
        <w:keepLines w:val="0"/>
        <w:framePr w:w="1728" w:h="302" w:hSpace="40" w:wrap="notBeside" w:vAnchor="text" w:hAnchor="text" w:x="41" w:y="3289"/>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(24)</w:t>
      </w:r>
      <w:r>
        <w:rPr>
          <w:b/>
          <w:bCs/>
          <w:color w:val="000000"/>
          <w:spacing w:val="0"/>
          <w:w w:val="100"/>
          <w:position w:val="0"/>
          <w:sz w:val="22"/>
          <w:szCs w:val="22"/>
        </w:rPr>
        <w:t>应付票据</w:t>
      </w:r>
    </w:p>
    <w:p>
      <w:pPr>
        <w:widowControl w:val="0"/>
        <w:spacing w:line="1" w:lineRule="exact"/>
        <w:sectPr>
          <w:footnotePr>
            <w:pos w:val="pageBottom"/>
            <w:numFmt w:val="decimal"/>
            <w:numRestart w:val="continuous"/>
          </w:footnotePr>
          <w:pgSz w:w="11900" w:h="16840"/>
          <w:pgMar w:top="2108" w:right="1110" w:bottom="4666" w:left="1938" w:header="0" w:footer="3" w:gutter="0"/>
          <w:cols w:space="720"/>
          <w:noEndnote/>
          <w:rtlGutter w:val="0"/>
          <w:docGrid w:linePitch="360"/>
        </w:sectPr>
      </w:pPr>
    </w:p>
    <w:p>
      <w:pPr>
        <w:widowControl w:val="0"/>
        <w:spacing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08" w:right="0" w:bottom="2108" w:left="0"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type w:val="continuous"/>
          <w:pgSz w:w="11900" w:h="16840"/>
          <w:pgMar w:top="2108" w:right="1110" w:bottom="2108" w:left="1938" w:header="0" w:footer="3" w:gutter="0"/>
          <w:cols w:space="720"/>
          <w:noEndnote/>
          <w:rtlGutter w:val="0"/>
          <w:docGrid w:linePitch="360"/>
        </w:sect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日，本集团无账龄超过一年的预收款项</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widowControl w:val="0"/>
        <w:spacing w:line="1" w:lineRule="exact"/>
      </w:pPr>
      <w:r>
        <mc:AlternateContent>
          <mc:Choice Requires="wps">
            <w:drawing>
              <wp:anchor distT="0" distB="152400" distL="0" distR="0" simplePos="0" relativeHeight="125829487" behindDoc="0" locked="0" layoutInCell="1" allowOverlap="1">
                <wp:simplePos x="0" y="0"/>
                <wp:positionH relativeFrom="page">
                  <wp:posOffset>1249045</wp:posOffset>
                </wp:positionH>
                <wp:positionV relativeFrom="paragraph">
                  <wp:posOffset>0</wp:posOffset>
                </wp:positionV>
                <wp:extent cx="1383665" cy="191770"/>
                <wp:wrapTopAndBottom/>
                <wp:docPr id="293" name="Shape 293"/>
                <a:graphic xmlns:a="http://schemas.openxmlformats.org/drawingml/2006/main">
                  <a:graphicData uri="http://schemas.microsoft.com/office/word/2010/wordprocessingShape">
                    <wps:wsp>
                      <wps:cNvSpPr txBox="1"/>
                      <wps:spPr>
                        <a:xfrm>
                          <a:ext cx="1383665" cy="191770"/>
                        </a:xfrm>
                        <a:prstGeom prst="rect"/>
                        <a:noFill/>
                      </wps:spPr>
                      <wps:txbx>
                        <w:txbxContent>
                          <w:p>
                            <w:pPr>
                              <w:pStyle w:val="Style27"/>
                              <w:keepNext/>
                              <w:keepLines/>
                              <w:widowControl w:val="0"/>
                              <w:shd w:val="clear" w:color="auto" w:fill="auto"/>
                              <w:bidi w:val="0"/>
                              <w:spacing w:before="0" w:after="0" w:line="240" w:lineRule="auto"/>
                              <w:ind w:left="0" w:right="0" w:firstLine="0"/>
                              <w:jc w:val="left"/>
                              <w:rPr>
                                <w:sz w:val="22"/>
                                <w:szCs w:val="22"/>
                              </w:rPr>
                            </w:pPr>
                            <w:bookmarkStart w:id="827" w:name="bookmark827"/>
                            <w:bookmarkStart w:id="828" w:name="bookmark828"/>
                            <w:bookmarkStart w:id="829" w:name="bookmark829"/>
                            <w:r>
                              <w:rPr>
                                <w:rFonts w:ascii="Arial" w:eastAsia="Arial" w:hAnsi="Arial" w:cs="Arial"/>
                                <w:b w:val="0"/>
                                <w:bCs w:val="0"/>
                                <w:color w:val="000000"/>
                                <w:spacing w:val="0"/>
                                <w:w w:val="100"/>
                                <w:position w:val="0"/>
                                <w:sz w:val="24"/>
                                <w:szCs w:val="24"/>
                              </w:rPr>
                              <w:t>(26)</w:t>
                            </w:r>
                            <w:r>
                              <w:rPr>
                                <w:color w:val="000000"/>
                                <w:spacing w:val="0"/>
                                <w:w w:val="100"/>
                                <w:position w:val="0"/>
                                <w:sz w:val="22"/>
                                <w:szCs w:val="22"/>
                              </w:rPr>
                              <w:t>应付职工薪酬</w:t>
                            </w:r>
                            <w:bookmarkEnd w:id="827"/>
                            <w:bookmarkEnd w:id="828"/>
                            <w:bookmarkEnd w:id="829"/>
                          </w:p>
                        </w:txbxContent>
                      </wps:txbx>
                      <wps:bodyPr wrap="none" lIns="0" tIns="0" rIns="0" bIns="0">
                        <a:noAutoFit/>
                      </wps:bodyPr>
                    </wps:wsp>
                  </a:graphicData>
                </a:graphic>
              </wp:anchor>
            </w:drawing>
          </mc:Choice>
          <mc:Fallback>
            <w:pict>
              <v:shape id="_x0000_s1319" type="#_x0000_t202" style="position:absolute;margin-left:98.350000000000009pt;margin-top:0;width:108.95pt;height:15.1pt;z-index:-125829266;mso-wrap-distance-left:0;mso-wrap-distance-right:0;mso-wrap-distance-bottom:12.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rPr>
                          <w:sz w:val="22"/>
                          <w:szCs w:val="22"/>
                        </w:rPr>
                      </w:pPr>
                      <w:bookmarkStart w:id="827" w:name="bookmark827"/>
                      <w:bookmarkStart w:id="828" w:name="bookmark828"/>
                      <w:bookmarkStart w:id="829" w:name="bookmark829"/>
                      <w:r>
                        <w:rPr>
                          <w:rFonts w:ascii="Arial" w:eastAsia="Arial" w:hAnsi="Arial" w:cs="Arial"/>
                          <w:b w:val="0"/>
                          <w:bCs w:val="0"/>
                          <w:color w:val="000000"/>
                          <w:spacing w:val="0"/>
                          <w:w w:val="100"/>
                          <w:position w:val="0"/>
                          <w:sz w:val="24"/>
                          <w:szCs w:val="24"/>
                        </w:rPr>
                        <w:t>(26)</w:t>
                      </w:r>
                      <w:r>
                        <w:rPr>
                          <w:color w:val="000000"/>
                          <w:spacing w:val="0"/>
                          <w:w w:val="100"/>
                          <w:position w:val="0"/>
                          <w:sz w:val="22"/>
                          <w:szCs w:val="22"/>
                        </w:rPr>
                        <w:t>应付职工薪酬</w:t>
                      </w:r>
                      <w:bookmarkEnd w:id="827"/>
                      <w:bookmarkEnd w:id="828"/>
                      <w:bookmarkEnd w:id="829"/>
                    </w:p>
                  </w:txbxContent>
                </v:textbox>
                <w10:wrap type="topAndBottom" anchorx="page"/>
              </v:shape>
            </w:pict>
          </mc:Fallback>
        </mc:AlternateContent>
      </w:r>
    </w:p>
    <w:p>
      <w:pPr>
        <w:pStyle w:val="Style9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1" w:lineRule="exact"/>
        <w:sectPr>
          <w:footnotePr>
            <w:pos w:val="pageBottom"/>
            <w:numFmt w:val="decimal"/>
            <w:numRestart w:val="continuous"/>
          </w:footnotePr>
          <w:pgSz w:w="11900" w:h="16840"/>
          <w:pgMar w:top="2161" w:right="1096" w:bottom="6284" w:left="1948" w:header="0" w:footer="3" w:gutter="0"/>
          <w:cols w:space="720"/>
          <w:noEndnote/>
          <w:rtlGutter w:val="0"/>
          <w:docGrid w:linePitch="360"/>
        </w:sectPr>
      </w:pPr>
      <w:r>
        <mc:AlternateContent>
          <mc:Choice Requires="wps">
            <w:drawing>
              <wp:anchor distT="127000" distB="0" distL="0" distR="0" simplePos="0" relativeHeight="125829489" behindDoc="0" locked="0" layoutInCell="1" allowOverlap="1">
                <wp:simplePos x="0" y="0"/>
                <wp:positionH relativeFrom="page">
                  <wp:posOffset>1245870</wp:posOffset>
                </wp:positionH>
                <wp:positionV relativeFrom="paragraph">
                  <wp:posOffset>127000</wp:posOffset>
                </wp:positionV>
                <wp:extent cx="1429385" cy="1051560"/>
                <wp:wrapTopAndBottom/>
                <wp:docPr id="295" name="Shape 295"/>
                <a:graphic xmlns:a="http://schemas.openxmlformats.org/drawingml/2006/main">
                  <a:graphicData uri="http://schemas.microsoft.com/office/word/2010/wordprocessingShape">
                    <wps:wsp>
                      <wps:cNvSpPr txBox="1"/>
                      <wps:spPr>
                        <a:xfrm>
                          <a:ext cx="1429385" cy="1051560"/>
                        </a:xfrm>
                        <a:prstGeom prst="rect"/>
                        <a:noFill/>
                      </wps:spPr>
                      <wps:txbx>
                        <w:txbxContent>
                          <w:p>
                            <w:pPr>
                              <w:pStyle w:val="Style33"/>
                              <w:keepNext w:val="0"/>
                              <w:keepLines w:val="0"/>
                              <w:widowControl w:val="0"/>
                              <w:shd w:val="clear" w:color="auto" w:fill="auto"/>
                              <w:bidi w:val="0"/>
                              <w:spacing w:before="0" w:after="680" w:line="317" w:lineRule="exact"/>
                              <w:ind w:left="0" w:right="0" w:firstLine="0"/>
                              <w:jc w:val="left"/>
                              <w:rPr>
                                <w:sz w:val="24"/>
                                <w:szCs w:val="24"/>
                              </w:rPr>
                            </w:pPr>
                            <w:r>
                              <w:rPr>
                                <w:b w:val="0"/>
                                <w:bCs w:val="0"/>
                                <w:color w:val="000000"/>
                                <w:spacing w:val="0"/>
                                <w:w w:val="100"/>
                                <w:position w:val="0"/>
                                <w:sz w:val="22"/>
                                <w:szCs w:val="22"/>
                              </w:rPr>
                              <w:t>应付短期薪酬</w:t>
                            </w: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应付设定提存计划</w:t>
                            </w:r>
                            <w:r>
                              <w:rPr>
                                <w:rFonts w:ascii="Arial" w:eastAsia="Arial" w:hAnsi="Arial" w:cs="Arial"/>
                                <w:b w:val="0"/>
                                <w:bCs w:val="0"/>
                                <w:color w:val="000000"/>
                                <w:spacing w:val="0"/>
                                <w:w w:val="100"/>
                                <w:position w:val="0"/>
                                <w:sz w:val="24"/>
                                <w:szCs w:val="24"/>
                              </w:rPr>
                              <w:t>(b)</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应付短期薪酬</w:t>
                            </w:r>
                          </w:p>
                        </w:txbxContent>
                      </wps:txbx>
                      <wps:bodyPr lIns="0" tIns="0" rIns="0" bIns="0">
                        <a:noAutoFit/>
                      </wps:bodyPr>
                    </wps:wsp>
                  </a:graphicData>
                </a:graphic>
              </wp:anchor>
            </w:drawing>
          </mc:Choice>
          <mc:Fallback>
            <w:pict>
              <v:shape id="_x0000_s1321" type="#_x0000_t202" style="position:absolute;margin-left:98.100000000000009pt;margin-top:10.pt;width:112.55pt;height:82.799999999999997pt;z-index:-125829264;mso-wrap-distance-left:0;mso-wrap-distance-top:10.pt;mso-wrap-distance-right:0;mso-position-horizontal-relative:page" filled="f" stroked="f">
                <v:textbox inset="0,0,0,0">
                  <w:txbxContent>
                    <w:p>
                      <w:pPr>
                        <w:pStyle w:val="Style33"/>
                        <w:keepNext w:val="0"/>
                        <w:keepLines w:val="0"/>
                        <w:widowControl w:val="0"/>
                        <w:shd w:val="clear" w:color="auto" w:fill="auto"/>
                        <w:bidi w:val="0"/>
                        <w:spacing w:before="0" w:after="680" w:line="317" w:lineRule="exact"/>
                        <w:ind w:left="0" w:right="0" w:firstLine="0"/>
                        <w:jc w:val="left"/>
                        <w:rPr>
                          <w:sz w:val="24"/>
                          <w:szCs w:val="24"/>
                        </w:rPr>
                      </w:pPr>
                      <w:r>
                        <w:rPr>
                          <w:b w:val="0"/>
                          <w:bCs w:val="0"/>
                          <w:color w:val="000000"/>
                          <w:spacing w:val="0"/>
                          <w:w w:val="100"/>
                          <w:position w:val="0"/>
                          <w:sz w:val="22"/>
                          <w:szCs w:val="22"/>
                        </w:rPr>
                        <w:t>应付短期薪酬</w:t>
                      </w: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应付设定提存计划</w:t>
                      </w:r>
                      <w:r>
                        <w:rPr>
                          <w:rFonts w:ascii="Arial" w:eastAsia="Arial" w:hAnsi="Arial" w:cs="Arial"/>
                          <w:b w:val="0"/>
                          <w:bCs w:val="0"/>
                          <w:color w:val="000000"/>
                          <w:spacing w:val="0"/>
                          <w:w w:val="100"/>
                          <w:position w:val="0"/>
                          <w:sz w:val="24"/>
                          <w:szCs w:val="24"/>
                        </w:rPr>
                        <w:t>(b)</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应付短期薪酬</w:t>
                      </w:r>
                    </w:p>
                  </w:txbxContent>
                </v:textbox>
                <w10:wrap type="topAndBottom" anchorx="page"/>
              </v:shape>
            </w:pict>
          </mc:Fallback>
        </mc:AlternateContent>
      </w:r>
      <w:r>
        <mc:AlternateContent>
          <mc:Choice Requires="wps">
            <w:drawing>
              <wp:anchor distT="148590" distB="429260" distL="0" distR="0" simplePos="0" relativeHeight="125829491" behindDoc="0" locked="0" layoutInCell="1" allowOverlap="1">
                <wp:simplePos x="0" y="0"/>
                <wp:positionH relativeFrom="page">
                  <wp:posOffset>3980180</wp:posOffset>
                </wp:positionH>
                <wp:positionV relativeFrom="paragraph">
                  <wp:posOffset>148590</wp:posOffset>
                </wp:positionV>
                <wp:extent cx="1216025" cy="600710"/>
                <wp:wrapTopAndBottom/>
                <wp:docPr id="297" name="Shape 297"/>
                <a:graphic xmlns:a="http://schemas.openxmlformats.org/drawingml/2006/main">
                  <a:graphicData uri="http://schemas.microsoft.com/office/word/2010/wordprocessingShape">
                    <wps:wsp>
                      <wps:cNvSpPr txBox="1"/>
                      <wps:spPr>
                        <a:xfrm>
                          <a:ext cx="1216025" cy="60071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2,102,971,913.80</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35,687,453.54</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2,138,659,367.34</w:t>
                            </w:r>
                          </w:p>
                        </w:txbxContent>
                      </wps:txbx>
                      <wps:bodyPr lIns="0" tIns="0" rIns="0" bIns="0">
                        <a:noAutoFit/>
                      </wps:bodyPr>
                    </wps:wsp>
                  </a:graphicData>
                </a:graphic>
              </wp:anchor>
            </w:drawing>
          </mc:Choice>
          <mc:Fallback>
            <w:pict>
              <v:shape id="_x0000_s1323" type="#_x0000_t202" style="position:absolute;margin-left:313.40000000000003pt;margin-top:11.700000000000001pt;width:95.75pt;height:47.300000000000004pt;z-index:-125829262;mso-wrap-distance-left:0;mso-wrap-distance-top:11.700000000000001pt;mso-wrap-distance-right:0;mso-wrap-distance-bottom:33.799999999999997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2,102,971,913.80</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35,687,453.54</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2,138,659,367.34</w:t>
                      </w:r>
                    </w:p>
                  </w:txbxContent>
                </v:textbox>
                <w10:wrap type="topAndBottom" anchorx="page"/>
              </v:shape>
            </w:pict>
          </mc:Fallback>
        </mc:AlternateContent>
      </w:r>
      <w:r>
        <mc:AlternateContent>
          <mc:Choice Requires="wps">
            <w:drawing>
              <wp:anchor distT="148590" distB="429260" distL="0" distR="0" simplePos="0" relativeHeight="125829493" behindDoc="0" locked="0" layoutInCell="1" allowOverlap="1">
                <wp:simplePos x="0" y="0"/>
                <wp:positionH relativeFrom="page">
                  <wp:posOffset>5565140</wp:posOffset>
                </wp:positionH>
                <wp:positionV relativeFrom="paragraph">
                  <wp:posOffset>148590</wp:posOffset>
                </wp:positionV>
                <wp:extent cx="1212850" cy="600710"/>
                <wp:wrapTopAndBottom/>
                <wp:docPr id="299" name="Shape 299"/>
                <a:graphic xmlns:a="http://schemas.openxmlformats.org/drawingml/2006/main">
                  <a:graphicData uri="http://schemas.microsoft.com/office/word/2010/wordprocessingShape">
                    <wps:wsp>
                      <wps:cNvSpPr txBox="1"/>
                      <wps:spPr>
                        <a:xfrm>
                          <a:ext cx="1212850" cy="60071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2,621,032,313.57</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34,755,587.86</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2,655,787,901.43</w:t>
                            </w:r>
                          </w:p>
                        </w:txbxContent>
                      </wps:txbx>
                      <wps:bodyPr lIns="0" tIns="0" rIns="0" bIns="0">
                        <a:noAutoFit/>
                      </wps:bodyPr>
                    </wps:wsp>
                  </a:graphicData>
                </a:graphic>
              </wp:anchor>
            </w:drawing>
          </mc:Choice>
          <mc:Fallback>
            <w:pict>
              <v:shape id="_x0000_s1325" type="#_x0000_t202" style="position:absolute;margin-left:438.19999999999999pt;margin-top:11.700000000000001pt;width:95.5pt;height:47.300000000000004pt;z-index:-125829260;mso-wrap-distance-left:0;mso-wrap-distance-top:11.700000000000001pt;mso-wrap-distance-right:0;mso-wrap-distance-bottom:33.799999999999997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2,621,032,313.57</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34,755,587.86</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2,655,787,901.43</w:t>
                      </w:r>
                    </w:p>
                  </w:txbxContent>
                </v:textbox>
                <w10:wrap type="topAndBottom" anchorx="page"/>
              </v:shape>
            </w:pict>
          </mc:Fallback>
        </mc:AlternateContent>
      </w: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61" w:right="0" w:bottom="2161" w:left="0" w:header="0" w:footer="3" w:gutter="0"/>
          <w:cols w:space="720"/>
          <w:noEndnote/>
          <w:rtlGutter w:val="0"/>
          <w:docGrid w:linePitch="360"/>
        </w:sectPr>
      </w:pPr>
    </w:p>
    <w:tbl>
      <w:tblPr>
        <w:tblOverlap w:val="never"/>
        <w:jc w:val="center"/>
        <w:tblLayout w:type="fixed"/>
      </w:tblPr>
      <w:tblGrid>
        <w:gridCol w:w="1930"/>
        <w:gridCol w:w="1733"/>
        <w:gridCol w:w="1728"/>
        <w:gridCol w:w="1786"/>
        <w:gridCol w:w="1680"/>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本年增加</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工资、奖金、津贴和补贴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2,258,483,022.98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12,843,213,292.30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(13,372,219,558.81)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1 ,729,476,756.47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职工福利费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7,385,415.32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65,275,778.20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(69,671,338.21)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2,989,855.31</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社会保险费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11,842,928.56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381,104,246.84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(375,950,308.00)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16,996,867.40</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10,067,964.62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314,526,139.18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(310,429,316.40)</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14,164,787.40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工伤保险费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917,640.24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38,404,970.45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(37,843,604.44)</w:t>
            </w:r>
          </w:p>
        </w:tc>
        <w:tc>
          <w:tcPr>
            <w:tcBorders>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1,479,006.25</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生育保险费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857,323.70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28,173,137.21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(27,677,387.16)</w:t>
            </w:r>
          </w:p>
        </w:tc>
        <w:tc>
          <w:tcPr>
            <w:tcBorders>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1,353,073.75</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住房公积金</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2,791,835.63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92,714,701.55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(92,039,923.28)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3,466,613.90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工会经费和职工教育经费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323,527,719.77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141,816,927.36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(137,848,260.71)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327,496,386.42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非货币性福利</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1,697,350.47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337,175,168.38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(324,732,819.35)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14,139,699.50</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15,304,040.84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55,993,297.52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(62,891,603.56)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8,405,734.80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2,621,032,313.57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13,917,293,412.15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(14,435,353,811.92)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2 ,102,971,913.80</w:t>
            </w:r>
          </w:p>
        </w:tc>
      </w:tr>
    </w:tbl>
    <w:p>
      <w:pPr>
        <w:widowControl w:val="0"/>
        <w:spacing w:after="279" w:line="1" w:lineRule="exact"/>
      </w:pPr>
    </w:p>
    <w:p>
      <w:pPr>
        <w:pStyle w:val="Style33"/>
        <w:keepNext w:val="0"/>
        <w:keepLines w:val="0"/>
        <w:widowControl w:val="0"/>
        <w:shd w:val="clear" w:color="auto" w:fill="auto"/>
        <w:bidi w:val="0"/>
        <w:spacing w:before="0" w:after="0" w:line="331" w:lineRule="exact"/>
        <w:ind w:left="0" w:right="0" w:firstLine="0"/>
        <w:jc w:val="left"/>
        <w:rPr>
          <w:sz w:val="22"/>
          <w:szCs w:val="22"/>
        </w:rPr>
        <w:sectPr>
          <w:footnotePr>
            <w:pos w:val="pageBottom"/>
            <w:numFmt w:val="decimal"/>
            <w:numRestart w:val="continuous"/>
          </w:footnotePr>
          <w:type w:val="continuous"/>
          <w:pgSz w:w="11900" w:h="16840"/>
          <w:pgMar w:top="2161" w:right="1096" w:bottom="2161" w:left="1948" w:header="0" w:footer="3" w:gutter="0"/>
          <w:cols w:space="720"/>
          <w:noEndnote/>
          <w:rtlGutter w:val="0"/>
          <w:docGrid w:linePitch="360"/>
        </w:sectPr>
      </w:pPr>
      <w:r>
        <w:rPr>
          <w:b w:val="0"/>
          <w:bCs w:val="0"/>
          <w:color w:val="000000"/>
          <w:spacing w:val="0"/>
          <w:w w:val="100"/>
          <w:position w:val="0"/>
          <w:sz w:val="22"/>
          <w:szCs w:val="22"/>
        </w:rPr>
        <w:t>本集团为职工提供的非货币性福利主要为员工提供的各种非货币性补贴，其计算依据 为公允价值。</w:t>
      </w:r>
    </w:p>
    <w:p>
      <w:pPr>
        <w:pStyle w:val="Style94"/>
        <w:keepNext w:val="0"/>
        <w:keepLines w:val="0"/>
        <w:widowControl w:val="0"/>
        <w:shd w:val="clear" w:color="auto" w:fill="auto"/>
        <w:tabs>
          <w:tab w:pos="816" w:val="left"/>
        </w:tabs>
        <w:bidi w:val="0"/>
        <w:spacing w:before="0" w:after="340" w:line="240" w:lineRule="auto"/>
        <w:ind w:left="0" w:right="0" w:firstLine="0"/>
        <w:jc w:val="left"/>
      </w:pPr>
      <w:r>
        <w:rPr>
          <w:color w:val="000000"/>
          <w:spacing w:val="0"/>
          <w:w w:val="100"/>
          <w:position w:val="0"/>
          <w:sz w:val="24"/>
          <w:szCs w:val="24"/>
        </w:rPr>
        <w:t>(26)</w:t>
        <w:tab/>
      </w:r>
      <w:r>
        <w:rPr>
          <w:rFonts w:ascii="SimSun" w:eastAsia="SimSun" w:hAnsi="SimSun" w:cs="SimSun"/>
          <w:b/>
          <w:bCs/>
          <w:color w:val="000000"/>
          <w:spacing w:val="0"/>
          <w:w w:val="100"/>
          <w:position w:val="0"/>
          <w:sz w:val="22"/>
          <w:szCs w:val="22"/>
        </w:rPr>
        <w:t>应付职工薪酬</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color w:val="000000"/>
          <w:spacing w:val="0"/>
          <w:w w:val="100"/>
          <w:position w:val="0"/>
          <w:sz w:val="24"/>
          <w:szCs w:val="24"/>
        </w:rPr>
        <w:t>)</w:t>
      </w:r>
    </w:p>
    <w:p>
      <w:pPr>
        <w:pStyle w:val="Style33"/>
        <w:keepNext w:val="0"/>
        <w:keepLines w:val="0"/>
        <w:widowControl w:val="0"/>
        <w:shd w:val="clear" w:color="auto" w:fill="auto"/>
        <w:bidi w:val="0"/>
        <w:spacing w:before="0" w:after="42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(b) </w:t>
      </w:r>
      <w:r>
        <w:rPr>
          <w:b w:val="0"/>
          <w:bCs w:val="0"/>
          <w:color w:val="000000"/>
          <w:spacing w:val="0"/>
          <w:w w:val="100"/>
          <w:position w:val="0"/>
          <w:sz w:val="22"/>
          <w:szCs w:val="22"/>
        </w:rPr>
        <w:t>设定提存计划</w:t>
      </w:r>
    </w:p>
    <w:tbl>
      <w:tblPr>
        <w:tblOverlap w:val="never"/>
        <w:jc w:val="center"/>
        <w:tblLayout w:type="fixed"/>
      </w:tblPr>
      <w:tblGrid>
        <w:gridCol w:w="1694"/>
        <w:gridCol w:w="2362"/>
        <w:gridCol w:w="1618"/>
        <w:gridCol w:w="1560"/>
        <w:gridCol w:w="1517"/>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本年增加</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基本养老保险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rPr>
                <w:sz w:val="16"/>
                <w:szCs w:val="16"/>
              </w:rPr>
            </w:pPr>
            <w:r>
              <w:rPr>
                <w:rFonts w:ascii="Arial" w:eastAsia="Arial" w:hAnsi="Arial" w:cs="Arial"/>
                <w:color w:val="000000"/>
                <w:spacing w:val="0"/>
                <w:w w:val="100"/>
                <w:position w:val="0"/>
                <w:sz w:val="16"/>
                <w:szCs w:val="16"/>
              </w:rPr>
              <w:t>32,946,825.64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729,870,360.41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(728,919,821.52)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33,897,364.53</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失业保险费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1</w:t>
            </w:r>
            <w:r>
              <w:rPr>
                <w:rFonts w:ascii="Arial" w:eastAsia="Arial" w:hAnsi="Arial" w:cs="Arial"/>
                <w:color w:val="000000"/>
                <w:spacing w:val="0"/>
                <w:w w:val="100"/>
                <w:position w:val="0"/>
                <w:sz w:val="16"/>
                <w:szCs w:val="16"/>
              </w:rPr>
              <w:t>,808,762.22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37,231,407.24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(37,250,080.45)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1,790,089.01</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rPr>
                <w:sz w:val="16"/>
                <w:szCs w:val="16"/>
              </w:rPr>
            </w:pPr>
            <w:r>
              <w:rPr>
                <w:rFonts w:ascii="Arial" w:eastAsia="Arial" w:hAnsi="Arial" w:cs="Arial"/>
                <w:color w:val="000000"/>
                <w:spacing w:val="0"/>
                <w:w w:val="100"/>
                <w:position w:val="0"/>
                <w:sz w:val="16"/>
                <w:szCs w:val="16"/>
              </w:rPr>
              <w:t>34,755,587.86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767,101,767.65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(766,169,901.97)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35,687,453.54</w:t>
            </w:r>
          </w:p>
        </w:tc>
      </w:tr>
    </w:tbl>
    <w:p>
      <w:pPr>
        <w:pStyle w:val="Style29"/>
        <w:keepNext w:val="0"/>
        <w:keepLines w:val="0"/>
        <w:widowControl w:val="0"/>
        <w:shd w:val="clear" w:color="auto" w:fill="auto"/>
        <w:bidi w:val="0"/>
        <w:spacing w:before="0" w:after="0" w:line="240" w:lineRule="auto"/>
        <w:ind w:left="10" w:right="0" w:firstLine="0"/>
        <w:jc w:val="left"/>
        <w:rPr>
          <w:sz w:val="22"/>
          <w:szCs w:val="22"/>
        </w:rPr>
      </w:pPr>
      <w:r>
        <w:rPr>
          <w:rFonts w:ascii="Arial" w:eastAsia="Arial" w:hAnsi="Arial" w:cs="Arial"/>
          <w:color w:val="000000"/>
          <w:spacing w:val="0"/>
          <w:w w:val="100"/>
          <w:position w:val="0"/>
          <w:sz w:val="24"/>
          <w:szCs w:val="24"/>
        </w:rPr>
        <w:t xml:space="preserve">(27) </w:t>
      </w:r>
      <w:r>
        <w:rPr>
          <w:b/>
          <w:bCs/>
          <w:color w:val="000000"/>
          <w:spacing w:val="0"/>
          <w:w w:val="100"/>
          <w:position w:val="0"/>
          <w:sz w:val="22"/>
          <w:szCs w:val="22"/>
        </w:rPr>
        <w:t>应交税费</w:t>
      </w:r>
    </w:p>
    <w:p>
      <w:pPr>
        <w:widowControl w:val="0"/>
        <w:spacing w:after="339" w:line="1" w:lineRule="exact"/>
      </w:pPr>
    </w:p>
    <w:tbl>
      <w:tblPr>
        <w:tblOverlap w:val="never"/>
        <w:jc w:val="left"/>
        <w:tblLayout w:type="fixed"/>
      </w:tblPr>
      <w:tblGrid>
        <w:gridCol w:w="3331"/>
        <w:gridCol w:w="3254"/>
        <w:gridCol w:w="2246"/>
      </w:tblGrid>
      <w:tr>
        <w:trPr>
          <w:trHeight w:val="312" w:hRule="exact"/>
        </w:trPr>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应交企业所得税</w:t>
            </w:r>
          </w:p>
        </w:tc>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224,490,303.06</w:t>
            </w:r>
          </w:p>
        </w:tc>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343,557,566.68</w:t>
            </w:r>
          </w:p>
        </w:tc>
      </w:tr>
      <w:tr>
        <w:trPr>
          <w:trHeight w:val="317" w:hRule="exact"/>
        </w:trPr>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未交增值税</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300" w:right="0" w:firstLine="0"/>
              <w:jc w:val="left"/>
              <w:rPr>
                <w:sz w:val="24"/>
                <w:szCs w:val="24"/>
              </w:rPr>
            </w:pPr>
            <w:r>
              <w:rPr>
                <w:rFonts w:ascii="Arial" w:eastAsia="Arial" w:hAnsi="Arial" w:cs="Arial"/>
                <w:color w:val="000000"/>
                <w:spacing w:val="0"/>
                <w:w w:val="100"/>
                <w:position w:val="0"/>
                <w:sz w:val="24"/>
                <w:szCs w:val="24"/>
              </w:rPr>
              <w:t>94,330,975.23</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163,188,105.46</w:t>
            </w:r>
          </w:p>
        </w:tc>
      </w:tr>
      <w:tr>
        <w:trPr>
          <w:trHeight w:val="317" w:hRule="exact"/>
        </w:trPr>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应交个人所得税</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300" w:right="0" w:firstLine="0"/>
              <w:jc w:val="left"/>
              <w:rPr>
                <w:sz w:val="24"/>
                <w:szCs w:val="24"/>
              </w:rPr>
            </w:pPr>
            <w:r>
              <w:rPr>
                <w:rFonts w:ascii="Arial" w:eastAsia="Arial" w:hAnsi="Arial" w:cs="Arial"/>
                <w:color w:val="000000"/>
                <w:spacing w:val="0"/>
                <w:w w:val="100"/>
                <w:position w:val="0"/>
                <w:sz w:val="24"/>
                <w:szCs w:val="24"/>
              </w:rPr>
              <w:t>56,801,116.40</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43,774,797.08</w:t>
            </w:r>
          </w:p>
        </w:tc>
      </w:tr>
      <w:tr>
        <w:trPr>
          <w:trHeight w:val="326" w:hRule="exact"/>
        </w:trPr>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应交城市维护建设税</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6,769,706.61</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8,419,747.36</w:t>
            </w:r>
          </w:p>
        </w:tc>
      </w:tr>
      <w:tr>
        <w:trPr>
          <w:trHeight w:val="322" w:hRule="exact"/>
        </w:trPr>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应交教育费附加</w:t>
            </w:r>
          </w:p>
        </w:tc>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4,796,514.03</w:t>
            </w:r>
          </w:p>
        </w:tc>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6,274,909.80</w:t>
            </w:r>
          </w:p>
        </w:tc>
      </w:tr>
      <w:tr>
        <w:trPr>
          <w:trHeight w:val="322" w:hRule="exact"/>
        </w:trPr>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应交营业税</w:t>
            </w:r>
          </w:p>
        </w:tc>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400" w:firstLine="0"/>
              <w:jc w:val="right"/>
              <w:rPr>
                <w:sz w:val="24"/>
                <w:szCs w:val="24"/>
              </w:rPr>
            </w:pPr>
            <w:r>
              <w:rPr>
                <w:rFonts w:ascii="Arial" w:eastAsia="Arial" w:hAnsi="Arial" w:cs="Arial"/>
                <w:color w:val="000000"/>
                <w:spacing w:val="0"/>
                <w:w w:val="100"/>
                <w:position w:val="0"/>
                <w:sz w:val="24"/>
                <w:szCs w:val="24"/>
              </w:rPr>
              <w:t>101,132.85</w:t>
            </w:r>
          </w:p>
        </w:tc>
        <w:tc>
          <w:tcPr>
            <w:tcBorders/>
            <w:shd w:val="clear" w:color="auto" w:fill="FFFFFF"/>
            <w:vAlign w:val="top"/>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4,860,458.97</w:t>
            </w:r>
          </w:p>
        </w:tc>
      </w:tr>
      <w:tr>
        <w:trPr>
          <w:trHeight w:val="298" w:hRule="exact"/>
        </w:trPr>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300" w:right="0" w:firstLine="0"/>
              <w:jc w:val="left"/>
              <w:rPr>
                <w:sz w:val="24"/>
                <w:szCs w:val="24"/>
              </w:rPr>
            </w:pPr>
            <w:r>
              <w:rPr>
                <w:rFonts w:ascii="Arial" w:eastAsia="Arial" w:hAnsi="Arial" w:cs="Arial"/>
                <w:color w:val="000000"/>
                <w:spacing w:val="0"/>
                <w:w w:val="100"/>
                <w:position w:val="0"/>
                <w:sz w:val="24"/>
                <w:szCs w:val="24"/>
              </w:rPr>
              <w:t>31,884,600.49</w:t>
            </w:r>
          </w:p>
        </w:tc>
        <w:tc>
          <w:tcPr>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4,761,128.18</w:t>
            </w:r>
          </w:p>
        </w:tc>
      </w:tr>
      <w:tr>
        <w:trPr>
          <w:trHeight w:val="360" w:hRule="exact"/>
        </w:trPr>
        <w:tc>
          <w:tcPr>
            <w:tcBorders/>
            <w:shd w:val="clear" w:color="auto" w:fill="FFFFFF"/>
            <w:vAlign w:val="top"/>
          </w:tcPr>
          <w:p>
            <w:pPr>
              <w:framePr w:w="8832" w:h="2573" w:vSpace="638" w:wrap="notBeside" w:vAnchor="text" w:hAnchor="text" w:x="3"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419,174,348.67</w:t>
            </w:r>
          </w:p>
        </w:tc>
        <w:tc>
          <w:tcPr>
            <w:tcBorders>
              <w:top w:val="single" w:sz="4"/>
              <w:bottom w:val="single" w:sz="4"/>
            </w:tcBorders>
            <w:shd w:val="clear" w:color="auto" w:fill="FFFFFF"/>
            <w:vAlign w:val="bottom"/>
          </w:tcPr>
          <w:p>
            <w:pPr>
              <w:pStyle w:val="Style23"/>
              <w:keepNext w:val="0"/>
              <w:keepLines w:val="0"/>
              <w:framePr w:w="8832" w:h="2573" w:vSpace="638" w:wrap="notBeside" w:vAnchor="text" w:hAnchor="text" w:x="3" w:y="639"/>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574,836,713.53</w:t>
            </w:r>
          </w:p>
        </w:tc>
      </w:tr>
    </w:tbl>
    <w:p>
      <w:pPr>
        <w:pStyle w:val="Style29"/>
        <w:keepNext w:val="0"/>
        <w:keepLines w:val="0"/>
        <w:framePr w:w="2131" w:h="298" w:hSpace="2" w:wrap="notBeside" w:vAnchor="text" w:hAnchor="text" w:x="4083"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2131" w:h="298" w:hSpace="2" w:wrap="notBeside" w:vAnchor="text" w:hAnchor="text" w:x="6579"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widowControl w:val="0"/>
        <w:spacing w:line="1" w:lineRule="exact"/>
        <w:sectPr>
          <w:footnotePr>
            <w:pos w:val="pageBottom"/>
            <w:numFmt w:val="decimal"/>
            <w:numRestart w:val="continuous"/>
          </w:footnotePr>
          <w:pgSz w:w="11900" w:h="16840"/>
          <w:pgMar w:top="2161" w:right="1106" w:bottom="2161" w:left="1958" w:header="0" w:footer="3" w:gutter="0"/>
          <w:cols w:space="720"/>
          <w:noEndnote/>
          <w:rtlGutter w:val="0"/>
          <w:docGrid w:linePitch="360"/>
        </w:sectPr>
      </w:pPr>
    </w:p>
    <w:p>
      <w:pPr>
        <w:widowControl w:val="0"/>
        <w:spacing w:line="1" w:lineRule="exact"/>
      </w:pPr>
      <w:r>
        <mc:AlternateContent>
          <mc:Choice Requires="wps">
            <w:drawing>
              <wp:anchor distT="0" distB="152400" distL="0" distR="0" simplePos="0" relativeHeight="125829495" behindDoc="0" locked="0" layoutInCell="1" allowOverlap="1">
                <wp:simplePos x="0" y="0"/>
                <wp:positionH relativeFrom="page">
                  <wp:posOffset>1249045</wp:posOffset>
                </wp:positionH>
                <wp:positionV relativeFrom="paragraph">
                  <wp:posOffset>0</wp:posOffset>
                </wp:positionV>
                <wp:extent cx="1088390" cy="191770"/>
                <wp:wrapTopAndBottom/>
                <wp:docPr id="301" name="Shape 301"/>
                <a:graphic xmlns:a="http://schemas.openxmlformats.org/drawingml/2006/main">
                  <a:graphicData uri="http://schemas.microsoft.com/office/word/2010/wordprocessingShape">
                    <wps:wsp>
                      <wps:cNvSpPr txBox="1"/>
                      <wps:spPr>
                        <a:xfrm>
                          <a:ext cx="1088390" cy="1917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(28)</w:t>
                            </w:r>
                            <w:r>
                              <w:rPr>
                                <w:color w:val="000000"/>
                                <w:spacing w:val="0"/>
                                <w:w w:val="100"/>
                                <w:position w:val="0"/>
                                <w:sz w:val="22"/>
                                <w:szCs w:val="22"/>
                              </w:rPr>
                              <w:t>应付利息</w:t>
                            </w:r>
                          </w:p>
                        </w:txbxContent>
                      </wps:txbx>
                      <wps:bodyPr wrap="none" lIns="0" tIns="0" rIns="0" bIns="0">
                        <a:noAutoFit/>
                      </wps:bodyPr>
                    </wps:wsp>
                  </a:graphicData>
                </a:graphic>
              </wp:anchor>
            </w:drawing>
          </mc:Choice>
          <mc:Fallback>
            <w:pict>
              <v:shape id="_x0000_s1327" type="#_x0000_t202" style="position:absolute;margin-left:98.350000000000009pt;margin-top:0;width:85.700000000000003pt;height:15.1pt;z-index:-125829258;mso-wrap-distance-left:0;mso-wrap-distance-right:0;mso-wrap-distance-bottom:1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(28)</w:t>
                      </w:r>
                      <w:r>
                        <w:rPr>
                          <w:color w:val="000000"/>
                          <w:spacing w:val="0"/>
                          <w:w w:val="100"/>
                          <w:position w:val="0"/>
                          <w:sz w:val="22"/>
                          <w:szCs w:val="22"/>
                        </w:rPr>
                        <w:t>应付利息</w:t>
                      </w:r>
                    </w:p>
                  </w:txbxContent>
                </v:textbox>
                <w10:wrap type="topAndBottom" anchorx="page"/>
              </v:shape>
            </w:pict>
          </mc:Fallback>
        </mc:AlternateContent>
      </w:r>
    </w:p>
    <w:p>
      <w:pPr>
        <w:pStyle w:val="Style94"/>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1" w:lineRule="exact"/>
        <w:sectPr>
          <w:footnotePr>
            <w:pos w:val="pageBottom"/>
            <w:numFmt w:val="decimal"/>
            <w:numRestart w:val="continuous"/>
          </w:footnotePr>
          <w:pgSz w:w="11900" w:h="16840"/>
          <w:pgMar w:top="2161" w:right="1105" w:bottom="3385" w:left="1962" w:header="0" w:footer="3" w:gutter="0"/>
          <w:cols w:space="720"/>
          <w:noEndnote/>
          <w:rtlGutter w:val="0"/>
          <w:docGrid w:linePitch="360"/>
        </w:sectPr>
      </w:pPr>
      <w:r>
        <mc:AlternateContent>
          <mc:Choice Requires="wps">
            <w:drawing>
              <wp:anchor distT="152400" distB="213360" distL="0" distR="0" simplePos="0" relativeHeight="125829497" behindDoc="0" locked="0" layoutInCell="1" allowOverlap="1">
                <wp:simplePos x="0" y="0"/>
                <wp:positionH relativeFrom="page">
                  <wp:posOffset>1249045</wp:posOffset>
                </wp:positionH>
                <wp:positionV relativeFrom="paragraph">
                  <wp:posOffset>152400</wp:posOffset>
                </wp:positionV>
                <wp:extent cx="2307590" cy="387350"/>
                <wp:wrapTopAndBottom/>
                <wp:docPr id="303" name="Shape 303"/>
                <a:graphic xmlns:a="http://schemas.openxmlformats.org/drawingml/2006/main">
                  <a:graphicData uri="http://schemas.microsoft.com/office/word/2010/wordprocessingShape">
                    <wps:wsp>
                      <wps:cNvSpPr txBox="1"/>
                      <wps:spPr>
                        <a:xfrm>
                          <a:ext cx="2307590" cy="387350"/>
                        </a:xfrm>
                        <a:prstGeom prst="rect"/>
                        <a:noFill/>
                      </wps:spPr>
                      <wps:txbx>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短期借款应付利息</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分期付息到期还本的长期借款利息</w:t>
                            </w:r>
                          </w:p>
                        </w:txbxContent>
                      </wps:txbx>
                      <wps:bodyPr lIns="0" tIns="0" rIns="0" bIns="0">
                        <a:noAutoFit/>
                      </wps:bodyPr>
                    </wps:wsp>
                  </a:graphicData>
                </a:graphic>
              </wp:anchor>
            </w:drawing>
          </mc:Choice>
          <mc:Fallback>
            <w:pict>
              <v:shape id="_x0000_s1329" type="#_x0000_t202" style="position:absolute;margin-left:98.350000000000009pt;margin-top:12.pt;width:181.70000000000002pt;height:30.5pt;z-index:-125829256;mso-wrap-distance-left:0;mso-wrap-distance-top:12.pt;mso-wrap-distance-right:0;mso-wrap-distance-bottom:16.800000000000001pt;mso-position-horizontal-relative:page" filled="f" stroked="f">
                <v:textbox inset="0,0,0,0">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短期借款应付利息</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分期付息到期还本的长期借款利息</w:t>
                      </w:r>
                    </w:p>
                  </w:txbxContent>
                </v:textbox>
                <w10:wrap type="topAndBottom" anchorx="page"/>
              </v:shape>
            </w:pict>
          </mc:Fallback>
        </mc:AlternateContent>
      </w:r>
      <w:r>
        <mc:AlternateContent>
          <mc:Choice Requires="wps">
            <w:drawing>
              <wp:anchor distT="152400" distB="0" distL="0" distR="0" simplePos="0" relativeHeight="125829499" behindDoc="0" locked="0" layoutInCell="1" allowOverlap="1">
                <wp:simplePos x="0" y="0"/>
                <wp:positionH relativeFrom="page">
                  <wp:posOffset>4187190</wp:posOffset>
                </wp:positionH>
                <wp:positionV relativeFrom="paragraph">
                  <wp:posOffset>152400</wp:posOffset>
                </wp:positionV>
                <wp:extent cx="1002665" cy="600710"/>
                <wp:wrapTopAndBottom/>
                <wp:docPr id="305" name="Shape 305"/>
                <a:graphic xmlns:a="http://schemas.openxmlformats.org/drawingml/2006/main">
                  <a:graphicData uri="http://schemas.microsoft.com/office/word/2010/wordprocessingShape">
                    <wps:wsp>
                      <wps:cNvSpPr txBox="1"/>
                      <wps:spPr>
                        <a:xfrm>
                          <a:ext cx="1002665" cy="60071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bookmarkStart w:id="830" w:name="bookmark830"/>
                            <w:r>
                              <w:rPr>
                                <w:color w:val="000000"/>
                                <w:spacing w:val="0"/>
                                <w:w w:val="100"/>
                                <w:position w:val="0"/>
                                <w:sz w:val="24"/>
                                <w:szCs w:val="24"/>
                              </w:rPr>
                              <w:t>5</w:t>
                            </w:r>
                            <w:bookmarkEnd w:id="830"/>
                            <w:r>
                              <w:rPr>
                                <w:color w:val="000000"/>
                                <w:spacing w:val="0"/>
                                <w:w w:val="100"/>
                                <w:position w:val="0"/>
                                <w:sz w:val="24"/>
                                <w:szCs w:val="24"/>
                              </w:rPr>
                              <w:t>,321,837.53</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8,577,953.80</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13,899,791.33</w:t>
                            </w:r>
                          </w:p>
                        </w:txbxContent>
                      </wps:txbx>
                      <wps:bodyPr lIns="0" tIns="0" rIns="0" bIns="0">
                        <a:noAutoFit/>
                      </wps:bodyPr>
                    </wps:wsp>
                  </a:graphicData>
                </a:graphic>
              </wp:anchor>
            </w:drawing>
          </mc:Choice>
          <mc:Fallback>
            <w:pict>
              <v:shape id="_x0000_s1331" type="#_x0000_t202" style="position:absolute;margin-left:329.69999999999999pt;margin-top:12.pt;width:78.950000000000003pt;height:47.300000000000004pt;z-index:-125829254;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right"/>
                      </w:pPr>
                      <w:bookmarkStart w:id="830" w:name="bookmark830"/>
                      <w:r>
                        <w:rPr>
                          <w:color w:val="000000"/>
                          <w:spacing w:val="0"/>
                          <w:w w:val="100"/>
                          <w:position w:val="0"/>
                          <w:sz w:val="24"/>
                          <w:szCs w:val="24"/>
                        </w:rPr>
                        <w:t>5</w:t>
                      </w:r>
                      <w:bookmarkEnd w:id="830"/>
                      <w:r>
                        <w:rPr>
                          <w:color w:val="000000"/>
                          <w:spacing w:val="0"/>
                          <w:w w:val="100"/>
                          <w:position w:val="0"/>
                          <w:sz w:val="24"/>
                          <w:szCs w:val="24"/>
                        </w:rPr>
                        <w:t>,321,837.53</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8,577,953.80</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13,899,791.33</w:t>
                      </w:r>
                    </w:p>
                  </w:txbxContent>
                </v:textbox>
                <w10:wrap type="topAndBottom" anchorx="page"/>
              </v:shape>
            </w:pict>
          </mc:Fallback>
        </mc:AlternateContent>
      </w:r>
      <w:r>
        <mc:AlternateContent>
          <mc:Choice Requires="wps">
            <w:drawing>
              <wp:anchor distT="152400" distB="0" distL="0" distR="0" simplePos="0" relativeHeight="125829501" behindDoc="0" locked="0" layoutInCell="1" allowOverlap="1">
                <wp:simplePos x="0" y="0"/>
                <wp:positionH relativeFrom="page">
                  <wp:posOffset>5772150</wp:posOffset>
                </wp:positionH>
                <wp:positionV relativeFrom="paragraph">
                  <wp:posOffset>152400</wp:posOffset>
                </wp:positionV>
                <wp:extent cx="1002665" cy="600710"/>
                <wp:wrapTopAndBottom/>
                <wp:docPr id="307" name="Shape 307"/>
                <a:graphic xmlns:a="http://schemas.openxmlformats.org/drawingml/2006/main">
                  <a:graphicData uri="http://schemas.microsoft.com/office/word/2010/wordprocessingShape">
                    <wps:wsp>
                      <wps:cNvSpPr txBox="1"/>
                      <wps:spPr>
                        <a:xfrm>
                          <a:ext cx="1002665" cy="60071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9,929,728.20</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4,907,121.46</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14,836,849.66</w:t>
                            </w:r>
                          </w:p>
                        </w:txbxContent>
                      </wps:txbx>
                      <wps:bodyPr lIns="0" tIns="0" rIns="0" bIns="0">
                        <a:noAutoFit/>
                      </wps:bodyPr>
                    </wps:wsp>
                  </a:graphicData>
                </a:graphic>
              </wp:anchor>
            </w:drawing>
          </mc:Choice>
          <mc:Fallback>
            <w:pict>
              <v:shape id="_x0000_s1333" type="#_x0000_t202" style="position:absolute;margin-left:454.5pt;margin-top:12.pt;width:78.950000000000003pt;height:47.300000000000004pt;z-index:-125829252;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9,929,728.20</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4,907,121.46</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14,836,849.66</w:t>
                      </w:r>
                    </w:p>
                  </w:txbxContent>
                </v:textbox>
                <w10:wrap type="topAndBottom" anchorx="page"/>
              </v:shape>
            </w:pict>
          </mc:Fallback>
        </mc:AlternateConten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61" w:right="0" w:bottom="3385" w:left="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(29)</w:t>
      </w:r>
      <w:r>
        <w:rPr>
          <w:b/>
          <w:bCs/>
          <w:color w:val="000000"/>
          <w:spacing w:val="0"/>
          <w:w w:val="100"/>
          <w:position w:val="0"/>
          <w:sz w:val="22"/>
          <w:szCs w:val="22"/>
        </w:rPr>
        <w:t>其他应付款</w:t>
      </w:r>
    </w:p>
    <w:tbl>
      <w:tblPr>
        <w:tblOverlap w:val="never"/>
        <w:jc w:val="center"/>
        <w:tblLayout w:type="fixed"/>
      </w:tblPr>
      <w:tblGrid>
        <w:gridCol w:w="4008"/>
        <w:gridCol w:w="2496"/>
        <w:gridCol w:w="2328"/>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应付关联方往来款项</w:t>
            </w:r>
            <w:r>
              <w:rPr>
                <w:rFonts w:ascii="Arial" w:eastAsia="Arial" w:hAnsi="Arial" w:cs="Arial"/>
                <w:color w:val="000000"/>
                <w:spacing w:val="0"/>
                <w:w w:val="100"/>
                <w:position w:val="0"/>
                <w:sz w:val="24"/>
                <w:szCs w:val="24"/>
              </w:rPr>
              <w:t>(</w:t>
            </w:r>
            <w:r>
              <w:rPr>
                <w:color w:val="000000"/>
                <w:spacing w:val="0"/>
                <w:w w:val="100"/>
                <w:position w:val="0"/>
                <w:sz w:val="22"/>
                <w:szCs w:val="22"/>
              </w:rPr>
              <w:t>附注八</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4)(g))</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261,316,870.93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27,189,716.81</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应付代收货款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1,109,136,099.24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962,169,783.98</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应付工程设备款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1,312,079,271.22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811,533,453.72</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应付投资款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135,177,140.62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应付质保金款项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134,949,890.39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118,372,873.68</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应付押金款项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150,846,296.80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96,198,489.29</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应付暂收款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224,503,235.78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302,187,921.60</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应付代垫款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57,441,917.23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17,745,467.10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应付保证金款项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00" w:firstLine="0"/>
              <w:jc w:val="right"/>
              <w:rPr>
                <w:sz w:val="24"/>
                <w:szCs w:val="24"/>
              </w:rPr>
            </w:pPr>
            <w:r>
              <w:rPr>
                <w:rFonts w:ascii="Arial" w:eastAsia="Arial" w:hAnsi="Arial" w:cs="Arial"/>
                <w:color w:val="000000"/>
                <w:spacing w:val="0"/>
                <w:w w:val="100"/>
                <w:position w:val="0"/>
                <w:sz w:val="24"/>
                <w:szCs w:val="24"/>
              </w:rPr>
              <w:t>6,652,693.46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3,874,958.23</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93,856,152.32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95,358,520.08</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3,485,959,567.99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2,434,631,184.49</w:t>
            </w:r>
          </w:p>
        </w:tc>
      </w:tr>
      <w:tr>
        <w:trPr>
          <w:trHeight w:val="131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账龄超过一年的其他应付款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尚未结清</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184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主要原因</w:t>
            </w:r>
          </w:p>
        </w:tc>
      </w:tr>
      <w:tr>
        <w:trPr>
          <w:trHeight w:val="485" w:hRule="exact"/>
        </w:trPr>
        <w:tc>
          <w:tcPr>
            <w:tcBorders/>
            <w:shd w:val="clear" w:color="auto" w:fill="FFFFFF"/>
            <w:vAlign w:val="bottom"/>
          </w:tcPr>
          <w:p>
            <w:pPr>
              <w:pStyle w:val="Style23"/>
              <w:keepNext w:val="0"/>
              <w:keepLines w:val="0"/>
              <w:widowControl w:val="0"/>
              <w:shd w:val="clear" w:color="auto" w:fill="auto"/>
              <w:tabs>
                <w:tab w:pos="2174" w:val="left"/>
              </w:tabs>
              <w:bidi w:val="0"/>
              <w:spacing w:before="0" w:after="0" w:line="240" w:lineRule="auto"/>
              <w:ind w:left="0" w:right="0" w:firstLine="0"/>
              <w:jc w:val="left"/>
              <w:rPr>
                <w:sz w:val="24"/>
                <w:szCs w:val="24"/>
              </w:rPr>
            </w:pPr>
            <w:r>
              <w:rPr>
                <w:color w:val="000000"/>
                <w:spacing w:val="0"/>
                <w:w w:val="100"/>
                <w:position w:val="0"/>
                <w:sz w:val="22"/>
                <w:szCs w:val="22"/>
              </w:rPr>
              <w:t>应付工程设备款</w:t>
              <w:tab/>
            </w:r>
            <w:r>
              <w:rPr>
                <w:rFonts w:ascii="Arial" w:eastAsia="Arial" w:hAnsi="Arial" w:cs="Arial"/>
                <w:color w:val="000000"/>
                <w:spacing w:val="0"/>
                <w:w w:val="100"/>
                <w:position w:val="0"/>
                <w:sz w:val="24"/>
                <w:szCs w:val="24"/>
              </w:rPr>
              <w:t>122,126,108.04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34,231,793.01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22"/>
                <w:szCs w:val="22"/>
              </w:rPr>
            </w:pPr>
            <w:r>
              <w:rPr>
                <w:color w:val="000000"/>
                <w:spacing w:val="0"/>
                <w:w w:val="100"/>
                <w:position w:val="0"/>
                <w:sz w:val="22"/>
                <w:szCs w:val="22"/>
              </w:rPr>
              <w:t>工程款未结算</w:t>
            </w:r>
          </w:p>
        </w:tc>
      </w:tr>
      <w:tr>
        <w:trPr>
          <w:trHeight w:val="322" w:hRule="exact"/>
        </w:trPr>
        <w:tc>
          <w:tcPr>
            <w:tcBorders/>
            <w:shd w:val="clear" w:color="auto" w:fill="FFFFFF"/>
            <w:vAlign w:val="bottom"/>
          </w:tcPr>
          <w:p>
            <w:pPr>
              <w:pStyle w:val="Style23"/>
              <w:keepNext w:val="0"/>
              <w:keepLines w:val="0"/>
              <w:widowControl w:val="0"/>
              <w:shd w:val="clear" w:color="auto" w:fill="auto"/>
              <w:tabs>
                <w:tab w:pos="2352" w:val="left"/>
              </w:tabs>
              <w:bidi w:val="0"/>
              <w:spacing w:before="0" w:after="0" w:line="240" w:lineRule="auto"/>
              <w:ind w:left="0" w:right="0" w:firstLine="0"/>
              <w:jc w:val="left"/>
              <w:rPr>
                <w:sz w:val="24"/>
                <w:szCs w:val="24"/>
              </w:rPr>
            </w:pPr>
            <w:r>
              <w:rPr>
                <w:color w:val="000000"/>
                <w:spacing w:val="0"/>
                <w:w w:val="100"/>
                <w:position w:val="0"/>
                <w:sz w:val="22"/>
                <w:szCs w:val="22"/>
              </w:rPr>
              <w:t>应付质保金款项</w:t>
              <w:tab/>
            </w:r>
            <w:r>
              <w:rPr>
                <w:rFonts w:ascii="Arial" w:eastAsia="Arial" w:hAnsi="Arial" w:cs="Arial"/>
                <w:color w:val="000000"/>
                <w:spacing w:val="0"/>
                <w:w w:val="100"/>
                <w:position w:val="0"/>
                <w:sz w:val="24"/>
                <w:szCs w:val="24"/>
              </w:rPr>
              <w:t>34,843,052.12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16,264,025.55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质保期未到</w:t>
            </w:r>
          </w:p>
        </w:tc>
      </w:tr>
      <w:tr>
        <w:trPr>
          <w:trHeight w:val="638" w:hRule="exact"/>
        </w:trPr>
        <w:tc>
          <w:tcPr>
            <w:tcBorders/>
            <w:shd w:val="clear" w:color="auto" w:fill="FFFFFF"/>
            <w:vAlign w:val="top"/>
          </w:tcPr>
          <w:p>
            <w:pPr>
              <w:pStyle w:val="Style23"/>
              <w:keepNext w:val="0"/>
              <w:keepLines w:val="0"/>
              <w:widowControl w:val="0"/>
              <w:shd w:val="clear" w:color="auto" w:fill="auto"/>
              <w:tabs>
                <w:tab w:pos="2352" w:val="left"/>
              </w:tabs>
              <w:bidi w:val="0"/>
              <w:spacing w:before="0" w:after="0" w:line="240" w:lineRule="auto"/>
              <w:ind w:left="0" w:right="0" w:firstLine="0"/>
              <w:jc w:val="left"/>
              <w:rPr>
                <w:sz w:val="24"/>
                <w:szCs w:val="24"/>
              </w:rPr>
            </w:pPr>
            <w:r>
              <w:rPr>
                <w:color w:val="000000"/>
                <w:spacing w:val="0"/>
                <w:w w:val="100"/>
                <w:position w:val="0"/>
                <w:sz w:val="22"/>
                <w:szCs w:val="22"/>
              </w:rPr>
              <w:t>应付押金款项</w:t>
              <w:tab/>
            </w:r>
            <w:r>
              <w:rPr>
                <w:rFonts w:ascii="Arial" w:eastAsia="Arial" w:hAnsi="Arial" w:cs="Arial"/>
                <w:color w:val="000000"/>
                <w:spacing w:val="0"/>
                <w:w w:val="100"/>
                <w:position w:val="0"/>
                <w:sz w:val="24"/>
                <w:szCs w:val="24"/>
              </w:rPr>
              <w:t>86,457,532.46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9,833,377.83</w:t>
            </w:r>
          </w:p>
        </w:tc>
        <w:tc>
          <w:tcPr>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right"/>
              <w:rPr>
                <w:sz w:val="22"/>
                <w:szCs w:val="22"/>
              </w:rPr>
            </w:pPr>
            <w:r>
              <w:rPr>
                <w:color w:val="000000"/>
                <w:spacing w:val="0"/>
                <w:w w:val="100"/>
                <w:position w:val="0"/>
                <w:sz w:val="22"/>
                <w:szCs w:val="22"/>
              </w:rPr>
              <w:t>押金业务未到期 保险公司赔款暂挂</w:t>
            </w:r>
          </w:p>
        </w:tc>
      </w:tr>
      <w:tr>
        <w:trPr>
          <w:trHeight w:val="307" w:hRule="exact"/>
        </w:trPr>
        <w:tc>
          <w:tcPr>
            <w:tcBorders/>
            <w:shd w:val="clear" w:color="auto" w:fill="FFFFFF"/>
            <w:vAlign w:val="bottom"/>
          </w:tcPr>
          <w:p>
            <w:pPr>
              <w:pStyle w:val="Style23"/>
              <w:keepNext w:val="0"/>
              <w:keepLines w:val="0"/>
              <w:widowControl w:val="0"/>
              <w:shd w:val="clear" w:color="auto" w:fill="auto"/>
              <w:tabs>
                <w:tab w:pos="2347" w:val="left"/>
              </w:tabs>
              <w:bidi w:val="0"/>
              <w:spacing w:before="0" w:after="0" w:line="240" w:lineRule="auto"/>
              <w:ind w:left="0" w:right="0" w:firstLine="0"/>
              <w:jc w:val="left"/>
              <w:rPr>
                <w:sz w:val="24"/>
                <w:szCs w:val="24"/>
              </w:rPr>
            </w:pPr>
            <w:r>
              <w:rPr>
                <w:color w:val="000000"/>
                <w:spacing w:val="0"/>
                <w:w w:val="100"/>
                <w:position w:val="0"/>
                <w:sz w:val="22"/>
                <w:szCs w:val="22"/>
              </w:rPr>
              <w:t>其他</w:t>
              <w:tab/>
            </w:r>
            <w:r>
              <w:rPr>
                <w:rFonts w:ascii="Arial" w:eastAsia="Arial" w:hAnsi="Arial" w:cs="Arial"/>
                <w:color w:val="000000"/>
                <w:spacing w:val="0"/>
                <w:w w:val="100"/>
                <w:position w:val="0"/>
                <w:sz w:val="24"/>
                <w:szCs w:val="24"/>
              </w:rPr>
              <w:t>31,686,705.99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18,586,170.98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及其他</w:t>
            </w:r>
          </w:p>
        </w:tc>
      </w:tr>
      <w:tr>
        <w:trPr>
          <w:trHeight w:val="360"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240" w:right="0" w:firstLine="0"/>
              <w:jc w:val="left"/>
              <w:rPr>
                <w:sz w:val="24"/>
                <w:szCs w:val="24"/>
              </w:rPr>
            </w:pPr>
            <w:r>
              <w:rPr>
                <w:rFonts w:ascii="Arial" w:eastAsia="Arial" w:hAnsi="Arial" w:cs="Arial"/>
                <w:color w:val="000000"/>
                <w:spacing w:val="0"/>
                <w:w w:val="100"/>
                <w:position w:val="0"/>
                <w:sz w:val="24"/>
                <w:szCs w:val="24"/>
              </w:rPr>
              <w:t>275,113,398.61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78,915,367.37</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 xml:space="preserve">(30) </w:t>
      </w:r>
      <w:r>
        <w:rPr>
          <w:b/>
          <w:bCs/>
          <w:color w:val="000000"/>
          <w:spacing w:val="0"/>
          <w:w w:val="100"/>
          <w:position w:val="0"/>
          <w:sz w:val="22"/>
          <w:szCs w:val="22"/>
        </w:rPr>
        <w:t>一年内到期的非流动负债</w:t>
      </w:r>
    </w:p>
    <w:tbl>
      <w:tblPr>
        <w:tblOverlap w:val="never"/>
        <w:jc w:val="center"/>
        <w:tblLayout w:type="fixed"/>
      </w:tblPr>
      <w:tblGrid>
        <w:gridCol w:w="3696"/>
        <w:gridCol w:w="5150"/>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2891" w:val="left"/>
              </w:tabs>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tab/>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1310" w:hRule="exact"/>
        </w:trPr>
        <w:tc>
          <w:tcPr>
            <w:tcBorders/>
            <w:shd w:val="clear" w:color="auto" w:fill="FFFFFF"/>
            <w:vAlign w:val="top"/>
          </w:tcPr>
          <w:p>
            <w:pPr>
              <w:pStyle w:val="Style23"/>
              <w:keepNext w:val="0"/>
              <w:keepLines w:val="0"/>
              <w:widowControl w:val="0"/>
              <w:shd w:val="clear" w:color="auto" w:fill="auto"/>
              <w:bidi w:val="0"/>
              <w:spacing w:before="120" w:after="0" w:line="322" w:lineRule="exact"/>
              <w:ind w:left="0" w:right="0" w:firstLine="0"/>
              <w:jc w:val="left"/>
              <w:rPr>
                <w:sz w:val="22"/>
                <w:szCs w:val="22"/>
              </w:rPr>
            </w:pPr>
            <w:r>
              <w:rPr>
                <w:color w:val="000000"/>
                <w:spacing w:val="0"/>
                <w:w w:val="100"/>
                <w:position w:val="0"/>
                <w:sz w:val="22"/>
                <w:szCs w:val="22"/>
              </w:rPr>
              <w:t>一年内到期的长期借款 一年内到期的长期激励金</w:t>
            </w:r>
          </w:p>
        </w:tc>
        <w:tc>
          <w:tcPr>
            <w:tcBorders/>
            <w:shd w:val="clear" w:color="auto" w:fill="FFFFFF"/>
            <w:vAlign w:val="center"/>
          </w:tcPr>
          <w:p>
            <w:pPr>
              <w:pStyle w:val="Style23"/>
              <w:keepNext w:val="0"/>
              <w:keepLines w:val="0"/>
              <w:widowControl w:val="0"/>
              <w:shd w:val="clear" w:color="auto" w:fill="auto"/>
              <w:tabs>
                <w:tab w:pos="4930" w:val="right"/>
              </w:tabs>
              <w:bidi w:val="0"/>
              <w:spacing w:before="0" w:after="40" w:line="240" w:lineRule="auto"/>
              <w:ind w:left="0" w:right="0" w:firstLine="600"/>
              <w:jc w:val="both"/>
              <w:rPr>
                <w:sz w:val="24"/>
                <w:szCs w:val="24"/>
              </w:rPr>
            </w:pPr>
            <w:r>
              <w:rPr>
                <w:rFonts w:ascii="Arial" w:eastAsia="Arial" w:hAnsi="Arial" w:cs="Arial"/>
                <w:color w:val="000000"/>
                <w:spacing w:val="0"/>
                <w:w w:val="100"/>
                <w:position w:val="0"/>
                <w:sz w:val="24"/>
                <w:szCs w:val="24"/>
              </w:rPr>
              <w:t>1,059,833,508.87</w:t>
              <w:tab/>
              <w:t>543,267,356.13</w:t>
            </w:r>
          </w:p>
          <w:p>
            <w:pPr>
              <w:pStyle w:val="Style23"/>
              <w:keepNext w:val="0"/>
              <w:keepLines w:val="0"/>
              <w:widowControl w:val="0"/>
              <w:shd w:val="clear" w:color="auto" w:fill="auto"/>
              <w:tabs>
                <w:tab w:pos="4947" w:val="right"/>
              </w:tabs>
              <w:bidi w:val="0"/>
              <w:spacing w:before="0" w:after="40" w:line="240" w:lineRule="auto"/>
              <w:ind w:left="0" w:right="0" w:firstLine="800"/>
              <w:jc w:val="left"/>
              <w:rPr>
                <w:sz w:val="24"/>
                <w:szCs w:val="24"/>
              </w:rPr>
            </w:pPr>
            <w:r>
              <w:rPr>
                <w:rFonts w:ascii="Arial" w:eastAsia="Arial" w:hAnsi="Arial" w:cs="Arial"/>
                <w:color w:val="000000"/>
                <w:spacing w:val="0"/>
                <w:w w:val="100"/>
                <w:position w:val="0"/>
                <w:sz w:val="24"/>
                <w:szCs w:val="24"/>
                <w:u w:val="single"/>
              </w:rPr>
              <w:t>256,409,052.35</w:t>
              <w:tab/>
              <w:t>129,680,955.00</w:t>
            </w:r>
          </w:p>
          <w:p>
            <w:pPr>
              <w:pStyle w:val="Style23"/>
              <w:keepNext w:val="0"/>
              <w:keepLines w:val="0"/>
              <w:widowControl w:val="0"/>
              <w:shd w:val="clear" w:color="auto" w:fill="auto"/>
              <w:tabs>
                <w:tab w:pos="4930" w:val="right"/>
              </w:tabs>
              <w:bidi w:val="0"/>
              <w:spacing w:before="0" w:after="40" w:line="240" w:lineRule="auto"/>
              <w:ind w:left="0" w:right="0" w:firstLine="600"/>
              <w:jc w:val="both"/>
              <w:rPr>
                <w:sz w:val="24"/>
                <w:szCs w:val="24"/>
              </w:rPr>
            </w:pPr>
            <w:r>
              <w:rPr>
                <w:rFonts w:ascii="Arial" w:eastAsia="Arial" w:hAnsi="Arial" w:cs="Arial"/>
                <w:color w:val="000000"/>
                <w:spacing w:val="0"/>
                <w:w w:val="100"/>
                <w:position w:val="0"/>
                <w:sz w:val="24"/>
                <w:szCs w:val="24"/>
                <w:u w:val="single"/>
              </w:rPr>
              <w:t>1,316,242,561.22</w:t>
              <w:tab/>
              <w:t>672,948,311.13</w:t>
            </w:r>
          </w:p>
        </w:tc>
      </w:tr>
      <w:tr>
        <w:trPr>
          <w:trHeight w:val="1291" w:hRule="exact"/>
        </w:trPr>
        <w:tc>
          <w:tcPr>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left"/>
              <w:rPr>
                <w:sz w:val="22"/>
                <w:szCs w:val="22"/>
              </w:rPr>
            </w:pPr>
            <w:r>
              <w:rPr>
                <w:rFonts w:ascii="Arial" w:eastAsia="Arial" w:hAnsi="Arial" w:cs="Arial"/>
                <w:color w:val="000000"/>
                <w:spacing w:val="0"/>
                <w:w w:val="100"/>
                <w:position w:val="0"/>
                <w:sz w:val="24"/>
                <w:szCs w:val="24"/>
              </w:rPr>
              <w:t>(31)</w:t>
            </w:r>
            <w:r>
              <w:rPr>
                <w:b/>
                <w:bCs/>
                <w:color w:val="000000"/>
                <w:spacing w:val="0"/>
                <w:w w:val="100"/>
                <w:position w:val="0"/>
                <w:sz w:val="22"/>
                <w:szCs w:val="22"/>
              </w:rPr>
              <w:t>长期借款</w:t>
            </w:r>
          </w:p>
        </w:tc>
        <w:tc>
          <w:tcPr>
            <w:tcBorders/>
            <w:shd w:val="clear" w:color="auto" w:fill="FFFFFF"/>
            <w:vAlign w:val="bottom"/>
          </w:tcPr>
          <w:p>
            <w:pPr>
              <w:pStyle w:val="Style23"/>
              <w:keepNext w:val="0"/>
              <w:keepLines w:val="0"/>
              <w:widowControl w:val="0"/>
              <w:shd w:val="clear" w:color="auto" w:fill="auto"/>
              <w:tabs>
                <w:tab w:pos="2891" w:val="left"/>
              </w:tabs>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tab/>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1627" w:hRule="exact"/>
        </w:trPr>
        <w:tc>
          <w:tcPr>
            <w:tcBorders/>
            <w:shd w:val="clear" w:color="auto" w:fill="FFFFFF"/>
            <w:vAlign w:val="top"/>
          </w:tcPr>
          <w:p>
            <w:pPr>
              <w:pStyle w:val="Style23"/>
              <w:keepNext w:val="0"/>
              <w:keepLines w:val="0"/>
              <w:widowControl w:val="0"/>
              <w:shd w:val="clear" w:color="auto" w:fill="auto"/>
              <w:bidi w:val="0"/>
              <w:spacing w:before="140" w:after="0" w:line="302" w:lineRule="exact"/>
              <w:ind w:left="0" w:right="0" w:firstLine="0"/>
              <w:jc w:val="left"/>
              <w:rPr>
                <w:sz w:val="24"/>
                <w:szCs w:val="24"/>
              </w:rPr>
            </w:pPr>
            <w:r>
              <w:rPr>
                <w:color w:val="000000"/>
                <w:spacing w:val="0"/>
                <w:w w:val="100"/>
                <w:position w:val="0"/>
                <w:sz w:val="22"/>
                <w:szCs w:val="22"/>
              </w:rPr>
              <w:t>信用借款 保证借款</w:t>
            </w:r>
            <w:r>
              <w:rPr>
                <w:rFonts w:ascii="Arial" w:eastAsia="Arial" w:hAnsi="Arial" w:cs="Arial"/>
                <w:color w:val="000000"/>
                <w:spacing w:val="0"/>
                <w:w w:val="100"/>
                <w:position w:val="0"/>
                <w:sz w:val="24"/>
                <w:szCs w:val="24"/>
              </w:rPr>
              <w:t>(a)</w:t>
            </w:r>
          </w:p>
          <w:p>
            <w:pPr>
              <w:pStyle w:val="Style23"/>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抵押借款</w:t>
            </w:r>
            <w:r>
              <w:rPr>
                <w:rFonts w:ascii="Arial" w:eastAsia="Arial" w:hAnsi="Arial" w:cs="Arial"/>
                <w:color w:val="000000"/>
                <w:spacing w:val="0"/>
                <w:w w:val="100"/>
                <w:position w:val="0"/>
                <w:sz w:val="24"/>
                <w:szCs w:val="24"/>
              </w:rPr>
              <w:t>(b)</w:t>
            </w:r>
          </w:p>
        </w:tc>
        <w:tc>
          <w:tcPr>
            <w:tcBorders/>
            <w:shd w:val="clear" w:color="auto" w:fill="FFFFFF"/>
            <w:vAlign w:val="center"/>
          </w:tcPr>
          <w:p>
            <w:pPr>
              <w:pStyle w:val="Style23"/>
              <w:keepNext w:val="0"/>
              <w:keepLines w:val="0"/>
              <w:widowControl w:val="0"/>
              <w:shd w:val="clear" w:color="auto" w:fill="auto"/>
              <w:tabs>
                <w:tab w:pos="4949" w:val="right"/>
              </w:tabs>
              <w:bidi w:val="0"/>
              <w:spacing w:before="0" w:after="40" w:line="240" w:lineRule="auto"/>
              <w:ind w:left="0" w:right="0" w:firstLine="600"/>
              <w:jc w:val="both"/>
              <w:rPr>
                <w:sz w:val="24"/>
                <w:szCs w:val="24"/>
              </w:rPr>
            </w:pPr>
            <w:r>
              <w:rPr>
                <w:rFonts w:ascii="Arial" w:eastAsia="Arial" w:hAnsi="Arial" w:cs="Arial"/>
                <w:color w:val="000000"/>
                <w:spacing w:val="0"/>
                <w:w w:val="100"/>
                <w:position w:val="0"/>
                <w:sz w:val="24"/>
                <w:szCs w:val="24"/>
              </w:rPr>
              <w:t>3,1</w:t>
            </w:r>
            <w:r>
              <w:rPr>
                <w:rFonts w:ascii="Arial" w:eastAsia="Arial" w:hAnsi="Arial" w:cs="Arial"/>
                <w:color w:val="000000"/>
                <w:spacing w:val="0"/>
                <w:w w:val="100"/>
                <w:position w:val="0"/>
                <w:sz w:val="24"/>
                <w:szCs w:val="24"/>
              </w:rPr>
              <w:t>00,000,000.00</w:t>
              <w:tab/>
              <w:t>2,530,000,000.00</w:t>
            </w:r>
          </w:p>
          <w:p>
            <w:pPr>
              <w:pStyle w:val="Style23"/>
              <w:keepNext w:val="0"/>
              <w:keepLines w:val="0"/>
              <w:widowControl w:val="0"/>
              <w:shd w:val="clear" w:color="auto" w:fill="auto"/>
              <w:tabs>
                <w:tab w:pos="4947" w:val="right"/>
              </w:tabs>
              <w:bidi w:val="0"/>
              <w:spacing w:before="0" w:after="40" w:line="240" w:lineRule="auto"/>
              <w:ind w:left="0" w:right="0" w:firstLine="800"/>
              <w:jc w:val="left"/>
              <w:rPr>
                <w:sz w:val="24"/>
                <w:szCs w:val="24"/>
              </w:rPr>
            </w:pPr>
            <w:r>
              <w:rPr>
                <w:rFonts w:ascii="Arial" w:eastAsia="Arial" w:hAnsi="Arial" w:cs="Arial"/>
                <w:color w:val="000000"/>
                <w:spacing w:val="0"/>
                <w:w w:val="100"/>
                <w:position w:val="0"/>
                <w:sz w:val="24"/>
                <w:szCs w:val="24"/>
              </w:rPr>
              <w:t>732,460,793.24</w:t>
              <w:tab/>
              <w:t>1,656,654,222.04</w:t>
            </w:r>
          </w:p>
          <w:p>
            <w:pPr>
              <w:pStyle w:val="Style23"/>
              <w:keepNext w:val="0"/>
              <w:keepLines w:val="0"/>
              <w:widowControl w:val="0"/>
              <w:shd w:val="clear" w:color="auto" w:fill="auto"/>
              <w:tabs>
                <w:tab w:pos="4930" w:val="right"/>
              </w:tabs>
              <w:bidi w:val="0"/>
              <w:spacing w:before="0" w:after="40" w:line="240" w:lineRule="auto"/>
              <w:ind w:left="0" w:right="0" w:firstLine="600"/>
              <w:jc w:val="both"/>
              <w:rPr>
                <w:sz w:val="24"/>
                <w:szCs w:val="24"/>
              </w:rPr>
            </w:pPr>
            <w:r>
              <w:rPr>
                <w:rFonts w:ascii="Arial" w:eastAsia="Arial" w:hAnsi="Arial" w:cs="Arial"/>
                <w:color w:val="000000"/>
                <w:spacing w:val="0"/>
                <w:w w:val="100"/>
                <w:position w:val="0"/>
                <w:sz w:val="24"/>
                <w:szCs w:val="24"/>
                <w:u w:val="single"/>
              </w:rPr>
              <w:t>1,988,386,100.00</w:t>
              <w:tab/>
              <w:t>383,976,502.56</w:t>
            </w:r>
          </w:p>
          <w:p>
            <w:pPr>
              <w:pStyle w:val="Style23"/>
              <w:keepNext w:val="0"/>
              <w:keepLines w:val="0"/>
              <w:widowControl w:val="0"/>
              <w:shd w:val="clear" w:color="auto" w:fill="auto"/>
              <w:tabs>
                <w:tab w:pos="4949" w:val="right"/>
              </w:tabs>
              <w:bidi w:val="0"/>
              <w:spacing w:before="0" w:after="40" w:line="240" w:lineRule="auto"/>
              <w:ind w:left="0" w:right="0" w:firstLine="600"/>
              <w:jc w:val="both"/>
              <w:rPr>
                <w:sz w:val="24"/>
                <w:szCs w:val="24"/>
              </w:rPr>
            </w:pPr>
            <w:r>
              <w:rPr>
                <w:rFonts w:ascii="Arial" w:eastAsia="Arial" w:hAnsi="Arial" w:cs="Arial"/>
                <w:color w:val="000000"/>
                <w:spacing w:val="0"/>
                <w:w w:val="100"/>
                <w:position w:val="0"/>
                <w:sz w:val="24"/>
                <w:szCs w:val="24"/>
                <w:u w:val="single"/>
              </w:rPr>
              <w:t>5,820,846,893.24</w:t>
              <w:tab/>
              <w:t>4,570,630,724.60</w:t>
            </w:r>
          </w:p>
        </w:tc>
      </w:tr>
      <w:tr>
        <w:trPr>
          <w:trHeight w:val="2102" w:hRule="exact"/>
        </w:trPr>
        <w:tc>
          <w:tcPr>
            <w:tcBorders/>
            <w:shd w:val="clear" w:color="auto" w:fill="FFFFFF"/>
            <w:vAlign w:val="top"/>
          </w:tcPr>
          <w:p>
            <w:pPr>
              <w:pStyle w:val="Style23"/>
              <w:keepNext w:val="0"/>
              <w:keepLines w:val="0"/>
              <w:widowControl w:val="0"/>
              <w:shd w:val="clear" w:color="auto" w:fill="auto"/>
              <w:bidi w:val="0"/>
              <w:spacing w:before="200" w:after="60" w:line="240" w:lineRule="auto"/>
              <w:ind w:left="0" w:right="0" w:firstLine="0"/>
              <w:jc w:val="left"/>
              <w:rPr>
                <w:sz w:val="22"/>
                <w:szCs w:val="22"/>
              </w:rPr>
            </w:pPr>
            <w:r>
              <w:rPr>
                <w:color w:val="000000"/>
                <w:spacing w:val="0"/>
                <w:w w:val="100"/>
                <w:position w:val="0"/>
                <w:sz w:val="22"/>
                <w:szCs w:val="22"/>
              </w:rPr>
              <w:t>减：一年内到期的长期借款</w:t>
            </w:r>
          </w:p>
          <w:p>
            <w:pPr>
              <w:pStyle w:val="Style23"/>
              <w:keepNext w:val="0"/>
              <w:keepLines w:val="0"/>
              <w:widowControl w:val="0"/>
              <w:shd w:val="clear" w:color="auto" w:fill="auto"/>
              <w:bidi w:val="0"/>
              <w:spacing w:before="0" w:after="60" w:line="240" w:lineRule="auto"/>
              <w:ind w:left="0" w:right="0" w:firstLine="480"/>
              <w:jc w:val="left"/>
              <w:rPr>
                <w:sz w:val="22"/>
                <w:szCs w:val="22"/>
              </w:rPr>
            </w:pPr>
            <w:r>
              <w:rPr>
                <w:color w:val="000000"/>
                <w:spacing w:val="0"/>
                <w:w w:val="100"/>
                <w:position w:val="0"/>
                <w:sz w:val="22"/>
                <w:szCs w:val="22"/>
              </w:rPr>
              <w:t>信用借款</w:t>
            </w:r>
          </w:p>
          <w:p>
            <w:pPr>
              <w:pStyle w:val="Style23"/>
              <w:keepNext w:val="0"/>
              <w:keepLines w:val="0"/>
              <w:widowControl w:val="0"/>
              <w:shd w:val="clear" w:color="auto" w:fill="auto"/>
              <w:bidi w:val="0"/>
              <w:spacing w:before="0" w:after="60" w:line="240" w:lineRule="auto"/>
              <w:ind w:left="0" w:right="0" w:firstLine="480"/>
              <w:jc w:val="left"/>
              <w:rPr>
                <w:sz w:val="22"/>
                <w:szCs w:val="22"/>
              </w:rPr>
            </w:pPr>
            <w:r>
              <w:rPr>
                <w:color w:val="000000"/>
                <w:spacing w:val="0"/>
                <w:w w:val="100"/>
                <w:position w:val="0"/>
                <w:sz w:val="22"/>
                <w:szCs w:val="22"/>
              </w:rPr>
              <w:t>保证借款</w:t>
            </w:r>
          </w:p>
          <w:p>
            <w:pPr>
              <w:pStyle w:val="Style23"/>
              <w:keepNext w:val="0"/>
              <w:keepLines w:val="0"/>
              <w:widowControl w:val="0"/>
              <w:shd w:val="clear" w:color="auto" w:fill="auto"/>
              <w:bidi w:val="0"/>
              <w:spacing w:before="0" w:after="60" w:line="240" w:lineRule="auto"/>
              <w:ind w:left="0" w:right="0" w:firstLine="480"/>
              <w:jc w:val="left"/>
              <w:rPr>
                <w:sz w:val="22"/>
                <w:szCs w:val="22"/>
              </w:rPr>
            </w:pPr>
            <w:r>
              <w:rPr>
                <w:color w:val="000000"/>
                <w:spacing w:val="0"/>
                <w:w w:val="100"/>
                <w:position w:val="0"/>
                <w:sz w:val="22"/>
                <w:szCs w:val="22"/>
              </w:rPr>
              <w:t>抵押借款</w:t>
            </w:r>
          </w:p>
        </w:tc>
        <w:tc>
          <w:tcPr>
            <w:tcBorders>
              <w:bottom w:val="single" w:sz="4"/>
            </w:tcBorders>
            <w:shd w:val="clear" w:color="auto" w:fill="FFFFFF"/>
            <w:vAlign w:val="bottom"/>
          </w:tcPr>
          <w:p>
            <w:pPr>
              <w:pStyle w:val="Style23"/>
              <w:keepNext w:val="0"/>
              <w:keepLines w:val="0"/>
              <w:widowControl w:val="0"/>
              <w:shd w:val="clear" w:color="auto" w:fill="auto"/>
              <w:tabs>
                <w:tab w:pos="5016" w:val="right"/>
              </w:tabs>
              <w:bidi w:val="0"/>
              <w:spacing w:before="0" w:after="40" w:line="240" w:lineRule="auto"/>
              <w:ind w:left="0" w:right="0" w:firstLine="720"/>
              <w:jc w:val="both"/>
              <w:rPr>
                <w:sz w:val="24"/>
                <w:szCs w:val="24"/>
              </w:rPr>
            </w:pPr>
            <w:r>
              <w:rPr>
                <w:rFonts w:ascii="Arial" w:eastAsia="Arial" w:hAnsi="Arial" w:cs="Arial"/>
                <w:color w:val="000000"/>
                <w:spacing w:val="0"/>
                <w:w w:val="100"/>
                <w:position w:val="0"/>
                <w:sz w:val="24"/>
                <w:szCs w:val="24"/>
              </w:rPr>
              <w:t>(770,000,000.00)</w:t>
              <w:tab/>
              <w:t>(403,232,876.71</w:t>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5016" w:val="right"/>
              </w:tabs>
              <w:bidi w:val="0"/>
              <w:spacing w:before="0" w:after="40" w:line="240" w:lineRule="auto"/>
              <w:ind w:left="0" w:right="0" w:firstLine="720"/>
              <w:jc w:val="both"/>
              <w:rPr>
                <w:sz w:val="24"/>
                <w:szCs w:val="24"/>
              </w:rPr>
            </w:pPr>
            <w:r>
              <w:rPr>
                <w:rFonts w:ascii="Arial" w:eastAsia="Arial" w:hAnsi="Arial" w:cs="Arial"/>
                <w:color w:val="000000"/>
                <w:spacing w:val="0"/>
                <w:w w:val="100"/>
                <w:position w:val="0"/>
                <w:sz w:val="24"/>
                <w:szCs w:val="24"/>
              </w:rPr>
              <w:t>(141,403,200.00)</w:t>
              <w:tab/>
              <w:t>(121,920,000.00)</w:t>
            </w:r>
          </w:p>
          <w:p>
            <w:pPr>
              <w:pStyle w:val="Style23"/>
              <w:keepNext w:val="0"/>
              <w:keepLines w:val="0"/>
              <w:widowControl w:val="0"/>
              <w:shd w:val="clear" w:color="auto" w:fill="auto"/>
              <w:tabs>
                <w:tab w:pos="5016" w:val="right"/>
              </w:tabs>
              <w:bidi w:val="0"/>
              <w:spacing w:before="0" w:after="40" w:line="240" w:lineRule="auto"/>
              <w:ind w:left="0" w:right="0" w:firstLine="720"/>
              <w:jc w:val="both"/>
              <w:rPr>
                <w:sz w:val="24"/>
                <w:szCs w:val="24"/>
              </w:rPr>
            </w:pPr>
            <w:r>
              <w:rPr>
                <w:rFonts w:ascii="Arial" w:eastAsia="Arial" w:hAnsi="Arial" w:cs="Arial"/>
                <w:color w:val="000000"/>
                <w:spacing w:val="0"/>
                <w:w w:val="100"/>
                <w:position w:val="0"/>
                <w:sz w:val="24"/>
                <w:szCs w:val="24"/>
                <w:u w:val="single"/>
              </w:rPr>
              <w:t>(148,430,308.87)</w:t>
              <w:tab/>
              <w:t>(18,114,479.42)</w:t>
            </w:r>
          </w:p>
          <w:p>
            <w:pPr>
              <w:pStyle w:val="Style23"/>
              <w:keepNext w:val="0"/>
              <w:keepLines w:val="0"/>
              <w:widowControl w:val="0"/>
              <w:shd w:val="clear" w:color="auto" w:fill="auto"/>
              <w:tabs>
                <w:tab w:pos="4498" w:val="right"/>
              </w:tabs>
              <w:bidi w:val="0"/>
              <w:spacing w:before="0" w:after="40" w:line="240" w:lineRule="auto"/>
              <w:ind w:left="0" w:right="0" w:firstLine="0"/>
              <w:jc w:val="right"/>
              <w:rPr>
                <w:sz w:val="24"/>
                <w:szCs w:val="24"/>
              </w:rPr>
            </w:pPr>
            <w:r>
              <w:rPr>
                <w:rFonts w:ascii="Arial" w:eastAsia="Arial" w:hAnsi="Arial" w:cs="Arial"/>
                <w:color w:val="000000"/>
                <w:spacing w:val="0"/>
                <w:w w:val="100"/>
                <w:position w:val="0"/>
                <w:sz w:val="24"/>
                <w:szCs w:val="24"/>
                <w:u w:val="single"/>
              </w:rPr>
              <w:t>(1,059,833,508.87)</w:t>
              <w:tab/>
              <w:t>(543,267,356.13)</w:t>
            </w:r>
          </w:p>
          <w:p>
            <w:pPr>
              <w:pStyle w:val="Style23"/>
              <w:keepNext w:val="0"/>
              <w:keepLines w:val="0"/>
              <w:widowControl w:val="0"/>
              <w:shd w:val="clear" w:color="auto" w:fill="auto"/>
              <w:tabs>
                <w:tab w:pos="3091" w:val="left"/>
              </w:tabs>
              <w:bidi w:val="0"/>
              <w:spacing w:before="0" w:after="40" w:line="240" w:lineRule="auto"/>
              <w:ind w:left="0" w:right="0" w:firstLine="600"/>
              <w:jc w:val="both"/>
              <w:rPr>
                <w:sz w:val="24"/>
                <w:szCs w:val="24"/>
              </w:rPr>
            </w:pPr>
            <w:r>
              <w:rPr>
                <w:rFonts w:ascii="Arial" w:eastAsia="Arial" w:hAnsi="Arial" w:cs="Arial"/>
                <w:color w:val="000000"/>
                <w:spacing w:val="0"/>
                <w:w w:val="100"/>
                <w:position w:val="0"/>
                <w:sz w:val="24"/>
                <w:szCs w:val="24"/>
              </w:rPr>
              <w:t>4,761,01</w:t>
            </w:r>
            <w:r>
              <w:rPr>
                <w:rFonts w:ascii="Arial" w:eastAsia="Arial" w:hAnsi="Arial" w:cs="Arial"/>
                <w:color w:val="000000"/>
                <w:spacing w:val="0"/>
                <w:w w:val="100"/>
                <w:position w:val="0"/>
                <w:sz w:val="24"/>
                <w:szCs w:val="24"/>
              </w:rPr>
              <w:t>3,384.37</w:t>
              <w:tab/>
              <w:t>4,027,363,368.47</w:t>
            </w:r>
          </w:p>
        </w:tc>
      </w:tr>
    </w:tbl>
    <w:p>
      <w:pPr>
        <w:pStyle w:val="Style29"/>
        <w:keepNext w:val="0"/>
        <w:keepLines w:val="0"/>
        <w:widowControl w:val="0"/>
        <w:numPr>
          <w:ilvl w:val="0"/>
          <w:numId w:val="59"/>
        </w:numPr>
        <w:shd w:val="clear" w:color="auto" w:fill="auto"/>
        <w:tabs>
          <w:tab w:pos="-6" w:val="left"/>
        </w:tabs>
        <w:bidi w:val="0"/>
        <w:spacing w:before="0" w:after="0" w:line="331" w:lineRule="exact"/>
        <w:ind w:left="0"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日及</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日，本集团的保证借款均为泰森控 股提供担保。保证借款余额中</w:t>
      </w:r>
      <w:r>
        <w:rPr>
          <w:rFonts w:ascii="Arial" w:eastAsia="Arial" w:hAnsi="Arial" w:cs="Arial"/>
          <w:color w:val="000000"/>
          <w:spacing w:val="0"/>
          <w:w w:val="100"/>
          <w:position w:val="0"/>
          <w:sz w:val="24"/>
          <w:szCs w:val="24"/>
        </w:rPr>
        <w:t>236,000,000.00</w:t>
      </w:r>
      <w:r>
        <w:rPr>
          <w:color w:val="000000"/>
          <w:spacing w:val="0"/>
          <w:w w:val="100"/>
          <w:position w:val="0"/>
          <w:sz w:val="22"/>
          <w:szCs w:val="22"/>
        </w:rPr>
        <w:t>元同时以</w:t>
      </w:r>
      <w:r>
        <w:rPr>
          <w:rFonts w:ascii="Arial" w:eastAsia="Arial" w:hAnsi="Arial" w:cs="Arial"/>
          <w:color w:val="000000"/>
          <w:spacing w:val="0"/>
          <w:w w:val="100"/>
          <w:position w:val="0"/>
          <w:sz w:val="24"/>
          <w:szCs w:val="24"/>
        </w:rPr>
        <w:t>30,000,000.00</w:t>
      </w:r>
      <w:r>
        <w:rPr>
          <w:color w:val="000000"/>
          <w:spacing w:val="0"/>
          <w:w w:val="100"/>
          <w:position w:val="0"/>
          <w:sz w:val="22"/>
          <w:szCs w:val="22"/>
        </w:rPr>
        <w:t>元的 定期存款作为质押。</w:t>
      </w:r>
    </w:p>
    <w:p>
      <w:pPr>
        <w:widowControl w:val="0"/>
        <w:spacing w:after="339" w:line="1" w:lineRule="exact"/>
      </w:pPr>
    </w:p>
    <w:p>
      <w:pPr>
        <w:pStyle w:val="Style94"/>
        <w:keepNext w:val="0"/>
        <w:keepLines w:val="0"/>
        <w:widowControl w:val="0"/>
        <w:numPr>
          <w:ilvl w:val="0"/>
          <w:numId w:val="61"/>
        </w:numPr>
        <w:shd w:val="clear" w:color="auto" w:fill="auto"/>
        <w:tabs>
          <w:tab w:pos="730" w:val="left"/>
        </w:tabs>
        <w:bidi w:val="0"/>
        <w:spacing w:before="0" w:after="0" w:line="325" w:lineRule="exact"/>
        <w:ind w:left="740" w:right="0" w:hanging="740"/>
        <w:jc w:val="left"/>
        <w:rPr>
          <w:sz w:val="22"/>
          <w:szCs w:val="22"/>
        </w:rPr>
        <w:sectPr>
          <w:footnotePr>
            <w:pos w:val="pageBottom"/>
            <w:numFmt w:val="decimal"/>
            <w:numRestart w:val="continuous"/>
          </w:footnotePr>
          <w:type w:val="continuous"/>
          <w:pgSz w:w="11900" w:h="16840"/>
          <w:pgMar w:top="2161" w:right="1092" w:bottom="3385" w:left="1961" w:header="0" w:footer="3" w:gutter="0"/>
          <w:cols w:space="720"/>
          <w:noEndnote/>
          <w:rtlGutter w:val="0"/>
          <w:docGrid w:linePitch="360"/>
        </w:sectPr>
      </w:pPr>
      <w:bookmarkStart w:id="831" w:name="bookmark831"/>
      <w:bookmarkEnd w:id="831"/>
      <w:r>
        <w:rPr>
          <w:rFonts w:ascii="SimSun" w:eastAsia="SimSun" w:hAnsi="SimSun" w:cs="SimSun"/>
          <w:color w:val="000000"/>
          <w:spacing w:val="0"/>
          <w:w w:val="100"/>
          <w:position w:val="0"/>
          <w:sz w:val="22"/>
          <w:szCs w:val="22"/>
        </w:rPr>
        <w:t xml:space="preserve">银行抵押借款 </w:t>
      </w:r>
      <w:r>
        <w:rPr>
          <w:color w:val="000000"/>
          <w:spacing w:val="0"/>
          <w:w w:val="100"/>
          <w:position w:val="0"/>
          <w:sz w:val="24"/>
          <w:szCs w:val="24"/>
        </w:rPr>
        <w:t xml:space="preserve">236,000,000.00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日：</w:t>
      </w:r>
      <w:r>
        <w:rPr>
          <w:color w:val="000000"/>
          <w:spacing w:val="0"/>
          <w:w w:val="100"/>
          <w:position w:val="0"/>
          <w:sz w:val="24"/>
          <w:szCs w:val="24"/>
        </w:rPr>
        <w:t xml:space="preserve">375,290,464.86 </w:t>
      </w:r>
      <w:r>
        <w:rPr>
          <w:rFonts w:ascii="SimSun" w:eastAsia="SimSun" w:hAnsi="SimSun" w:cs="SimSun"/>
          <w:color w:val="000000"/>
          <w:spacing w:val="0"/>
          <w:w w:val="100"/>
          <w:position w:val="0"/>
          <w:sz w:val="22"/>
          <w:szCs w:val="22"/>
        </w:rPr>
        <w:t>元</w:t>
      </w:r>
      <w:r>
        <w:rPr>
          <w:rFonts w:ascii="SimSun" w:eastAsia="SimSun" w:hAnsi="SimSun" w:cs="SimSun"/>
          <w:color w:val="000000"/>
          <w:spacing w:val="0"/>
          <w:w w:val="100"/>
          <w:position w:val="0"/>
          <w:sz w:val="28"/>
          <w:szCs w:val="28"/>
        </w:rPr>
        <w:t>)</w:t>
      </w:r>
      <w:r>
        <w:rPr>
          <w:color w:val="000000"/>
          <w:spacing w:val="0"/>
          <w:w w:val="100"/>
          <w:position w:val="0"/>
          <w:sz w:val="24"/>
          <w:szCs w:val="24"/>
        </w:rPr>
        <w:t xml:space="preserve"> </w:t>
      </w:r>
      <w:r>
        <w:rPr>
          <w:rFonts w:ascii="SimSun" w:eastAsia="SimSun" w:hAnsi="SimSun" w:cs="SimSun"/>
          <w:color w:val="000000"/>
          <w:spacing w:val="0"/>
          <w:w w:val="100"/>
          <w:position w:val="0"/>
          <w:sz w:val="22"/>
          <w:szCs w:val="22"/>
        </w:rPr>
        <w:t>为本集团以净值为</w:t>
      </w:r>
      <w:r>
        <w:rPr>
          <w:color w:val="000000"/>
          <w:spacing w:val="0"/>
          <w:w w:val="100"/>
          <w:position w:val="0"/>
          <w:sz w:val="24"/>
          <w:szCs w:val="24"/>
        </w:rPr>
        <w:t>49,504,410.06</w:t>
      </w:r>
      <w:r>
        <w:rPr>
          <w:rFonts w:ascii="SimSun" w:eastAsia="SimSun" w:hAnsi="SimSun" w:cs="SimSun"/>
          <w:color w:val="000000"/>
          <w:spacing w:val="0"/>
          <w:w w:val="100"/>
          <w:position w:val="0"/>
          <w:sz w:val="22"/>
          <w:szCs w:val="22"/>
        </w:rPr>
        <w:t>元</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r>
        <w:rPr>
          <w:color w:val="000000"/>
          <w:spacing w:val="0"/>
          <w:w w:val="100"/>
          <w:position w:val="0"/>
          <w:sz w:val="24"/>
          <w:szCs w:val="24"/>
        </w:rPr>
        <w:t>85,000,552.79</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 </w:t>
      </w:r>
      <w:r>
        <w:rPr>
          <w:rFonts w:ascii="SimSun" w:eastAsia="SimSun" w:hAnsi="SimSun" w:cs="SimSun"/>
          <w:color w:val="000000"/>
          <w:spacing w:val="0"/>
          <w:w w:val="100"/>
          <w:position w:val="0"/>
          <w:sz w:val="22"/>
          <w:szCs w:val="22"/>
        </w:rPr>
        <w:t>的土地使用权作为抵押，且由泰森控股提供全额连带责任保证担保，利息每季 度支付一次，本金应于</w:t>
      </w:r>
      <w:r>
        <w:rPr>
          <w:color w:val="000000"/>
          <w:spacing w:val="0"/>
          <w:w w:val="100"/>
          <w:position w:val="0"/>
          <w:sz w:val="24"/>
          <w:szCs w:val="24"/>
        </w:rPr>
        <w:t>2014</w:t>
      </w:r>
      <w:r>
        <w:rPr>
          <w:rFonts w:ascii="SimSun" w:eastAsia="SimSun" w:hAnsi="SimSun" w:cs="SimSun"/>
          <w:color w:val="000000"/>
          <w:spacing w:val="0"/>
          <w:w w:val="100"/>
          <w:position w:val="0"/>
          <w:sz w:val="22"/>
          <w:szCs w:val="22"/>
        </w:rPr>
        <w:t>年</w:t>
      </w:r>
      <w:r>
        <w:rPr>
          <w:color w:val="000000"/>
          <w:spacing w:val="0"/>
          <w:w w:val="100"/>
          <w:position w:val="0"/>
          <w:sz w:val="24"/>
          <w:szCs w:val="24"/>
        </w:rPr>
        <w:t>10</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日至</w:t>
      </w:r>
      <w:r>
        <w:rPr>
          <w:color w:val="000000"/>
          <w:spacing w:val="0"/>
          <w:w w:val="100"/>
          <w:position w:val="0"/>
          <w:sz w:val="24"/>
          <w:szCs w:val="24"/>
        </w:rPr>
        <w:t>2025</w:t>
      </w:r>
      <w:r>
        <w:rPr>
          <w:rFonts w:ascii="SimSun" w:eastAsia="SimSun" w:hAnsi="SimSun" w:cs="SimSun"/>
          <w:color w:val="000000"/>
          <w:spacing w:val="0"/>
          <w:w w:val="100"/>
          <w:position w:val="0"/>
          <w:sz w:val="22"/>
          <w:szCs w:val="22"/>
        </w:rPr>
        <w:t>年</w:t>
      </w:r>
      <w:r>
        <w:rPr>
          <w:color w:val="000000"/>
          <w:spacing w:val="0"/>
          <w:w w:val="100"/>
          <w:position w:val="0"/>
          <w:sz w:val="24"/>
          <w:szCs w:val="24"/>
        </w:rPr>
        <w:t>9</w:t>
      </w:r>
      <w:r>
        <w:rPr>
          <w:rFonts w:ascii="SimSun" w:eastAsia="SimSun" w:hAnsi="SimSun" w:cs="SimSun"/>
          <w:color w:val="000000"/>
          <w:spacing w:val="0"/>
          <w:w w:val="100"/>
          <w:position w:val="0"/>
          <w:sz w:val="22"/>
          <w:szCs w:val="22"/>
        </w:rPr>
        <w:t>月</w:t>
      </w:r>
      <w:r>
        <w:rPr>
          <w:color w:val="000000"/>
          <w:spacing w:val="0"/>
          <w:w w:val="100"/>
          <w:position w:val="0"/>
          <w:sz w:val="24"/>
          <w:szCs w:val="24"/>
        </w:rPr>
        <w:t>23</w:t>
      </w:r>
      <w:r>
        <w:rPr>
          <w:rFonts w:ascii="SimSun" w:eastAsia="SimSun" w:hAnsi="SimSun" w:cs="SimSun"/>
          <w:color w:val="000000"/>
          <w:spacing w:val="0"/>
          <w:w w:val="100"/>
          <w:position w:val="0"/>
          <w:sz w:val="22"/>
          <w:szCs w:val="22"/>
        </w:rPr>
        <w:t>日期间分期作 出偿还。</w:t>
      </w:r>
    </w:p>
    <w:p>
      <w:pPr>
        <w:pStyle w:val="Style94"/>
        <w:keepNext w:val="0"/>
        <w:keepLines w:val="0"/>
        <w:widowControl w:val="0"/>
        <w:shd w:val="clear" w:color="auto" w:fill="auto"/>
        <w:tabs>
          <w:tab w:pos="757" w:val="left"/>
        </w:tabs>
        <w:bidi w:val="0"/>
        <w:spacing w:before="0" w:after="360" w:line="321" w:lineRule="exact"/>
        <w:ind w:left="0" w:right="0" w:firstLine="0"/>
        <w:jc w:val="left"/>
        <w:rPr>
          <w:sz w:val="28"/>
          <w:szCs w:val="28"/>
        </w:rPr>
      </w:pPr>
      <w:bookmarkStart w:id="833" w:name="bookmark833"/>
      <w:r>
        <w:rPr>
          <w:color w:val="000000"/>
          <w:spacing w:val="0"/>
          <w:w w:val="100"/>
          <w:position w:val="0"/>
          <w:sz w:val="24"/>
          <w:szCs w:val="24"/>
        </w:rPr>
        <w:t>（</w:t>
      </w:r>
      <w:bookmarkEnd w:id="833"/>
      <w:r>
        <w:rPr>
          <w:color w:val="000000"/>
          <w:spacing w:val="0"/>
          <w:w w:val="100"/>
          <w:position w:val="0"/>
          <w:sz w:val="24"/>
          <w:szCs w:val="24"/>
        </w:rPr>
        <w:t>31）</w:t>
        <w:tab/>
      </w:r>
      <w:r>
        <w:rPr>
          <w:rFonts w:ascii="SimSun" w:eastAsia="SimSun" w:hAnsi="SimSun" w:cs="SimSun"/>
          <w:b/>
          <w:bCs/>
          <w:color w:val="000000"/>
          <w:spacing w:val="0"/>
          <w:w w:val="100"/>
          <w:position w:val="0"/>
          <w:sz w:val="22"/>
          <w:szCs w:val="22"/>
        </w:rPr>
        <w:t>长期借款</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94"/>
        <w:keepNext w:val="0"/>
        <w:keepLines w:val="0"/>
        <w:widowControl w:val="0"/>
        <w:shd w:val="clear" w:color="auto" w:fill="auto"/>
        <w:tabs>
          <w:tab w:pos="757" w:val="left"/>
        </w:tabs>
        <w:bidi w:val="0"/>
        <w:spacing w:before="0" w:after="320" w:line="321" w:lineRule="exact"/>
        <w:ind w:left="0" w:right="0" w:firstLine="0"/>
        <w:jc w:val="left"/>
        <w:rPr>
          <w:sz w:val="28"/>
          <w:szCs w:val="28"/>
        </w:rPr>
      </w:pPr>
      <w:bookmarkStart w:id="834" w:name="bookmark834"/>
      <w:r>
        <w:rPr>
          <w:color w:val="000000"/>
          <w:spacing w:val="0"/>
          <w:w w:val="100"/>
          <w:position w:val="0"/>
          <w:sz w:val="24"/>
          <w:szCs w:val="24"/>
        </w:rPr>
        <w:t>（</w:t>
      </w:r>
      <w:bookmarkEnd w:id="834"/>
      <w:r>
        <w:rPr>
          <w:color w:val="000000"/>
          <w:spacing w:val="0"/>
          <w:w w:val="100"/>
          <w:position w:val="0"/>
          <w:sz w:val="24"/>
          <w:szCs w:val="24"/>
        </w:rPr>
        <w:t>b）</w:t>
        <w:tab/>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20" w:line="319" w:lineRule="exact"/>
        <w:ind w:left="0" w:right="0" w:firstLine="0"/>
        <w:jc w:val="left"/>
        <w:rPr>
          <w:sz w:val="22"/>
          <w:szCs w:val="22"/>
        </w:rPr>
      </w:pPr>
      <w:r>
        <w:rPr>
          <w:b w:val="0"/>
          <w:bCs w:val="0"/>
          <w:color w:val="000000"/>
          <w:spacing w:val="0"/>
          <w:w w:val="100"/>
          <w:position w:val="0"/>
          <w:sz w:val="22"/>
          <w:szCs w:val="22"/>
        </w:rPr>
        <w:t>银行抵押借款</w:t>
      </w:r>
      <w:r>
        <w:rPr>
          <w:rFonts w:ascii="Arial" w:eastAsia="Arial" w:hAnsi="Arial" w:cs="Arial"/>
          <w:b w:val="0"/>
          <w:bCs w:val="0"/>
          <w:color w:val="000000"/>
          <w:spacing w:val="0"/>
          <w:w w:val="100"/>
          <w:position w:val="0"/>
          <w:sz w:val="24"/>
          <w:szCs w:val="24"/>
        </w:rPr>
        <w:t>151,543,253.54</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为本公司以净值为 </w:t>
      </w:r>
      <w:r>
        <w:rPr>
          <w:rFonts w:ascii="Arial" w:eastAsia="Arial" w:hAnsi="Arial" w:cs="Arial"/>
          <w:b w:val="0"/>
          <w:bCs w:val="0"/>
          <w:color w:val="000000"/>
          <w:spacing w:val="0"/>
          <w:w w:val="100"/>
          <w:position w:val="0"/>
          <w:sz w:val="24"/>
          <w:szCs w:val="24"/>
        </w:rPr>
        <w:t>1,312,492,905.26</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的土地使用权作为抵押，利息每季度 支付一次，本金应于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18</w:t>
      </w:r>
      <w:r>
        <w:rPr>
          <w:b w:val="0"/>
          <w:bCs w:val="0"/>
          <w:color w:val="000000"/>
          <w:spacing w:val="0"/>
          <w:w w:val="100"/>
          <w:position w:val="0"/>
          <w:sz w:val="22"/>
          <w:szCs w:val="22"/>
        </w:rPr>
        <w:t>日至</w:t>
      </w:r>
      <w:r>
        <w:rPr>
          <w:rFonts w:ascii="Arial" w:eastAsia="Arial" w:hAnsi="Arial" w:cs="Arial"/>
          <w:b w:val="0"/>
          <w:bCs w:val="0"/>
          <w:color w:val="000000"/>
          <w:spacing w:val="0"/>
          <w:w w:val="100"/>
          <w:position w:val="0"/>
          <w:sz w:val="24"/>
          <w:szCs w:val="24"/>
        </w:rPr>
        <w:t>2026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18</w:t>
      </w:r>
      <w:r>
        <w:rPr>
          <w:b w:val="0"/>
          <w:bCs w:val="0"/>
          <w:color w:val="000000"/>
          <w:spacing w:val="0"/>
          <w:w w:val="100"/>
          <w:position w:val="0"/>
          <w:sz w:val="22"/>
          <w:szCs w:val="22"/>
        </w:rPr>
        <w:t>日期间分期作出偿还。</w:t>
      </w:r>
    </w:p>
    <w:p>
      <w:pPr>
        <w:pStyle w:val="Style94"/>
        <w:keepNext w:val="0"/>
        <w:keepLines w:val="0"/>
        <w:widowControl w:val="0"/>
        <w:shd w:val="clear" w:color="auto" w:fill="auto"/>
        <w:bidi w:val="0"/>
        <w:spacing w:before="0" w:after="320" w:line="320" w:lineRule="exact"/>
        <w:ind w:left="0" w:right="0" w:firstLine="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日，银行抵押借款</w:t>
      </w:r>
      <w:r>
        <w:rPr>
          <w:color w:val="000000"/>
          <w:spacing w:val="0"/>
          <w:w w:val="100"/>
          <w:position w:val="0"/>
          <w:sz w:val="24"/>
          <w:szCs w:val="24"/>
        </w:rPr>
        <w:t>5,620,377.30</w:t>
      </w:r>
      <w:r>
        <w:rPr>
          <w:rFonts w:ascii="SimSun" w:eastAsia="SimSun" w:hAnsi="SimSun" w:cs="SimSun"/>
          <w:color w:val="000000"/>
          <w:spacing w:val="0"/>
          <w:w w:val="100"/>
          <w:position w:val="0"/>
          <w:sz w:val="22"/>
          <w:szCs w:val="22"/>
        </w:rPr>
        <w:t>元</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8,686,037.70</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为本集团以净价值为</w:t>
      </w:r>
      <w:r>
        <w:rPr>
          <w:color w:val="000000"/>
          <w:spacing w:val="0"/>
          <w:w w:val="100"/>
          <w:position w:val="0"/>
          <w:sz w:val="24"/>
          <w:szCs w:val="24"/>
        </w:rPr>
        <w:t>27,368,839.18</w:t>
      </w:r>
      <w:r>
        <w:rPr>
          <w:rFonts w:ascii="SimSun" w:eastAsia="SimSun" w:hAnsi="SimSun" w:cs="SimSun"/>
          <w:color w:val="000000"/>
          <w:spacing w:val="0"/>
          <w:w w:val="100"/>
          <w:position w:val="0"/>
          <w:sz w:val="22"/>
          <w:szCs w:val="22"/>
        </w:rPr>
        <w:t>元</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22,060,871.73</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的在建工程作为抵押，利息每月支付一次，本金应于</w:t>
      </w:r>
      <w:r>
        <w:rPr>
          <w:color w:val="000000"/>
          <w:spacing w:val="0"/>
          <w:w w:val="100"/>
          <w:position w:val="0"/>
          <w:sz w:val="24"/>
          <w:szCs w:val="24"/>
        </w:rPr>
        <w:t>2018</w:t>
      </w:r>
      <w:r>
        <w:rPr>
          <w:rFonts w:ascii="SimSun" w:eastAsia="SimSun" w:hAnsi="SimSun" w:cs="SimSun"/>
          <w:color w:val="000000"/>
          <w:spacing w:val="0"/>
          <w:w w:val="100"/>
          <w:position w:val="0"/>
          <w:sz w:val="22"/>
          <w:szCs w:val="22"/>
        </w:rPr>
        <w:t>年</w:t>
      </w:r>
      <w:r>
        <w:rPr>
          <w:color w:val="000000"/>
          <w:spacing w:val="0"/>
          <w:w w:val="100"/>
          <w:position w:val="0"/>
          <w:sz w:val="24"/>
          <w:szCs w:val="24"/>
        </w:rPr>
        <w:t xml:space="preserve">10 </w:t>
      </w:r>
      <w:r>
        <w:rPr>
          <w:rFonts w:ascii="SimSun" w:eastAsia="SimSun" w:hAnsi="SimSun" w:cs="SimSun"/>
          <w:color w:val="000000"/>
          <w:spacing w:val="0"/>
          <w:w w:val="100"/>
          <w:position w:val="0"/>
          <w:sz w:val="22"/>
          <w:szCs w:val="22"/>
        </w:rPr>
        <w:t>月</w:t>
      </w:r>
      <w:r>
        <w:rPr>
          <w:color w:val="000000"/>
          <w:spacing w:val="0"/>
          <w:w w:val="100"/>
          <w:position w:val="0"/>
          <w:sz w:val="24"/>
          <w:szCs w:val="24"/>
        </w:rPr>
        <w:t>26</w:t>
      </w:r>
      <w:r>
        <w:rPr>
          <w:rFonts w:ascii="SimSun" w:eastAsia="SimSun" w:hAnsi="SimSun" w:cs="SimSun"/>
          <w:color w:val="000000"/>
          <w:spacing w:val="0"/>
          <w:w w:val="100"/>
          <w:position w:val="0"/>
          <w:sz w:val="22"/>
          <w:szCs w:val="22"/>
        </w:rPr>
        <w:t>日前偿还。</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日，银行抵押借款</w:t>
      </w:r>
      <w:r>
        <w:rPr>
          <w:rFonts w:ascii="Arial" w:eastAsia="Arial" w:hAnsi="Arial" w:cs="Arial"/>
          <w:b w:val="0"/>
          <w:bCs w:val="0"/>
          <w:color w:val="000000"/>
          <w:spacing w:val="0"/>
          <w:w w:val="100"/>
          <w:position w:val="0"/>
          <w:sz w:val="24"/>
          <w:szCs w:val="24"/>
        </w:rPr>
        <w:t>1,595,222,469.16</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 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为本集团之全资子公司固特发展有限公司以账面价值为</w:t>
      </w:r>
      <w:r>
        <w:rPr>
          <w:rFonts w:ascii="Arial" w:eastAsia="Arial" w:hAnsi="Arial" w:cs="Arial"/>
          <w:b w:val="0"/>
          <w:bCs w:val="0"/>
          <w:color w:val="000000"/>
          <w:spacing w:val="0"/>
          <w:w w:val="100"/>
          <w:position w:val="0"/>
          <w:sz w:val="24"/>
          <w:szCs w:val="24"/>
        </w:rPr>
        <w:t>1,402,050,01</w:t>
      </w:r>
      <w:r>
        <w:rPr>
          <w:rFonts w:ascii="Arial" w:eastAsia="Arial" w:hAnsi="Arial" w:cs="Arial"/>
          <w:b w:val="0"/>
          <w:bCs w:val="0"/>
          <w:color w:val="000000"/>
          <w:spacing w:val="0"/>
          <w:w w:val="100"/>
          <w:position w:val="0"/>
          <w:sz w:val="24"/>
          <w:szCs w:val="24"/>
        </w:rPr>
        <w:t>7.85</w:t>
      </w:r>
      <w:r>
        <w:rPr>
          <w:b w:val="0"/>
          <w:bCs w:val="0"/>
          <w:color w:val="000000"/>
          <w:spacing w:val="0"/>
          <w:w w:val="100"/>
          <w:position w:val="0"/>
          <w:sz w:val="22"/>
          <w:szCs w:val="22"/>
        </w:rPr>
        <w:t>元的土 地使用权、账面价值为</w:t>
      </w:r>
      <w:r>
        <w:rPr>
          <w:rFonts w:ascii="Arial" w:eastAsia="Arial" w:hAnsi="Arial" w:cs="Arial"/>
          <w:b w:val="0"/>
          <w:bCs w:val="0"/>
          <w:color w:val="000000"/>
          <w:spacing w:val="0"/>
          <w:w w:val="100"/>
          <w:position w:val="0"/>
          <w:sz w:val="24"/>
          <w:szCs w:val="24"/>
        </w:rPr>
        <w:t>994,432,762.37</w:t>
      </w:r>
      <w:r>
        <w:rPr>
          <w:b w:val="0"/>
          <w:bCs w:val="0"/>
          <w:color w:val="000000"/>
          <w:spacing w:val="0"/>
          <w:w w:val="100"/>
          <w:position w:val="0"/>
          <w:sz w:val="22"/>
          <w:szCs w:val="22"/>
        </w:rPr>
        <w:t xml:space="preserve">元的固定资产以及账面价值为 </w:t>
      </w:r>
      <w:r>
        <w:rPr>
          <w:rFonts w:ascii="Arial" w:eastAsia="Arial" w:hAnsi="Arial" w:cs="Arial"/>
          <w:b w:val="0"/>
          <w:bCs w:val="0"/>
          <w:color w:val="000000"/>
          <w:spacing w:val="0"/>
          <w:w w:val="100"/>
          <w:position w:val="0"/>
          <w:sz w:val="24"/>
          <w:szCs w:val="24"/>
        </w:rPr>
        <w:t>1,841,545,768.52</w:t>
      </w:r>
      <w:r>
        <w:rPr>
          <w:b w:val="0"/>
          <w:bCs w:val="0"/>
          <w:color w:val="000000"/>
          <w:spacing w:val="0"/>
          <w:w w:val="100"/>
          <w:position w:val="0"/>
          <w:sz w:val="22"/>
          <w:szCs w:val="22"/>
        </w:rPr>
        <w:t>元的投资性房地产作为抵押，利息每季度支付一次，本金应于</w:t>
      </w:r>
      <w:r>
        <w:rPr>
          <w:rFonts w:ascii="Arial" w:eastAsia="Arial" w:hAnsi="Arial" w:cs="Arial"/>
          <w:b w:val="0"/>
          <w:bCs w:val="0"/>
          <w:color w:val="000000"/>
          <w:spacing w:val="0"/>
          <w:w w:val="100"/>
          <w:position w:val="0"/>
          <w:sz w:val="24"/>
          <w:szCs w:val="24"/>
        </w:rPr>
        <w:t xml:space="preserve">2027 </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27</w:t>
      </w:r>
      <w:r>
        <w:rPr>
          <w:b w:val="0"/>
          <w:bCs w:val="0"/>
          <w:color w:val="000000"/>
          <w:spacing w:val="0"/>
          <w:w w:val="100"/>
          <w:position w:val="0"/>
          <w:sz w:val="22"/>
          <w:szCs w:val="22"/>
        </w:rPr>
        <w:t>日偿还。该笔抵押借款为本集团于本年因收购固特发展有限公司而新增。</w:t>
      </w:r>
    </w:p>
    <w:p>
      <w:pPr>
        <w:pStyle w:val="Style94"/>
        <w:keepNext w:val="0"/>
        <w:keepLines w:val="0"/>
        <w:widowControl w:val="0"/>
        <w:shd w:val="clear" w:color="auto" w:fill="auto"/>
        <w:tabs>
          <w:tab w:pos="757" w:val="left"/>
        </w:tabs>
        <w:bidi w:val="0"/>
        <w:spacing w:before="0" w:after="320" w:line="322" w:lineRule="exact"/>
        <w:ind w:left="740" w:right="0" w:hanging="740"/>
        <w:jc w:val="left"/>
        <w:rPr>
          <w:sz w:val="22"/>
          <w:szCs w:val="22"/>
        </w:rPr>
      </w:pPr>
      <w:bookmarkStart w:id="835" w:name="bookmark835"/>
      <w:r>
        <w:rPr>
          <w:color w:val="000000"/>
          <w:spacing w:val="0"/>
          <w:w w:val="100"/>
          <w:position w:val="0"/>
          <w:sz w:val="24"/>
          <w:szCs w:val="24"/>
        </w:rPr>
        <w:t>（</w:t>
      </w:r>
      <w:bookmarkEnd w:id="835"/>
      <w:r>
        <w:rPr>
          <w:color w:val="000000"/>
          <w:spacing w:val="0"/>
          <w:w w:val="100"/>
          <w:position w:val="0"/>
          <w:sz w:val="24"/>
          <w:szCs w:val="24"/>
        </w:rPr>
        <w:t>c）</w:t>
        <w:tab/>
      </w:r>
      <w:r>
        <w:rPr>
          <w:rFonts w:ascii="SimSun" w:eastAsia="SimSun" w:hAnsi="SimSun" w:cs="SimSun"/>
          <w:color w:val="000000"/>
          <w:spacing w:val="0"/>
          <w:w w:val="100"/>
          <w:position w:val="0"/>
          <w:sz w:val="22"/>
          <w:szCs w:val="22"/>
        </w:rPr>
        <w:t>于</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日，长期借款的利率区间为</w:t>
      </w:r>
      <w:r>
        <w:rPr>
          <w:color w:val="000000"/>
          <w:spacing w:val="0"/>
          <w:w w:val="100"/>
          <w:position w:val="0"/>
          <w:sz w:val="24"/>
          <w:szCs w:val="24"/>
        </w:rPr>
        <w:t>4.275%</w:t>
      </w:r>
      <w:r>
        <w:rPr>
          <w:rFonts w:ascii="SimSun" w:eastAsia="SimSun" w:hAnsi="SimSun" w:cs="SimSun"/>
          <w:color w:val="000000"/>
          <w:spacing w:val="0"/>
          <w:w w:val="100"/>
          <w:position w:val="0"/>
          <w:sz w:val="22"/>
          <w:szCs w:val="22"/>
        </w:rPr>
        <w:t>至</w:t>
      </w:r>
      <w:r>
        <w:rPr>
          <w:color w:val="000000"/>
          <w:spacing w:val="0"/>
          <w:w w:val="100"/>
          <w:position w:val="0"/>
          <w:sz w:val="24"/>
          <w:szCs w:val="24"/>
        </w:rPr>
        <w:t>4.75%（2015</w:t>
      </w:r>
      <w:r>
        <w:rPr>
          <w:rFonts w:ascii="SimSun" w:eastAsia="SimSun" w:hAnsi="SimSun" w:cs="SimSun"/>
          <w:color w:val="000000"/>
          <w:spacing w:val="0"/>
          <w:w w:val="100"/>
          <w:position w:val="0"/>
          <w:sz w:val="22"/>
          <w:szCs w:val="22"/>
        </w:rPr>
        <w:t>年</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日：</w:t>
      </w:r>
      <w:r>
        <w:rPr>
          <w:color w:val="000000"/>
          <w:spacing w:val="0"/>
          <w:w w:val="100"/>
          <w:position w:val="0"/>
          <w:sz w:val="24"/>
          <w:szCs w:val="24"/>
        </w:rPr>
        <w:t>4.28%</w:t>
      </w:r>
      <w:r>
        <w:rPr>
          <w:rFonts w:ascii="SimSun" w:eastAsia="SimSun" w:hAnsi="SimSun" w:cs="SimSun"/>
          <w:color w:val="000000"/>
          <w:spacing w:val="0"/>
          <w:w w:val="100"/>
          <w:position w:val="0"/>
          <w:sz w:val="22"/>
          <w:szCs w:val="22"/>
        </w:rPr>
        <w:t xml:space="preserve">至 </w:t>
      </w:r>
      <w:r>
        <w:rPr>
          <w:color w:val="000000"/>
          <w:spacing w:val="0"/>
          <w:w w:val="100"/>
          <w:position w:val="0"/>
          <w:sz w:val="24"/>
          <w:szCs w:val="24"/>
        </w:rPr>
        <w:t>5.90%）</w:t>
      </w:r>
      <w:r>
        <w:rPr>
          <w:rFonts w:ascii="SimSun" w:eastAsia="SimSun" w:hAnsi="SimSun" w:cs="SimSun"/>
          <w:color w:val="000000"/>
          <w:spacing w:val="0"/>
          <w:w w:val="100"/>
          <w:position w:val="0"/>
          <w:sz w:val="22"/>
          <w:szCs w:val="22"/>
        </w:rPr>
        <w:t>。</w:t>
      </w:r>
    </w:p>
    <w:p>
      <w:pPr>
        <w:pStyle w:val="Style33"/>
        <w:keepNext w:val="0"/>
        <w:keepLines w:val="0"/>
        <w:widowControl w:val="0"/>
        <w:shd w:val="clear" w:color="auto" w:fill="auto"/>
        <w:tabs>
          <w:tab w:pos="757" w:val="left"/>
        </w:tabs>
        <w:bidi w:val="0"/>
        <w:spacing w:before="0" w:after="320" w:line="321" w:lineRule="exact"/>
        <w:ind w:left="0" w:right="0" w:firstLine="0"/>
        <w:jc w:val="left"/>
        <w:rPr>
          <w:sz w:val="22"/>
          <w:szCs w:val="22"/>
        </w:rPr>
      </w:pPr>
      <w:bookmarkStart w:id="836" w:name="bookmark836"/>
      <w:r>
        <w:rPr>
          <w:rFonts w:ascii="Arial" w:eastAsia="Arial" w:hAnsi="Arial" w:cs="Arial"/>
          <w:b w:val="0"/>
          <w:bCs w:val="0"/>
          <w:color w:val="000000"/>
          <w:spacing w:val="0"/>
          <w:w w:val="100"/>
          <w:position w:val="0"/>
          <w:sz w:val="24"/>
          <w:szCs w:val="24"/>
        </w:rPr>
        <w:t>（</w:t>
      </w:r>
      <w:bookmarkEnd w:id="836"/>
      <w:r>
        <w:rPr>
          <w:rFonts w:ascii="Arial" w:eastAsia="Arial" w:hAnsi="Arial" w:cs="Arial"/>
          <w:b w:val="0"/>
          <w:bCs w:val="0"/>
          <w:color w:val="000000"/>
          <w:spacing w:val="0"/>
          <w:w w:val="100"/>
          <w:position w:val="0"/>
          <w:sz w:val="24"/>
          <w:szCs w:val="24"/>
        </w:rPr>
        <w:t>32）</w:t>
        <w:tab/>
      </w:r>
      <w:r>
        <w:rPr>
          <w:color w:val="000000"/>
          <w:spacing w:val="0"/>
          <w:w w:val="100"/>
          <w:position w:val="0"/>
          <w:sz w:val="22"/>
          <w:szCs w:val="22"/>
        </w:rPr>
        <w:t>长期应付款</w:t>
      </w:r>
    </w:p>
    <w:p>
      <w:pPr>
        <w:pStyle w:val="Style94"/>
        <w:keepNext w:val="0"/>
        <w:keepLines w:val="0"/>
        <w:widowControl w:val="0"/>
        <w:shd w:val="clear" w:color="auto" w:fill="auto"/>
        <w:bidi w:val="0"/>
        <w:spacing w:before="0" w:after="360" w:line="321" w:lineRule="exact"/>
        <w:ind w:left="0" w:right="24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bl>
      <w:tblPr>
        <w:tblOverlap w:val="never"/>
        <w:jc w:val="center"/>
        <w:tblLayout w:type="fixed"/>
      </w:tblPr>
      <w:tblGrid>
        <w:gridCol w:w="3878"/>
        <w:gridCol w:w="2837"/>
        <w:gridCol w:w="2122"/>
      </w:tblGrid>
      <w:tr>
        <w:trPr>
          <w:trHeight w:val="30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长期应付国开发展基金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27,000,000.00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应付融资租赁款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3,104,689.26</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3,570,783.87</w:t>
            </w:r>
          </w:p>
        </w:tc>
      </w:tr>
      <w:tr>
        <w:trPr>
          <w:trHeight w:val="64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减：一年内到期的长期应付款</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27,000,000.00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6,675,473.13</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rPr>
          <w:sz w:val="22"/>
          <w:szCs w:val="22"/>
        </w:rPr>
      </w:pPr>
      <w:bookmarkStart w:id="837" w:name="bookmark837"/>
      <w:bookmarkStart w:id="838" w:name="bookmark838"/>
      <w:bookmarkStart w:id="839" w:name="bookmark839"/>
      <w:r>
        <w:rPr>
          <w:rFonts w:ascii="Arial" w:eastAsia="Arial" w:hAnsi="Arial" w:cs="Arial"/>
          <w:b w:val="0"/>
          <w:bCs w:val="0"/>
          <w:color w:val="000000"/>
          <w:spacing w:val="0"/>
          <w:w w:val="100"/>
          <w:position w:val="0"/>
          <w:sz w:val="24"/>
          <w:szCs w:val="24"/>
        </w:rPr>
        <w:t>(33)</w:t>
      </w:r>
      <w:r>
        <w:rPr>
          <w:color w:val="000000"/>
          <w:spacing w:val="0"/>
          <w:w w:val="100"/>
          <w:position w:val="0"/>
          <w:sz w:val="22"/>
          <w:szCs w:val="22"/>
        </w:rPr>
        <w:t>长期应付职工薪酬</w:t>
      </w:r>
      <w:bookmarkEnd w:id="837"/>
      <w:bookmarkEnd w:id="838"/>
      <w:bookmarkEnd w:id="839"/>
    </w:p>
    <w:tbl>
      <w:tblPr>
        <w:tblOverlap w:val="never"/>
        <w:jc w:val="center"/>
        <w:tblLayout w:type="fixed"/>
      </w:tblPr>
      <w:tblGrid>
        <w:gridCol w:w="3499"/>
        <w:gridCol w:w="2914"/>
        <w:gridCol w:w="2352"/>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员工激励金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469,622,782.59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504,801,827.66</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减：一年内到期员工激励金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(256,409,052.35)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(129,680,955.00)</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长期服务金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22,053,606.69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13,367,304.51</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235,267,336.93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388,488,177.17</w:t>
            </w:r>
          </w:p>
        </w:tc>
      </w:tr>
      <w:tr>
        <w:trPr>
          <w:trHeight w:val="1474" w:hRule="exact"/>
        </w:trPr>
        <w:tc>
          <w:tcPr>
            <w:tcBorders/>
            <w:shd w:val="clear" w:color="auto" w:fill="FFFFFF"/>
            <w:vAlign w:val="top"/>
          </w:tcPr>
          <w:p>
            <w:pPr>
              <w:pStyle w:val="Style23"/>
              <w:keepNext w:val="0"/>
              <w:keepLines w:val="0"/>
              <w:widowControl w:val="0"/>
              <w:shd w:val="clear" w:color="auto" w:fill="auto"/>
              <w:bidi w:val="0"/>
              <w:spacing w:before="360" w:after="0" w:line="240" w:lineRule="auto"/>
              <w:ind w:left="0" w:right="0" w:firstLine="0"/>
              <w:jc w:val="left"/>
              <w:rPr>
                <w:sz w:val="22"/>
                <w:szCs w:val="22"/>
              </w:rPr>
            </w:pPr>
            <w:r>
              <w:rPr>
                <w:rFonts w:ascii="Arial" w:eastAsia="Arial" w:hAnsi="Arial" w:cs="Arial"/>
                <w:color w:val="000000"/>
                <w:spacing w:val="0"/>
                <w:w w:val="100"/>
                <w:position w:val="0"/>
                <w:sz w:val="24"/>
                <w:szCs w:val="24"/>
              </w:rPr>
              <w:t>(34)</w:t>
            </w:r>
            <w:r>
              <w:rPr>
                <w:b/>
                <w:bCs/>
                <w:color w:val="000000"/>
                <w:spacing w:val="0"/>
                <w:w w:val="100"/>
                <w:position w:val="0"/>
                <w:sz w:val="22"/>
                <w:szCs w:val="22"/>
              </w:rPr>
              <w:t>递延收益</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111,662,550.07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64,749,150.84</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减免税款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4,839.27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12,420.96</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未实现售后回租收益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1,135.33</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111,667,389.34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64,762,707.13</w:t>
            </w:r>
          </w:p>
        </w:tc>
      </w:tr>
      <w:tr>
        <w:trPr>
          <w:trHeight w:val="64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本年度的政府补助列示如下：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439" w:line="1" w:lineRule="exact"/>
      </w:pPr>
    </w:p>
    <w:p>
      <w:pPr>
        <w:widowControl w:val="0"/>
        <w:spacing w:line="1" w:lineRule="exact"/>
      </w:pPr>
    </w:p>
    <w:tbl>
      <w:tblPr>
        <w:tblOverlap w:val="never"/>
        <w:jc w:val="center"/>
        <w:tblLayout w:type="fixed"/>
      </w:tblPr>
      <w:tblGrid>
        <w:gridCol w:w="2050"/>
        <w:gridCol w:w="1358"/>
        <w:gridCol w:w="1382"/>
        <w:gridCol w:w="1445"/>
        <w:gridCol w:w="1459"/>
        <w:gridCol w:w="1037"/>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4"/>
                <w:szCs w:val="14"/>
              </w:rPr>
              <w:t xml:space="preserve">2015 </w:t>
            </w:r>
            <w:r>
              <w:rPr>
                <w:color w:val="000000"/>
                <w:spacing w:val="0"/>
                <w:w w:val="100"/>
                <w:position w:val="0"/>
                <w:sz w:val="13"/>
                <w:szCs w:val="13"/>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本年新增</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本年计入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4"/>
                <w:szCs w:val="14"/>
              </w:rPr>
              <w:t xml:space="preserve">2016 </w:t>
            </w:r>
            <w:r>
              <w:rPr>
                <w:color w:val="000000"/>
                <w:spacing w:val="0"/>
                <w:w w:val="100"/>
                <w:position w:val="0"/>
                <w:sz w:val="13"/>
                <w:szCs w:val="13"/>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与资产相关</w:t>
            </w:r>
          </w:p>
        </w:tc>
      </w:tr>
      <w:tr>
        <w:trPr>
          <w:trHeight w:val="485"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40"/>
              <w:jc w:val="left"/>
              <w:rPr>
                <w:sz w:val="13"/>
                <w:szCs w:val="13"/>
              </w:rPr>
            </w:pPr>
            <w:r>
              <w:rPr>
                <w:color w:val="000000"/>
                <w:spacing w:val="0"/>
                <w:w w:val="100"/>
                <w:position w:val="0"/>
                <w:sz w:val="13"/>
                <w:szCs w:val="13"/>
              </w:rPr>
              <w:t>政府补助项目</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jc w:val="left"/>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80"/>
              <w:jc w:val="left"/>
              <w:rPr>
                <w:sz w:val="13"/>
                <w:szCs w:val="13"/>
              </w:rPr>
            </w:pPr>
            <w:r>
              <w:rPr>
                <w:color w:val="000000"/>
                <w:spacing w:val="0"/>
                <w:w w:val="100"/>
                <w:position w:val="0"/>
                <w:sz w:val="13"/>
                <w:szCs w:val="13"/>
              </w:rPr>
              <w:t>补助金额</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240" w:firstLine="0"/>
              <w:jc w:val="right"/>
              <w:rPr>
                <w:sz w:val="13"/>
                <w:szCs w:val="13"/>
              </w:rPr>
            </w:pPr>
            <w:r>
              <w:rPr>
                <w:color w:val="000000"/>
                <w:spacing w:val="0"/>
                <w:w w:val="100"/>
                <w:position w:val="0"/>
                <w:sz w:val="13"/>
                <w:szCs w:val="13"/>
              </w:rPr>
              <w:t>营业外收入金额</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3"/>
                <w:szCs w:val="13"/>
              </w:rPr>
            </w:pPr>
            <w:r>
              <w:rPr>
                <w:rFonts w:ascii="Arial" w:eastAsia="Arial" w:hAnsi="Arial" w:cs="Arial"/>
                <w:color w:val="000000"/>
                <w:spacing w:val="0"/>
                <w:w w:val="100"/>
                <w:position w:val="0"/>
                <w:sz w:val="14"/>
                <w:szCs w:val="14"/>
              </w:rPr>
              <w:t>/</w:t>
            </w:r>
            <w:r>
              <w:rPr>
                <w:color w:val="000000"/>
                <w:spacing w:val="0"/>
                <w:w w:val="100"/>
                <w:position w:val="0"/>
                <w:sz w:val="13"/>
                <w:szCs w:val="13"/>
              </w:rPr>
              <w:t>与收益相关</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上海现代服务业综合试点项目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26,881,862.16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2,394,000.00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(623,396.24)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28,652,465.92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盐城智慧电商物流园项目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7,530,677.70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(125,511.30)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7,405,166.40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飞机发动机维修补贴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7,674,215.89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(787,925.11)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6,886,290.78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华北航空快件运输枢纽项目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4,891,774.12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3,000,000.00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(1,968,565.34)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5,923,208.78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泰州顺丰电商服务平台项目建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设补助</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1,995,340.00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2,500,000.00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(1,134,038.19)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3,361,301.81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芜湖电商产业园项目基础设施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配套补贴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27,927,812.00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(364,626.10)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27,563,185.90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金华市交通运输局发放现代服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务业专业补贴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5,000,000.00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5,000,000.00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与资产相关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第三方支付平台系统</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2,891,355.84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(1,139,122.55)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1,752,233.29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深圳市财政委员会专项资金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4,800,000.00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(1,726,574.64)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3,073,425.36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上海市标准化试点专项资金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3,180,000.00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(62,068.92)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3,117,931.08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与资产相关</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12,434,602.83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16,844,150.52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(10,351,412.60)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18,927,340.75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与资产相关</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64,749,150.84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65,196,640.22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(18,283,240.99)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111,662,550.07</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rPr>
          <w:sz w:val="22"/>
          <w:szCs w:val="22"/>
        </w:rPr>
      </w:pPr>
      <w:bookmarkStart w:id="840" w:name="bookmark840"/>
      <w:bookmarkStart w:id="841" w:name="bookmark841"/>
      <w:bookmarkStart w:id="842" w:name="bookmark842"/>
      <w:r>
        <w:rPr>
          <w:rFonts w:ascii="Arial" w:eastAsia="Arial" w:hAnsi="Arial" w:cs="Arial"/>
          <w:b w:val="0"/>
          <w:bCs w:val="0"/>
          <w:color w:val="000000"/>
          <w:spacing w:val="0"/>
          <w:w w:val="100"/>
          <w:position w:val="0"/>
          <w:sz w:val="24"/>
          <w:szCs w:val="24"/>
        </w:rPr>
        <w:t>(35)</w:t>
      </w:r>
      <w:r>
        <w:rPr>
          <w:color w:val="000000"/>
          <w:spacing w:val="0"/>
          <w:w w:val="100"/>
          <w:position w:val="0"/>
          <w:sz w:val="22"/>
          <w:szCs w:val="22"/>
        </w:rPr>
        <w:t>递延所得税资产和递延所得税负债</w:t>
      </w:r>
      <w:bookmarkEnd w:id="840"/>
      <w:bookmarkEnd w:id="841"/>
      <w:bookmarkEnd w:id="842"/>
    </w:p>
    <w:p>
      <w:pPr>
        <w:pStyle w:val="Style33"/>
        <w:keepNext w:val="0"/>
        <w:keepLines w:val="0"/>
        <w:widowControl w:val="0"/>
        <w:shd w:val="clear" w:color="auto" w:fill="auto"/>
        <w:bidi w:val="0"/>
        <w:spacing w:before="0" w:after="42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未经抵销的递延所得税资产</w:t>
      </w:r>
    </w:p>
    <w:tbl>
      <w:tblPr>
        <w:tblOverlap w:val="never"/>
        <w:jc w:val="center"/>
        <w:tblLayout w:type="fixed"/>
      </w:tblPr>
      <w:tblGrid>
        <w:gridCol w:w="2021"/>
        <w:gridCol w:w="1723"/>
        <w:gridCol w:w="1661"/>
        <w:gridCol w:w="1848"/>
        <w:gridCol w:w="1584"/>
      </w:tblGrid>
      <w:tr>
        <w:trPr>
          <w:trHeight w:val="230"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850"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960"/>
              <w:jc w:val="left"/>
              <w:rPr>
                <w:sz w:val="16"/>
                <w:szCs w:val="16"/>
              </w:rPr>
            </w:pPr>
            <w:r>
              <w:rPr>
                <w:color w:val="000000"/>
                <w:spacing w:val="0"/>
                <w:w w:val="100"/>
                <w:position w:val="0"/>
                <w:sz w:val="16"/>
                <w:szCs w:val="16"/>
              </w:rPr>
              <w:t>可抵扣</w:t>
            </w:r>
          </w:p>
          <w:p>
            <w:pPr>
              <w:pStyle w:val="Style23"/>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暂时性差异</w:t>
            </w: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1080" w:right="0" w:firstLine="0"/>
              <w:jc w:val="left"/>
              <w:rPr>
                <w:sz w:val="16"/>
                <w:szCs w:val="16"/>
              </w:rPr>
            </w:pPr>
            <w:r>
              <w:rPr>
                <w:color w:val="000000"/>
                <w:spacing w:val="0"/>
                <w:w w:val="100"/>
                <w:position w:val="0"/>
                <w:sz w:val="16"/>
                <w:szCs w:val="16"/>
              </w:rPr>
              <w:t>递延</w:t>
            </w:r>
          </w:p>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所得税资产</w:t>
            </w: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340" w:firstLine="0"/>
              <w:jc w:val="right"/>
              <w:rPr>
                <w:sz w:val="16"/>
                <w:szCs w:val="16"/>
              </w:rPr>
            </w:pPr>
            <w:r>
              <w:rPr>
                <w:color w:val="000000"/>
                <w:spacing w:val="0"/>
                <w:w w:val="100"/>
                <w:position w:val="0"/>
                <w:sz w:val="16"/>
                <w:szCs w:val="16"/>
              </w:rPr>
              <w:t>可抵扣</w:t>
            </w:r>
          </w:p>
          <w:p>
            <w:pPr>
              <w:pStyle w:val="Style23"/>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暂时性差异</w:t>
            </w: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6"/>
                <w:szCs w:val="16"/>
              </w:rPr>
            </w:pPr>
            <w:r>
              <w:rPr>
                <w:color w:val="000000"/>
                <w:spacing w:val="0"/>
                <w:w w:val="100"/>
                <w:position w:val="0"/>
                <w:sz w:val="16"/>
                <w:szCs w:val="16"/>
              </w:rPr>
              <w:t>递延</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所得税资产</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可抵扣亏损</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Arial" w:eastAsia="Arial" w:hAnsi="Arial" w:cs="Arial"/>
                <w:color w:val="000000"/>
                <w:spacing w:val="0"/>
                <w:w w:val="100"/>
                <w:position w:val="0"/>
                <w:sz w:val="16"/>
                <w:szCs w:val="16"/>
              </w:rPr>
              <w:t>,450,034,208.31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302,821,746.49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1,742,263,790.96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380,853,723.78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预提费用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425,035,406.80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78,914,579.16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383,708,615.39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71,241,603.45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员工激励金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235,267,336.93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53,848,380.99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388,488,177.17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93,025,150.11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资产减值准备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127,981,057.22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26,781,564.13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145,449,982.35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27,959,488.12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递延收益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93,318,370.86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23,146,748.35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64,749,150.84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15,421,057.27</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折旧摊销差异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51,467,678.00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8,026,682.63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32,471,571.17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5,530,410.10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可供出售金融资产的公允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价值变动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8,755,688.83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2,188,922.21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15,334,082.83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2,719,793.75</w:t>
            </w:r>
          </w:p>
        </w:tc>
      </w:tr>
      <w:tr>
        <w:trPr>
          <w:trHeight w:val="3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2,391</w:t>
            </w:r>
            <w:r>
              <w:rPr>
                <w:rFonts w:ascii="Arial" w:eastAsia="Arial" w:hAnsi="Arial" w:cs="Arial"/>
                <w:color w:val="000000"/>
                <w:spacing w:val="0"/>
                <w:w w:val="100"/>
                <w:position w:val="0"/>
                <w:sz w:val="16"/>
                <w:szCs w:val="16"/>
              </w:rPr>
              <w:t>,859,746.95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495,728,623.96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2,772,465,370.71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596,751,226.58</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预计于</w:t>
            </w:r>
            <w:r>
              <w:rPr>
                <w:rFonts w:ascii="Arial" w:eastAsia="Arial" w:hAnsi="Arial" w:cs="Arial"/>
                <w:color w:val="000000"/>
                <w:spacing w:val="0"/>
                <w:w w:val="100"/>
                <w:position w:val="0"/>
                <w:sz w:val="16"/>
                <w:szCs w:val="16"/>
              </w:rPr>
              <w:t>1</w:t>
            </w:r>
            <w:r>
              <w:rPr>
                <w:color w:val="000000"/>
                <w:spacing w:val="0"/>
                <w:w w:val="100"/>
                <w:position w:val="0"/>
                <w:sz w:val="16"/>
                <w:szCs w:val="16"/>
              </w:rPr>
              <w:t>年内</w:t>
            </w:r>
            <w:r>
              <w:rPr>
                <w:rFonts w:ascii="Arial" w:eastAsia="Arial" w:hAnsi="Arial" w:cs="Arial"/>
                <w:color w:val="000000"/>
                <w:spacing w:val="0"/>
                <w:w w:val="100"/>
                <w:position w:val="0"/>
                <w:sz w:val="16"/>
                <w:szCs w:val="16"/>
              </w:rPr>
              <w:t>(</w:t>
            </w:r>
            <w:r>
              <w:rPr>
                <w:color w:val="000000"/>
                <w:spacing w:val="0"/>
                <w:w w:val="100"/>
                <w:position w:val="0"/>
                <w:sz w:val="16"/>
                <w:szCs w:val="16"/>
              </w:rPr>
              <w:t>含</w:t>
            </w:r>
            <w:r>
              <w:rPr>
                <w:rFonts w:ascii="Arial" w:eastAsia="Arial" w:hAnsi="Arial" w:cs="Arial"/>
                <w:color w:val="000000"/>
                <w:spacing w:val="0"/>
                <w:w w:val="100"/>
                <w:position w:val="0"/>
                <w:sz w:val="16"/>
                <w:szCs w:val="16"/>
              </w:rPr>
              <w:t>1</w:t>
            </w:r>
            <w:r>
              <w:rPr>
                <w:color w:val="000000"/>
                <w:spacing w:val="0"/>
                <w:w w:val="100"/>
                <w:position w:val="0"/>
                <w:sz w:val="16"/>
                <w:szCs w:val="16"/>
              </w:rPr>
              <w:t>年</w:t>
            </w:r>
            <w:r>
              <w:rPr>
                <w:rFonts w:ascii="Arial" w:eastAsia="Arial" w:hAnsi="Arial" w:cs="Arial"/>
                <w:color w:val="000000"/>
                <w:spacing w:val="0"/>
                <w:w w:val="100"/>
                <w:position w:val="0"/>
                <w:sz w:val="16"/>
                <w:szCs w:val="16"/>
              </w:rPr>
              <w:t>)</w:t>
            </w:r>
            <w:r>
              <w:rPr>
                <w:color w:val="000000"/>
                <w:spacing w:val="0"/>
                <w:w w:val="100"/>
                <w:position w:val="0"/>
                <w:sz w:val="16"/>
                <w:szCs w:val="16"/>
              </w:rPr>
              <w:t>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的金额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137,852,573.13</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181,926,300.34</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预计于</w:t>
            </w:r>
            <w:r>
              <w:rPr>
                <w:rFonts w:ascii="Arial" w:eastAsia="Arial" w:hAnsi="Arial" w:cs="Arial"/>
                <w:color w:val="000000"/>
                <w:spacing w:val="0"/>
                <w:w w:val="100"/>
                <w:position w:val="0"/>
                <w:sz w:val="16"/>
                <w:szCs w:val="16"/>
              </w:rPr>
              <w:t>1</w:t>
            </w:r>
            <w:r>
              <w:rPr>
                <w:color w:val="000000"/>
                <w:spacing w:val="0"/>
                <w:w w:val="100"/>
                <w:position w:val="0"/>
                <w:sz w:val="16"/>
                <w:szCs w:val="16"/>
              </w:rPr>
              <w:t>年后转回的金额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357,876,050.83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414,824,926.24</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495,728,623.96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596,751,226.58</w:t>
            </w:r>
          </w:p>
        </w:tc>
      </w:tr>
    </w:tbl>
    <w:p>
      <w:pPr>
        <w:widowControl w:val="0"/>
        <w:spacing w:after="339" w:line="1" w:lineRule="exact"/>
      </w:pPr>
    </w:p>
    <w:p>
      <w:pPr>
        <w:pStyle w:val="Style33"/>
        <w:keepNext w:val="0"/>
        <w:keepLines w:val="0"/>
        <w:widowControl w:val="0"/>
        <w:shd w:val="clear" w:color="auto" w:fill="auto"/>
        <w:bidi w:val="0"/>
        <w:spacing w:before="0" w:after="38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本集团未确认递延所得税资产的可抵扣暂时性差异及可抵扣亏损分析如下:</w:t>
      </w:r>
    </w:p>
    <w:p>
      <w:pPr>
        <w:widowControl w:val="0"/>
        <w:spacing w:line="1" w:lineRule="exact"/>
      </w:pPr>
      <w:r>
        <mc:AlternateContent>
          <mc:Choice Requires="wps">
            <w:drawing>
              <wp:anchor distT="139700" distB="0" distL="0" distR="0" simplePos="0" relativeHeight="125829503" behindDoc="0" locked="0" layoutInCell="1" allowOverlap="1">
                <wp:simplePos x="0" y="0"/>
                <wp:positionH relativeFrom="page">
                  <wp:posOffset>3836670</wp:posOffset>
                </wp:positionH>
                <wp:positionV relativeFrom="paragraph">
                  <wp:posOffset>139700</wp:posOffset>
                </wp:positionV>
                <wp:extent cx="1347470" cy="189230"/>
                <wp:wrapTopAndBottom/>
                <wp:docPr id="309" name="Shape 309"/>
                <a:graphic xmlns:a="http://schemas.openxmlformats.org/drawingml/2006/main">
                  <a:graphicData uri="http://schemas.microsoft.com/office/word/2010/wordprocessingShape">
                    <wps:wsp>
                      <wps:cNvSpPr txBox="1"/>
                      <wps:spPr>
                        <a:xfrm>
                          <a:ext cx="134747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335" type="#_x0000_t202" style="position:absolute;margin-left:302.10000000000002pt;margin-top:11.pt;width:106.10000000000001pt;height:14.9pt;z-index:-125829250;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39700" distB="0" distL="0" distR="0" simplePos="0" relativeHeight="125829505" behindDoc="0" locked="0" layoutInCell="1" allowOverlap="1">
                <wp:simplePos x="0" y="0"/>
                <wp:positionH relativeFrom="page">
                  <wp:posOffset>5421630</wp:posOffset>
                </wp:positionH>
                <wp:positionV relativeFrom="paragraph">
                  <wp:posOffset>139700</wp:posOffset>
                </wp:positionV>
                <wp:extent cx="1347470" cy="189230"/>
                <wp:wrapTopAndBottom/>
                <wp:docPr id="311" name="Shape 311"/>
                <a:graphic xmlns:a="http://schemas.openxmlformats.org/drawingml/2006/main">
                  <a:graphicData uri="http://schemas.microsoft.com/office/word/2010/wordprocessingShape">
                    <wps:wsp>
                      <wps:cNvSpPr txBox="1"/>
                      <wps:spPr>
                        <a:xfrm>
                          <a:ext cx="134747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337" type="#_x0000_t202" style="position:absolute;margin-left:426.90000000000003pt;margin-top:11.pt;width:106.10000000000001pt;height:14.9pt;z-index:-125829248;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line="1" w:lineRule="exact"/>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2118" w:right="1041" w:bottom="2425" w:left="1911" w:header="0" w:footer="3" w:gutter="0"/>
          <w:cols w:space="720"/>
          <w:noEndnote/>
          <w:titlePg/>
          <w:rtlGutter w:val="0"/>
          <w:docGrid w:linePitch="360"/>
        </w:sectPr>
      </w:pPr>
      <w:r>
        <mc:AlternateContent>
          <mc:Choice Requires="wps">
            <w:drawing>
              <wp:anchor distT="177800" distB="222250" distL="0" distR="0" simplePos="0" relativeHeight="125829507" behindDoc="0" locked="0" layoutInCell="1" allowOverlap="1">
                <wp:simplePos x="0" y="0"/>
                <wp:positionH relativeFrom="page">
                  <wp:posOffset>1251585</wp:posOffset>
                </wp:positionH>
                <wp:positionV relativeFrom="paragraph">
                  <wp:posOffset>177800</wp:posOffset>
                </wp:positionV>
                <wp:extent cx="1240790" cy="417830"/>
                <wp:wrapTopAndBottom/>
                <wp:docPr id="334" name="Shape 334"/>
                <a:graphic xmlns:a="http://schemas.openxmlformats.org/drawingml/2006/main">
                  <a:graphicData uri="http://schemas.microsoft.com/office/word/2010/wordprocessingShape">
                    <wps:wsp>
                      <wps:cNvSpPr txBox="1"/>
                      <wps:spPr>
                        <a:xfrm>
                          <a:ext cx="1240790" cy="417830"/>
                        </a:xfrm>
                        <a:prstGeom prst="rect"/>
                        <a:noFill/>
                      </wps:spPr>
                      <wps:txbx>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可抵扣亏损 可抵扣暂时性差异</w:t>
                            </w:r>
                          </w:p>
                        </w:txbxContent>
                      </wps:txbx>
                      <wps:bodyPr lIns="0" tIns="0" rIns="0" bIns="0">
                        <a:noAutoFit/>
                      </wps:bodyPr>
                    </wps:wsp>
                  </a:graphicData>
                </a:graphic>
              </wp:anchor>
            </w:drawing>
          </mc:Choice>
          <mc:Fallback>
            <w:pict>
              <v:shape id="_x0000_s1360" type="#_x0000_t202" style="position:absolute;margin-left:98.549999999999997pt;margin-top:14.pt;width:97.700000000000003pt;height:32.899999999999999pt;z-index:-125829246;mso-wrap-distance-left:0;mso-wrap-distance-top:14.pt;mso-wrap-distance-right:0;mso-wrap-distance-bottom:17.5pt;mso-position-horizontal-relative:page" filled="f" stroked="f">
                <v:textbox inset="0,0,0,0">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可抵扣亏损 可抵扣暂时性差异</w:t>
                      </w:r>
                    </w:p>
                  </w:txbxContent>
                </v:textbox>
                <w10:wrap type="topAndBottom" anchorx="page"/>
              </v:shape>
            </w:pict>
          </mc:Fallback>
        </mc:AlternateContent>
      </w:r>
      <w:r>
        <mc:AlternateContent>
          <mc:Choice Requires="wps">
            <w:drawing>
              <wp:anchor distT="217170" distB="0" distL="0" distR="0" simplePos="0" relativeHeight="125829509" behindDoc="0" locked="0" layoutInCell="1" allowOverlap="1">
                <wp:simplePos x="0" y="0"/>
                <wp:positionH relativeFrom="page">
                  <wp:posOffset>3988435</wp:posOffset>
                </wp:positionH>
                <wp:positionV relativeFrom="paragraph">
                  <wp:posOffset>217170</wp:posOffset>
                </wp:positionV>
                <wp:extent cx="1203960" cy="600710"/>
                <wp:wrapTopAndBottom/>
                <wp:docPr id="336" name="Shape 336"/>
                <a:graphic xmlns:a="http://schemas.openxmlformats.org/drawingml/2006/main">
                  <a:graphicData uri="http://schemas.microsoft.com/office/word/2010/wordprocessingShape">
                    <wps:wsp>
                      <wps:cNvSpPr txBox="1"/>
                      <wps:spPr>
                        <a:xfrm>
                          <a:ext cx="1203960" cy="60071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994,001,453.62</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9,502,845.18</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1,003,504,298.80</w:t>
                            </w:r>
                          </w:p>
                        </w:txbxContent>
                      </wps:txbx>
                      <wps:bodyPr lIns="0" tIns="0" rIns="0" bIns="0">
                        <a:noAutoFit/>
                      </wps:bodyPr>
                    </wps:wsp>
                  </a:graphicData>
                </a:graphic>
              </wp:anchor>
            </w:drawing>
          </mc:Choice>
          <mc:Fallback>
            <w:pict>
              <v:shape id="_x0000_s1362" type="#_x0000_t202" style="position:absolute;margin-left:314.05000000000001pt;margin-top:17.100000000000001pt;width:94.799999999999997pt;height:47.300000000000004pt;z-index:-125829244;mso-wrap-distance-left:0;mso-wrap-distance-top:17.100000000000001pt;mso-wrap-distance-right:0;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994,001,453.62</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9,502,845.18</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1,003,504,298.80</w:t>
                      </w:r>
                    </w:p>
                  </w:txbxContent>
                </v:textbox>
                <w10:wrap type="topAndBottom" anchorx="page"/>
              </v:shape>
            </w:pict>
          </mc:Fallback>
        </mc:AlternateContent>
      </w:r>
      <w:r>
        <mc:AlternateContent>
          <mc:Choice Requires="wps">
            <w:drawing>
              <wp:anchor distT="217170" distB="0" distL="0" distR="0" simplePos="0" relativeHeight="125829511" behindDoc="0" locked="0" layoutInCell="1" allowOverlap="1">
                <wp:simplePos x="0" y="0"/>
                <wp:positionH relativeFrom="page">
                  <wp:posOffset>5686425</wp:posOffset>
                </wp:positionH>
                <wp:positionV relativeFrom="paragraph">
                  <wp:posOffset>217170</wp:posOffset>
                </wp:positionV>
                <wp:extent cx="1100455" cy="600710"/>
                <wp:wrapTopAndBottom/>
                <wp:docPr id="338" name="Shape 338"/>
                <a:graphic xmlns:a="http://schemas.openxmlformats.org/drawingml/2006/main">
                  <a:graphicData uri="http://schemas.microsoft.com/office/word/2010/wordprocessingShape">
                    <wps:wsp>
                      <wps:cNvSpPr txBox="1"/>
                      <wps:spPr>
                        <a:xfrm>
                          <a:ext cx="1100455" cy="60071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bookmarkStart w:id="832" w:name="bookmark832"/>
                            <w:r>
                              <w:rPr>
                                <w:color w:val="000000"/>
                                <w:spacing w:val="0"/>
                                <w:w w:val="100"/>
                                <w:position w:val="0"/>
                                <w:sz w:val="24"/>
                                <w:szCs w:val="24"/>
                              </w:rPr>
                              <w:t>6</w:t>
                            </w:r>
                            <w:bookmarkEnd w:id="832"/>
                            <w:r>
                              <w:rPr>
                                <w:color w:val="000000"/>
                                <w:spacing w:val="0"/>
                                <w:w w:val="100"/>
                                <w:position w:val="0"/>
                                <w:sz w:val="24"/>
                                <w:szCs w:val="24"/>
                              </w:rPr>
                              <w:t>15,572,847.53</w:t>
                            </w:r>
                          </w:p>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7,663,436.48</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8"/>
                                <w:szCs w:val="28"/>
                              </w:rPr>
                            </w:pPr>
                            <w:r>
                              <w:rPr>
                                <w:color w:val="000000"/>
                                <w:spacing w:val="0"/>
                                <w:w w:val="100"/>
                                <w:position w:val="0"/>
                                <w:sz w:val="24"/>
                                <w:szCs w:val="24"/>
                              </w:rPr>
                              <w:t>623,236,284</w:t>
                            </w:r>
                            <w:r>
                              <w:rPr>
                                <w:rFonts w:ascii="SimSun" w:eastAsia="SimSun" w:hAnsi="SimSun" w:cs="SimSun"/>
                                <w:color w:val="000000"/>
                                <w:spacing w:val="0"/>
                                <w:w w:val="100"/>
                                <w:position w:val="0"/>
                                <w:sz w:val="28"/>
                                <w:szCs w:val="28"/>
                              </w:rPr>
                              <w:t>商</w:t>
                            </w:r>
                          </w:p>
                        </w:txbxContent>
                      </wps:txbx>
                      <wps:bodyPr lIns="0" tIns="0" rIns="0" bIns="0">
                        <a:noAutoFit/>
                      </wps:bodyPr>
                    </wps:wsp>
                  </a:graphicData>
                </a:graphic>
              </wp:anchor>
            </w:drawing>
          </mc:Choice>
          <mc:Fallback>
            <w:pict>
              <v:shape id="_x0000_s1364" type="#_x0000_t202" style="position:absolute;margin-left:447.75pt;margin-top:17.100000000000001pt;width:86.650000000000006pt;height:47.300000000000004pt;z-index:-125829242;mso-wrap-distance-left:0;mso-wrap-distance-top:17.10000000000000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bookmarkStart w:id="832" w:name="bookmark832"/>
                      <w:r>
                        <w:rPr>
                          <w:color w:val="000000"/>
                          <w:spacing w:val="0"/>
                          <w:w w:val="100"/>
                          <w:position w:val="0"/>
                          <w:sz w:val="24"/>
                          <w:szCs w:val="24"/>
                        </w:rPr>
                        <w:t>6</w:t>
                      </w:r>
                      <w:bookmarkEnd w:id="832"/>
                      <w:r>
                        <w:rPr>
                          <w:color w:val="000000"/>
                          <w:spacing w:val="0"/>
                          <w:w w:val="100"/>
                          <w:position w:val="0"/>
                          <w:sz w:val="24"/>
                          <w:szCs w:val="24"/>
                        </w:rPr>
                        <w:t>15,572,847.53</w:t>
                      </w:r>
                    </w:p>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7,663,436.48</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8"/>
                          <w:szCs w:val="28"/>
                        </w:rPr>
                      </w:pPr>
                      <w:r>
                        <w:rPr>
                          <w:color w:val="000000"/>
                          <w:spacing w:val="0"/>
                          <w:w w:val="100"/>
                          <w:position w:val="0"/>
                          <w:sz w:val="24"/>
                          <w:szCs w:val="24"/>
                        </w:rPr>
                        <w:t>623,236,284</w:t>
                      </w:r>
                      <w:r>
                        <w:rPr>
                          <w:rFonts w:ascii="SimSun" w:eastAsia="SimSun" w:hAnsi="SimSun" w:cs="SimSun"/>
                          <w:color w:val="000000"/>
                          <w:spacing w:val="0"/>
                          <w:w w:val="100"/>
                          <w:position w:val="0"/>
                          <w:sz w:val="28"/>
                          <w:szCs w:val="28"/>
                        </w:rPr>
                        <w:t>商</w:t>
                      </w:r>
                    </w:p>
                  </w:txbxContent>
                </v:textbox>
                <w10:wrap type="topAndBottom" anchorx="page"/>
              </v:shape>
            </w:pict>
          </mc:Fallback>
        </mc:AlternateContent>
      </w:r>
    </w:p>
    <w:p>
      <w:pPr>
        <w:pStyle w:val="Style27"/>
        <w:keepNext/>
        <w:keepLines/>
        <w:widowControl w:val="0"/>
        <w:shd w:val="clear" w:color="auto" w:fill="auto"/>
        <w:bidi w:val="0"/>
        <w:spacing w:before="0" w:after="360" w:line="240" w:lineRule="auto"/>
        <w:ind w:left="0" w:right="0" w:firstLine="0"/>
        <w:jc w:val="left"/>
        <w:rPr>
          <w:sz w:val="28"/>
          <w:szCs w:val="28"/>
        </w:rPr>
      </w:pPr>
      <w:bookmarkStart w:id="843" w:name="bookmark843"/>
      <w:bookmarkStart w:id="844" w:name="bookmark844"/>
      <w:bookmarkStart w:id="845" w:name="bookmark845"/>
      <w:r>
        <w:rPr>
          <w:rFonts w:ascii="Arial" w:eastAsia="Arial" w:hAnsi="Arial" w:cs="Arial"/>
          <w:b w:val="0"/>
          <w:bCs w:val="0"/>
          <w:color w:val="000000"/>
          <w:spacing w:val="0"/>
          <w:w w:val="100"/>
          <w:position w:val="0"/>
          <w:sz w:val="24"/>
          <w:szCs w:val="24"/>
        </w:rPr>
        <w:t xml:space="preserve">(35) </w:t>
      </w:r>
      <w:r>
        <w:rPr>
          <w:color w:val="000000"/>
          <w:spacing w:val="0"/>
          <w:w w:val="100"/>
          <w:position w:val="0"/>
          <w:sz w:val="22"/>
          <w:szCs w:val="22"/>
        </w:rPr>
        <w:t>递延所得税资产和递延所得税负债</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843"/>
      <w:bookmarkEnd w:id="844"/>
      <w:bookmarkEnd w:id="845"/>
    </w:p>
    <w:p>
      <w:pPr>
        <w:pStyle w:val="Style33"/>
        <w:keepNext w:val="0"/>
        <w:keepLines w:val="0"/>
        <w:widowControl w:val="0"/>
        <w:numPr>
          <w:ilvl w:val="0"/>
          <w:numId w:val="61"/>
        </w:numPr>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2113" w:right="1062" w:bottom="4657" w:left="1957" w:header="0" w:footer="3" w:gutter="0"/>
          <w:cols w:space="720"/>
          <w:noEndnote/>
          <w:rtlGutter w:val="0"/>
          <w:docGrid w:linePitch="360"/>
        </w:sectPr>
      </w:pPr>
      <w:bookmarkStart w:id="846" w:name="bookmark846"/>
      <w:bookmarkEnd w:id="846"/>
      <w:r>
        <w:rPr>
          <w:b w:val="0"/>
          <w:bCs w:val="0"/>
          <w:color w:val="000000"/>
          <w:spacing w:val="0"/>
          <w:w w:val="100"/>
          <w:position w:val="0"/>
          <w:sz w:val="22"/>
          <w:szCs w:val="22"/>
        </w:rPr>
        <w:t>本集团未确认递延所得税资产的可抵扣亏损之到期日分布如下:</w:t>
      </w:r>
    </w:p>
    <w:p>
      <w:pPr>
        <w:widowControl w:val="0"/>
        <w:spacing w:line="238" w:lineRule="exact"/>
        <w:rPr>
          <w:sz w:val="19"/>
          <w:szCs w:val="19"/>
        </w:rPr>
      </w:pPr>
    </w:p>
    <w:p>
      <w:pPr>
        <w:widowControl w:val="0"/>
        <w:spacing w:line="1" w:lineRule="exact"/>
        <w:sectPr>
          <w:footnotePr>
            <w:pos w:val="pageBottom"/>
            <w:numFmt w:val="decimal"/>
            <w:numRestart w:val="continuous"/>
          </w:footnotePr>
          <w:type w:val="continuous"/>
          <w:pgSz w:w="11900" w:h="16840"/>
          <w:pgMar w:top="2113" w:right="0" w:bottom="4657"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2113" w:right="1230" w:bottom="4657" w:left="6042" w:header="0" w:footer="3" w:gutter="0"/>
          <w:cols w:num="2" w:space="355"/>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13" w:right="0" w:bottom="2113" w:left="0" w:header="0" w:footer="3" w:gutter="0"/>
          <w:cols w:space="720"/>
          <w:noEndnote/>
          <w:rtlGutter w:val="0"/>
          <w:docGrid w:linePitch="360"/>
        </w:sectPr>
      </w:pPr>
    </w:p>
    <w:tbl>
      <w:tblPr>
        <w:tblOverlap w:val="never"/>
        <w:jc w:val="center"/>
        <w:tblLayout w:type="fixed"/>
      </w:tblPr>
      <w:tblGrid>
        <w:gridCol w:w="3043"/>
        <w:gridCol w:w="3562"/>
        <w:gridCol w:w="2246"/>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2016 </w:t>
            </w:r>
            <w:r>
              <w:rPr>
                <w:color w:val="000000"/>
                <w:spacing w:val="0"/>
                <w:w w:val="100"/>
                <w:position w:val="0"/>
                <w:sz w:val="22"/>
                <w:szCs w:val="22"/>
              </w:rPr>
              <w:t>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74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16,822,959.91</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2017 </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rPr>
                <w:sz w:val="24"/>
                <w:szCs w:val="24"/>
              </w:rPr>
            </w:pPr>
            <w:r>
              <w:rPr>
                <w:rFonts w:ascii="Arial" w:eastAsia="Arial" w:hAnsi="Arial" w:cs="Arial"/>
                <w:color w:val="000000"/>
                <w:spacing w:val="0"/>
                <w:w w:val="100"/>
                <w:position w:val="0"/>
                <w:sz w:val="24"/>
                <w:szCs w:val="24"/>
              </w:rPr>
              <w:t>17,229,412.21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14,502,310.55</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2018 </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left"/>
              <w:rPr>
                <w:sz w:val="24"/>
                <w:szCs w:val="24"/>
              </w:rPr>
            </w:pPr>
            <w:r>
              <w:rPr>
                <w:rFonts w:ascii="Arial" w:eastAsia="Arial" w:hAnsi="Arial" w:cs="Arial"/>
                <w:color w:val="000000"/>
                <w:spacing w:val="0"/>
                <w:w w:val="100"/>
                <w:position w:val="0"/>
                <w:sz w:val="24"/>
                <w:szCs w:val="24"/>
              </w:rPr>
              <w:t>39,404,502.52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73,430,172.52</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2019 </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334,910,963.45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222,684,442.42</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2020 </w:t>
            </w:r>
            <w:r>
              <w:rPr>
                <w:color w:val="000000"/>
                <w:spacing w:val="0"/>
                <w:w w:val="100"/>
                <w:position w:val="0"/>
                <w:sz w:val="22"/>
                <w:szCs w:val="22"/>
              </w:rPr>
              <w:t>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161,993,797.69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169,345,536.86</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2021</w:t>
            </w:r>
            <w:r>
              <w:rPr>
                <w:color w:val="000000"/>
                <w:spacing w:val="0"/>
                <w:w w:val="100"/>
                <w:position w:val="0"/>
                <w:sz w:val="22"/>
                <w:szCs w:val="22"/>
              </w:rPr>
              <w:t>年及以上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440,462,777.75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118,787,425.27</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994,001,453.62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615,572,847.53</w:t>
            </w:r>
          </w:p>
        </w:tc>
      </w:tr>
    </w:tbl>
    <w:p>
      <w:pPr>
        <w:widowControl w:val="0"/>
        <w:spacing w:after="339" w:line="1" w:lineRule="exact"/>
      </w:pPr>
    </w:p>
    <w:p>
      <w:pPr>
        <w:pStyle w:val="Style33"/>
        <w:keepNext w:val="0"/>
        <w:keepLines w:val="0"/>
        <w:widowControl w:val="0"/>
        <w:numPr>
          <w:ilvl w:val="0"/>
          <w:numId w:val="61"/>
        </w:numPr>
        <w:shd w:val="clear" w:color="auto" w:fill="auto"/>
        <w:bidi w:val="0"/>
        <w:spacing w:before="0" w:after="420" w:line="240" w:lineRule="auto"/>
        <w:ind w:left="0" w:right="0" w:firstLine="0"/>
        <w:jc w:val="left"/>
        <w:rPr>
          <w:sz w:val="22"/>
          <w:szCs w:val="22"/>
        </w:rPr>
      </w:pPr>
      <w:bookmarkStart w:id="847" w:name="bookmark847"/>
      <w:bookmarkEnd w:id="847"/>
      <w:r>
        <w:rPr>
          <w:b w:val="0"/>
          <w:bCs w:val="0"/>
          <w:color w:val="000000"/>
          <w:spacing w:val="0"/>
          <w:w w:val="100"/>
          <w:position w:val="0"/>
          <w:sz w:val="22"/>
          <w:szCs w:val="22"/>
        </w:rPr>
        <w:t>递延所得税负债</w:t>
      </w:r>
    </w:p>
    <w:tbl>
      <w:tblPr>
        <w:tblOverlap w:val="never"/>
        <w:jc w:val="center"/>
        <w:tblLayout w:type="fixed"/>
      </w:tblPr>
      <w:tblGrid>
        <w:gridCol w:w="1862"/>
        <w:gridCol w:w="2040"/>
        <w:gridCol w:w="1498"/>
        <w:gridCol w:w="2102"/>
        <w:gridCol w:w="1358"/>
      </w:tblGrid>
      <w:tr>
        <w:trPr>
          <w:trHeight w:val="230"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523"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应纳税暂时性差异</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递延所得税负债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应纳税暂时性差异</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递延所得税负债</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交易性金融资产公允价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值变动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16,292,580.87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4,073,145.22</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固定资产折旧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466,506,842.73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115,448,540.85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297,249,951</w:t>
            </w:r>
            <w:r>
              <w:rPr>
                <w:rFonts w:ascii="Arial" w:eastAsia="Arial" w:hAnsi="Arial" w:cs="Arial"/>
                <w:color w:val="000000"/>
                <w:spacing w:val="0"/>
                <w:w w:val="100"/>
                <w:position w:val="0"/>
                <w:sz w:val="16"/>
                <w:szCs w:val="16"/>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73,232,439.63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非同一控制下企业合并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引起的资产增值</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51</w:t>
            </w:r>
            <w:r>
              <w:rPr>
                <w:rFonts w:ascii="Arial" w:eastAsia="Arial" w:hAnsi="Arial" w:cs="Arial"/>
                <w:color w:val="000000"/>
                <w:spacing w:val="0"/>
                <w:w w:val="100"/>
                <w:position w:val="0"/>
                <w:sz w:val="16"/>
                <w:szCs w:val="16"/>
              </w:rPr>
              <w:t>,045,787.00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7,656,868.05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61</w:t>
            </w:r>
            <w:r>
              <w:rPr>
                <w:rFonts w:ascii="Arial" w:eastAsia="Arial" w:hAnsi="Arial" w:cs="Arial"/>
                <w:color w:val="000000"/>
                <w:spacing w:val="0"/>
                <w:w w:val="100"/>
                <w:position w:val="0"/>
                <w:sz w:val="16"/>
                <w:szCs w:val="16"/>
              </w:rPr>
              <w:t>,897,787.00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9,284,668.05</w:t>
            </w:r>
          </w:p>
        </w:tc>
      </w:tr>
      <w:tr>
        <w:trPr>
          <w:trHeight w:val="3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517,552,629.73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123,105,408.90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375,440,319.15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86,590,252.90</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预计于</w:t>
            </w:r>
            <w:r>
              <w:rPr>
                <w:rFonts w:ascii="Arial" w:eastAsia="Arial" w:hAnsi="Arial" w:cs="Arial"/>
                <w:color w:val="000000"/>
                <w:spacing w:val="0"/>
                <w:w w:val="100"/>
                <w:position w:val="0"/>
                <w:sz w:val="16"/>
                <w:szCs w:val="16"/>
              </w:rPr>
              <w:t>1</w:t>
            </w:r>
            <w:r>
              <w:rPr>
                <w:color w:val="000000"/>
                <w:spacing w:val="0"/>
                <w:w w:val="100"/>
                <w:position w:val="0"/>
                <w:sz w:val="16"/>
                <w:szCs w:val="16"/>
              </w:rPr>
              <w:t>年内</w:t>
            </w:r>
            <w:r>
              <w:rPr>
                <w:rFonts w:ascii="Arial" w:eastAsia="Arial" w:hAnsi="Arial" w:cs="Arial"/>
                <w:color w:val="000000"/>
                <w:spacing w:val="0"/>
                <w:w w:val="100"/>
                <w:position w:val="0"/>
                <w:sz w:val="16"/>
                <w:szCs w:val="16"/>
              </w:rPr>
              <w:t>(</w:t>
            </w:r>
            <w:r>
              <w:rPr>
                <w:color w:val="000000"/>
                <w:spacing w:val="0"/>
                <w:w w:val="100"/>
                <w:position w:val="0"/>
                <w:sz w:val="16"/>
                <w:szCs w:val="16"/>
              </w:rPr>
              <w:t>含</w:t>
            </w:r>
            <w:r>
              <w:rPr>
                <w:rFonts w:ascii="Arial" w:eastAsia="Arial" w:hAnsi="Arial" w:cs="Arial"/>
                <w:color w:val="000000"/>
                <w:spacing w:val="0"/>
                <w:w w:val="100"/>
                <w:position w:val="0"/>
                <w:sz w:val="16"/>
                <w:szCs w:val="16"/>
              </w:rPr>
              <w:t>1</w:t>
            </w:r>
            <w:r>
              <w:rPr>
                <w:color w:val="000000"/>
                <w:spacing w:val="0"/>
                <w:w w:val="100"/>
                <w:position w:val="0"/>
                <w:sz w:val="16"/>
                <w:szCs w:val="16"/>
              </w:rPr>
              <w:t>年</w:t>
            </w:r>
            <w:r>
              <w:rPr>
                <w:color w:val="000000"/>
                <w:spacing w:val="0"/>
                <w:w w:val="100"/>
                <w:position w:val="0"/>
                <w:sz w:val="19"/>
                <w:szCs w:val="19"/>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转回的金额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55,018,969.27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38,726,092.64</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预计于</w:t>
            </w:r>
            <w:r>
              <w:rPr>
                <w:rFonts w:ascii="Arial" w:eastAsia="Arial" w:hAnsi="Arial" w:cs="Arial"/>
                <w:color w:val="000000"/>
                <w:spacing w:val="0"/>
                <w:w w:val="100"/>
                <w:position w:val="0"/>
                <w:sz w:val="16"/>
                <w:szCs w:val="16"/>
              </w:rPr>
              <w:t>1</w:t>
            </w:r>
            <w:r>
              <w:rPr>
                <w:color w:val="000000"/>
                <w:spacing w:val="0"/>
                <w:w w:val="100"/>
                <w:position w:val="0"/>
                <w:sz w:val="16"/>
                <w:szCs w:val="16"/>
              </w:rPr>
              <w:t>年后转回的金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68,086,439.63</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47,864,160.26</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123,105,408.90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86,590,252.90</w:t>
            </w:r>
          </w:p>
        </w:tc>
      </w:tr>
    </w:tbl>
    <w:p>
      <w:pPr>
        <w:sectPr>
          <w:footnotePr>
            <w:pos w:val="pageBottom"/>
            <w:numFmt w:val="decimal"/>
            <w:numRestart w:val="continuous"/>
          </w:footnotePr>
          <w:type w:val="continuous"/>
          <w:pgSz w:w="11900" w:h="16840"/>
          <w:pgMar w:top="2113" w:right="1062" w:bottom="2113" w:left="1957"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848" w:name="bookmark848"/>
      <w:bookmarkStart w:id="849" w:name="bookmark849"/>
      <w:bookmarkStart w:id="850" w:name="bookmark850"/>
      <w:r>
        <w:rPr>
          <w:rFonts w:ascii="Arial" w:eastAsia="Arial" w:hAnsi="Arial" w:cs="Arial"/>
          <w:b w:val="0"/>
          <w:bCs w:val="0"/>
          <w:color w:val="000000"/>
          <w:spacing w:val="0"/>
          <w:w w:val="100"/>
          <w:position w:val="0"/>
          <w:sz w:val="24"/>
          <w:szCs w:val="24"/>
        </w:rPr>
        <w:t xml:space="preserve">(35) </w:t>
      </w:r>
      <w:r>
        <w:rPr>
          <w:color w:val="000000"/>
          <w:spacing w:val="0"/>
          <w:w w:val="100"/>
          <w:position w:val="0"/>
          <w:sz w:val="22"/>
          <w:szCs w:val="22"/>
        </w:rPr>
        <w:t>递延所得税资产和递延所得税负债</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48"/>
      <w:bookmarkEnd w:id="849"/>
      <w:bookmarkEnd w:id="850"/>
    </w:p>
    <w:p>
      <w:pPr>
        <w:pStyle w:val="Style33"/>
        <w:keepNext w:val="0"/>
        <w:keepLines w:val="0"/>
        <w:widowControl w:val="0"/>
        <w:numPr>
          <w:ilvl w:val="0"/>
          <w:numId w:val="61"/>
        </w:numPr>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2161" w:right="1120" w:bottom="5588" w:left="1962" w:header="0" w:footer="3" w:gutter="0"/>
          <w:cols w:space="720"/>
          <w:noEndnote/>
          <w:rtlGutter w:val="0"/>
          <w:docGrid w:linePitch="360"/>
        </w:sectPr>
      </w:pPr>
      <w:bookmarkStart w:id="851" w:name="bookmark851"/>
      <w:bookmarkEnd w:id="851"/>
      <w:r>
        <w:rPr>
          <w:b w:val="0"/>
          <w:bCs w:val="0"/>
          <w:color w:val="000000"/>
          <w:spacing w:val="0"/>
          <w:w w:val="100"/>
          <w:position w:val="0"/>
          <w:sz w:val="22"/>
          <w:szCs w:val="22"/>
        </w:rPr>
        <w:t>抵销后的递延所得税资产和递延所得税负债净额列示如下:</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61" w:right="0" w:bottom="5588" w:left="0" w:header="0" w:footer="3" w:gutter="0"/>
          <w:cols w:space="720"/>
          <w:noEndnote/>
          <w:rtlGutter w:val="0"/>
          <w:docGrid w:linePitch="360"/>
        </w:sectPr>
      </w:pPr>
    </w:p>
    <w:p>
      <w:pPr>
        <w:pStyle w:val="Style33"/>
        <w:keepNext w:val="0"/>
        <w:keepLines w:val="0"/>
        <w:widowControl w:val="0"/>
        <w:shd w:val="clear" w:color="auto" w:fill="auto"/>
        <w:bidi w:val="0"/>
        <w:spacing w:before="0" w:after="400" w:line="240" w:lineRule="auto"/>
        <w:ind w:left="0" w:right="0" w:firstLine="0"/>
        <w:jc w:val="left"/>
        <w:rPr>
          <w:sz w:val="22"/>
          <w:szCs w:val="22"/>
        </w:rPr>
      </w:pPr>
      <w:r>
        <w:rPr>
          <w:b w:val="0"/>
          <w:bCs w:val="0"/>
          <w:color w:val="000000"/>
          <w:spacing w:val="0"/>
          <w:w w:val="100"/>
          <w:position w:val="0"/>
          <w:sz w:val="22"/>
          <w:szCs w:val="22"/>
        </w:rPr>
        <w:t>递延所得税资产净额</w:t>
      </w:r>
    </w:p>
    <w:p>
      <w:pPr>
        <w:pStyle w:val="Style33"/>
        <w:keepNext w:val="0"/>
        <w:keepLines w:val="0"/>
        <w:widowControl w:val="0"/>
        <w:shd w:val="clear" w:color="auto" w:fill="auto"/>
        <w:bidi w:val="0"/>
        <w:spacing w:before="0" w:after="400" w:line="240" w:lineRule="auto"/>
        <w:ind w:left="0" w:right="0" w:firstLine="0"/>
        <w:jc w:val="left"/>
        <w:rPr>
          <w:sz w:val="22"/>
          <w:szCs w:val="22"/>
        </w:rPr>
      </w:pPr>
      <w:r>
        <w:rPr>
          <w:b w:val="0"/>
          <w:bCs w:val="0"/>
          <w:color w:val="000000"/>
          <w:spacing w:val="0"/>
          <w:w w:val="100"/>
          <w:position w:val="0"/>
          <w:sz w:val="22"/>
          <w:szCs w:val="22"/>
        </w:rPr>
        <w:t>递延所得税负债净额</w:t>
      </w:r>
    </w:p>
    <w:p>
      <w:pPr>
        <w:pStyle w:val="Style27"/>
        <w:keepNext/>
        <w:keepLines/>
        <w:widowControl w:val="0"/>
        <w:shd w:val="clear" w:color="auto" w:fill="auto"/>
        <w:bidi w:val="0"/>
        <w:spacing w:before="0" w:after="0" w:line="240" w:lineRule="auto"/>
        <w:ind w:left="0" w:right="0" w:firstLine="0"/>
        <w:jc w:val="left"/>
        <w:rPr>
          <w:sz w:val="22"/>
          <w:szCs w:val="22"/>
        </w:rPr>
      </w:pPr>
      <w:bookmarkStart w:id="852" w:name="bookmark852"/>
      <w:bookmarkStart w:id="853" w:name="bookmark853"/>
      <w:bookmarkStart w:id="854" w:name="bookmark854"/>
      <w:r>
        <w:rPr>
          <w:rFonts w:ascii="Arial" w:eastAsia="Arial" w:hAnsi="Arial" w:cs="Arial"/>
          <w:b w:val="0"/>
          <w:bCs w:val="0"/>
          <w:color w:val="000000"/>
          <w:spacing w:val="0"/>
          <w:w w:val="100"/>
          <w:position w:val="0"/>
          <w:sz w:val="24"/>
          <w:szCs w:val="24"/>
        </w:rPr>
        <w:t>(36)</w:t>
      </w:r>
      <w:r>
        <w:rPr>
          <w:color w:val="000000"/>
          <w:spacing w:val="0"/>
          <w:w w:val="100"/>
          <w:position w:val="0"/>
          <w:sz w:val="22"/>
          <w:szCs w:val="22"/>
        </w:rPr>
        <w:t>预计负债</w:t>
      </w:r>
      <w:bookmarkEnd w:id="852"/>
      <w:bookmarkEnd w:id="853"/>
      <w:bookmarkEnd w:id="854"/>
    </w:p>
    <w:p>
      <w:pPr>
        <w:pStyle w:val="Style94"/>
        <w:keepNext w:val="0"/>
        <w:keepLines w:val="0"/>
        <w:widowControl w:val="0"/>
        <w:shd w:val="clear" w:color="auto" w:fill="auto"/>
        <w:bidi w:val="0"/>
        <w:spacing w:before="0" w:after="360" w:line="240" w:lineRule="auto"/>
        <w:ind w:left="0" w:right="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pBdr>
          <w:bottom w:val="single" w:sz="4" w:space="0" w:color="auto"/>
        </w:pBdr>
        <w:shd w:val="clear" w:color="auto" w:fill="auto"/>
        <w:bidi w:val="0"/>
        <w:spacing w:before="0" w:after="360" w:line="240" w:lineRule="auto"/>
        <w:ind w:left="0" w:right="0" w:firstLine="0"/>
        <w:jc w:val="right"/>
      </w:pPr>
      <w:r>
        <w:rPr>
          <w:color w:val="000000"/>
          <w:spacing w:val="0"/>
          <w:w w:val="100"/>
          <w:position w:val="0"/>
          <w:sz w:val="24"/>
          <w:szCs w:val="24"/>
        </w:rPr>
        <w:t>417,890,993.08</w:t>
      </w:r>
    </w:p>
    <w:p>
      <w:pPr>
        <w:pStyle w:val="Style94"/>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45,267,778.02</w:t>
      </w:r>
    </w:p>
    <w:p>
      <w:pPr>
        <w:pStyle w:val="Style94"/>
        <w:keepNext w:val="0"/>
        <w:keepLines w:val="0"/>
        <w:widowControl w:val="0"/>
        <w:shd w:val="clear" w:color="auto" w:fill="auto"/>
        <w:bidi w:val="0"/>
        <w:spacing w:before="0" w:after="360" w:line="240" w:lineRule="auto"/>
        <w:ind w:left="0" w:right="0" w:firstLine="0"/>
        <w:jc w:val="righ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pBdr>
          <w:bottom w:val="single" w:sz="4" w:space="0" w:color="auto"/>
        </w:pBdr>
        <w:shd w:val="clear" w:color="auto" w:fill="auto"/>
        <w:bidi w:val="0"/>
        <w:spacing w:before="0" w:after="360" w:line="240" w:lineRule="auto"/>
        <w:ind w:left="0" w:right="0" w:firstLine="0"/>
        <w:jc w:val="right"/>
      </w:pPr>
      <w:bookmarkStart w:id="855" w:name="bookmark855"/>
      <w:r>
        <w:rPr>
          <w:color w:val="000000"/>
          <w:spacing w:val="0"/>
          <w:w w:val="100"/>
          <w:position w:val="0"/>
          <w:sz w:val="24"/>
          <w:szCs w:val="24"/>
        </w:rPr>
        <w:t>5</w:t>
      </w:r>
      <w:bookmarkEnd w:id="855"/>
      <w:r>
        <w:rPr>
          <w:color w:val="000000"/>
          <w:spacing w:val="0"/>
          <w:w w:val="100"/>
          <w:position w:val="0"/>
          <w:sz w:val="24"/>
          <w:szCs w:val="24"/>
        </w:rPr>
        <w:t>44,975,395.83</w:t>
      </w:r>
    </w:p>
    <w:p>
      <w:pPr>
        <w:pStyle w:val="Style94"/>
        <w:keepNext w:val="0"/>
        <w:keepLines w:val="0"/>
        <w:widowControl w:val="0"/>
        <w:pBdr>
          <w:bottom w:val="single" w:sz="4" w:space="0" w:color="auto"/>
        </w:pBdr>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2161" w:right="1201" w:bottom="5588" w:left="1962" w:header="0" w:footer="3" w:gutter="0"/>
          <w:cols w:num="3" w:space="720" w:equalWidth="0">
            <w:col w:w="2183" w:space="1897"/>
            <w:col w:w="2183" w:space="291"/>
            <w:col w:w="2183"/>
          </w:cols>
          <w:noEndnote/>
          <w:rtlGutter w:val="0"/>
          <w:docGrid w:linePitch="360"/>
        </w:sectPr>
      </w:pPr>
      <w:r>
        <w:rPr>
          <w:color w:val="000000"/>
          <w:spacing w:val="0"/>
          <w:w w:val="100"/>
          <w:position w:val="0"/>
          <w:sz w:val="24"/>
          <w:szCs w:val="24"/>
        </w:rPr>
        <w:t>34,814,422.15</w: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61" w:right="0" w:bottom="3059" w:left="0" w:header="0" w:footer="3" w:gutter="0"/>
          <w:cols w:space="720"/>
          <w:noEndnote/>
          <w:rtlGutter w:val="0"/>
          <w:docGrid w:linePitch="360"/>
        </w:sectPr>
      </w:pPr>
    </w:p>
    <w:tbl>
      <w:tblPr>
        <w:tblOverlap w:val="never"/>
        <w:jc w:val="center"/>
        <w:tblLayout w:type="fixed"/>
      </w:tblPr>
      <w:tblGrid>
        <w:gridCol w:w="1891"/>
        <w:gridCol w:w="1968"/>
        <w:gridCol w:w="1666"/>
        <w:gridCol w:w="1771"/>
        <w:gridCol w:w="1522"/>
      </w:tblGrid>
      <w:tr>
        <w:trPr>
          <w:trHeight w:val="76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80" w:line="240" w:lineRule="auto"/>
              <w:ind w:left="1060" w:right="0" w:firstLine="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p>
            <w:pPr>
              <w:pStyle w:val="Style23"/>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本年增加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年</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应付顺丰金款项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9,096,978.73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5,439,871.40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(10,689,351.36)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3,847,498.77</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2,409,916.75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12,013,800.86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(7,224,182.70)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7,199,534.91</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11,506,895.48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17,453,672.26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(17,913,534.06)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11,047,033.68</w:t>
            </w:r>
          </w:p>
        </w:tc>
      </w:tr>
    </w:tbl>
    <w:p>
      <w:pPr>
        <w:widowControl w:val="0"/>
        <w:spacing w:after="339" w:line="1" w:lineRule="exact"/>
      </w:pPr>
    </w:p>
    <w:p>
      <w:pPr>
        <w:pStyle w:val="Style94"/>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4"/>
          <w:szCs w:val="24"/>
        </w:rPr>
        <w:t>(37)</w:t>
      </w:r>
      <w:r>
        <w:rPr>
          <w:rFonts w:ascii="SimSun" w:eastAsia="SimSun" w:hAnsi="SimSun" w:cs="SimSun"/>
          <w:b/>
          <w:bCs/>
          <w:color w:val="000000"/>
          <w:spacing w:val="0"/>
          <w:w w:val="100"/>
          <w:position w:val="0"/>
          <w:sz w:val="22"/>
          <w:szCs w:val="22"/>
        </w:rPr>
        <w:t>股本</w:t>
      </w:r>
    </w:p>
    <w:tbl>
      <w:tblPr>
        <w:tblOverlap w:val="never"/>
        <w:jc w:val="center"/>
        <w:tblLayout w:type="fixed"/>
      </w:tblPr>
      <w:tblGrid>
        <w:gridCol w:w="1978"/>
        <w:gridCol w:w="2861"/>
        <w:gridCol w:w="1939"/>
        <w:gridCol w:w="1968"/>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19"/>
                <w:szCs w:val="19"/>
              </w:rPr>
            </w:pPr>
            <w:r>
              <w:rPr>
                <w:color w:val="000000"/>
                <w:spacing w:val="0"/>
                <w:w w:val="100"/>
                <w:position w:val="0"/>
                <w:sz w:val="19"/>
                <w:szCs w:val="19"/>
              </w:rPr>
              <w:t>本年增加</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人民币普通股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3,950,185,873.00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233,492,340.00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4,183,678,213.00</w:t>
            </w:r>
          </w:p>
        </w:tc>
      </w:tr>
      <w:tr>
        <w:trPr>
          <w:trHeight w:val="84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20"/>
                <w:szCs w:val="20"/>
              </w:rPr>
              <w:t>2014</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9"/>
                <w:szCs w:val="19"/>
              </w:rPr>
            </w:pPr>
            <w:r>
              <w:rPr>
                <w:color w:val="000000"/>
                <w:spacing w:val="0"/>
                <w:w w:val="100"/>
                <w:position w:val="0"/>
                <w:sz w:val="19"/>
                <w:szCs w:val="19"/>
              </w:rPr>
              <w:t>本年增加</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人民币普通股</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3,950,185,873.00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3,950,185,873.00</w:t>
            </w:r>
          </w:p>
        </w:tc>
      </w:tr>
    </w:tbl>
    <w:p>
      <w:pPr>
        <w:pStyle w:val="Style27"/>
        <w:keepNext/>
        <w:keepLines/>
        <w:widowControl w:val="0"/>
        <w:shd w:val="clear" w:color="auto" w:fill="auto"/>
        <w:bidi w:val="0"/>
        <w:spacing w:before="0" w:after="400" w:line="240" w:lineRule="auto"/>
        <w:ind w:left="0" w:right="0" w:firstLine="0"/>
        <w:jc w:val="left"/>
        <w:rPr>
          <w:sz w:val="22"/>
          <w:szCs w:val="22"/>
        </w:rPr>
      </w:pPr>
      <w:bookmarkStart w:id="856" w:name="bookmark856"/>
      <w:bookmarkStart w:id="857" w:name="bookmark857"/>
      <w:bookmarkStart w:id="858" w:name="bookmark858"/>
      <w:r>
        <w:rPr>
          <w:rFonts w:ascii="Arial" w:eastAsia="Arial" w:hAnsi="Arial" w:cs="Arial"/>
          <w:b w:val="0"/>
          <w:bCs w:val="0"/>
          <w:color w:val="000000"/>
          <w:spacing w:val="0"/>
          <w:w w:val="100"/>
          <w:position w:val="0"/>
          <w:sz w:val="24"/>
          <w:szCs w:val="24"/>
        </w:rPr>
        <w:t>(38)</w:t>
      </w:r>
      <w:r>
        <w:rPr>
          <w:color w:val="000000"/>
          <w:spacing w:val="0"/>
          <w:w w:val="100"/>
          <w:position w:val="0"/>
          <w:sz w:val="22"/>
          <w:szCs w:val="22"/>
        </w:rPr>
        <w:t>资本公积</w:t>
      </w:r>
      <w:bookmarkEnd w:id="856"/>
      <w:bookmarkEnd w:id="857"/>
      <w:bookmarkEnd w:id="858"/>
    </w:p>
    <w:tbl>
      <w:tblPr>
        <w:tblOverlap w:val="never"/>
        <w:jc w:val="center"/>
        <w:tblLayout w:type="fixed"/>
      </w:tblPr>
      <w:tblGrid>
        <w:gridCol w:w="1968"/>
        <w:gridCol w:w="1867"/>
        <w:gridCol w:w="1694"/>
        <w:gridCol w:w="1656"/>
        <w:gridCol w:w="1670"/>
      </w:tblGrid>
      <w:tr>
        <w:trPr>
          <w:trHeight w:val="7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1100" w:right="0" w:firstLine="0"/>
              <w:jc w:val="left"/>
            </w:pPr>
            <w:r>
              <w:rPr>
                <w:rFonts w:ascii="Arial" w:eastAsia="Arial" w:hAnsi="Arial" w:cs="Arial"/>
                <w:color w:val="000000"/>
                <w:spacing w:val="0"/>
                <w:w w:val="100"/>
                <w:position w:val="0"/>
                <w:sz w:val="18"/>
                <w:szCs w:val="18"/>
              </w:rPr>
              <w:t xml:space="preserve">2015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本年增加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本年减少</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900"/>
              <w:jc w:val="both"/>
            </w:pPr>
            <w:r>
              <w:rPr>
                <w:rFonts w:ascii="Arial" w:eastAsia="Arial" w:hAnsi="Arial" w:cs="Arial"/>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股本溢价</w:t>
            </w:r>
            <w:r>
              <w:rPr>
                <w:rFonts w:ascii="Arial" w:eastAsia="Arial" w:hAnsi="Arial" w:cs="Arial"/>
                <w:color w:val="000000"/>
                <w:spacing w:val="0"/>
                <w:w w:val="100"/>
                <w:position w:val="0"/>
                <w:sz w:val="18"/>
                <w:szCs w:val="18"/>
              </w:rPr>
              <w:t>(a)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4,540,733,277.62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3,922,000,000.00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(233,492,340.00)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8,229,240,937.62</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其他资本公积</w:t>
            </w:r>
            <w:r>
              <w:rPr>
                <w:rFonts w:ascii="Arial" w:eastAsia="Arial" w:hAnsi="Arial" w:cs="Arial"/>
                <w:color w:val="000000"/>
                <w:spacing w:val="0"/>
                <w:w w:val="100"/>
                <w:position w:val="0"/>
                <w:sz w:val="18"/>
                <w:szCs w:val="18"/>
              </w:rPr>
              <w:t>(b)</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7,457,404.02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7,457,404.02</w:t>
            </w:r>
          </w:p>
        </w:tc>
      </w:tr>
      <w:tr>
        <w:trPr>
          <w:trHeight w:val="547"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4,540,733,277.62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3,929,457,404.02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(233,492,340.00)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8,236,698,341.64</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sz w:val="18"/>
                <w:szCs w:val="18"/>
              </w:rPr>
              <w:t xml:space="preserve">2014 </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sz w:val="18"/>
                <w:szCs w:val="18"/>
              </w:rPr>
              <w:t xml:space="preserve">2015 </w:t>
            </w:r>
            <w:r>
              <w:rPr>
                <w:color w:val="000000"/>
                <w:spacing w:val="0"/>
                <w:w w:val="100"/>
                <w:position w:val="0"/>
              </w:rPr>
              <w:t>年</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本年增加</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所有者权益内部结转</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4,221,537,527.58</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319,195,750.04</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4,540,733,277.62</w:t>
            </w:r>
          </w:p>
        </w:tc>
      </w:tr>
    </w:tbl>
    <w:p>
      <w:pPr>
        <w:widowControl w:val="0"/>
        <w:spacing w:after="299" w:line="1" w:lineRule="exact"/>
      </w:pPr>
    </w:p>
    <w:p>
      <w:pPr>
        <w:pStyle w:val="Style33"/>
        <w:keepNext w:val="0"/>
        <w:keepLines w:val="0"/>
        <w:widowControl w:val="0"/>
        <w:numPr>
          <w:ilvl w:val="0"/>
          <w:numId w:val="63"/>
        </w:numPr>
        <w:shd w:val="clear" w:color="auto" w:fill="auto"/>
        <w:tabs>
          <w:tab w:pos="720" w:val="left"/>
        </w:tabs>
        <w:bidi w:val="0"/>
        <w:spacing w:before="0" w:after="300" w:line="321" w:lineRule="exact"/>
        <w:ind w:left="720" w:right="0" w:hanging="720"/>
        <w:jc w:val="left"/>
        <w:rPr>
          <w:sz w:val="22"/>
          <w:szCs w:val="22"/>
        </w:rPr>
      </w:pPr>
      <w:bookmarkStart w:id="859" w:name="bookmark859"/>
      <w:bookmarkEnd w:id="859"/>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年度，股本溢价变动主要为：</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1)2016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29</w:t>
      </w:r>
      <w:r>
        <w:rPr>
          <w:b w:val="0"/>
          <w:bCs w:val="0"/>
          <w:color w:val="000000"/>
          <w:spacing w:val="0"/>
          <w:w w:val="100"/>
          <w:position w:val="0"/>
          <w:sz w:val="22"/>
          <w:szCs w:val="22"/>
        </w:rPr>
        <w:t>日，实际收到顺达丰 润及顺信丰合增资总额，合计</w:t>
      </w:r>
      <w:r>
        <w:rPr>
          <w:rFonts w:ascii="Arial" w:eastAsia="Arial" w:hAnsi="Arial" w:cs="Arial"/>
          <w:b w:val="0"/>
          <w:bCs w:val="0"/>
          <w:color w:val="000000"/>
          <w:spacing w:val="0"/>
          <w:w w:val="100"/>
          <w:position w:val="0"/>
          <w:sz w:val="24"/>
          <w:szCs w:val="24"/>
        </w:rPr>
        <w:t>39.22</w:t>
      </w:r>
      <w:r>
        <w:rPr>
          <w:b w:val="0"/>
          <w:bCs w:val="0"/>
          <w:color w:val="000000"/>
          <w:spacing w:val="0"/>
          <w:w w:val="100"/>
          <w:position w:val="0"/>
          <w:sz w:val="22"/>
          <w:szCs w:val="22"/>
        </w:rPr>
        <w:t>亿元，其中新增股本</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 xml:space="preserve">亿元，溢价部分 </w:t>
      </w:r>
      <w:r>
        <w:rPr>
          <w:rFonts w:ascii="Arial" w:eastAsia="Arial" w:hAnsi="Arial" w:cs="Arial"/>
          <w:b w:val="0"/>
          <w:bCs w:val="0"/>
          <w:color w:val="000000"/>
          <w:spacing w:val="0"/>
          <w:w w:val="100"/>
          <w:position w:val="0"/>
          <w:sz w:val="24"/>
          <w:szCs w:val="24"/>
        </w:rPr>
        <w:t>37.2</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亿元计入资本公积。于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年度，本公司一系列重大资产重组</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附注一</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的会计处理影响导致将上述新增股本</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亿元调整至“资本公积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股本溢价”列 示;</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本公司于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 xml:space="preserve">月通过重大资产置换及发行股份购买资产过程中， 法律上的母公司股本与向其购买资产的公允价值之间的差额计人民币 </w:t>
      </w:r>
      <w:r>
        <w:rPr>
          <w:rFonts w:ascii="Arial" w:eastAsia="Arial" w:hAnsi="Arial" w:cs="Arial"/>
          <w:b w:val="0"/>
          <w:bCs w:val="0"/>
          <w:color w:val="000000"/>
          <w:spacing w:val="0"/>
          <w:w w:val="100"/>
          <w:position w:val="0"/>
          <w:sz w:val="24"/>
          <w:szCs w:val="24"/>
        </w:rPr>
        <w:t xml:space="preserve">233,492,340.00 </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附注五</w:t>
      </w:r>
      <w:r>
        <w:rPr>
          <w:rFonts w:ascii="Arial" w:eastAsia="Arial" w:hAnsi="Arial" w:cs="Arial"/>
          <w:b w:val="0"/>
          <w:bCs w:val="0"/>
          <w:color w:val="000000"/>
          <w:spacing w:val="0"/>
          <w:w w:val="100"/>
          <w:position w:val="0"/>
          <w:sz w:val="24"/>
          <w:szCs w:val="24"/>
        </w:rPr>
        <w:t>(1)(a))</w:t>
      </w:r>
      <w:r>
        <w:rPr>
          <w:b w:val="0"/>
          <w:bCs w:val="0"/>
          <w:color w:val="000000"/>
          <w:spacing w:val="0"/>
          <w:w w:val="100"/>
          <w:position w:val="0"/>
          <w:sz w:val="22"/>
          <w:szCs w:val="22"/>
        </w:rPr>
        <w:t>。</w:t>
      </w:r>
    </w:p>
    <w:p>
      <w:pPr>
        <w:pStyle w:val="Style33"/>
        <w:keepNext w:val="0"/>
        <w:keepLines w:val="0"/>
        <w:widowControl w:val="0"/>
        <w:numPr>
          <w:ilvl w:val="0"/>
          <w:numId w:val="63"/>
        </w:numPr>
        <w:shd w:val="clear" w:color="auto" w:fill="auto"/>
        <w:tabs>
          <w:tab w:pos="720" w:val="left"/>
        </w:tabs>
        <w:bidi w:val="0"/>
        <w:spacing w:before="0" w:after="340" w:line="336" w:lineRule="exact"/>
        <w:ind w:left="720" w:right="0" w:hanging="720"/>
        <w:jc w:val="left"/>
        <w:rPr>
          <w:sz w:val="22"/>
          <w:szCs w:val="22"/>
        </w:rPr>
        <w:sectPr>
          <w:footnotePr>
            <w:pos w:val="pageBottom"/>
            <w:numFmt w:val="decimal"/>
            <w:numRestart w:val="continuous"/>
          </w:footnotePr>
          <w:type w:val="continuous"/>
          <w:pgSz w:w="11900" w:h="16840"/>
          <w:pgMar w:top="2161" w:right="1082" w:bottom="3059" w:left="1953" w:header="0" w:footer="3" w:gutter="0"/>
          <w:cols w:space="720"/>
          <w:noEndnote/>
          <w:rtlGutter w:val="0"/>
          <w:docGrid w:linePitch="360"/>
        </w:sectPr>
      </w:pPr>
      <w:bookmarkStart w:id="860" w:name="bookmark860"/>
      <w:bookmarkEnd w:id="860"/>
      <w:r>
        <w:rPr>
          <w:b w:val="0"/>
          <w:bCs w:val="0"/>
          <w:color w:val="000000"/>
          <w:spacing w:val="0"/>
          <w:w w:val="100"/>
          <w:position w:val="0"/>
          <w:sz w:val="22"/>
          <w:szCs w:val="22"/>
        </w:rPr>
        <w:t>其他资本公积本期增加系联营企业除净损益、其他综合收益及利润分配以外的 因素导致的其他所有者权益变动按持股比例计算应享有的金额。</w:t>
      </w: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（39）</w:t>
      </w:r>
      <w:r>
        <w:rPr>
          <w:b/>
          <w:bCs/>
          <w:color w:val="000000"/>
          <w:spacing w:val="0"/>
          <w:w w:val="100"/>
          <w:position w:val="0"/>
          <w:sz w:val="22"/>
          <w:szCs w:val="22"/>
        </w:rPr>
        <w:t>专项储备</w:t>
      </w:r>
    </w:p>
    <w:tbl>
      <w:tblPr>
        <w:tblOverlap w:val="never"/>
        <w:jc w:val="center"/>
        <w:tblLayout w:type="fixed"/>
      </w:tblPr>
      <w:tblGrid>
        <w:gridCol w:w="2074"/>
        <w:gridCol w:w="1714"/>
        <w:gridCol w:w="1670"/>
        <w:gridCol w:w="1757"/>
        <w:gridCol w:w="1651"/>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年</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本年提取</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安全生产费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5,669,064.68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(5,669,064.68)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w:t>
            </w:r>
          </w:p>
        </w:tc>
      </w:tr>
      <w:tr>
        <w:trPr>
          <w:trHeight w:val="67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Arial" w:eastAsia="Arial" w:hAnsi="Arial" w:cs="Arial"/>
                <w:color w:val="000000"/>
                <w:spacing w:val="0"/>
                <w:w w:val="100"/>
                <w:position w:val="0"/>
                <w:sz w:val="20"/>
                <w:szCs w:val="20"/>
              </w:rPr>
              <w:t xml:space="preserve">2014 </w:t>
            </w:r>
            <w:r>
              <w:rPr>
                <w:color w:val="000000"/>
                <w:spacing w:val="0"/>
                <w:w w:val="100"/>
                <w:position w:val="0"/>
                <w:sz w:val="19"/>
                <w:szCs w:val="19"/>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本年提取</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安全生产费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4,103,480.76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(4,103,480.76)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w:t>
            </w:r>
          </w:p>
        </w:tc>
      </w:tr>
      <w:tr>
        <w:trPr>
          <w:trHeight w:val="662" w:hRule="exact"/>
        </w:trPr>
        <w:tc>
          <w:tcPr>
            <w:gridSpan w:val="5"/>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根据财政部、国家安全监管总局</w:t>
            </w:r>
            <w:r>
              <w:rPr>
                <w:rFonts w:ascii="Arial" w:eastAsia="Arial" w:hAnsi="Arial" w:cs="Arial"/>
                <w:color w:val="000000"/>
                <w:spacing w:val="0"/>
                <w:w w:val="100"/>
                <w:position w:val="0"/>
                <w:sz w:val="24"/>
                <w:szCs w:val="24"/>
              </w:rPr>
              <w:t>2012</w:t>
            </w:r>
            <w:r>
              <w:rPr>
                <w:color w:val="000000"/>
                <w:spacing w:val="0"/>
                <w:w w:val="100"/>
                <w:position w:val="0"/>
                <w:sz w:val="22"/>
                <w:szCs w:val="22"/>
              </w:rPr>
              <w:t>年</w:t>
            </w:r>
            <w:r>
              <w:rPr>
                <w:rFonts w:ascii="Arial" w:eastAsia="Arial" w:hAnsi="Arial" w:cs="Arial"/>
                <w:color w:val="000000"/>
                <w:spacing w:val="0"/>
                <w:w w:val="100"/>
                <w:position w:val="0"/>
                <w:sz w:val="24"/>
                <w:szCs w:val="24"/>
              </w:rPr>
              <w:t>2</w:t>
            </w:r>
            <w:r>
              <w:rPr>
                <w:color w:val="000000"/>
                <w:spacing w:val="0"/>
                <w:w w:val="100"/>
                <w:position w:val="0"/>
                <w:sz w:val="22"/>
                <w:szCs w:val="22"/>
              </w:rPr>
              <w:t>月</w:t>
            </w:r>
            <w:r>
              <w:rPr>
                <w:rFonts w:ascii="Arial" w:eastAsia="Arial" w:hAnsi="Arial" w:cs="Arial"/>
                <w:color w:val="000000"/>
                <w:spacing w:val="0"/>
                <w:w w:val="100"/>
                <w:position w:val="0"/>
                <w:sz w:val="24"/>
                <w:szCs w:val="24"/>
              </w:rPr>
              <w:t>14</w:t>
            </w:r>
            <w:r>
              <w:rPr>
                <w:color w:val="000000"/>
                <w:spacing w:val="0"/>
                <w:w w:val="100"/>
                <w:position w:val="0"/>
                <w:sz w:val="22"/>
                <w:szCs w:val="22"/>
              </w:rPr>
              <w:t>日印发的《企业安全生产费用提取</w:t>
            </w:r>
          </w:p>
        </w:tc>
      </w:tr>
      <w:tr>
        <w:trPr>
          <w:trHeight w:val="326" w:hRule="exact"/>
        </w:trPr>
        <w:tc>
          <w:tcPr>
            <w:gridSpan w:val="5"/>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和使用管理办法》</w:t>
            </w:r>
            <w:r>
              <w:rPr>
                <w:color w:val="000000"/>
                <w:spacing w:val="0"/>
                <w:w w:val="100"/>
                <w:position w:val="0"/>
                <w:sz w:val="28"/>
                <w:szCs w:val="28"/>
              </w:rPr>
              <w:t>（</w:t>
            </w:r>
            <w:r>
              <w:rPr>
                <w:color w:val="000000"/>
                <w:spacing w:val="0"/>
                <w:w w:val="100"/>
                <w:position w:val="0"/>
                <w:sz w:val="22"/>
                <w:szCs w:val="22"/>
              </w:rPr>
              <w:t>财企</w:t>
            </w:r>
            <w:r>
              <w:rPr>
                <w:rFonts w:ascii="Arial" w:eastAsia="Arial" w:hAnsi="Arial" w:cs="Arial"/>
                <w:color w:val="000000"/>
                <w:spacing w:val="0"/>
                <w:w w:val="100"/>
                <w:position w:val="0"/>
                <w:sz w:val="24"/>
                <w:szCs w:val="24"/>
              </w:rPr>
              <w:t>[2012]16</w:t>
            </w:r>
            <w:r>
              <w:rPr>
                <w:color w:val="000000"/>
                <w:spacing w:val="0"/>
                <w:w w:val="100"/>
                <w:position w:val="0"/>
                <w:sz w:val="22"/>
                <w:szCs w:val="22"/>
              </w:rPr>
              <w:t>号</w:t>
            </w:r>
            <w:r>
              <w:rPr>
                <w:rFonts w:ascii="Arial" w:eastAsia="Arial" w:hAnsi="Arial" w:cs="Arial"/>
                <w:color w:val="000000"/>
                <w:spacing w:val="0"/>
                <w:w w:val="100"/>
                <w:position w:val="0"/>
                <w:sz w:val="24"/>
                <w:szCs w:val="24"/>
              </w:rPr>
              <w:t>）</w:t>
            </w:r>
            <w:r>
              <w:rPr>
                <w:color w:val="000000"/>
                <w:spacing w:val="0"/>
                <w:w w:val="100"/>
                <w:position w:val="0"/>
                <w:sz w:val="22"/>
                <w:szCs w:val="22"/>
              </w:rPr>
              <w:t>规定，本集团下属部分子公司经营的“普通货运</w:t>
            </w:r>
          </w:p>
        </w:tc>
      </w:tr>
      <w:tr>
        <w:trPr>
          <w:trHeight w:val="317" w:hRule="exact"/>
        </w:trPr>
        <w:tc>
          <w:tcPr>
            <w:gridSpan w:val="5"/>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业务”按照上年普通货运业务运费收入的</w:t>
            </w:r>
            <w:r>
              <w:rPr>
                <w:rFonts w:ascii="Arial" w:eastAsia="Arial" w:hAnsi="Arial" w:cs="Arial"/>
                <w:color w:val="000000"/>
                <w:spacing w:val="0"/>
                <w:w w:val="100"/>
                <w:position w:val="0"/>
                <w:sz w:val="24"/>
                <w:szCs w:val="24"/>
              </w:rPr>
              <w:t>1%</w:t>
            </w:r>
            <w:r>
              <w:rPr>
                <w:color w:val="000000"/>
                <w:spacing w:val="0"/>
                <w:w w:val="100"/>
                <w:position w:val="0"/>
                <w:sz w:val="22"/>
                <w:szCs w:val="22"/>
              </w:rPr>
              <w:t>计提安全生产费用。安全生产费用于计</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提时计入当期损益,</w:t>
            </w:r>
          </w:p>
        </w:tc>
        <w:tc>
          <w:tcPr>
            <w:gridSpan w:val="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同时计入“专项储备”科目。提取的安全生产费按规定的范围使</w:t>
            </w:r>
          </w:p>
        </w:tc>
      </w:tr>
      <w:tr>
        <w:trPr>
          <w:trHeight w:val="480"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用时，直接冲减专项储备。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（40）</w:t>
            </w:r>
            <w:r>
              <w:rPr>
                <w:b/>
                <w:bCs/>
                <w:color w:val="000000"/>
                <w:spacing w:val="0"/>
                <w:w w:val="100"/>
                <w:position w:val="0"/>
                <w:sz w:val="22"/>
                <w:szCs w:val="22"/>
              </w:rPr>
              <w:t>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年</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本年提取</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法定盈余公积金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20,970,706.84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251,142,495.91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272,113,202.75</w:t>
            </w:r>
          </w:p>
        </w:tc>
      </w:tr>
      <w:tr>
        <w:trPr>
          <w:trHeight w:val="67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Arial" w:eastAsia="Arial" w:hAnsi="Arial" w:cs="Arial"/>
                <w:color w:val="000000"/>
                <w:spacing w:val="0"/>
                <w:w w:val="100"/>
                <w:position w:val="0"/>
                <w:sz w:val="20"/>
                <w:szCs w:val="20"/>
              </w:rPr>
              <w:t xml:space="preserve">2014 </w:t>
            </w:r>
            <w:r>
              <w:rPr>
                <w:color w:val="000000"/>
                <w:spacing w:val="0"/>
                <w:w w:val="100"/>
                <w:position w:val="0"/>
                <w:sz w:val="19"/>
                <w:szCs w:val="19"/>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本年提取</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本年减少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法定盈余公积金</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215,090,533.45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27,799,748.39</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(221,919,575.00)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20,970,706.84</w:t>
            </w:r>
          </w:p>
        </w:tc>
      </w:tr>
    </w:tbl>
    <w:p>
      <w:pPr>
        <w:widowControl w:val="0"/>
        <w:spacing w:after="299" w:line="1" w:lineRule="exact"/>
      </w:pPr>
    </w:p>
    <w:p>
      <w:pPr>
        <w:pStyle w:val="Style33"/>
        <w:keepNext w:val="0"/>
        <w:keepLines w:val="0"/>
        <w:widowControl w:val="0"/>
        <w:shd w:val="clear" w:color="auto" w:fill="auto"/>
        <w:bidi w:val="0"/>
        <w:spacing w:before="0" w:after="0" w:line="320" w:lineRule="exact"/>
        <w:ind w:left="0" w:right="0" w:firstLine="0"/>
        <w:jc w:val="both"/>
        <w:rPr>
          <w:sz w:val="22"/>
          <w:szCs w:val="22"/>
        </w:r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2161" w:right="1082" w:bottom="3059" w:left="1953" w:header="0" w:footer="3" w:gutter="0"/>
          <w:cols w:space="720"/>
          <w:noEndnote/>
          <w:rtlGutter w:val="0"/>
          <w:docGrid w:linePitch="360"/>
        </w:sect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年度，本公司一系列重大资产重组</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，故合并财务报表中的盈余公积 为泰森控股的盈余公积。根据《中华人民共和国公司法》及泰森控股章程，泰森控股 按年度净利润的</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提取法定盈余公积金，当法定盈余公积金累计额达到注册资本 的</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以上时，可不再提取。法定盈余公积金经批准后可用于弥补亏损，或者转增 资本。</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年度，泰森控股分别计提法定盈余公积金</w:t>
      </w:r>
      <w:r>
        <w:rPr>
          <w:rFonts w:ascii="Arial" w:eastAsia="Arial" w:hAnsi="Arial" w:cs="Arial"/>
          <w:b w:val="0"/>
          <w:bCs w:val="0"/>
          <w:color w:val="000000"/>
          <w:spacing w:val="0"/>
          <w:w w:val="100"/>
          <w:position w:val="0"/>
          <w:sz w:val="24"/>
          <w:szCs w:val="24"/>
        </w:rPr>
        <w:t xml:space="preserve">251,142,495.91 </w:t>
      </w:r>
      <w:r>
        <w:rPr>
          <w:b w:val="0"/>
          <w:bCs w:val="0"/>
          <w:color w:val="000000"/>
          <w:spacing w:val="0"/>
          <w:w w:val="100"/>
          <w:position w:val="0"/>
          <w:sz w:val="22"/>
          <w:szCs w:val="22"/>
        </w:rPr>
        <w:t xml:space="preserve">元及 </w:t>
      </w:r>
      <w:r>
        <w:rPr>
          <w:rFonts w:ascii="Arial" w:eastAsia="Arial" w:hAnsi="Arial" w:cs="Arial"/>
          <w:b w:val="0"/>
          <w:bCs w:val="0"/>
          <w:color w:val="000000"/>
          <w:spacing w:val="0"/>
          <w:w w:val="100"/>
          <w:position w:val="0"/>
          <w:sz w:val="24"/>
          <w:szCs w:val="24"/>
        </w:rPr>
        <w:t xml:space="preserve">27,799,748.39 </w:t>
      </w:r>
      <w:r>
        <w:rPr>
          <w:b w:val="0"/>
          <w:bCs w:val="0"/>
          <w:color w:val="000000"/>
          <w:spacing w:val="0"/>
          <w:w w:val="100"/>
          <w:position w:val="0"/>
          <w:sz w:val="22"/>
          <w:szCs w:val="22"/>
        </w:rPr>
        <w:t>元。</w:t>
      </w:r>
    </w:p>
    <w:p>
      <w:pPr>
        <w:widowControl w:val="0"/>
        <w:spacing w:line="219" w:lineRule="exact"/>
        <w:rPr>
          <w:sz w:val="18"/>
          <w:szCs w:val="18"/>
        </w:rPr>
      </w:pPr>
    </w:p>
    <w:p>
      <w:pPr>
        <w:widowControl w:val="0"/>
        <w:spacing w:line="1" w:lineRule="exact"/>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896" w:right="1129" w:bottom="970" w:left="1967" w:header="0" w:footer="3" w:gutter="0"/>
          <w:cols w:space="720"/>
          <w:noEndnote/>
          <w:rtlGutter w:val="0"/>
          <w:docGrid w:linePitch="360"/>
        </w:sectPr>
      </w:pPr>
    </w:p>
    <w:p>
      <w:pPr>
        <w:pStyle w:val="Style33"/>
        <w:keepNext w:val="0"/>
        <w:keepLines w:val="0"/>
        <w:framePr w:w="1954" w:h="302" w:wrap="none" w:vAnchor="text" w:hAnchor="page" w:x="1968" w:y="21"/>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(41)</w:t>
      </w:r>
      <w:r>
        <w:rPr>
          <w:color w:val="000000"/>
          <w:spacing w:val="0"/>
          <w:w w:val="100"/>
          <w:position w:val="0"/>
          <w:sz w:val="22"/>
          <w:szCs w:val="22"/>
        </w:rPr>
        <w:t>未分配利润</w:t>
      </w:r>
    </w:p>
    <w:p>
      <w:pPr>
        <w:widowControl w:val="0"/>
        <w:spacing w:after="301" w:line="1" w:lineRule="exact"/>
      </w:pPr>
    </w:p>
    <w:p>
      <w:pPr>
        <w:widowControl w:val="0"/>
        <w:spacing w:line="1" w:lineRule="exact"/>
        <w:sectPr>
          <w:footnotePr>
            <w:pos w:val="pageBottom"/>
            <w:numFmt w:val="decimal"/>
            <w:numRestart w:val="continuous"/>
          </w:footnotePr>
          <w:type w:val="continuous"/>
          <w:pgSz w:w="11900" w:h="16840"/>
          <w:pgMar w:top="1896" w:right="1129" w:bottom="970" w:left="1967" w:header="0" w:footer="3" w:gutter="0"/>
          <w:cols w:space="720"/>
          <w:noEndnote/>
          <w:rtlGutter w:val="0"/>
          <w:docGrid w:linePitch="360"/>
        </w:sectPr>
      </w:pPr>
    </w:p>
    <w:p>
      <w:pPr>
        <w:widowControl w:val="0"/>
        <w:spacing w:line="75" w:lineRule="exact"/>
        <w:rPr>
          <w:sz w:val="6"/>
          <w:szCs w:val="6"/>
        </w:rPr>
      </w:pPr>
    </w:p>
    <w:p>
      <w:pPr>
        <w:widowControl w:val="0"/>
        <w:spacing w:line="1" w:lineRule="exact"/>
        <w:sectPr>
          <w:footnotePr>
            <w:pos w:val="pageBottom"/>
            <w:numFmt w:val="decimal"/>
            <w:numRestart w:val="continuous"/>
          </w:footnotePr>
          <w:type w:val="continuous"/>
          <w:pgSz w:w="11900" w:h="16840"/>
          <w:pgMar w:top="2161" w:right="0" w:bottom="5963"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2161" w:right="1235" w:bottom="5963" w:left="7050" w:header="0" w:footer="3" w:gutter="0"/>
          <w:cols w:num="2" w:space="1378"/>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96" w:right="0" w:bottom="970" w:left="0" w:header="0" w:footer="3" w:gutter="0"/>
          <w:cols w:space="720"/>
          <w:noEndnote/>
          <w:rtlGutter w:val="0"/>
          <w:docGrid w:linePitch="360"/>
        </w:sectPr>
      </w:pPr>
    </w:p>
    <w:p>
      <w:pPr>
        <w:pStyle w:val="Style94"/>
        <w:keepNext w:val="0"/>
        <w:keepLines w:val="0"/>
        <w:framePr w:w="6259" w:h="1915" w:wrap="none" w:vAnchor="text" w:hAnchor="page" w:x="1978" w:y="21"/>
        <w:widowControl w:val="0"/>
        <w:shd w:val="clear" w:color="auto" w:fill="auto"/>
        <w:tabs>
          <w:tab w:pos="4219" w:val="left"/>
        </w:tabs>
        <w:bidi w:val="0"/>
        <w:spacing w:before="0" w:after="40" w:line="240" w:lineRule="auto"/>
        <w:ind w:left="0" w:right="0" w:firstLine="0"/>
        <w:jc w:val="left"/>
      </w:pPr>
      <w:r>
        <w:rPr>
          <w:rFonts w:ascii="SimSun" w:eastAsia="SimSun" w:hAnsi="SimSun" w:cs="SimSun"/>
          <w:color w:val="000000"/>
          <w:spacing w:val="0"/>
          <w:w w:val="100"/>
          <w:position w:val="0"/>
          <w:sz w:val="22"/>
          <w:szCs w:val="22"/>
        </w:rPr>
        <w:t>年初未分配利润</w:t>
        <w:tab/>
      </w:r>
      <w:r>
        <w:rPr>
          <w:color w:val="000000"/>
          <w:spacing w:val="0"/>
          <w:w w:val="100"/>
          <w:position w:val="0"/>
          <w:sz w:val="24"/>
          <w:szCs w:val="24"/>
          <w:u w:val="single"/>
        </w:rPr>
        <w:t>5,123,311,566.55</w:t>
      </w:r>
    </w:p>
    <w:p>
      <w:pPr>
        <w:pStyle w:val="Style94"/>
        <w:keepNext w:val="0"/>
        <w:keepLines w:val="0"/>
        <w:framePr w:w="6259" w:h="1915" w:wrap="none" w:vAnchor="text" w:hAnchor="page" w:x="1978" w:y="21"/>
        <w:widowControl w:val="0"/>
        <w:shd w:val="clear" w:color="auto" w:fill="auto"/>
        <w:tabs>
          <w:tab w:pos="4219" w:val="left"/>
        </w:tabs>
        <w:bidi w:val="0"/>
        <w:spacing w:before="0" w:after="40" w:line="240" w:lineRule="auto"/>
        <w:ind w:left="0" w:right="0" w:firstLine="0"/>
        <w:jc w:val="left"/>
      </w:pPr>
      <w:r>
        <w:rPr>
          <w:rFonts w:ascii="SimSun" w:eastAsia="SimSun" w:hAnsi="SimSun" w:cs="SimSun"/>
          <w:color w:val="000000"/>
          <w:spacing w:val="0"/>
          <w:w w:val="100"/>
          <w:position w:val="0"/>
          <w:sz w:val="22"/>
          <w:szCs w:val="22"/>
        </w:rPr>
        <w:t>加：本年归属于母公司股东的净利润</w:t>
        <w:tab/>
      </w:r>
      <w:r>
        <w:rPr>
          <w:color w:val="000000"/>
          <w:spacing w:val="0"/>
          <w:w w:val="100"/>
          <w:position w:val="0"/>
          <w:sz w:val="24"/>
          <w:szCs w:val="24"/>
        </w:rPr>
        <w:t>4,180,426,152.00</w:t>
      </w:r>
    </w:p>
    <w:p>
      <w:pPr>
        <w:pStyle w:val="Style94"/>
        <w:keepNext w:val="0"/>
        <w:keepLines w:val="0"/>
        <w:framePr w:w="6259" w:h="1915" w:wrap="none" w:vAnchor="text" w:hAnchor="page" w:x="1978" w:y="21"/>
        <w:widowControl w:val="0"/>
        <w:shd w:val="clear" w:color="auto" w:fill="auto"/>
        <w:tabs>
          <w:tab w:pos="4344" w:val="left"/>
        </w:tabs>
        <w:bidi w:val="0"/>
        <w:spacing w:before="0" w:after="40" w:line="240" w:lineRule="auto"/>
        <w:ind w:left="0" w:right="0" w:firstLine="0"/>
        <w:jc w:val="left"/>
      </w:pPr>
      <w:r>
        <w:rPr>
          <w:rFonts w:ascii="SimSun" w:eastAsia="SimSun" w:hAnsi="SimSun" w:cs="SimSun"/>
          <w:color w:val="000000"/>
          <w:spacing w:val="0"/>
          <w:w w:val="100"/>
          <w:position w:val="0"/>
          <w:sz w:val="22"/>
          <w:szCs w:val="22"/>
        </w:rPr>
        <w:t>减：提取法定盈余公积</w:t>
      </w:r>
      <w:r>
        <w:rPr>
          <w:color w:val="000000"/>
          <w:spacing w:val="0"/>
          <w:w w:val="100"/>
          <w:position w:val="0"/>
          <w:sz w:val="24"/>
          <w:szCs w:val="24"/>
        </w:rPr>
        <w:t>(</w:t>
      </w:r>
      <w:r>
        <w:rPr>
          <w:rFonts w:ascii="SimSun" w:eastAsia="SimSun" w:hAnsi="SimSun" w:cs="SimSun"/>
          <w:color w:val="000000"/>
          <w:spacing w:val="0"/>
          <w:w w:val="100"/>
          <w:position w:val="0"/>
          <w:sz w:val="22"/>
          <w:szCs w:val="22"/>
        </w:rPr>
        <w:t>附注四</w:t>
      </w:r>
      <w:r>
        <w:rPr>
          <w:color w:val="000000"/>
          <w:spacing w:val="0"/>
          <w:w w:val="100"/>
          <w:position w:val="0"/>
          <w:sz w:val="24"/>
          <w:szCs w:val="24"/>
        </w:rPr>
        <w:t>(40))</w:t>
        <w:tab/>
      </w:r>
      <w:r>
        <w:rPr>
          <w:color w:val="000000"/>
          <w:spacing w:val="0"/>
          <w:w w:val="100"/>
          <w:position w:val="0"/>
          <w:sz w:val="24"/>
          <w:szCs w:val="24"/>
        </w:rPr>
        <w:t>(251,142,495.91)</w:t>
      </w:r>
    </w:p>
    <w:p>
      <w:pPr>
        <w:pStyle w:val="Style94"/>
        <w:keepNext w:val="0"/>
        <w:keepLines w:val="0"/>
        <w:framePr w:w="6259" w:h="1915" w:wrap="none" w:vAnchor="text" w:hAnchor="page" w:x="1978" w:y="21"/>
        <w:widowControl w:val="0"/>
        <w:shd w:val="clear" w:color="auto" w:fill="auto"/>
        <w:tabs>
          <w:tab w:pos="4138" w:val="left"/>
        </w:tabs>
        <w:bidi w:val="0"/>
        <w:spacing w:before="0" w:after="40" w:line="240" w:lineRule="auto"/>
        <w:ind w:left="0" w:right="0" w:firstLine="480"/>
        <w:jc w:val="left"/>
      </w:pPr>
      <w:r>
        <w:rPr>
          <w:rFonts w:ascii="SimSun" w:eastAsia="SimSun" w:hAnsi="SimSun" w:cs="SimSun"/>
          <w:color w:val="000000"/>
          <w:spacing w:val="0"/>
          <w:w w:val="100"/>
          <w:position w:val="0"/>
          <w:sz w:val="22"/>
          <w:szCs w:val="22"/>
        </w:rPr>
        <w:t>应付普通股股利</w:t>
      </w:r>
      <w:r>
        <w:rPr>
          <w:color w:val="000000"/>
          <w:spacing w:val="0"/>
          <w:w w:val="100"/>
          <w:position w:val="0"/>
          <w:sz w:val="24"/>
          <w:szCs w:val="24"/>
        </w:rPr>
        <w:t>(a)</w:t>
        <w:tab/>
        <w:t>(1,500,000,000.00)</w:t>
      </w:r>
    </w:p>
    <w:p>
      <w:pPr>
        <w:pStyle w:val="Style33"/>
        <w:keepNext w:val="0"/>
        <w:keepLines w:val="0"/>
        <w:framePr w:w="6259" w:h="1915" w:wrap="none" w:vAnchor="text" w:hAnchor="page" w:x="1978" w:y="21"/>
        <w:widowControl w:val="0"/>
        <w:shd w:val="clear" w:color="auto" w:fill="auto"/>
        <w:tabs>
          <w:tab w:pos="4042" w:val="left"/>
          <w:tab w:leader="underscore" w:pos="5736" w:val="left"/>
        </w:tabs>
        <w:bidi w:val="0"/>
        <w:spacing w:before="0" w:after="40" w:line="240" w:lineRule="auto"/>
        <w:ind w:left="0" w:right="0" w:firstLine="480"/>
        <w:jc w:val="left"/>
        <w:rPr>
          <w:sz w:val="24"/>
          <w:szCs w:val="24"/>
        </w:rPr>
      </w:pPr>
      <w:r>
        <w:rPr>
          <w:b w:val="0"/>
          <w:bCs w:val="0"/>
          <w:color w:val="000000"/>
          <w:spacing w:val="0"/>
          <w:w w:val="100"/>
          <w:position w:val="0"/>
          <w:sz w:val="22"/>
          <w:szCs w:val="22"/>
        </w:rPr>
        <w:t>所有者权益内部结转</w:t>
        <w:tab/>
        <w:tab/>
      </w:r>
      <w:r>
        <w:rPr>
          <w:rFonts w:ascii="Arial" w:eastAsia="Arial" w:hAnsi="Arial" w:cs="Arial"/>
          <w:b w:val="0"/>
          <w:bCs w:val="0"/>
          <w:color w:val="000000"/>
          <w:spacing w:val="0"/>
          <w:w w:val="100"/>
          <w:position w:val="0"/>
          <w:sz w:val="24"/>
          <w:szCs w:val="24"/>
          <w:u w:val="single"/>
        </w:rPr>
        <w:t>-</w:t>
      </w:r>
    </w:p>
    <w:p>
      <w:pPr>
        <w:pStyle w:val="Style94"/>
        <w:keepNext w:val="0"/>
        <w:keepLines w:val="0"/>
        <w:framePr w:w="6259" w:h="1915" w:wrap="none" w:vAnchor="text" w:hAnchor="page" w:x="1978" w:y="21"/>
        <w:widowControl w:val="0"/>
        <w:shd w:val="clear" w:color="auto" w:fill="auto"/>
        <w:tabs>
          <w:tab w:pos="4133" w:val="left"/>
        </w:tabs>
        <w:bidi w:val="0"/>
        <w:spacing w:before="0" w:after="40" w:line="240" w:lineRule="auto"/>
        <w:ind w:left="0" w:right="0" w:firstLine="0"/>
        <w:jc w:val="left"/>
      </w:pPr>
      <w:r>
        <w:rPr>
          <w:rFonts w:ascii="SimSun" w:eastAsia="SimSun" w:hAnsi="SimSun" w:cs="SimSun"/>
          <w:color w:val="000000"/>
          <w:spacing w:val="0"/>
          <w:w w:val="100"/>
          <w:position w:val="0"/>
          <w:sz w:val="22"/>
          <w:szCs w:val="22"/>
        </w:rPr>
        <w:t>年末未分配利润</w:t>
        <w:tab/>
      </w:r>
      <w:r>
        <w:rPr>
          <w:color w:val="000000"/>
          <w:spacing w:val="0"/>
          <w:w w:val="100"/>
          <w:position w:val="0"/>
          <w:sz w:val="24"/>
          <w:szCs w:val="24"/>
          <w:u w:val="single"/>
        </w:rPr>
        <w:t>7,552,595,222.64</w:t>
      </w:r>
    </w:p>
    <w:p>
      <w:pPr>
        <w:pStyle w:val="Style94"/>
        <w:keepNext w:val="0"/>
        <w:keepLines w:val="0"/>
        <w:framePr w:w="2064" w:h="1915" w:wrap="none" w:vAnchor="text" w:hAnchor="page" w:x="8669" w:y="21"/>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6,046,956,682.68</w:t>
      </w:r>
    </w:p>
    <w:p>
      <w:pPr>
        <w:pStyle w:val="Style94"/>
        <w:keepNext w:val="0"/>
        <w:keepLines w:val="0"/>
        <w:framePr w:w="2064" w:h="1915" w:wrap="none" w:vAnchor="text" w:hAnchor="page" w:x="8669" w:y="21"/>
        <w:widowControl w:val="0"/>
        <w:shd w:val="clear" w:color="auto" w:fill="auto"/>
        <w:bidi w:val="0"/>
        <w:spacing w:before="0" w:after="40" w:line="240" w:lineRule="auto"/>
        <w:ind w:left="0" w:right="0" w:firstLine="0"/>
        <w:jc w:val="left"/>
      </w:pPr>
      <w:r>
        <w:rPr>
          <w:color w:val="000000"/>
          <w:spacing w:val="0"/>
          <w:w w:val="100"/>
          <w:position w:val="0"/>
          <w:sz w:val="24"/>
          <w:szCs w:val="24"/>
        </w:rPr>
        <w:t>1,101,430,807.30</w:t>
      </w:r>
    </w:p>
    <w:p>
      <w:pPr>
        <w:pStyle w:val="Style94"/>
        <w:keepNext w:val="0"/>
        <w:keepLines w:val="0"/>
        <w:framePr w:w="2064" w:h="1915" w:wrap="none" w:vAnchor="text" w:hAnchor="page" w:x="8669" w:y="21"/>
        <w:widowControl w:val="0"/>
        <w:shd w:val="clear" w:color="auto" w:fill="auto"/>
        <w:bidi w:val="0"/>
        <w:spacing w:before="0" w:after="40" w:line="240" w:lineRule="auto"/>
        <w:ind w:left="0" w:right="0" w:firstLine="340"/>
        <w:jc w:val="left"/>
      </w:pPr>
      <w:r>
        <w:rPr>
          <w:color w:val="000000"/>
          <w:spacing w:val="0"/>
          <w:w w:val="100"/>
          <w:position w:val="0"/>
          <w:sz w:val="24"/>
          <w:szCs w:val="24"/>
        </w:rPr>
        <w:t>(27,799,748.39)</w:t>
      </w:r>
    </w:p>
    <w:p>
      <w:pPr>
        <w:pStyle w:val="Style94"/>
        <w:keepNext w:val="0"/>
        <w:keepLines w:val="0"/>
        <w:framePr w:w="2064" w:h="1915" w:wrap="none" w:vAnchor="text" w:hAnchor="page" w:x="8669" w:y="21"/>
        <w:widowControl w:val="0"/>
        <w:shd w:val="clear" w:color="auto" w:fill="auto"/>
        <w:bidi w:val="0"/>
        <w:spacing w:before="0" w:after="40" w:line="240" w:lineRule="auto"/>
        <w:ind w:left="0" w:right="0" w:firstLine="0"/>
        <w:jc w:val="right"/>
      </w:pPr>
      <w:r>
        <w:rPr>
          <w:color w:val="000000"/>
          <w:spacing w:val="0"/>
          <w:w w:val="100"/>
          <w:position w:val="0"/>
          <w:sz w:val="24"/>
          <w:szCs w:val="24"/>
        </w:rPr>
        <w:t>(1,900,000,000.00)</w:t>
      </w:r>
    </w:p>
    <w:p>
      <w:pPr>
        <w:pStyle w:val="Style94"/>
        <w:keepNext w:val="0"/>
        <w:keepLines w:val="0"/>
        <w:framePr w:w="2064" w:h="1915" w:wrap="none" w:vAnchor="text" w:hAnchor="page" w:x="8669" w:y="21"/>
        <w:widowControl w:val="0"/>
        <w:pBdr>
          <w:bottom w:val="single" w:sz="4" w:space="0" w:color="auto"/>
        </w:pBdr>
        <w:shd w:val="clear" w:color="auto" w:fill="auto"/>
        <w:bidi w:val="0"/>
        <w:spacing w:before="0" w:after="40" w:line="240" w:lineRule="auto"/>
        <w:ind w:left="0" w:right="0" w:firstLine="340"/>
        <w:jc w:val="left"/>
      </w:pPr>
      <w:r>
        <w:rPr>
          <w:color w:val="000000"/>
          <w:spacing w:val="0"/>
          <w:w w:val="100"/>
          <w:position w:val="0"/>
          <w:sz w:val="24"/>
          <w:szCs w:val="24"/>
          <w:u w:val="single"/>
        </w:rPr>
        <w:t>(97,276,175.04)</w:t>
      </w:r>
    </w:p>
    <w:p>
      <w:pPr>
        <w:pStyle w:val="Style94"/>
        <w:keepNext w:val="0"/>
        <w:keepLines w:val="0"/>
        <w:framePr w:w="2064" w:h="1915" w:wrap="none" w:vAnchor="text" w:hAnchor="page" w:x="8669" w:y="21"/>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5,123,311,566.55</w:t>
      </w:r>
    </w:p>
    <w:p>
      <w:pPr>
        <w:pStyle w:val="Style94"/>
        <w:keepNext w:val="0"/>
        <w:keepLines w:val="0"/>
        <w:framePr w:w="8755" w:h="658" w:wrap="none" w:vAnchor="text" w:hAnchor="page" w:x="1968" w:y="2257"/>
        <w:widowControl w:val="0"/>
        <w:shd w:val="clear" w:color="auto" w:fill="auto"/>
        <w:bidi w:val="0"/>
        <w:spacing w:before="0" w:after="0" w:line="317" w:lineRule="exact"/>
        <w:ind w:left="360" w:right="0" w:hanging="360"/>
        <w:jc w:val="left"/>
        <w:rPr>
          <w:sz w:val="22"/>
          <w:szCs w:val="22"/>
        </w:rPr>
      </w:pPr>
      <w:r>
        <w:rPr>
          <w:color w:val="000000"/>
          <w:spacing w:val="0"/>
          <w:w w:val="100"/>
          <w:position w:val="0"/>
          <w:sz w:val="24"/>
          <w:szCs w:val="24"/>
        </w:rPr>
        <w:t>(a)</w:t>
      </w:r>
      <w:r>
        <w:rPr>
          <w:rFonts w:ascii="SimSun" w:eastAsia="SimSun" w:hAnsi="SimSun" w:cs="SimSun"/>
          <w:color w:val="000000"/>
          <w:spacing w:val="0"/>
          <w:w w:val="100"/>
          <w:position w:val="0"/>
          <w:sz w:val="22"/>
          <w:szCs w:val="22"/>
        </w:rPr>
        <w:t>根据泰森控股</w:t>
      </w: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5</w:t>
      </w:r>
      <w:r>
        <w:rPr>
          <w:rFonts w:ascii="SimSun" w:eastAsia="SimSun" w:hAnsi="SimSun" w:cs="SimSun"/>
          <w:color w:val="000000"/>
          <w:spacing w:val="0"/>
          <w:w w:val="100"/>
          <w:position w:val="0"/>
          <w:sz w:val="22"/>
          <w:szCs w:val="22"/>
        </w:rPr>
        <w:t>月</w:t>
      </w:r>
      <w:r>
        <w:rPr>
          <w:color w:val="000000"/>
          <w:spacing w:val="0"/>
          <w:w w:val="100"/>
          <w:position w:val="0"/>
          <w:sz w:val="24"/>
          <w:szCs w:val="24"/>
        </w:rPr>
        <w:t>3</w:t>
      </w:r>
      <w:r>
        <w:rPr>
          <w:rFonts w:ascii="SimSun" w:eastAsia="SimSun" w:hAnsi="SimSun" w:cs="SimSun"/>
          <w:color w:val="000000"/>
          <w:spacing w:val="0"/>
          <w:w w:val="100"/>
          <w:position w:val="0"/>
          <w:sz w:val="22"/>
          <w:szCs w:val="22"/>
        </w:rPr>
        <w:t xml:space="preserve">日召开的董事会决议，泰森控股向所有股东分配利 润 </w:t>
      </w:r>
      <w:r>
        <w:rPr>
          <w:color w:val="000000"/>
          <w:spacing w:val="0"/>
          <w:w w:val="100"/>
          <w:position w:val="0"/>
          <w:sz w:val="24"/>
          <w:szCs w:val="24"/>
        </w:rPr>
        <w:t xml:space="preserve">1,500,000,000.00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年度：</w:t>
      </w:r>
      <w:r>
        <w:rPr>
          <w:color w:val="000000"/>
          <w:spacing w:val="0"/>
          <w:w w:val="100"/>
          <w:position w:val="0"/>
          <w:sz w:val="24"/>
          <w:szCs w:val="24"/>
        </w:rPr>
        <w:t xml:space="preserve">1,900,000,000.00 </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w:t>
      </w:r>
    </w:p>
    <w:p>
      <w:pPr>
        <w:pStyle w:val="Style27"/>
        <w:keepNext/>
        <w:keepLines/>
        <w:framePr w:w="2914" w:h="302" w:wrap="none" w:vAnchor="text" w:hAnchor="page" w:x="1968" w:y="3251"/>
        <w:widowControl w:val="0"/>
        <w:shd w:val="clear" w:color="auto" w:fill="auto"/>
        <w:bidi w:val="0"/>
        <w:spacing w:before="0" w:after="0" w:line="240" w:lineRule="auto"/>
        <w:ind w:left="0" w:right="0" w:firstLine="0"/>
        <w:jc w:val="left"/>
        <w:rPr>
          <w:sz w:val="22"/>
          <w:szCs w:val="22"/>
        </w:rPr>
      </w:pPr>
      <w:bookmarkStart w:id="861" w:name="bookmark861"/>
      <w:bookmarkStart w:id="862" w:name="bookmark862"/>
      <w:bookmarkStart w:id="863" w:name="bookmark863"/>
      <w:r>
        <w:rPr>
          <w:rFonts w:ascii="Arial" w:eastAsia="Arial" w:hAnsi="Arial" w:cs="Arial"/>
          <w:b w:val="0"/>
          <w:bCs w:val="0"/>
          <w:color w:val="000000"/>
          <w:spacing w:val="0"/>
          <w:w w:val="100"/>
          <w:position w:val="0"/>
          <w:sz w:val="24"/>
          <w:szCs w:val="24"/>
        </w:rPr>
        <w:t>(42)</w:t>
      </w:r>
      <w:r>
        <w:rPr>
          <w:color w:val="000000"/>
          <w:spacing w:val="0"/>
          <w:w w:val="100"/>
          <w:position w:val="0"/>
          <w:sz w:val="22"/>
          <w:szCs w:val="22"/>
        </w:rPr>
        <w:t>营业收入和营业成本</w:t>
      </w:r>
      <w:bookmarkEnd w:id="861"/>
      <w:bookmarkEnd w:id="862"/>
      <w:bookmarkEnd w:id="863"/>
    </w:p>
    <w:p>
      <w:pPr>
        <w:pStyle w:val="Style94"/>
        <w:keepNext w:val="0"/>
        <w:keepLines w:val="0"/>
        <w:framePr w:w="3614" w:h="298" w:wrap="none" w:vAnchor="text" w:hAnchor="page" w:x="7037" w:y="3889"/>
        <w:widowControl w:val="0"/>
        <w:shd w:val="clear" w:color="auto" w:fill="auto"/>
        <w:tabs>
          <w:tab w:pos="2491" w:val="left"/>
        </w:tabs>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33"/>
        <w:keepNext w:val="0"/>
        <w:keepLines w:val="0"/>
        <w:framePr w:w="1474" w:h="984" w:wrap="none" w:vAnchor="text" w:hAnchor="page" w:x="1983" w:y="4479"/>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主营业务收入 其他业务收入 营业收入合计</w:t>
      </w:r>
    </w:p>
    <w:p>
      <w:pPr>
        <w:pStyle w:val="Style94"/>
        <w:keepNext w:val="0"/>
        <w:keepLines w:val="0"/>
        <w:framePr w:w="2146" w:h="994" w:wrap="none" w:vAnchor="text" w:hAnchor="page" w:x="6048" w:y="4532"/>
        <w:widowControl w:val="0"/>
        <w:shd w:val="clear" w:color="auto" w:fill="auto"/>
        <w:bidi w:val="0"/>
        <w:spacing w:before="0" w:after="40" w:line="240" w:lineRule="auto"/>
        <w:ind w:left="0" w:right="0" w:firstLine="0"/>
        <w:jc w:val="left"/>
      </w:pPr>
      <w:r>
        <w:rPr>
          <w:color w:val="000000"/>
          <w:spacing w:val="0"/>
          <w:w w:val="100"/>
          <w:position w:val="0"/>
          <w:sz w:val="24"/>
          <w:szCs w:val="24"/>
        </w:rPr>
        <w:t>57,409,359,626.18</w:t>
      </w:r>
    </w:p>
    <w:p>
      <w:pPr>
        <w:pStyle w:val="Style94"/>
        <w:keepNext w:val="0"/>
        <w:keepLines w:val="0"/>
        <w:framePr w:w="2146" w:h="994" w:wrap="none" w:vAnchor="text" w:hAnchor="page" w:x="6048" w:y="4532"/>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73,338,446.97</w:t>
      </w:r>
    </w:p>
    <w:p>
      <w:pPr>
        <w:pStyle w:val="Style94"/>
        <w:keepNext w:val="0"/>
        <w:keepLines w:val="0"/>
        <w:framePr w:w="2146" w:h="994" w:wrap="none" w:vAnchor="text" w:hAnchor="page" w:x="6048" w:y="4532"/>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57,482,698,073.15</w:t>
      </w:r>
    </w:p>
    <w:p>
      <w:pPr>
        <w:pStyle w:val="Style94"/>
        <w:keepNext w:val="0"/>
        <w:keepLines w:val="0"/>
        <w:framePr w:w="2155" w:h="994" w:wrap="none" w:vAnchor="text" w:hAnchor="page" w:x="8539" w:y="4532"/>
        <w:widowControl w:val="0"/>
        <w:shd w:val="clear" w:color="auto" w:fill="auto"/>
        <w:bidi w:val="0"/>
        <w:spacing w:before="0" w:after="40" w:line="240" w:lineRule="auto"/>
        <w:ind w:left="0" w:right="0" w:firstLine="0"/>
        <w:jc w:val="left"/>
      </w:pPr>
      <w:r>
        <w:rPr>
          <w:color w:val="000000"/>
          <w:spacing w:val="0"/>
          <w:w w:val="100"/>
          <w:position w:val="0"/>
          <w:sz w:val="24"/>
          <w:szCs w:val="24"/>
        </w:rPr>
        <w:t>48 ,070,322,525.16</w:t>
      </w:r>
    </w:p>
    <w:p>
      <w:pPr>
        <w:pStyle w:val="Style94"/>
        <w:keepNext w:val="0"/>
        <w:keepLines w:val="0"/>
        <w:framePr w:w="2155" w:h="994" w:wrap="none" w:vAnchor="text" w:hAnchor="page" w:x="8539" w:y="4532"/>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30,832,234.34</w:t>
      </w:r>
    </w:p>
    <w:p>
      <w:pPr>
        <w:pStyle w:val="Style94"/>
        <w:keepNext w:val="0"/>
        <w:keepLines w:val="0"/>
        <w:framePr w:w="2155" w:h="994" w:wrap="none" w:vAnchor="text" w:hAnchor="page" w:x="8539" w:y="4532"/>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48,101,154,759.50</w:t>
      </w:r>
    </w:p>
    <w:p>
      <w:pPr>
        <w:pStyle w:val="Style94"/>
        <w:keepNext w:val="0"/>
        <w:keepLines w:val="0"/>
        <w:framePr w:w="3614" w:h="298" w:wrap="none" w:vAnchor="text" w:hAnchor="page" w:x="7037" w:y="5852"/>
        <w:widowControl w:val="0"/>
        <w:shd w:val="clear" w:color="auto" w:fill="auto"/>
        <w:tabs>
          <w:tab w:pos="2491" w:val="left"/>
        </w:tabs>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33"/>
        <w:keepNext w:val="0"/>
        <w:keepLines w:val="0"/>
        <w:framePr w:w="1474" w:h="984" w:wrap="none" w:vAnchor="text" w:hAnchor="page" w:x="1983" w:y="6438"/>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主营业务成本 其他业务成本 营业成本合计</w:t>
      </w:r>
    </w:p>
    <w:p>
      <w:pPr>
        <w:pStyle w:val="Style94"/>
        <w:keepNext w:val="0"/>
        <w:keepLines w:val="0"/>
        <w:framePr w:w="2050" w:h="946" w:wrap="none" w:vAnchor="text" w:hAnchor="page" w:x="6096" w:y="6491"/>
        <w:widowControl w:val="0"/>
        <w:shd w:val="clear" w:color="auto" w:fill="auto"/>
        <w:bidi w:val="0"/>
        <w:spacing w:before="0" w:after="40" w:line="240" w:lineRule="auto"/>
        <w:ind w:left="0" w:right="0" w:firstLine="0"/>
        <w:jc w:val="left"/>
      </w:pPr>
      <w:r>
        <w:rPr>
          <w:color w:val="000000"/>
          <w:spacing w:val="0"/>
          <w:w w:val="100"/>
          <w:position w:val="0"/>
          <w:sz w:val="24"/>
          <w:szCs w:val="24"/>
        </w:rPr>
        <w:t>46,122,998,353.66</w:t>
      </w:r>
    </w:p>
    <w:p>
      <w:pPr>
        <w:pStyle w:val="Style94"/>
        <w:keepNext w:val="0"/>
        <w:keepLines w:val="0"/>
        <w:framePr w:w="2050" w:h="946" w:wrap="none" w:vAnchor="text" w:hAnchor="page" w:x="6096" w:y="6491"/>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42,168,287.83</w:t>
      </w:r>
    </w:p>
    <w:p>
      <w:pPr>
        <w:pStyle w:val="Style94"/>
        <w:keepNext w:val="0"/>
        <w:keepLines w:val="0"/>
        <w:framePr w:w="2050" w:h="946" w:wrap="none" w:vAnchor="text" w:hAnchor="page" w:x="6096" w:y="6491"/>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46,165,166,641.49</w:t>
      </w:r>
    </w:p>
    <w:p>
      <w:pPr>
        <w:pStyle w:val="Style94"/>
        <w:keepNext w:val="0"/>
        <w:keepLines w:val="0"/>
        <w:framePr w:w="2045" w:h="946" w:wrap="none" w:vAnchor="text" w:hAnchor="page" w:x="8597" w:y="6491"/>
        <w:widowControl w:val="0"/>
        <w:shd w:val="clear" w:color="auto" w:fill="auto"/>
        <w:bidi w:val="0"/>
        <w:spacing w:before="0" w:after="40" w:line="240" w:lineRule="auto"/>
        <w:ind w:left="0" w:right="0" w:firstLine="0"/>
        <w:jc w:val="left"/>
      </w:pPr>
      <w:r>
        <w:rPr>
          <w:color w:val="000000"/>
          <w:spacing w:val="0"/>
          <w:w w:val="100"/>
          <w:position w:val="0"/>
          <w:sz w:val="24"/>
          <w:szCs w:val="24"/>
        </w:rPr>
        <w:t>38 ,562,360,837.82</w:t>
      </w:r>
    </w:p>
    <w:p>
      <w:pPr>
        <w:pStyle w:val="Style94"/>
        <w:keepNext w:val="0"/>
        <w:keepLines w:val="0"/>
        <w:framePr w:w="2045" w:h="946" w:wrap="none" w:vAnchor="text" w:hAnchor="page" w:x="8597" w:y="6491"/>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23,542,996.97</w:t>
      </w:r>
    </w:p>
    <w:p>
      <w:pPr>
        <w:pStyle w:val="Style94"/>
        <w:keepNext w:val="0"/>
        <w:keepLines w:val="0"/>
        <w:framePr w:w="2045" w:h="946" w:wrap="none" w:vAnchor="text" w:hAnchor="page" w:x="8597" w:y="6491"/>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38,585,903,834.79</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896" w:right="1129" w:bottom="970" w:left="1967" w:header="0" w:footer="3" w:gutter="0"/>
          <w:cols w:space="720"/>
          <w:noEndnote/>
          <w:rtlGutter w:val="0"/>
          <w:docGrid w:linePitch="360"/>
        </w:sectPr>
      </w:pPr>
    </w:p>
    <w:p>
      <w:pPr>
        <w:pStyle w:val="Style27"/>
        <w:keepNext/>
        <w:keepLines/>
        <w:widowControl w:val="0"/>
        <w:shd w:val="clear" w:color="auto" w:fill="auto"/>
        <w:tabs>
          <w:tab w:pos="816" w:val="left"/>
        </w:tabs>
        <w:bidi w:val="0"/>
        <w:spacing w:before="0" w:after="340" w:line="240" w:lineRule="auto"/>
        <w:ind w:left="0" w:right="0" w:firstLine="0"/>
        <w:jc w:val="left"/>
        <w:rPr>
          <w:sz w:val="28"/>
          <w:szCs w:val="28"/>
        </w:rPr>
      </w:pPr>
      <w:bookmarkStart w:id="864" w:name="bookmark864"/>
      <w:bookmarkStart w:id="865" w:name="bookmark865"/>
      <w:bookmarkStart w:id="866" w:name="bookmark866"/>
      <w:r>
        <w:rPr>
          <w:rFonts w:ascii="Arial" w:eastAsia="Arial" w:hAnsi="Arial" w:cs="Arial"/>
          <w:b w:val="0"/>
          <w:bCs w:val="0"/>
          <w:color w:val="000000"/>
          <w:spacing w:val="0"/>
          <w:w w:val="100"/>
          <w:position w:val="0"/>
          <w:sz w:val="24"/>
          <w:szCs w:val="24"/>
        </w:rPr>
        <w:t>(42)</w:t>
        <w:tab/>
      </w:r>
      <w:r>
        <w:rPr>
          <w:color w:val="000000"/>
          <w:spacing w:val="0"/>
          <w:w w:val="100"/>
          <w:position w:val="0"/>
          <w:sz w:val="22"/>
          <w:szCs w:val="22"/>
        </w:rPr>
        <w:t>营业收入和营业成本</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864"/>
      <w:bookmarkEnd w:id="865"/>
      <w:bookmarkEnd w:id="866"/>
    </w:p>
    <w:p>
      <w:pPr>
        <w:pStyle w:val="Style33"/>
        <w:keepNext w:val="0"/>
        <w:keepLines w:val="0"/>
        <w:widowControl w:val="0"/>
        <w:shd w:val="clear" w:color="auto" w:fill="auto"/>
        <w:bidi w:val="0"/>
        <w:spacing w:before="0" w:after="42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主营业务收入和主营业务成本:</w:t>
      </w:r>
    </w:p>
    <w:p>
      <w:pPr>
        <w:pStyle w:val="Style29"/>
        <w:keepNext w:val="0"/>
        <w:keepLines w:val="0"/>
        <w:widowControl w:val="0"/>
        <w:shd w:val="clear" w:color="auto" w:fill="auto"/>
        <w:tabs>
          <w:tab w:pos="6725" w:val="left"/>
        </w:tabs>
        <w:bidi w:val="0"/>
        <w:spacing w:before="0" w:after="0" w:line="240" w:lineRule="auto"/>
        <w:ind w:left="3082" w:right="0" w:firstLine="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tab/>
      </w: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bl>
      <w:tblPr>
        <w:tblOverlap w:val="never"/>
        <w:jc w:val="center"/>
        <w:tblLayout w:type="fixed"/>
      </w:tblPr>
      <w:tblGrid>
        <w:gridCol w:w="1474"/>
        <w:gridCol w:w="2107"/>
        <w:gridCol w:w="1834"/>
        <w:gridCol w:w="1786"/>
        <w:gridCol w:w="1651"/>
      </w:tblGrid>
      <w:tr>
        <w:trPr>
          <w:trHeight w:val="533"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主营业务收入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主营业务成本</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主营业务收入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主营业务成本</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速运物流收入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57,141,419,990.30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45,967,777,657.08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46,934,771,544.48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37,584,303,027.98</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商业销售收入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20,428,031</w:t>
            </w:r>
            <w:r>
              <w:rPr>
                <w:rFonts w:ascii="Arial" w:eastAsia="Arial" w:hAnsi="Arial" w:cs="Arial"/>
                <w:color w:val="000000"/>
                <w:spacing w:val="0"/>
                <w:w w:val="100"/>
                <w:position w:val="0"/>
                <w:sz w:val="16"/>
                <w:szCs w:val="16"/>
              </w:rPr>
              <w:t>.34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18,653,266.88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963,242,325.02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864,517,236.68</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247,511,604.54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136,567,429.70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172,308,655.66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113,540,573.16</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57,409,359,626.18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46,122,998,353.66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48,070,322,525.16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38,562,360,837.82</w:t>
            </w:r>
          </w:p>
        </w:tc>
      </w:tr>
    </w:tbl>
    <w:p>
      <w:pPr>
        <w:widowControl w:val="0"/>
        <w:spacing w:after="339" w:line="1" w:lineRule="exact"/>
      </w:pPr>
    </w:p>
    <w:p>
      <w:pPr>
        <w:pStyle w:val="Style33"/>
        <w:keepNext w:val="0"/>
        <w:keepLines w:val="0"/>
        <w:widowControl w:val="0"/>
        <w:shd w:val="clear" w:color="auto" w:fill="auto"/>
        <w:bidi w:val="0"/>
        <w:spacing w:before="0" w:after="42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其他业务收入和其他业务成本:</w:t>
      </w:r>
    </w:p>
    <w:tbl>
      <w:tblPr>
        <w:tblOverlap w:val="never"/>
        <w:jc w:val="center"/>
        <w:tblLayout w:type="fixed"/>
      </w:tblPr>
      <w:tblGrid>
        <w:gridCol w:w="1627"/>
        <w:gridCol w:w="2357"/>
        <w:gridCol w:w="1589"/>
        <w:gridCol w:w="2006"/>
        <w:gridCol w:w="1272"/>
      </w:tblGrid>
      <w:tr>
        <w:trPr>
          <w:trHeight w:val="230"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r>
      <w:tr>
        <w:trPr>
          <w:trHeight w:val="528"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其他业务收入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其他业务成本</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其他业务收入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其他业务成本</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处理物资收入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10,797,347.36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3,947,109.10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18,315,549.28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15,158,096.25</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62,541,099.61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38,221,178.73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12,516,685.06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8,384,900.72</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73,338,446.97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42,168,287.83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30,832,234.34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23,542,996.97</w:t>
            </w:r>
          </w:p>
        </w:tc>
      </w:tr>
    </w:tbl>
    <w:p>
      <w:pPr>
        <w:sectPr>
          <w:footnotePr>
            <w:pos w:val="pageBottom"/>
            <w:numFmt w:val="decimal"/>
            <w:numRestart w:val="continuous"/>
          </w:footnotePr>
          <w:pgSz w:w="11900" w:h="16840"/>
          <w:pgMar w:top="2108" w:right="1072" w:bottom="2108" w:left="1967"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 xml:space="preserve">(43) </w:t>
      </w:r>
      <w:r>
        <w:rPr>
          <w:b/>
          <w:bCs/>
          <w:color w:val="000000"/>
          <w:spacing w:val="0"/>
          <w:w w:val="100"/>
          <w:position w:val="0"/>
          <w:sz w:val="22"/>
          <w:szCs w:val="22"/>
        </w:rPr>
        <w:t>税金及附加</w:t>
      </w:r>
    </w:p>
    <w:tbl>
      <w:tblPr>
        <w:tblOverlap w:val="never"/>
        <w:jc w:val="center"/>
        <w:tblLayout w:type="fixed"/>
      </w:tblPr>
      <w:tblGrid>
        <w:gridCol w:w="2059"/>
        <w:gridCol w:w="2462"/>
        <w:gridCol w:w="2539"/>
        <w:gridCol w:w="1680"/>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计缴标准</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城市维护建设税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73,906,292.67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82,486,825.94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参见附注三</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教育费附加</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55,020,571.96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60,790,985.01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参见附注三</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营业税</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11,546,066.18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34,743,519.13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参见附注三</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堤围费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3,930,513.92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6,243,182.20</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印花税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36,073,460.79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房产税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11,998,662.90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9,131,508.57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1,693,241.35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1,256,637.03</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203,300,318.34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4"/>
                <w:szCs w:val="24"/>
              </w:rPr>
            </w:pPr>
            <w:r>
              <w:rPr>
                <w:rFonts w:ascii="Arial" w:eastAsia="Arial" w:hAnsi="Arial" w:cs="Arial"/>
                <w:color w:val="000000"/>
                <w:spacing w:val="0"/>
                <w:w w:val="100"/>
                <w:position w:val="0"/>
                <w:sz w:val="24"/>
                <w:szCs w:val="24"/>
              </w:rPr>
              <w:t>185,521,149.31</w:t>
            </w:r>
          </w:p>
        </w:tc>
        <w:tc>
          <w:tcPr>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 xml:space="preserve">(44) </w:t>
      </w:r>
      <w:r>
        <w:rPr>
          <w:b/>
          <w:bCs/>
          <w:color w:val="000000"/>
          <w:spacing w:val="0"/>
          <w:w w:val="100"/>
          <w:position w:val="0"/>
          <w:sz w:val="22"/>
          <w:szCs w:val="22"/>
        </w:rPr>
        <w:t>销售费用</w:t>
      </w:r>
    </w:p>
    <w:p>
      <w:pPr>
        <w:widowControl w:val="0"/>
        <w:spacing w:after="319" w:line="1" w:lineRule="exact"/>
      </w:pPr>
    </w:p>
    <w:tbl>
      <w:tblPr>
        <w:tblOverlap w:val="never"/>
        <w:jc w:val="left"/>
        <w:tblLayout w:type="fixed"/>
      </w:tblPr>
      <w:tblGrid>
        <w:gridCol w:w="3158"/>
        <w:gridCol w:w="3331"/>
        <w:gridCol w:w="2333"/>
      </w:tblGrid>
      <w:tr>
        <w:trPr>
          <w:trHeight w:val="312"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职工薪酬</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509,055,693.65</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997,099,224.19</w:t>
            </w:r>
          </w:p>
        </w:tc>
      </w:tr>
      <w:tr>
        <w:trPr>
          <w:trHeight w:val="317"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办公及租赁费</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74,802,757.22</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352,107,544.58</w:t>
            </w:r>
          </w:p>
        </w:tc>
      </w:tr>
      <w:tr>
        <w:trPr>
          <w:trHeight w:val="322"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市场营销费</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111,282,313.43</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219,979,579.09</w:t>
            </w:r>
          </w:p>
        </w:tc>
      </w:tr>
      <w:tr>
        <w:trPr>
          <w:trHeight w:val="322"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信息技术服务</w:t>
            </w:r>
            <w:r>
              <w:rPr>
                <w:rFonts w:ascii="Arial" w:eastAsia="Arial" w:hAnsi="Arial" w:cs="Arial"/>
                <w:color w:val="000000"/>
                <w:spacing w:val="0"/>
                <w:w w:val="100"/>
                <w:position w:val="0"/>
                <w:sz w:val="24"/>
                <w:szCs w:val="24"/>
              </w:rPr>
              <w:t>-</w:t>
            </w:r>
            <w:r>
              <w:rPr>
                <w:color w:val="000000"/>
                <w:spacing w:val="0"/>
                <w:w w:val="100"/>
                <w:position w:val="0"/>
                <w:sz w:val="22"/>
                <w:szCs w:val="22"/>
              </w:rPr>
              <w:t>外包</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275,477,079.89</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80,737,914.26</w:t>
            </w:r>
          </w:p>
        </w:tc>
      </w:tr>
      <w:tr>
        <w:trPr>
          <w:trHeight w:val="317"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信息技术费</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114,038,511.37</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134,756,425.70</w:t>
            </w:r>
          </w:p>
        </w:tc>
      </w:tr>
      <w:tr>
        <w:trPr>
          <w:trHeight w:val="322"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物资及材料费用</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24,234,290.84</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60,862,743.08</w:t>
            </w:r>
          </w:p>
        </w:tc>
      </w:tr>
      <w:tr>
        <w:trPr>
          <w:trHeight w:val="317" w:hRule="exact"/>
        </w:trPr>
        <w:tc>
          <w:tcPr>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折旧费及摊销费用</w:t>
            </w:r>
          </w:p>
        </w:tc>
        <w:tc>
          <w:tcPr>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22,799,847.73</w:t>
            </w:r>
          </w:p>
        </w:tc>
        <w:tc>
          <w:tcPr>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46,966,402.55</w:t>
            </w:r>
          </w:p>
        </w:tc>
      </w:tr>
      <w:tr>
        <w:trPr>
          <w:trHeight w:val="322"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仓储成本</w:t>
            </w:r>
          </w:p>
        </w:tc>
        <w:tc>
          <w:tcPr>
            <w:tcBorders/>
            <w:shd w:val="clear" w:color="auto" w:fill="FFFFFF"/>
            <w:vAlign w:val="center"/>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6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32,254,812.93</w:t>
            </w:r>
          </w:p>
        </w:tc>
      </w:tr>
      <w:tr>
        <w:trPr>
          <w:trHeight w:val="322" w:hRule="exact"/>
        </w:trPr>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交通差旅费</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12,760,562.78</w:t>
            </w:r>
          </w:p>
        </w:tc>
        <w:tc>
          <w:tcPr>
            <w:tcBorders/>
            <w:shd w:val="clear" w:color="auto" w:fill="FFFFFF"/>
            <w:vAlign w:val="top"/>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15,160,694.42</w:t>
            </w:r>
          </w:p>
        </w:tc>
      </w:tr>
      <w:tr>
        <w:trPr>
          <w:trHeight w:val="298" w:hRule="exact"/>
        </w:trPr>
        <w:tc>
          <w:tcPr>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320" w:firstLine="0"/>
              <w:jc w:val="right"/>
              <w:rPr>
                <w:sz w:val="24"/>
                <w:szCs w:val="24"/>
              </w:rPr>
            </w:pPr>
            <w:r>
              <w:rPr>
                <w:rFonts w:ascii="Arial" w:eastAsia="Arial" w:hAnsi="Arial" w:cs="Arial"/>
                <w:color w:val="000000"/>
                <w:spacing w:val="0"/>
                <w:w w:val="100"/>
                <w:position w:val="0"/>
                <w:sz w:val="24"/>
                <w:szCs w:val="24"/>
              </w:rPr>
              <w:t>6,145,641.94</w:t>
            </w:r>
          </w:p>
        </w:tc>
        <w:tc>
          <w:tcPr>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14,078,135.43</w:t>
            </w:r>
          </w:p>
        </w:tc>
      </w:tr>
      <w:tr>
        <w:trPr>
          <w:trHeight w:val="360" w:hRule="exact"/>
        </w:trPr>
        <w:tc>
          <w:tcPr>
            <w:tcBorders/>
            <w:shd w:val="clear" w:color="auto" w:fill="FFFFFF"/>
            <w:vAlign w:val="top"/>
          </w:tcPr>
          <w:p>
            <w:pPr>
              <w:framePr w:w="8822" w:h="3528" w:vSpace="643" w:wrap="notBeside" w:vAnchor="text" w:hAnchor="text" w:y="644"/>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320" w:firstLine="0"/>
              <w:jc w:val="right"/>
              <w:rPr>
                <w:sz w:val="24"/>
                <w:szCs w:val="24"/>
              </w:rPr>
            </w:pPr>
            <w:r>
              <w:rPr>
                <w:rFonts w:ascii="Arial" w:eastAsia="Arial" w:hAnsi="Arial" w:cs="Arial"/>
                <w:color w:val="000000"/>
                <w:spacing w:val="0"/>
                <w:w w:val="100"/>
                <w:position w:val="0"/>
                <w:sz w:val="24"/>
                <w:szCs w:val="24"/>
              </w:rPr>
              <w:t>1,150,596,698.85</w:t>
            </w:r>
          </w:p>
        </w:tc>
        <w:tc>
          <w:tcPr>
            <w:tcBorders>
              <w:top w:val="single" w:sz="4"/>
              <w:bottom w:val="single" w:sz="4"/>
            </w:tcBorders>
            <w:shd w:val="clear" w:color="auto" w:fill="FFFFFF"/>
            <w:vAlign w:val="bottom"/>
          </w:tcPr>
          <w:p>
            <w:pPr>
              <w:pStyle w:val="Style23"/>
              <w:keepNext w:val="0"/>
              <w:keepLines w:val="0"/>
              <w:framePr w:w="8822" w:h="3528" w:vSpace="643" w:wrap="notBeside" w:vAnchor="text" w:hAnchor="text" w:y="644"/>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1,954,003,476.23</w:t>
            </w:r>
          </w:p>
        </w:tc>
      </w:tr>
    </w:tbl>
    <w:p>
      <w:pPr>
        <w:pStyle w:val="Style29"/>
        <w:keepNext w:val="0"/>
        <w:keepLines w:val="0"/>
        <w:framePr w:w="1118" w:h="298" w:hSpace="7704" w:wrap="notBeside" w:vAnchor="text" w:hAnchor="text" w:x="5075"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p>
      <w:pPr>
        <w:pStyle w:val="Style29"/>
        <w:keepNext w:val="0"/>
        <w:keepLines w:val="0"/>
        <w:framePr w:w="1118" w:h="298" w:hSpace="7704" w:wrap="notBeside" w:vAnchor="text" w:hAnchor="text" w:x="7571"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widowControl w:val="0"/>
        <w:spacing w:line="1" w:lineRule="exact"/>
        <w:sectPr>
          <w:footnotePr>
            <w:pos w:val="pageBottom"/>
            <w:numFmt w:val="decimal"/>
            <w:numRestart w:val="continuous"/>
          </w:footnotePr>
          <w:pgSz w:w="11900" w:h="16840"/>
          <w:pgMar w:top="2161" w:right="1115" w:bottom="2161" w:left="1962" w:header="0" w:footer="3" w:gutter="0"/>
          <w:cols w:space="720"/>
          <w:noEndnote/>
          <w:rtlGutter w:val="0"/>
          <w:docGrid w:linePitch="360"/>
        </w:sectPr>
      </w:pPr>
    </w:p>
    <w:p>
      <w:pPr>
        <w:pStyle w:val="Style94"/>
        <w:keepNext w:val="0"/>
        <w:keepLines w:val="0"/>
        <w:widowControl w:val="0"/>
        <w:shd w:val="clear" w:color="auto" w:fill="auto"/>
        <w:tabs>
          <w:tab w:pos="816" w:val="left"/>
        </w:tabs>
        <w:bidi w:val="0"/>
        <w:spacing w:before="0" w:after="340" w:line="240" w:lineRule="auto"/>
        <w:ind w:left="0" w:right="0" w:firstLine="0"/>
        <w:jc w:val="left"/>
        <w:rPr>
          <w:sz w:val="22"/>
          <w:szCs w:val="22"/>
        </w:rPr>
      </w:pPr>
      <w:r>
        <w:rPr>
          <w:color w:val="000000"/>
          <w:spacing w:val="0"/>
          <w:w w:val="100"/>
          <w:position w:val="0"/>
          <w:sz w:val="24"/>
          <w:szCs w:val="24"/>
        </w:rPr>
        <w:t>(45)</w:t>
        <w:tab/>
      </w:r>
      <w:r>
        <w:rPr>
          <w:rFonts w:ascii="SimSun" w:eastAsia="SimSun" w:hAnsi="SimSun" w:cs="SimSun"/>
          <w:b/>
          <w:bCs/>
          <w:color w:val="000000"/>
          <w:spacing w:val="0"/>
          <w:w w:val="100"/>
          <w:position w:val="0"/>
          <w:sz w:val="22"/>
          <w:szCs w:val="22"/>
        </w:rPr>
        <w:t>管理费用</w:t>
      </w:r>
    </w:p>
    <w:tbl>
      <w:tblPr>
        <w:tblOverlap w:val="never"/>
        <w:jc w:val="left"/>
        <w:tblLayout w:type="fixed"/>
      </w:tblPr>
      <w:tblGrid>
        <w:gridCol w:w="3096"/>
        <w:gridCol w:w="3379"/>
        <w:gridCol w:w="2347"/>
      </w:tblGrid>
      <w:tr>
        <w:trPr>
          <w:trHeight w:val="31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职工薪酬</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4,842,432,259.28</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4,536,899,464.09</w:t>
            </w:r>
          </w:p>
        </w:tc>
      </w:tr>
      <w:tr>
        <w:trPr>
          <w:trHeight w:val="32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办公及租赁费</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339,827,207.21</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394,238,705.76</w:t>
            </w:r>
          </w:p>
        </w:tc>
      </w:tr>
      <w:tr>
        <w:trPr>
          <w:trHeight w:val="317"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专业服务费</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199,814,491.47</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191,036,195.53</w:t>
            </w:r>
          </w:p>
        </w:tc>
      </w:tr>
      <w:tr>
        <w:trPr>
          <w:trHeight w:val="32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折旧费及摊销费用</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216,471,758.65</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204,146,175.50</w:t>
            </w:r>
          </w:p>
        </w:tc>
      </w:tr>
      <w:tr>
        <w:trPr>
          <w:trHeight w:val="317" w:hRule="exact"/>
        </w:trPr>
        <w:tc>
          <w:tcPr>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交通差旅费</w:t>
            </w:r>
          </w:p>
        </w:tc>
        <w:tc>
          <w:tcPr>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110,233,032.33</w:t>
            </w:r>
          </w:p>
        </w:tc>
        <w:tc>
          <w:tcPr>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108,241,517.85</w:t>
            </w:r>
          </w:p>
        </w:tc>
      </w:tr>
      <w:tr>
        <w:trPr>
          <w:trHeight w:val="32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物资及材料费用</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78,347,788.98</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104,335,181.48</w:t>
            </w:r>
          </w:p>
        </w:tc>
      </w:tr>
      <w:tr>
        <w:trPr>
          <w:trHeight w:val="32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业务招待费</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128,135,846.24</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98,381,787.41</w:t>
            </w:r>
          </w:p>
        </w:tc>
      </w:tr>
      <w:tr>
        <w:trPr>
          <w:trHeight w:val="32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信息技术费</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85,094,448.62</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91,974,503.87</w:t>
            </w:r>
          </w:p>
        </w:tc>
      </w:tr>
      <w:tr>
        <w:trPr>
          <w:trHeight w:val="322" w:hRule="exact"/>
        </w:trPr>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税费</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44,885,189.11</w:t>
            </w:r>
          </w:p>
        </w:tc>
        <w:tc>
          <w:tcPr>
            <w:tcBorders/>
            <w:shd w:val="clear" w:color="auto" w:fill="FFFFFF"/>
            <w:vAlign w:val="top"/>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67,782,880.81</w:t>
            </w:r>
          </w:p>
        </w:tc>
      </w:tr>
      <w:tr>
        <w:trPr>
          <w:trHeight w:val="298" w:hRule="exact"/>
        </w:trPr>
        <w:tc>
          <w:tcPr>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34,213,111.78</w:t>
            </w:r>
          </w:p>
        </w:tc>
        <w:tc>
          <w:tcPr>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25,154,090.50</w:t>
            </w:r>
          </w:p>
        </w:tc>
      </w:tr>
      <w:tr>
        <w:trPr>
          <w:trHeight w:val="360" w:hRule="exact"/>
        </w:trPr>
        <w:tc>
          <w:tcPr>
            <w:tcBorders/>
            <w:shd w:val="clear" w:color="auto" w:fill="FFFFFF"/>
            <w:vAlign w:val="top"/>
          </w:tcPr>
          <w:p>
            <w:pPr>
              <w:framePr w:w="8822" w:h="3533" w:vSpace="638" w:wrap="notBeside" w:vAnchor="text" w:hAnchor="text" w:x="23"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6,079,455,133.67</w:t>
            </w:r>
          </w:p>
        </w:tc>
        <w:tc>
          <w:tcPr>
            <w:tcBorders>
              <w:top w:val="single" w:sz="4"/>
              <w:bottom w:val="single" w:sz="4"/>
            </w:tcBorders>
            <w:shd w:val="clear" w:color="auto" w:fill="FFFFFF"/>
            <w:vAlign w:val="bottom"/>
          </w:tcPr>
          <w:p>
            <w:pPr>
              <w:pStyle w:val="Style23"/>
              <w:keepNext w:val="0"/>
              <w:keepLines w:val="0"/>
              <w:framePr w:w="8822" w:h="3533" w:vSpace="638" w:wrap="notBeside" w:vAnchor="text" w:hAnchor="text" w:x="23" w:y="639"/>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5,822,190,502.80</w:t>
            </w:r>
          </w:p>
        </w:tc>
      </w:tr>
    </w:tbl>
    <w:p>
      <w:pPr>
        <w:pStyle w:val="Style29"/>
        <w:keepNext w:val="0"/>
        <w:keepLines w:val="0"/>
        <w:framePr w:w="1118" w:h="298" w:hSpace="22" w:wrap="notBeside" w:vAnchor="text" w:hAnchor="text" w:x="5097"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p>
      <w:pPr>
        <w:pStyle w:val="Style29"/>
        <w:keepNext w:val="0"/>
        <w:keepLines w:val="0"/>
        <w:framePr w:w="1118" w:h="298" w:hSpace="22" w:wrap="notBeside" w:vAnchor="text" w:hAnchor="text" w:x="7593"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pStyle w:val="Style29"/>
        <w:keepNext w:val="0"/>
        <w:keepLines w:val="0"/>
        <w:framePr w:w="1834" w:h="302" w:hSpace="22" w:wrap="notBeside" w:vAnchor="text" w:hAnchor="text" w:x="28" w:y="4517"/>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(46) </w:t>
      </w:r>
      <w:r>
        <w:rPr>
          <w:b/>
          <w:bCs/>
          <w:color w:val="000000"/>
          <w:spacing w:val="0"/>
          <w:w w:val="100"/>
          <w:position w:val="0"/>
          <w:sz w:val="22"/>
          <w:szCs w:val="22"/>
        </w:rPr>
        <w:t>财务费用</w:t>
      </w:r>
    </w:p>
    <w:p>
      <w:pPr>
        <w:widowControl w:val="0"/>
        <w:spacing w:line="1" w:lineRule="exact"/>
      </w:pPr>
    </w:p>
    <w:tbl>
      <w:tblPr>
        <w:tblOverlap w:val="never"/>
        <w:jc w:val="left"/>
        <w:tblLayout w:type="fixed"/>
      </w:tblPr>
      <w:tblGrid>
        <w:gridCol w:w="3211"/>
        <w:gridCol w:w="3398"/>
        <w:gridCol w:w="2256"/>
      </w:tblGrid>
      <w:tr>
        <w:trPr>
          <w:trHeight w:val="312" w:hRule="exact"/>
        </w:trPr>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利息支出</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397,798,726.07</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316,811,752.49</w:t>
            </w:r>
          </w:p>
        </w:tc>
      </w:tr>
      <w:tr>
        <w:trPr>
          <w:trHeight w:val="326" w:hRule="exact"/>
        </w:trPr>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减：资本化利息</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(43,415,260.05)</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(31,437,024.14)</w:t>
            </w:r>
          </w:p>
        </w:tc>
      </w:tr>
      <w:tr>
        <w:trPr>
          <w:trHeight w:val="317" w:hRule="exact"/>
        </w:trPr>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减：利息收入</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(35,781,907.79)</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(15,153,341.56)</w:t>
            </w:r>
          </w:p>
        </w:tc>
      </w:tr>
      <w:tr>
        <w:trPr>
          <w:trHeight w:val="317" w:hRule="exact"/>
        </w:trPr>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汇兑净损失</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1400" w:right="0" w:firstLine="0"/>
              <w:jc w:val="left"/>
              <w:rPr>
                <w:sz w:val="24"/>
                <w:szCs w:val="24"/>
              </w:rPr>
            </w:pPr>
            <w:r>
              <w:rPr>
                <w:rFonts w:ascii="Arial" w:eastAsia="Arial" w:hAnsi="Arial" w:cs="Arial"/>
                <w:color w:val="000000"/>
                <w:spacing w:val="0"/>
                <w:w w:val="100"/>
                <w:position w:val="0"/>
                <w:sz w:val="24"/>
                <w:szCs w:val="24"/>
              </w:rPr>
              <w:t>21,781,741.74</w:t>
            </w:r>
          </w:p>
        </w:tc>
        <w:tc>
          <w:tcPr>
            <w:tcBorders/>
            <w:shd w:val="clear" w:color="auto" w:fill="FFFFFF"/>
            <w:vAlign w:val="top"/>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67,876,014.42</w:t>
            </w:r>
          </w:p>
        </w:tc>
      </w:tr>
      <w:tr>
        <w:trPr>
          <w:trHeight w:val="298" w:hRule="exact"/>
        </w:trPr>
        <w:tc>
          <w:tcPr>
            <w:tcBorders/>
            <w:shd w:val="clear" w:color="auto" w:fill="FFFFFF"/>
            <w:vAlign w:val="bottom"/>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手续费支出及其他</w:t>
            </w:r>
          </w:p>
        </w:tc>
        <w:tc>
          <w:tcPr>
            <w:tcBorders/>
            <w:shd w:val="clear" w:color="auto" w:fill="FFFFFF"/>
            <w:vAlign w:val="bottom"/>
          </w:tcPr>
          <w:p>
            <w:pPr>
              <w:pStyle w:val="Style23"/>
              <w:keepNext w:val="0"/>
              <w:keepLines w:val="0"/>
              <w:framePr w:w="8866" w:h="1930" w:vSpace="638" w:wrap="notBeside" w:vAnchor="text" w:hAnchor="text" w:y="639"/>
              <w:widowControl w:val="0"/>
              <w:shd w:val="clear" w:color="auto" w:fill="auto"/>
              <w:bidi w:val="0"/>
              <w:spacing w:before="0" w:after="0" w:line="240" w:lineRule="auto"/>
              <w:ind w:left="1400" w:right="0" w:firstLine="0"/>
              <w:jc w:val="left"/>
              <w:rPr>
                <w:sz w:val="24"/>
                <w:szCs w:val="24"/>
              </w:rPr>
            </w:pPr>
            <w:r>
              <w:rPr>
                <w:rFonts w:ascii="Arial" w:eastAsia="Arial" w:hAnsi="Arial" w:cs="Arial"/>
                <w:color w:val="000000"/>
                <w:spacing w:val="0"/>
                <w:w w:val="100"/>
                <w:position w:val="0"/>
                <w:sz w:val="24"/>
                <w:szCs w:val="24"/>
              </w:rPr>
              <w:t>77,044,912.63</w:t>
            </w:r>
          </w:p>
        </w:tc>
        <w:tc>
          <w:tcPr>
            <w:tcBorders/>
            <w:shd w:val="clear" w:color="auto" w:fill="FFFFFF"/>
            <w:vAlign w:val="bottom"/>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59,137,797.32</w:t>
            </w:r>
          </w:p>
        </w:tc>
      </w:tr>
      <w:tr>
        <w:trPr>
          <w:trHeight w:val="360" w:hRule="exact"/>
        </w:trPr>
        <w:tc>
          <w:tcPr>
            <w:tcBorders/>
            <w:shd w:val="clear" w:color="auto" w:fill="FFFFFF"/>
            <w:vAlign w:val="top"/>
          </w:tcPr>
          <w:p>
            <w:pPr>
              <w:framePr w:w="8866" w:h="1930" w:vSpace="638" w:wrap="notBeside" w:vAnchor="text" w:hAnchor="text"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66" w:h="1930" w:vSpace="638" w:wrap="notBeside" w:vAnchor="text" w:hAnchor="text" w:y="63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417,428,212.60</w:t>
            </w:r>
          </w:p>
        </w:tc>
        <w:tc>
          <w:tcPr>
            <w:tcBorders>
              <w:top w:val="single" w:sz="4"/>
              <w:bottom w:val="single" w:sz="4"/>
            </w:tcBorders>
            <w:shd w:val="clear" w:color="auto" w:fill="FFFFFF"/>
            <w:vAlign w:val="bottom"/>
          </w:tcPr>
          <w:p>
            <w:pPr>
              <w:pStyle w:val="Style23"/>
              <w:keepNext w:val="0"/>
              <w:keepLines w:val="0"/>
              <w:framePr w:w="8866" w:h="1930" w:vSpace="638" w:wrap="notBeside" w:vAnchor="text" w:hAnchor="text" w:y="639"/>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397,235,198.53</w:t>
            </w:r>
          </w:p>
        </w:tc>
      </w:tr>
    </w:tbl>
    <w:p>
      <w:pPr>
        <w:pStyle w:val="Style29"/>
        <w:keepNext w:val="0"/>
        <w:keepLines w:val="0"/>
        <w:framePr w:w="1118" w:h="298" w:hSpace="7748" w:wrap="notBeside" w:vAnchor="text" w:hAnchor="text" w:x="5075"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p>
      <w:pPr>
        <w:pStyle w:val="Style29"/>
        <w:keepNext w:val="0"/>
        <w:keepLines w:val="0"/>
        <w:framePr w:w="1118" w:h="298" w:hSpace="7748" w:wrap="notBeside" w:vAnchor="text" w:hAnchor="text" w:x="7571"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widowControl w:val="0"/>
        <w:spacing w:line="1" w:lineRule="exact"/>
      </w:pPr>
      <w:r>
        <w:br w:type="page"/>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(47) </w:t>
      </w:r>
      <w:r>
        <w:rPr>
          <w:color w:val="000000"/>
          <w:spacing w:val="0"/>
          <w:w w:val="100"/>
          <w:position w:val="0"/>
          <w:sz w:val="22"/>
          <w:szCs w:val="22"/>
        </w:rPr>
        <w:t>费用按性质分类</w:t>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利润表中的营业成本、销售费用及管理费用按照性质分类，列示如下:</w:t>
      </w:r>
    </w:p>
    <w:tbl>
      <w:tblPr>
        <w:tblOverlap w:val="never"/>
        <w:jc w:val="left"/>
        <w:tblLayout w:type="fixed"/>
      </w:tblPr>
      <w:tblGrid>
        <w:gridCol w:w="3034"/>
        <w:gridCol w:w="3374"/>
        <w:gridCol w:w="2414"/>
      </w:tblGrid>
      <w:tr>
        <w:trPr>
          <w:trHeight w:val="31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职工薪酬</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14,794,614,340.23</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21,034,776,472.99</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外包成本</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21,132,113,743.31</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7,909,451,126.36</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运输成本</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240" w:right="0" w:firstLine="0"/>
              <w:jc w:val="both"/>
              <w:rPr>
                <w:sz w:val="24"/>
                <w:szCs w:val="24"/>
              </w:rPr>
            </w:pPr>
            <w:r>
              <w:rPr>
                <w:rFonts w:ascii="Arial" w:eastAsia="Arial" w:hAnsi="Arial" w:cs="Arial"/>
                <w:color w:val="000000"/>
                <w:spacing w:val="0"/>
                <w:w w:val="100"/>
                <w:position w:val="0"/>
                <w:sz w:val="24"/>
                <w:szCs w:val="24"/>
              </w:rPr>
              <w:t>7,396,927,389.10</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7,247,597,349.63</w:t>
            </w:r>
          </w:p>
        </w:tc>
      </w:tr>
      <w:tr>
        <w:trPr>
          <w:trHeight w:val="317"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办公及租赁费</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240" w:right="0" w:firstLine="0"/>
              <w:jc w:val="both"/>
              <w:rPr>
                <w:sz w:val="24"/>
                <w:szCs w:val="24"/>
              </w:rPr>
            </w:pPr>
            <w:r>
              <w:rPr>
                <w:rFonts w:ascii="Arial" w:eastAsia="Arial" w:hAnsi="Arial" w:cs="Arial"/>
                <w:color w:val="000000"/>
                <w:spacing w:val="0"/>
                <w:w w:val="100"/>
                <w:position w:val="0"/>
                <w:sz w:val="24"/>
                <w:szCs w:val="24"/>
              </w:rPr>
              <w:t>3,144,217,249.33</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3,161,453,360.23</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物资及材料费用</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240" w:right="0" w:firstLine="0"/>
              <w:jc w:val="both"/>
              <w:rPr>
                <w:sz w:val="24"/>
                <w:szCs w:val="24"/>
              </w:rPr>
            </w:pPr>
            <w:r>
              <w:rPr>
                <w:rFonts w:ascii="Arial" w:eastAsia="Arial" w:hAnsi="Arial" w:cs="Arial"/>
                <w:color w:val="000000"/>
                <w:spacing w:val="0"/>
                <w:w w:val="100"/>
                <w:position w:val="0"/>
                <w:sz w:val="24"/>
                <w:szCs w:val="24"/>
              </w:rPr>
              <w:t>2,370,191,384.63</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2,188,622,334.57</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折旧费及摊销费用</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240" w:right="0" w:firstLine="0"/>
              <w:jc w:val="both"/>
              <w:rPr>
                <w:sz w:val="24"/>
                <w:szCs w:val="24"/>
              </w:rPr>
            </w:pPr>
            <w:r>
              <w:rPr>
                <w:rFonts w:ascii="Arial" w:eastAsia="Arial" w:hAnsi="Arial" w:cs="Arial"/>
                <w:color w:val="000000"/>
                <w:spacing w:val="0"/>
                <w:w w:val="100"/>
                <w:position w:val="0"/>
                <w:sz w:val="24"/>
                <w:szCs w:val="24"/>
              </w:rPr>
              <w:t>2,362,307,841.45</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2,084,771,624.37</w:t>
            </w:r>
          </w:p>
        </w:tc>
      </w:tr>
      <w:tr>
        <w:trPr>
          <w:trHeight w:val="317"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销售商品成本</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18,653,266.88</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864,517,236.68</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信息技术费</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460,514,469.36</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411,509,940.77</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关务成本</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376,247,224.00</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312,558,349.86</w:t>
            </w:r>
          </w:p>
        </w:tc>
      </w:tr>
      <w:tr>
        <w:trPr>
          <w:trHeight w:val="317"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理赔成本</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461,681,261.14</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227,489,573.39</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市场营销费</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111,282,313.43</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219,979,579.09</w:t>
            </w:r>
          </w:p>
        </w:tc>
      </w:tr>
      <w:tr>
        <w:trPr>
          <w:trHeight w:val="322"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专业服务费</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199,814,491.47</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191,036,195.53</w:t>
            </w:r>
          </w:p>
        </w:tc>
      </w:tr>
      <w:tr>
        <w:trPr>
          <w:trHeight w:val="317"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交通差旅费</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158,902,938.13</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147,600,824.13</w:t>
            </w:r>
          </w:p>
        </w:tc>
      </w:tr>
      <w:tr>
        <w:trPr>
          <w:trHeight w:val="326" w:hRule="exact"/>
        </w:trPr>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税费</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51,912,104.10</w:t>
            </w:r>
          </w:p>
        </w:tc>
        <w:tc>
          <w:tcPr>
            <w:tcBorders/>
            <w:shd w:val="clear" w:color="auto" w:fill="FFFFFF"/>
            <w:vAlign w:val="top"/>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67,782,880.81</w:t>
            </w:r>
          </w:p>
        </w:tc>
      </w:tr>
      <w:tr>
        <w:trPr>
          <w:trHeight w:val="293" w:hRule="exact"/>
        </w:trPr>
        <w:tc>
          <w:tcPr>
            <w:tcBorders/>
            <w:shd w:val="clear" w:color="auto" w:fill="FFFFFF"/>
            <w:vAlign w:val="bottom"/>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440" w:right="0" w:firstLine="0"/>
              <w:jc w:val="both"/>
              <w:rPr>
                <w:sz w:val="24"/>
                <w:szCs w:val="24"/>
              </w:rPr>
            </w:pPr>
            <w:r>
              <w:rPr>
                <w:rFonts w:ascii="Arial" w:eastAsia="Arial" w:hAnsi="Arial" w:cs="Arial"/>
                <w:color w:val="000000"/>
                <w:spacing w:val="0"/>
                <w:w w:val="100"/>
                <w:position w:val="0"/>
                <w:sz w:val="24"/>
                <w:szCs w:val="24"/>
              </w:rPr>
              <w:t>355,838,457.45</w:t>
            </w:r>
          </w:p>
        </w:tc>
        <w:tc>
          <w:tcPr>
            <w:tcBorders/>
            <w:shd w:val="clear" w:color="auto" w:fill="FFFFFF"/>
            <w:vAlign w:val="bottom"/>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292,950,965.41</w:t>
            </w:r>
          </w:p>
        </w:tc>
      </w:tr>
      <w:tr>
        <w:trPr>
          <w:trHeight w:val="389" w:hRule="exact"/>
        </w:trPr>
        <w:tc>
          <w:tcPr>
            <w:tcBorders/>
            <w:shd w:val="clear" w:color="auto" w:fill="FFFFFF"/>
            <w:vAlign w:val="top"/>
          </w:tcPr>
          <w:p>
            <w:pPr>
              <w:framePr w:w="8822" w:h="5160" w:vSpace="638" w:wrap="notBeside" w:vAnchor="text" w:hAnchor="text" w:x="23" w:y="639"/>
              <w:widowControl w:val="0"/>
              <w:rPr>
                <w:sz w:val="10"/>
                <w:szCs w:val="10"/>
              </w:rPr>
            </w:pPr>
          </w:p>
        </w:tc>
        <w:tc>
          <w:tcPr>
            <w:tcBorders>
              <w:top w:val="single" w:sz="4"/>
              <w:bottom w:val="single" w:sz="4"/>
            </w:tcBorders>
            <w:shd w:val="clear" w:color="auto" w:fill="FFFFFF"/>
            <w:vAlign w:val="center"/>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53,395,218,474.01</w:t>
            </w:r>
          </w:p>
        </w:tc>
        <w:tc>
          <w:tcPr>
            <w:tcBorders>
              <w:top w:val="single" w:sz="4"/>
              <w:bottom w:val="single" w:sz="4"/>
            </w:tcBorders>
            <w:shd w:val="clear" w:color="auto" w:fill="FFFFFF"/>
            <w:vAlign w:val="center"/>
          </w:tcPr>
          <w:p>
            <w:pPr>
              <w:pStyle w:val="Style23"/>
              <w:keepNext w:val="0"/>
              <w:keepLines w:val="0"/>
              <w:framePr w:w="8822" w:h="5160" w:vSpace="638" w:wrap="notBeside" w:vAnchor="text" w:hAnchor="text" w:x="23" w:y="639"/>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46,362,097,813.82</w:t>
            </w:r>
          </w:p>
        </w:tc>
      </w:tr>
    </w:tbl>
    <w:p>
      <w:pPr>
        <w:pStyle w:val="Style29"/>
        <w:keepNext w:val="0"/>
        <w:keepLines w:val="0"/>
        <w:framePr w:w="1118" w:h="298" w:hSpace="22" w:wrap="notBeside" w:vAnchor="text" w:hAnchor="text" w:x="5097"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p>
      <w:pPr>
        <w:pStyle w:val="Style29"/>
        <w:keepNext w:val="0"/>
        <w:keepLines w:val="0"/>
        <w:framePr w:w="1118" w:h="298" w:hSpace="22" w:wrap="notBeside" w:vAnchor="text" w:hAnchor="text" w:x="7593"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widowControl w:val="0"/>
        <w:spacing w:line="1" w:lineRule="exact"/>
      </w:pPr>
      <w:r>
        <w:br w:type="page"/>
      </w:r>
    </w:p>
    <w:p>
      <w:pPr>
        <w:pStyle w:val="Style27"/>
        <w:keepNext/>
        <w:keepLines/>
        <w:widowControl w:val="0"/>
        <w:shd w:val="clear" w:color="auto" w:fill="auto"/>
        <w:tabs>
          <w:tab w:pos="816" w:val="left"/>
        </w:tabs>
        <w:bidi w:val="0"/>
        <w:spacing w:before="0" w:after="340" w:line="240" w:lineRule="auto"/>
        <w:ind w:left="0" w:right="0" w:firstLine="0"/>
        <w:jc w:val="left"/>
        <w:rPr>
          <w:sz w:val="22"/>
          <w:szCs w:val="22"/>
        </w:rPr>
      </w:pPr>
      <w:bookmarkStart w:id="867" w:name="bookmark867"/>
      <w:bookmarkStart w:id="868" w:name="bookmark868"/>
      <w:bookmarkStart w:id="869" w:name="bookmark869"/>
      <w:r>
        <w:rPr>
          <w:rFonts w:ascii="Arial" w:eastAsia="Arial" w:hAnsi="Arial" w:cs="Arial"/>
          <w:b w:val="0"/>
          <w:bCs w:val="0"/>
          <w:color w:val="000000"/>
          <w:spacing w:val="0"/>
          <w:w w:val="100"/>
          <w:position w:val="0"/>
          <w:sz w:val="24"/>
          <w:szCs w:val="24"/>
        </w:rPr>
        <w:t>(48)</w:t>
        <w:tab/>
      </w:r>
      <w:r>
        <w:rPr>
          <w:color w:val="000000"/>
          <w:spacing w:val="0"/>
          <w:w w:val="100"/>
          <w:position w:val="0"/>
          <w:sz w:val="22"/>
          <w:szCs w:val="22"/>
        </w:rPr>
        <w:t>资产减值损失</w:t>
      </w:r>
      <w:bookmarkEnd w:id="867"/>
      <w:bookmarkEnd w:id="868"/>
      <w:bookmarkEnd w:id="869"/>
    </w:p>
    <w:tbl>
      <w:tblPr>
        <w:tblOverlap w:val="never"/>
        <w:jc w:val="center"/>
        <w:tblLayout w:type="fixed"/>
      </w:tblPr>
      <w:tblGrid>
        <w:gridCol w:w="4267"/>
        <w:gridCol w:w="2333"/>
        <w:gridCol w:w="2251"/>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坏账损失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11,526,118.88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112,016,319.37</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长期股权投资减值损失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35,286,223.70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商誉减值损失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23,189,587.56</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贷款及垫款减值损失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4,212,161.76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9,085,805.46</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保理款减值损失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3,434,211.36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1,243,136.61</w:t>
            </w:r>
          </w:p>
        </w:tc>
      </w:tr>
      <w:tr>
        <w:trPr>
          <w:trHeight w:val="331" w:hRule="exact"/>
        </w:trPr>
        <w:tc>
          <w:tcPr>
            <w:tcBorders/>
            <w:shd w:val="clear" w:color="auto" w:fill="FFFFFF"/>
            <w:vAlign w:val="bottom"/>
          </w:tcPr>
          <w:p>
            <w:pPr>
              <w:pStyle w:val="Style23"/>
              <w:keepNext w:val="0"/>
              <w:keepLines w:val="0"/>
              <w:widowControl w:val="0"/>
              <w:shd w:val="clear" w:color="auto" w:fill="auto"/>
              <w:tabs>
                <w:tab w:pos="4022" w:val="left"/>
              </w:tabs>
              <w:bidi w:val="0"/>
              <w:spacing w:before="0" w:after="0" w:line="240" w:lineRule="auto"/>
              <w:ind w:left="0" w:right="0" w:firstLine="0"/>
              <w:jc w:val="left"/>
              <w:rPr>
                <w:sz w:val="22"/>
                <w:szCs w:val="22"/>
              </w:rPr>
            </w:pPr>
            <w:r>
              <w:rPr>
                <w:color w:val="000000"/>
                <w:spacing w:val="0"/>
                <w:w w:val="100"/>
                <w:position w:val="0"/>
                <w:sz w:val="22"/>
                <w:szCs w:val="22"/>
              </w:rPr>
              <w:t>存货减值损失</w:t>
              <w:tab/>
              <w:t>_</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(253,639.54)</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19,172,492.00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180,567,433.16</w:t>
            </w:r>
          </w:p>
        </w:tc>
      </w:tr>
      <w:tr>
        <w:trPr>
          <w:trHeight w:val="1469" w:hRule="exact"/>
        </w:trPr>
        <w:tc>
          <w:tcPr>
            <w:tcBorders>
              <w:top w:val="single" w:sz="4"/>
            </w:tcBorders>
            <w:shd w:val="clear" w:color="auto" w:fill="FFFFFF"/>
            <w:vAlign w:val="top"/>
          </w:tcPr>
          <w:p>
            <w:pPr>
              <w:pStyle w:val="Style23"/>
              <w:keepNext w:val="0"/>
              <w:keepLines w:val="0"/>
              <w:widowControl w:val="0"/>
              <w:shd w:val="clear" w:color="auto" w:fill="auto"/>
              <w:tabs>
                <w:tab w:pos="816" w:val="left"/>
              </w:tabs>
              <w:bidi w:val="0"/>
              <w:spacing w:before="360" w:after="0" w:line="240" w:lineRule="auto"/>
              <w:ind w:left="0" w:right="0" w:firstLine="0"/>
              <w:jc w:val="left"/>
              <w:rPr>
                <w:sz w:val="22"/>
                <w:szCs w:val="22"/>
              </w:rPr>
            </w:pPr>
            <w:r>
              <w:rPr>
                <w:rFonts w:ascii="Arial" w:eastAsia="Arial" w:hAnsi="Arial" w:cs="Arial"/>
                <w:color w:val="000000"/>
                <w:spacing w:val="0"/>
                <w:w w:val="100"/>
                <w:position w:val="0"/>
                <w:sz w:val="24"/>
                <w:szCs w:val="24"/>
              </w:rPr>
              <w:t>(49)</w:t>
              <w:tab/>
            </w:r>
            <w:r>
              <w:rPr>
                <w:b/>
                <w:bCs/>
                <w:color w:val="000000"/>
                <w:spacing w:val="0"/>
                <w:w w:val="100"/>
                <w:position w:val="0"/>
                <w:sz w:val="22"/>
                <w:szCs w:val="22"/>
              </w:rPr>
              <w:t>公允价值变动损益</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850" w:hRule="exact"/>
        </w:trPr>
        <w:tc>
          <w:tcPr>
            <w:tcBorders>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交易性金融资产</w:t>
            </w:r>
            <w:r>
              <w:rPr>
                <w:rFonts w:ascii="Arial" w:eastAsia="Arial" w:hAnsi="Arial" w:cs="Arial"/>
                <w:color w:val="000000"/>
                <w:spacing w:val="0"/>
                <w:w w:val="100"/>
                <w:position w:val="0"/>
                <w:sz w:val="24"/>
                <w:szCs w:val="24"/>
              </w:rPr>
              <w:t>/</w:t>
            </w:r>
            <w:r>
              <w:rPr>
                <w:color w:val="000000"/>
                <w:spacing w:val="0"/>
                <w:w w:val="100"/>
                <w:position w:val="0"/>
                <w:sz w:val="22"/>
                <w:szCs w:val="22"/>
              </w:rPr>
              <w:t>负债公允价值变动</w:t>
            </w:r>
            <w:r>
              <w:rPr>
                <w:rFonts w:ascii="Arial" w:eastAsia="Arial" w:hAnsi="Arial" w:cs="Arial"/>
                <w:color w:val="000000"/>
                <w:spacing w:val="0"/>
                <w:w w:val="100"/>
                <w:position w:val="0"/>
                <w:sz w:val="24"/>
                <w:szCs w:val="24"/>
              </w:rPr>
              <w:t>(</w:t>
            </w:r>
            <w:r>
              <w:rPr>
                <w:color w:val="000000"/>
                <w:spacing w:val="0"/>
                <w:w w:val="100"/>
                <w:position w:val="0"/>
                <w:sz w:val="22"/>
                <w:szCs w:val="22"/>
              </w:rPr>
              <w:t>损</w:t>
            </w:r>
          </w:p>
          <w:p>
            <w:pPr>
              <w:pStyle w:val="Style23"/>
              <w:keepNext w:val="0"/>
              <w:keepLines w:val="0"/>
              <w:widowControl w:val="0"/>
              <w:shd w:val="clear" w:color="auto" w:fill="auto"/>
              <w:tabs>
                <w:tab w:pos="3978" w:val="left"/>
              </w:tabs>
              <w:bidi w:val="0"/>
              <w:spacing w:before="0" w:after="0" w:line="240" w:lineRule="auto"/>
              <w:ind w:left="0" w:right="0" w:firstLine="220"/>
              <w:jc w:val="left"/>
              <w:rPr>
                <w:sz w:val="22"/>
                <w:szCs w:val="22"/>
              </w:rPr>
            </w:pPr>
            <w:r>
              <w:rPr>
                <w:color w:val="000000"/>
                <w:spacing w:val="0"/>
                <w:w w:val="100"/>
                <w:position w:val="0"/>
                <w:sz w:val="22"/>
                <w:szCs w:val="22"/>
              </w:rPr>
              <w:t>失</w:t>
            </w:r>
            <w:r>
              <w:rPr>
                <w:rFonts w:ascii="Arial" w:eastAsia="Arial" w:hAnsi="Arial" w:cs="Arial"/>
                <w:color w:val="000000"/>
                <w:spacing w:val="0"/>
                <w:w w:val="100"/>
                <w:position w:val="0"/>
                <w:sz w:val="24"/>
                <w:szCs w:val="24"/>
              </w:rPr>
              <w:t>)/</w:t>
            </w:r>
            <w:r>
              <w:rPr>
                <w:color w:val="000000"/>
                <w:spacing w:val="0"/>
                <w:w w:val="100"/>
                <w:position w:val="0"/>
                <w:sz w:val="22"/>
                <w:szCs w:val="22"/>
              </w:rPr>
              <w:t>收益</w:t>
              <w:tab/>
              <w:t>_</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 xml:space="preserve">(13,005,602.05) </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15,189,834.80</w:t>
            </w:r>
          </w:p>
        </w:tc>
      </w:tr>
    </w:tbl>
    <w:p>
      <w:pPr>
        <w:widowControl w:val="0"/>
        <w:spacing w:after="339" w:line="1" w:lineRule="exact"/>
      </w:pPr>
    </w:p>
    <w:p>
      <w:pPr>
        <w:pStyle w:val="Style27"/>
        <w:keepNext/>
        <w:keepLines/>
        <w:widowControl w:val="0"/>
        <w:shd w:val="clear" w:color="auto" w:fill="auto"/>
        <w:tabs>
          <w:tab w:pos="816" w:val="left"/>
        </w:tabs>
        <w:bidi w:val="0"/>
        <w:spacing w:before="0" w:after="340" w:line="240" w:lineRule="auto"/>
        <w:ind w:left="0" w:right="0" w:firstLine="0"/>
        <w:jc w:val="left"/>
        <w:rPr>
          <w:sz w:val="22"/>
          <w:szCs w:val="22"/>
        </w:rPr>
      </w:pPr>
      <w:bookmarkStart w:id="870" w:name="bookmark870"/>
      <w:bookmarkStart w:id="871" w:name="bookmark871"/>
      <w:bookmarkStart w:id="872" w:name="bookmark872"/>
      <w:r>
        <w:rPr>
          <w:rFonts w:ascii="Arial" w:eastAsia="Arial" w:hAnsi="Arial" w:cs="Arial"/>
          <w:b w:val="0"/>
          <w:bCs w:val="0"/>
          <w:color w:val="000000"/>
          <w:spacing w:val="0"/>
          <w:w w:val="100"/>
          <w:position w:val="0"/>
          <w:sz w:val="24"/>
          <w:szCs w:val="24"/>
        </w:rPr>
        <w:t>(50)</w:t>
        <w:tab/>
      </w:r>
      <w:r>
        <w:rPr>
          <w:color w:val="000000"/>
          <w:spacing w:val="0"/>
          <w:w w:val="100"/>
          <w:position w:val="0"/>
          <w:sz w:val="22"/>
          <w:szCs w:val="22"/>
        </w:rPr>
        <w:t>营业外收入及营业外支出</w:t>
      </w:r>
      <w:bookmarkEnd w:id="870"/>
      <w:bookmarkEnd w:id="871"/>
      <w:bookmarkEnd w:id="872"/>
    </w:p>
    <w:p>
      <w:pPr>
        <w:pStyle w:val="Style33"/>
        <w:keepNext w:val="0"/>
        <w:keepLines w:val="0"/>
        <w:widowControl w:val="0"/>
        <w:shd w:val="clear" w:color="auto" w:fill="auto"/>
        <w:bidi w:val="0"/>
        <w:spacing w:before="0" w:after="42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营业外收入</w:t>
      </w:r>
    </w:p>
    <w:tbl>
      <w:tblPr>
        <w:tblOverlap w:val="never"/>
        <w:jc w:val="center"/>
        <w:tblLayout w:type="fixed"/>
      </w:tblPr>
      <w:tblGrid>
        <w:gridCol w:w="2275"/>
        <w:gridCol w:w="1709"/>
        <w:gridCol w:w="1723"/>
        <w:gridCol w:w="1651"/>
        <w:gridCol w:w="1488"/>
      </w:tblGrid>
      <w:tr>
        <w:trPr>
          <w:trHeight w:val="10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6"/>
                <w:szCs w:val="16"/>
              </w:rPr>
              <w:t>计入</w:t>
            </w: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p>
            <w:pPr>
              <w:pStyle w:val="Style23"/>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非经常性损益</w:t>
            </w:r>
          </w:p>
          <w:p>
            <w:pPr>
              <w:pStyle w:val="Style23"/>
              <w:keepNext w:val="0"/>
              <w:keepLines w:val="0"/>
              <w:widowControl w:val="0"/>
              <w:shd w:val="clear" w:color="auto" w:fill="auto"/>
              <w:bidi w:val="0"/>
              <w:spacing w:before="0" w:after="120" w:line="240" w:lineRule="auto"/>
              <w:ind w:left="0" w:right="260" w:firstLine="0"/>
              <w:jc w:val="right"/>
              <w:rPr>
                <w:sz w:val="16"/>
                <w:szCs w:val="16"/>
              </w:rPr>
            </w:pPr>
            <w:r>
              <w:rPr>
                <w:color w:val="000000"/>
                <w:spacing w:val="0"/>
                <w:w w:val="100"/>
                <w:position w:val="0"/>
                <w:sz w:val="16"/>
                <w:szCs w:val="16"/>
              </w:rPr>
              <w:t>的金额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计入</w:t>
            </w: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p>
            <w:pPr>
              <w:pStyle w:val="Style23"/>
              <w:keepNext w:val="0"/>
              <w:keepLines w:val="0"/>
              <w:widowControl w:val="0"/>
              <w:shd w:val="clear" w:color="auto" w:fill="auto"/>
              <w:bidi w:val="0"/>
              <w:spacing w:before="0" w:after="120" w:line="240" w:lineRule="auto"/>
              <w:ind w:left="0" w:right="0" w:firstLine="420"/>
              <w:jc w:val="both"/>
              <w:rPr>
                <w:sz w:val="16"/>
                <w:szCs w:val="16"/>
              </w:rPr>
            </w:pPr>
            <w:r>
              <w:rPr>
                <w:color w:val="000000"/>
                <w:spacing w:val="0"/>
                <w:w w:val="100"/>
                <w:position w:val="0"/>
                <w:sz w:val="16"/>
                <w:szCs w:val="16"/>
              </w:rPr>
              <w:t>非经常性损益</w:t>
            </w:r>
          </w:p>
          <w:p>
            <w:pPr>
              <w:pStyle w:val="Style23"/>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的金额</w:t>
            </w:r>
          </w:p>
        </w:tc>
      </w:tr>
      <w:tr>
        <w:trPr>
          <w:trHeight w:val="44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非流动资产处置利得</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22,406,582.77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22,406,582.77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16,419,363.13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16,419,363.13</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其中：固定资产处置利得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22,406,582.77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22,406,582.77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16,419,363.13</w:t>
            </w:r>
          </w:p>
        </w:tc>
        <w:tc>
          <w:tcPr>
            <w:tcBorders>
              <w:top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16,419,363.13</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r>
              <w:rPr>
                <w:rFonts w:ascii="Arial" w:eastAsia="Arial" w:hAnsi="Arial" w:cs="Arial"/>
                <w:color w:val="000000"/>
                <w:spacing w:val="0"/>
                <w:w w:val="100"/>
                <w:position w:val="0"/>
                <w:sz w:val="16"/>
                <w:szCs w:val="16"/>
              </w:rPr>
              <w:t>(i)</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266,016,957.54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266,016,957.54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288,169,008.14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288,169,008.14</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非同一控制下企业合并确认的负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商誉</w:t>
            </w:r>
            <w:r>
              <w:rPr>
                <w:rFonts w:ascii="Arial" w:eastAsia="Arial" w:hAnsi="Arial" w:cs="Arial"/>
                <w:color w:val="000000"/>
                <w:spacing w:val="0"/>
                <w:w w:val="100"/>
                <w:position w:val="0"/>
                <w:sz w:val="16"/>
                <w:szCs w:val="16"/>
              </w:rPr>
              <w:t>(</w:t>
            </w:r>
            <w:r>
              <w:rPr>
                <w:color w:val="000000"/>
                <w:spacing w:val="0"/>
                <w:w w:val="100"/>
                <w:position w:val="0"/>
                <w:sz w:val="16"/>
                <w:szCs w:val="16"/>
              </w:rPr>
              <w:t>附注五</w:t>
            </w:r>
            <w:r>
              <w:rPr>
                <w:rFonts w:ascii="Arial" w:eastAsia="Arial" w:hAnsi="Arial" w:cs="Arial"/>
                <w:color w:val="000000"/>
                <w:spacing w:val="0"/>
                <w:w w:val="100"/>
                <w:position w:val="0"/>
                <w:sz w:val="16"/>
                <w:szCs w:val="16"/>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1,232,938,035.11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1,232,938,035.11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赔偿收入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26,414,192.52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26,414,192.52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27,805,779.69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27,805,779.69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罚款收入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957,130.76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957,130.76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1,089,951.94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1,089,951.94</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废品销售收入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2,156,952.19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2,156,952.19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4,565,831.64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4,565,831.64</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28,808,284.26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28,808,284.26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23,984,301.75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23,984,301.75</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1,579,698,135.15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1,579,698,135.15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362,034,236.29</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362,034,236.29</w:t>
            </w:r>
          </w:p>
        </w:tc>
      </w:tr>
    </w:tbl>
    <w:p>
      <w:pPr>
        <w:spacing w:lineRule="exact" w:line="1"/>
        <w:rPr>
          <w:sz w:val="2"/>
          <w:szCs w:val="2"/>
        </w:rPr>
      </w:pPr>
      <w:r>
        <w:br w:type="page"/>
      </w:r>
    </w:p>
    <w:p>
      <w:pPr>
        <w:pStyle w:val="Style27"/>
        <w:keepNext/>
        <w:keepLines/>
        <w:widowControl w:val="0"/>
        <w:shd w:val="clear" w:color="auto" w:fill="auto"/>
        <w:tabs>
          <w:tab w:pos="720" w:val="left"/>
        </w:tabs>
        <w:bidi w:val="0"/>
        <w:spacing w:before="0" w:after="380" w:line="240" w:lineRule="auto"/>
        <w:ind w:left="0" w:right="0" w:firstLine="0"/>
        <w:jc w:val="left"/>
      </w:pPr>
      <w:bookmarkStart w:id="873" w:name="bookmark873"/>
      <w:bookmarkStart w:id="874" w:name="bookmark874"/>
      <w:bookmarkStart w:id="875" w:name="bookmark875"/>
      <w:r>
        <w:rPr>
          <w:rFonts w:ascii="Arial" w:eastAsia="Arial" w:hAnsi="Arial" w:cs="Arial"/>
          <w:b w:val="0"/>
          <w:bCs w:val="0"/>
          <w:color w:val="000000"/>
          <w:spacing w:val="0"/>
          <w:w w:val="100"/>
          <w:position w:val="0"/>
          <w:sz w:val="24"/>
          <w:szCs w:val="24"/>
        </w:rPr>
        <w:t>(50)</w:t>
        <w:tab/>
      </w:r>
      <w:r>
        <w:rPr>
          <w:color w:val="000000"/>
          <w:spacing w:val="0"/>
          <w:w w:val="100"/>
          <w:position w:val="0"/>
          <w:sz w:val="22"/>
          <w:szCs w:val="22"/>
        </w:rPr>
        <w:t>营业外收入及营业外支出</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73"/>
      <w:bookmarkEnd w:id="874"/>
      <w:bookmarkEnd w:id="875"/>
    </w:p>
    <w:p>
      <w:pPr>
        <w:pStyle w:val="Style94"/>
        <w:keepNext w:val="0"/>
        <w:keepLines w:val="0"/>
        <w:widowControl w:val="0"/>
        <w:shd w:val="clear" w:color="auto" w:fill="auto"/>
        <w:tabs>
          <w:tab w:pos="720" w:val="left"/>
        </w:tabs>
        <w:bidi w:val="0"/>
        <w:spacing w:before="0" w:after="380" w:line="240" w:lineRule="auto"/>
        <w:ind w:left="0" w:right="0" w:firstLine="0"/>
        <w:jc w:val="left"/>
        <w:rPr>
          <w:sz w:val="28"/>
          <w:szCs w:val="28"/>
        </w:rPr>
      </w:pPr>
      <w:r>
        <w:rPr>
          <w:color w:val="000000"/>
          <w:spacing w:val="0"/>
          <w:w w:val="100"/>
          <w:position w:val="0"/>
          <w:sz w:val="24"/>
          <w:szCs w:val="24"/>
        </w:rPr>
        <w:t>(a)</w:t>
        <w:tab/>
      </w:r>
      <w:r>
        <w:rPr>
          <w:rFonts w:ascii="SimSun" w:eastAsia="SimSun" w:hAnsi="SimSun" w:cs="SimSun"/>
          <w:color w:val="000000"/>
          <w:spacing w:val="0"/>
          <w:w w:val="100"/>
          <w:position w:val="0"/>
          <w:sz w:val="22"/>
          <w:szCs w:val="22"/>
        </w:rPr>
        <w:t>营业外收入</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720" w:val="left"/>
        </w:tabs>
        <w:bidi w:val="0"/>
        <w:spacing w:before="0" w:after="380" w:line="240" w:lineRule="auto"/>
        <w:ind w:left="0" w:right="0" w:firstLine="0"/>
        <w:jc w:val="left"/>
        <w:rPr>
          <w:sz w:val="22"/>
          <w:szCs w:val="22"/>
        </w:rPr>
      </w:pPr>
      <w:r>
        <w:rPr>
          <w:b w:val="0"/>
          <w:bCs w:val="0"/>
          <w:color w:val="000000"/>
          <w:spacing w:val="0"/>
          <w:w w:val="100"/>
          <w:position w:val="0"/>
          <w:sz w:val="22"/>
          <w:szCs w:val="22"/>
        </w:rPr>
        <w:t>⑴</w:t>
        <w:tab/>
        <w:t>政府补助明细</w:t>
      </w:r>
    </w:p>
    <w:tbl>
      <w:tblPr>
        <w:tblOverlap w:val="never"/>
        <w:jc w:val="center"/>
        <w:tblLayout w:type="fixed"/>
      </w:tblPr>
      <w:tblGrid>
        <w:gridCol w:w="2376"/>
        <w:gridCol w:w="1661"/>
        <w:gridCol w:w="1498"/>
        <w:gridCol w:w="1819"/>
        <w:gridCol w:w="1402"/>
      </w:tblGrid>
      <w:tr>
        <w:trPr>
          <w:trHeight w:val="75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320"/>
              <w:jc w:val="left"/>
              <w:rPr>
                <w:sz w:val="19"/>
                <w:szCs w:val="19"/>
              </w:rPr>
            </w:pPr>
            <w:r>
              <w:rPr>
                <w:color w:val="000000"/>
                <w:spacing w:val="0"/>
                <w:w w:val="100"/>
                <w:position w:val="0"/>
                <w:sz w:val="19"/>
                <w:szCs w:val="19"/>
              </w:rPr>
              <w:t>与资产相关</w:t>
            </w:r>
          </w:p>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与收益相关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年度</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right"/>
              <w:rPr>
                <w:sz w:val="19"/>
                <w:szCs w:val="19"/>
              </w:rPr>
            </w:pPr>
            <w:r>
              <w:rPr>
                <w:color w:val="000000"/>
                <w:spacing w:val="0"/>
                <w:w w:val="100"/>
                <w:position w:val="0"/>
                <w:sz w:val="19"/>
                <w:szCs w:val="19"/>
              </w:rPr>
              <w:t>与资产相关</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与收益相关</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物流业财政拨款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162,427,933.06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与收益相关</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136,690,495.79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与收益相关</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航空扶持奖励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28,301,076.73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与收益相关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94,609,323.50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与收益相关</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税收返还</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21,363,738.47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与收益相关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21,661,903.08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与收益相关</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递延收益摊销</w:t>
            </w:r>
            <w:r>
              <w:rPr>
                <w:rFonts w:ascii="Arial" w:eastAsia="Arial" w:hAnsi="Arial" w:cs="Arial"/>
                <w:color w:val="000000"/>
                <w:spacing w:val="0"/>
                <w:w w:val="100"/>
                <w:position w:val="0"/>
                <w:sz w:val="20"/>
                <w:szCs w:val="20"/>
              </w:rPr>
              <w:t>(</w:t>
            </w:r>
            <w:r>
              <w:rPr>
                <w:color w:val="000000"/>
                <w:spacing w:val="0"/>
                <w:w w:val="100"/>
                <w:position w:val="0"/>
                <w:sz w:val="19"/>
                <w:szCs w:val="19"/>
              </w:rPr>
              <w:t>附注四</w:t>
            </w:r>
            <w:r>
              <w:rPr>
                <w:rFonts w:ascii="Arial" w:eastAsia="Arial" w:hAnsi="Arial" w:cs="Arial"/>
                <w:color w:val="000000"/>
                <w:spacing w:val="0"/>
                <w:w w:val="100"/>
                <w:position w:val="0"/>
                <w:sz w:val="20"/>
                <w:szCs w:val="20"/>
              </w:rPr>
              <w:t>(34))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18,283,240.99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与资产相关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7,796,298.14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与资产相关</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35,640,968.29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与收益相关</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27,410,987.63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与收益相关</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266,016,957.54</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288,169,008.14</w:t>
            </w:r>
          </w:p>
        </w:tc>
        <w:tc>
          <w:tcPr>
            <w:tcBorders/>
            <w:shd w:val="clear" w:color="auto" w:fill="FFFFFF"/>
            <w:vAlign w:val="top"/>
          </w:tcPr>
          <w:p>
            <w:pPr>
              <w:widowControl w:val="0"/>
              <w:rPr>
                <w:sz w:val="10"/>
                <w:szCs w:val="10"/>
              </w:rPr>
            </w:pPr>
          </w:p>
        </w:tc>
      </w:tr>
      <w:tr>
        <w:trPr>
          <w:trHeight w:val="854" w:hRule="exact"/>
        </w:trPr>
        <w:tc>
          <w:tcPr>
            <w:tcBorders/>
            <w:shd w:val="clear" w:color="auto" w:fill="FFFFFF"/>
            <w:vAlign w:val="center"/>
          </w:tcPr>
          <w:p>
            <w:pPr>
              <w:pStyle w:val="Style23"/>
              <w:keepNext w:val="0"/>
              <w:keepLines w:val="0"/>
              <w:widowControl w:val="0"/>
              <w:shd w:val="clear" w:color="auto" w:fill="auto"/>
              <w:tabs>
                <w:tab w:pos="84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(b)</w:t>
              <w:tab/>
            </w:r>
            <w:r>
              <w:rPr>
                <w:color w:val="000000"/>
                <w:spacing w:val="0"/>
                <w:w w:val="100"/>
                <w:position w:val="0"/>
                <w:sz w:val="22"/>
                <w:szCs w:val="22"/>
              </w:rPr>
              <w:t>营业外支出</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计入</w:t>
            </w: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计入</w:t>
            </w: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非经常性损益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非经常性损益</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的金额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的金额</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固定资产处置损失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28,502,390.44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28,502,390.44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27,697,981.01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27,697,981.01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赔偿支出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20,041,161.23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20,041,161.23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24,642,432.37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24,642,432.37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捐赠支出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7,540,097.39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7,540,097.39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5,113,786.39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5,113,786.39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罚款及滞纳金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7,311,209.19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7,311,209.19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4,258,998.45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4,258,998.45</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18,259,441.22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18,259,441.22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10,885,628.01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10,885,628.01</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81,654,299.47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81,654,299.47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72,598,826.23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72,598,826.23</w:t>
            </w:r>
          </w:p>
        </w:tc>
      </w:tr>
    </w:tbl>
    <w:p>
      <w:pPr>
        <w:sectPr>
          <w:footnotePr>
            <w:pos w:val="pageBottom"/>
            <w:numFmt w:val="decimal"/>
            <w:numRestart w:val="continuous"/>
          </w:footnotePr>
          <w:pgSz w:w="11900" w:h="16840"/>
          <w:pgMar w:top="2161" w:right="1094" w:bottom="2737" w:left="1941"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 xml:space="preserve">(51) </w:t>
      </w:r>
      <w:r>
        <w:rPr>
          <w:b/>
          <w:bCs/>
          <w:color w:val="000000"/>
          <w:spacing w:val="0"/>
          <w:w w:val="100"/>
          <w:position w:val="0"/>
          <w:sz w:val="22"/>
          <w:szCs w:val="22"/>
        </w:rPr>
        <w:t>投资收益</w:t>
      </w:r>
    </w:p>
    <w:tbl>
      <w:tblPr>
        <w:tblOverlap w:val="never"/>
        <w:jc w:val="center"/>
        <w:tblLayout w:type="fixed"/>
      </w:tblPr>
      <w:tblGrid>
        <w:gridCol w:w="4181"/>
        <w:gridCol w:w="2424"/>
        <w:gridCol w:w="2261"/>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40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理财产品投资收益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277,011,764.26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398,582,553.56</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按权益法分担的被投资公司净损益的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份额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(99,453,785.45)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(143,787,022.73)</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交易性金融资产投资</w:t>
            </w:r>
            <w:r>
              <w:rPr>
                <w:rFonts w:ascii="Arial" w:eastAsia="Arial" w:hAnsi="Arial" w:cs="Arial"/>
                <w:color w:val="000000"/>
                <w:spacing w:val="0"/>
                <w:w w:val="100"/>
                <w:position w:val="0"/>
                <w:sz w:val="24"/>
                <w:szCs w:val="24"/>
              </w:rPr>
              <w:t>(</w:t>
            </w:r>
            <w:r>
              <w:rPr>
                <w:color w:val="000000"/>
                <w:spacing w:val="0"/>
                <w:w w:val="100"/>
                <w:position w:val="0"/>
                <w:sz w:val="22"/>
                <w:szCs w:val="22"/>
              </w:rPr>
              <w:t>损失</w:t>
            </w:r>
            <w:r>
              <w:rPr>
                <w:rFonts w:ascii="Arial" w:eastAsia="Arial" w:hAnsi="Arial" w:cs="Arial"/>
                <w:color w:val="000000"/>
                <w:spacing w:val="0"/>
                <w:w w:val="100"/>
                <w:position w:val="0"/>
                <w:sz w:val="24"/>
                <w:szCs w:val="24"/>
              </w:rPr>
              <w:t>)/</w:t>
            </w:r>
            <w:r>
              <w:rPr>
                <w:color w:val="000000"/>
                <w:spacing w:val="0"/>
                <w:w w:val="100"/>
                <w:position w:val="0"/>
                <w:sz w:val="22"/>
                <w:szCs w:val="22"/>
              </w:rPr>
              <w:t>收益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(10,674,648.37)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134,809,128.67</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委托贷款投资收益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25,058,217.58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21,883,266.80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长期股权投资处置净损益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53,972,345.91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(1,341,297.81)</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处置可供出售金融资产等取得的投资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12,200,669.44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258,114,563.37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410,146,628.49</w:t>
            </w: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本集团不存在投资收益汇回的重大限制。</w:t>
      </w:r>
    </w:p>
    <w:p>
      <w:pPr>
        <w:widowControl w:val="0"/>
        <w:spacing w:after="339" w:line="1" w:lineRule="exact"/>
      </w:pPr>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(52) </w:t>
      </w:r>
      <w:r>
        <w:rPr>
          <w:color w:val="000000"/>
          <w:spacing w:val="0"/>
          <w:w w:val="100"/>
          <w:position w:val="0"/>
          <w:sz w:val="22"/>
          <w:szCs w:val="22"/>
        </w:rPr>
        <w:t>所得税费用</w:t>
      </w:r>
    </w:p>
    <w:p>
      <w:pPr>
        <w:widowControl w:val="0"/>
        <w:spacing w:line="1" w:lineRule="exact"/>
        <w:sectPr>
          <w:footnotePr>
            <w:pos w:val="pageBottom"/>
            <w:numFmt w:val="decimal"/>
            <w:numRestart w:val="continuous"/>
          </w:footnotePr>
          <w:pgSz w:w="11900" w:h="16840"/>
          <w:pgMar w:top="2161" w:right="1072" w:bottom="7292" w:left="1962" w:header="0" w:footer="3" w:gutter="0"/>
          <w:cols w:space="720"/>
          <w:noEndnote/>
          <w:rtlGutter w:val="0"/>
          <w:docGrid w:linePitch="360"/>
        </w:sectPr>
      </w:pPr>
      <w:r>
        <mc:AlternateContent>
          <mc:Choice Requires="wps">
            <w:drawing>
              <wp:anchor distT="152400" distB="0" distL="0" distR="0" simplePos="0" relativeHeight="125829513" behindDoc="0" locked="0" layoutInCell="1" allowOverlap="1">
                <wp:simplePos x="0" y="0"/>
                <wp:positionH relativeFrom="page">
                  <wp:posOffset>4479925</wp:posOffset>
                </wp:positionH>
                <wp:positionV relativeFrom="paragraph">
                  <wp:posOffset>152400</wp:posOffset>
                </wp:positionV>
                <wp:extent cx="709930" cy="189230"/>
                <wp:wrapTopAndBottom/>
                <wp:docPr id="368" name="Shape 368"/>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394" type="#_x0000_t202" style="position:absolute;margin-left:352.75pt;margin-top:12.pt;width:55.899999999999999pt;height:14.9pt;z-index:-125829240;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52400" distB="0" distL="0" distR="0" simplePos="0" relativeHeight="125829515" behindDoc="0" locked="0" layoutInCell="1" allowOverlap="1">
                <wp:simplePos x="0" y="0"/>
                <wp:positionH relativeFrom="page">
                  <wp:posOffset>6064885</wp:posOffset>
                </wp:positionH>
                <wp:positionV relativeFrom="paragraph">
                  <wp:posOffset>152400</wp:posOffset>
                </wp:positionV>
                <wp:extent cx="709930" cy="189230"/>
                <wp:wrapTopAndBottom/>
                <wp:docPr id="370" name="Shape 370"/>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396" type="#_x0000_t202" style="position:absolute;margin-left:477.55000000000001pt;margin-top:12.pt;width:55.899999999999999pt;height:14.9pt;z-index:-125829238;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2108" w:right="0" w:bottom="6980" w:left="0" w:header="0" w:footer="3" w:gutter="0"/>
          <w:cols w:space="720"/>
          <w:noEndnote/>
          <w:rtlGutter w:val="0"/>
          <w:docGrid w:linePitch="360"/>
        </w:sectPr>
      </w:pPr>
    </w:p>
    <w:p>
      <w:pPr>
        <w:widowControl w:val="0"/>
        <w:spacing w:line="1" w:lineRule="exact"/>
      </w:pPr>
      <w:r>
        <mc:AlternateContent>
          <mc:Choice Requires="wps">
            <w:drawing>
              <wp:anchor distT="0" distB="210820" distL="114300" distR="3272155" simplePos="0" relativeHeight="125829517" behindDoc="0" locked="0" layoutInCell="1" allowOverlap="1">
                <wp:simplePos x="0" y="0"/>
                <wp:positionH relativeFrom="page">
                  <wp:posOffset>1245870</wp:posOffset>
                </wp:positionH>
                <wp:positionV relativeFrom="paragraph">
                  <wp:posOffset>12700</wp:posOffset>
                </wp:positionV>
                <wp:extent cx="786130" cy="420370"/>
                <wp:wrapSquare wrapText="right"/>
                <wp:docPr id="372" name="Shape 372"/>
                <a:graphic xmlns:a="http://schemas.openxmlformats.org/drawingml/2006/main">
                  <a:graphicData uri="http://schemas.microsoft.com/office/word/2010/wordprocessingShape">
                    <wps:wsp>
                      <wps:cNvSpPr txBox="1"/>
                      <wps:spPr>
                        <a:xfrm>
                          <a:ext cx="786130" cy="420370"/>
                        </a:xfrm>
                        <a:prstGeom prst="rect"/>
                        <a:noFill/>
                      </wps:spPr>
                      <wps:txbx>
                        <w:txbxContent>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当期所得税 递延所得税</w:t>
                            </w:r>
                          </w:p>
                        </w:txbxContent>
                      </wps:txbx>
                      <wps:bodyPr lIns="0" tIns="0" rIns="0" bIns="0">
                        <a:noAutoFit/>
                      </wps:bodyPr>
                    </wps:wsp>
                  </a:graphicData>
                </a:graphic>
              </wp:anchor>
            </w:drawing>
          </mc:Choice>
          <mc:Fallback>
            <w:pict>
              <v:shape id="_x0000_s1398" type="#_x0000_t202" style="position:absolute;margin-left:98.100000000000009pt;margin-top:1.pt;width:61.899999999999999pt;height:33.100000000000001pt;z-index:-125829236;mso-wrap-distance-left:9.pt;mso-wrap-distance-right:257.64999999999998pt;mso-wrap-distance-bottom:16.600000000000001pt;mso-position-horizontal-relative:page" filled="f" stroked="f">
                <v:textbox inset="0,0,0,0">
                  <w:txbxContent>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当期所得税 递延所得税</w:t>
                      </w:r>
                    </w:p>
                  </w:txbxContent>
                </v:textbox>
                <w10:wrap type="square" side="right" anchorx="page"/>
              </v:shape>
            </w:pict>
          </mc:Fallback>
        </mc:AlternateContent>
      </w:r>
      <w:r>
        <mc:AlternateContent>
          <mc:Choice Requires="wps">
            <w:drawing>
              <wp:anchor distT="30480" distB="0" distL="2854325" distR="114300" simplePos="0" relativeHeight="125829519" behindDoc="0" locked="0" layoutInCell="1" allowOverlap="1">
                <wp:simplePos x="0" y="0"/>
                <wp:positionH relativeFrom="page">
                  <wp:posOffset>3985895</wp:posOffset>
                </wp:positionH>
                <wp:positionV relativeFrom="paragraph">
                  <wp:posOffset>43180</wp:posOffset>
                </wp:positionV>
                <wp:extent cx="1203960" cy="600710"/>
                <wp:wrapSquare wrapText="right"/>
                <wp:docPr id="374" name="Shape 374"/>
                <a:graphic xmlns:a="http://schemas.openxmlformats.org/drawingml/2006/main">
                  <a:graphicData uri="http://schemas.microsoft.com/office/word/2010/wordprocessingShape">
                    <wps:wsp>
                      <wps:cNvSpPr txBox="1"/>
                      <wps:spPr>
                        <a:xfrm>
                          <a:ext cx="1203960" cy="600710"/>
                        </a:xfrm>
                        <a:prstGeom prst="rect"/>
                        <a:noFill/>
                      </wps:spPr>
                      <wps:txbx>
                        <w:txbxContent>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rPr>
                              <w:t>868,215,135.80</w:t>
                            </w:r>
                          </w:p>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u w:val="single"/>
                              </w:rPr>
                              <w:t>161,731,296.06</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1,029,946,431.86</w:t>
                            </w:r>
                          </w:p>
                        </w:txbxContent>
                      </wps:txbx>
                      <wps:bodyPr lIns="0" tIns="0" rIns="0" bIns="0">
                        <a:noAutoFit/>
                      </wps:bodyPr>
                    </wps:wsp>
                  </a:graphicData>
                </a:graphic>
              </wp:anchor>
            </w:drawing>
          </mc:Choice>
          <mc:Fallback>
            <w:pict>
              <v:shape id="_x0000_s1400" type="#_x0000_t202" style="position:absolute;margin-left:313.85000000000002pt;margin-top:3.3999999999999999pt;width:94.799999999999997pt;height:47.300000000000004pt;z-index:-125829234;mso-wrap-distance-left:224.75pt;mso-wrap-distance-top:2.3999999999999999pt;mso-wrap-distance-right:9.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rPr>
                        <w:t>868,215,135.80</w:t>
                      </w:r>
                    </w:p>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u w:val="single"/>
                        </w:rPr>
                        <w:t>161,731,296.06</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1,029,946,431.86</w:t>
                      </w:r>
                    </w:p>
                  </w:txbxContent>
                </v:textbox>
                <w10:wrap type="square" side="right" anchorx="page"/>
              </v:shape>
            </w:pict>
          </mc:Fallback>
        </mc:AlternateContent>
      </w:r>
    </w:p>
    <w:p>
      <w:pPr>
        <w:pStyle w:val="Style94"/>
        <w:keepNext w:val="0"/>
        <w:keepLines w:val="0"/>
        <w:widowControl w:val="0"/>
        <w:shd w:val="clear" w:color="auto" w:fill="auto"/>
        <w:bidi w:val="0"/>
        <w:spacing w:before="0" w:after="0" w:line="240" w:lineRule="auto"/>
        <w:ind w:left="0" w:right="0" w:firstLine="540"/>
        <w:jc w:val="left"/>
      </w:pPr>
      <w:bookmarkStart w:id="876" w:name="bookmark876"/>
      <w:r>
        <w:rPr>
          <w:color w:val="000000"/>
          <w:spacing w:val="0"/>
          <w:w w:val="100"/>
          <w:position w:val="0"/>
          <w:sz w:val="24"/>
          <w:szCs w:val="24"/>
        </w:rPr>
        <w:t>8</w:t>
      </w:r>
      <w:bookmarkEnd w:id="876"/>
      <w:r>
        <w:rPr>
          <w:color w:val="000000"/>
          <w:spacing w:val="0"/>
          <w:w w:val="100"/>
          <w:position w:val="0"/>
          <w:sz w:val="24"/>
          <w:szCs w:val="24"/>
        </w:rPr>
        <w:t>44,183,626.18</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(247,899,736.13)</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540"/>
        <w:jc w:val="left"/>
      </w:pPr>
      <w:r>
        <w:rPr>
          <w:color w:val="000000"/>
          <w:spacing w:val="0"/>
          <w:w w:val="100"/>
          <w:position w:val="0"/>
          <w:sz w:val="24"/>
          <w:szCs w:val="24"/>
        </w:rPr>
        <w:t>596,283,89005"</w:t>
      </w:r>
      <w:r>
        <w:br w:type="page"/>
      </w:r>
    </w:p>
    <w:p>
      <w:pPr>
        <w:pStyle w:val="Style94"/>
        <w:keepNext w:val="0"/>
        <w:keepLines w:val="0"/>
        <w:widowControl w:val="0"/>
        <w:shd w:val="clear" w:color="auto" w:fill="auto"/>
        <w:bidi w:val="0"/>
        <w:spacing w:before="0" w:after="360" w:line="240" w:lineRule="auto"/>
        <w:ind w:left="0" w:right="0" w:firstLine="0"/>
        <w:jc w:val="left"/>
        <w:rPr>
          <w:sz w:val="28"/>
          <w:szCs w:val="28"/>
        </w:rPr>
      </w:pPr>
      <w:r>
        <w:rPr>
          <w:color w:val="000000"/>
          <w:spacing w:val="0"/>
          <w:w w:val="100"/>
          <w:position w:val="0"/>
          <w:sz w:val="24"/>
          <w:szCs w:val="24"/>
        </w:rPr>
        <w:t xml:space="preserve">(52) </w:t>
      </w:r>
      <w:r>
        <w:rPr>
          <w:rFonts w:ascii="SimSun" w:eastAsia="SimSun" w:hAnsi="SimSun" w:cs="SimSun"/>
          <w:b/>
          <w:bCs/>
          <w:color w:val="000000"/>
          <w:spacing w:val="0"/>
          <w:w w:val="100"/>
          <w:position w:val="0"/>
          <w:sz w:val="22"/>
          <w:szCs w:val="22"/>
        </w:rPr>
        <w:t>所得税费用</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将基于利润表的利润总额采用适用税率计算的所得税调节为所得税费用:</w:t>
      </w:r>
    </w:p>
    <w:p>
      <w:pPr>
        <w:pStyle w:val="Style94"/>
        <w:keepNext w:val="0"/>
        <w:keepLines w:val="0"/>
        <w:widowControl w:val="0"/>
        <w:shd w:val="clear" w:color="auto" w:fill="auto"/>
        <w:tabs>
          <w:tab w:pos="2491" w:val="left"/>
        </w:tabs>
        <w:bidi w:val="0"/>
        <w:spacing w:before="0" w:after="360" w:line="240" w:lineRule="auto"/>
        <w:ind w:left="0" w:right="16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29"/>
        <w:keepNext w:val="0"/>
        <w:keepLines w:val="0"/>
        <w:widowControl w:val="0"/>
        <w:shd w:val="clear" w:color="auto" w:fill="auto"/>
        <w:tabs>
          <w:tab w:pos="4243" w:val="left"/>
          <w:tab w:pos="6806" w:val="left"/>
        </w:tabs>
        <w:bidi w:val="0"/>
        <w:spacing w:before="0" w:after="0" w:line="240" w:lineRule="auto"/>
        <w:ind w:left="0" w:right="0" w:firstLine="0"/>
        <w:jc w:val="center"/>
        <w:rPr>
          <w:sz w:val="24"/>
          <w:szCs w:val="24"/>
        </w:rPr>
      </w:pPr>
      <w:r>
        <w:rPr>
          <w:color w:val="000000"/>
          <w:spacing w:val="0"/>
          <w:w w:val="100"/>
          <w:position w:val="0"/>
          <w:sz w:val="22"/>
          <w:szCs w:val="22"/>
        </w:rPr>
        <w:t>利润总额</w:t>
        <w:tab/>
      </w:r>
      <w:r>
        <w:rPr>
          <w:rFonts w:ascii="Arial" w:eastAsia="Arial" w:hAnsi="Arial" w:cs="Arial"/>
          <w:color w:val="000000"/>
          <w:spacing w:val="0"/>
          <w:w w:val="100"/>
          <w:position w:val="0"/>
          <w:sz w:val="24"/>
          <w:szCs w:val="24"/>
          <w:u w:val="single"/>
        </w:rPr>
        <w:t>5,190,731,373.20</w:t>
        <w:tab/>
        <w:t>1,690,505,038.03</w:t>
      </w:r>
    </w:p>
    <w:tbl>
      <w:tblPr>
        <w:tblOverlap w:val="never"/>
        <w:jc w:val="center"/>
        <w:tblLayout w:type="fixed"/>
      </w:tblPr>
      <w:tblGrid>
        <w:gridCol w:w="4118"/>
        <w:gridCol w:w="2544"/>
        <w:gridCol w:w="2227"/>
      </w:tblGrid>
      <w:tr>
        <w:trPr>
          <w:trHeight w:val="66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按标准税率</w:t>
            </w:r>
            <w:r>
              <w:rPr>
                <w:rFonts w:ascii="Arial" w:eastAsia="Arial" w:hAnsi="Arial" w:cs="Arial"/>
                <w:color w:val="000000"/>
                <w:spacing w:val="0"/>
                <w:w w:val="100"/>
                <w:position w:val="0"/>
                <w:sz w:val="24"/>
                <w:szCs w:val="24"/>
              </w:rPr>
              <w:t>25%</w:t>
            </w:r>
            <w:r>
              <w:rPr>
                <w:color w:val="000000"/>
                <w:spacing w:val="0"/>
                <w:w w:val="100"/>
                <w:position w:val="0"/>
                <w:sz w:val="22"/>
                <w:szCs w:val="22"/>
              </w:rPr>
              <w:t>计算的所得税</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1,297,682,843.30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422,626,259.51</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商顺供应链重组对所得税费用的影响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附注五</w:t>
            </w:r>
            <w:r>
              <w:rPr>
                <w:rFonts w:ascii="Arial" w:eastAsia="Arial" w:hAnsi="Arial" w:cs="Arial"/>
                <w:color w:val="000000"/>
                <w:spacing w:val="0"/>
                <w:w w:val="100"/>
                <w:position w:val="0"/>
                <w:sz w:val="24"/>
                <w:szCs w:val="24"/>
              </w:rPr>
              <w:t>(2))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(308,234,508.78)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不得扣除的成本、费用和损失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73,532,058.81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68,851,118.59</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不同子公司及分公司税率不同对所得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税费用的影响</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(28,943,512.25)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31,848,144.26</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调整以前期间所得税的影响</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Arial" w:eastAsia="Arial" w:hAnsi="Arial" w:cs="Arial"/>
                <w:color w:val="000000"/>
                <w:spacing w:val="0"/>
                <w:w w:val="100"/>
                <w:position w:val="0"/>
                <w:sz w:val="24"/>
                <w:szCs w:val="24"/>
              </w:rPr>
              <w:t>3,371,902.76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57,421,233.76</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本期未确认递延所得税资产的可抵扣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亏损及其他暂时性差异的影响</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70,184,218.28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33,157,106.27</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非应纳税收入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(7,137,429.23)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(11,362,873.48)</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核定征收与按适用税率计算所得税费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用的差异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(1,616,721.80)</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使用前期未确认递延所得税资产的可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抵扣亏损及其他可抵扣暂时性差异</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(61,772,068.22)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税收优惠</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(8,737,072.81)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(4,640,377.06)</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1,029,946,431.86</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596,283,890.05</w:t>
            </w:r>
          </w:p>
        </w:tc>
      </w:tr>
    </w:tbl>
    <w:p>
      <w:pPr>
        <w:sectPr>
          <w:footnotePr>
            <w:pos w:val="pageBottom"/>
            <w:numFmt w:val="decimal"/>
            <w:numRestart w:val="continuous"/>
          </w:footnotePr>
          <w:type w:val="continuous"/>
          <w:pgSz w:w="11900" w:h="16840"/>
          <w:pgMar w:top="2108" w:right="1072" w:bottom="6980" w:left="1938" w:header="0" w:footer="3" w:gutter="0"/>
          <w:cols w:space="720"/>
          <w:noEndnote/>
          <w:rtlGutter w:val="0"/>
          <w:docGrid w:linePitch="360"/>
        </w:sectPr>
      </w:pPr>
    </w:p>
    <w:p>
      <w:pPr>
        <w:pStyle w:val="Style94"/>
        <w:keepNext w:val="0"/>
        <w:keepLines w:val="0"/>
        <w:widowControl w:val="0"/>
        <w:shd w:val="clear" w:color="auto" w:fill="auto"/>
        <w:tabs>
          <w:tab w:pos="811" w:val="left"/>
        </w:tabs>
        <w:bidi w:val="0"/>
        <w:spacing w:before="0" w:after="300" w:line="322" w:lineRule="exact"/>
        <w:ind w:left="0" w:right="0" w:firstLine="0"/>
        <w:jc w:val="both"/>
        <w:rPr>
          <w:sz w:val="22"/>
          <w:szCs w:val="22"/>
        </w:rPr>
      </w:pPr>
      <w:r>
        <w:rPr>
          <w:color w:val="000000"/>
          <w:spacing w:val="0"/>
          <w:w w:val="100"/>
          <w:position w:val="0"/>
          <w:sz w:val="24"/>
          <w:szCs w:val="24"/>
        </w:rPr>
        <w:t>(53)</w:t>
        <w:tab/>
      </w:r>
      <w:r>
        <w:rPr>
          <w:rFonts w:ascii="SimSun" w:eastAsia="SimSun" w:hAnsi="SimSun" w:cs="SimSun"/>
          <w:b/>
          <w:bCs/>
          <w:color w:val="000000"/>
          <w:spacing w:val="0"/>
          <w:w w:val="100"/>
          <w:position w:val="0"/>
          <w:sz w:val="22"/>
          <w:szCs w:val="22"/>
        </w:rPr>
        <w:t>每股收益</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基本每股收益</w:t>
      </w:r>
    </w:p>
    <w:p>
      <w:pPr>
        <w:pStyle w:val="Style33"/>
        <w:keepNext w:val="0"/>
        <w:keepLines w:val="0"/>
        <w:widowControl w:val="0"/>
        <w:shd w:val="clear" w:color="auto" w:fill="auto"/>
        <w:bidi w:val="0"/>
        <w:spacing w:before="0" w:after="360" w:line="322" w:lineRule="exact"/>
        <w:ind w:left="0" w:right="0" w:firstLine="0"/>
        <w:jc w:val="both"/>
        <w:rPr>
          <w:sz w:val="22"/>
          <w:szCs w:val="22"/>
        </w:rPr>
      </w:pPr>
      <w:r>
        <w:rPr>
          <w:b w:val="0"/>
          <w:bCs w:val="0"/>
          <w:color w:val="000000"/>
          <w:spacing w:val="0"/>
          <w:w w:val="100"/>
          <w:position w:val="0"/>
          <w:sz w:val="22"/>
          <w:szCs w:val="22"/>
        </w:rPr>
        <w:t>基本每股收益以归属于母公司普通股股东的合并净利润除以母公司发行在外普通股 的加权平均数计算：</w:t>
      </w:r>
    </w:p>
    <w:tbl>
      <w:tblPr>
        <w:tblOverlap w:val="never"/>
        <w:jc w:val="center"/>
        <w:tblLayout w:type="fixed"/>
      </w:tblPr>
      <w:tblGrid>
        <w:gridCol w:w="4070"/>
        <w:gridCol w:w="2438"/>
        <w:gridCol w:w="2333"/>
      </w:tblGrid>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归属于母公司普通股股东的合并净利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4,180,426,152.00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1,101,430,807.30</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当年本公司发行在外普通股股数</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3,952,099,745.00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3,950,185,873.00</w:t>
            </w:r>
          </w:p>
        </w:tc>
      </w:tr>
      <w:tr>
        <w:trPr>
          <w:trHeight w:val="34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基本每股收益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Arial" w:eastAsia="Arial" w:hAnsi="Arial" w:cs="Arial"/>
                <w:color w:val="000000"/>
                <w:spacing w:val="0"/>
                <w:w w:val="100"/>
                <w:position w:val="0"/>
                <w:sz w:val="24"/>
                <w:szCs w:val="24"/>
              </w:rPr>
              <w:t>1.06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0.28</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持续经营基本每股收益：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Arial" w:eastAsia="Arial" w:hAnsi="Arial" w:cs="Arial"/>
                <w:color w:val="000000"/>
                <w:spacing w:val="0"/>
                <w:w w:val="100"/>
                <w:position w:val="0"/>
                <w:sz w:val="24"/>
                <w:szCs w:val="24"/>
              </w:rPr>
              <w:t>1.06</w:t>
            </w:r>
          </w:p>
        </w:tc>
        <w:tc>
          <w:tcPr>
            <w:tcBorders>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0.50</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剥离业务基本每股收益：</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Arial" w:eastAsia="Arial" w:hAnsi="Arial" w:cs="Arial"/>
                <w:color w:val="000000"/>
                <w:spacing w:val="0"/>
                <w:w w:val="100"/>
                <w:position w:val="0"/>
                <w:sz w:val="24"/>
                <w:szCs w:val="24"/>
              </w:rPr>
              <w:t>-</w:t>
            </w:r>
          </w:p>
        </w:tc>
        <w:tc>
          <w:tcPr>
            <w:tcBorders>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(0.22)</w:t>
            </w:r>
          </w:p>
        </w:tc>
      </w:tr>
    </w:tbl>
    <w:p>
      <w:pPr>
        <w:pStyle w:val="Style29"/>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4"/>
          <w:szCs w:val="24"/>
        </w:rPr>
        <w:t>(b)</w:t>
      </w:r>
      <w:r>
        <w:rPr>
          <w:color w:val="000000"/>
          <w:spacing w:val="0"/>
          <w:w w:val="100"/>
          <w:position w:val="0"/>
          <w:sz w:val="22"/>
          <w:szCs w:val="22"/>
        </w:rPr>
        <w:t>稀释每股收益</w:t>
      </w:r>
    </w:p>
    <w:p>
      <w:pPr>
        <w:widowControl w:val="0"/>
        <w:spacing w:after="299" w:line="1" w:lineRule="exact"/>
      </w:pPr>
    </w:p>
    <w:p>
      <w:pPr>
        <w:pStyle w:val="Style33"/>
        <w:keepNext w:val="0"/>
        <w:keepLines w:val="0"/>
        <w:widowControl w:val="0"/>
        <w:shd w:val="clear" w:color="auto" w:fill="auto"/>
        <w:bidi w:val="0"/>
        <w:spacing w:before="0" w:after="360" w:line="320" w:lineRule="exact"/>
        <w:ind w:left="0" w:right="0" w:firstLine="0"/>
        <w:jc w:val="both"/>
        <w:rPr>
          <w:sz w:val="22"/>
          <w:szCs w:val="22"/>
        </w:rPr>
      </w:pPr>
      <w:r>
        <w:rPr>
          <w:b w:val="0"/>
          <w:bCs w:val="0"/>
          <w:color w:val="000000"/>
          <w:spacing w:val="0"/>
          <w:w w:val="100"/>
          <w:position w:val="0"/>
          <w:sz w:val="22"/>
          <w:szCs w:val="22"/>
        </w:rPr>
        <w:t>稀释每股收益以根据稀释性潜在普通股调整后的归属于母公司普通股股东的合并净 利润除以调整后的本公司发行在外普通股的加权平均数计算。于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年度，本公司 不存在具有稀释性的潜在普通股</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，因此，稀释每股收益等于基本每 股收益。</w:t>
      </w:r>
    </w:p>
    <w:p>
      <w:pPr>
        <w:pStyle w:val="Style33"/>
        <w:keepNext w:val="0"/>
        <w:keepLines w:val="0"/>
        <w:widowControl w:val="0"/>
        <w:shd w:val="clear" w:color="auto" w:fill="auto"/>
        <w:bidi w:val="0"/>
        <w:spacing w:before="0" w:after="300" w:line="276" w:lineRule="auto"/>
        <w:ind w:left="0" w:right="0" w:firstLine="0"/>
        <w:jc w:val="both"/>
        <w:rPr>
          <w:sz w:val="22"/>
          <w:szCs w:val="22"/>
        </w:rPr>
      </w:pPr>
      <w:r>
        <w:rPr>
          <w:rFonts w:ascii="Arial" w:eastAsia="Arial" w:hAnsi="Arial" w:cs="Arial"/>
          <w:b w:val="0"/>
          <w:bCs w:val="0"/>
          <w:color w:val="000000"/>
          <w:spacing w:val="0"/>
          <w:w w:val="100"/>
          <w:position w:val="0"/>
          <w:sz w:val="24"/>
          <w:szCs w:val="24"/>
        </w:rPr>
        <w:t xml:space="preserve">(54) </w:t>
      </w:r>
      <w:r>
        <w:rPr>
          <w:color w:val="000000"/>
          <w:spacing w:val="0"/>
          <w:w w:val="100"/>
          <w:position w:val="0"/>
          <w:sz w:val="22"/>
          <w:szCs w:val="22"/>
        </w:rPr>
        <w:t>少数股东权益</w:t>
      </w:r>
    </w:p>
    <w:p>
      <w:pPr>
        <w:pStyle w:val="Style94"/>
        <w:keepNext w:val="0"/>
        <w:keepLines w:val="0"/>
        <w:widowControl w:val="0"/>
        <w:shd w:val="clear" w:color="auto" w:fill="auto"/>
        <w:bidi w:val="0"/>
        <w:spacing w:before="0" w:after="300"/>
        <w:ind w:left="0" w:right="16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tabs>
          <w:tab w:pos="4584" w:val="left"/>
          <w:tab w:pos="7142" w:val="left"/>
        </w:tabs>
        <w:bidi w:val="0"/>
        <w:spacing w:before="0" w:after="0" w:line="320" w:lineRule="exact"/>
        <w:ind w:left="0" w:right="0" w:firstLine="0"/>
        <w:jc w:val="both"/>
      </w:pPr>
      <w:r>
        <w:rPr>
          <w:rFonts w:ascii="SimSun" w:eastAsia="SimSun" w:hAnsi="SimSun" w:cs="SimSun"/>
          <w:color w:val="000000"/>
          <w:spacing w:val="0"/>
          <w:w w:val="100"/>
          <w:position w:val="0"/>
          <w:sz w:val="22"/>
          <w:szCs w:val="22"/>
        </w:rPr>
        <w:t>厦门锐特</w:t>
        <w:tab/>
      </w:r>
      <w:r>
        <w:rPr>
          <w:color w:val="000000"/>
          <w:spacing w:val="0"/>
          <w:w w:val="100"/>
          <w:position w:val="0"/>
          <w:sz w:val="24"/>
          <w:szCs w:val="24"/>
        </w:rPr>
        <w:t>61,228,704.10</w:t>
        <w:tab/>
        <w:t>66,504,982.11</w:t>
      </w:r>
    </w:p>
    <w:p>
      <w:pPr>
        <w:pStyle w:val="Style94"/>
        <w:keepNext w:val="0"/>
        <w:keepLines w:val="0"/>
        <w:widowControl w:val="0"/>
        <w:shd w:val="clear" w:color="auto" w:fill="auto"/>
        <w:tabs>
          <w:tab w:pos="4584" w:val="left"/>
          <w:tab w:pos="7142" w:val="left"/>
        </w:tabs>
        <w:bidi w:val="0"/>
        <w:spacing w:before="0" w:after="40" w:line="320" w:lineRule="exact"/>
        <w:ind w:left="0" w:right="0" w:firstLine="0"/>
        <w:jc w:val="both"/>
      </w:pPr>
      <w:r>
        <w:rPr>
          <w:rFonts w:ascii="SimSun" w:eastAsia="SimSun" w:hAnsi="SimSun" w:cs="SimSun"/>
          <w:color w:val="000000"/>
          <w:spacing w:val="0"/>
          <w:w w:val="100"/>
          <w:position w:val="0"/>
          <w:sz w:val="22"/>
          <w:szCs w:val="22"/>
        </w:rPr>
        <w:t>其他</w:t>
        <w:tab/>
      </w:r>
      <w:r>
        <w:rPr>
          <w:color w:val="000000"/>
          <w:spacing w:val="0"/>
          <w:w w:val="100"/>
          <w:position w:val="0"/>
          <w:sz w:val="24"/>
          <w:szCs w:val="24"/>
          <w:u w:val="single"/>
        </w:rPr>
        <w:t>(16,332,188.81)</w:t>
        <w:tab/>
        <w:t>(3,378,308.47)</w:t>
      </w:r>
    </w:p>
    <w:p>
      <w:pPr>
        <w:pStyle w:val="Style94"/>
        <w:keepNext w:val="0"/>
        <w:keepLines w:val="0"/>
        <w:widowControl w:val="0"/>
        <w:shd w:val="clear" w:color="auto" w:fill="auto"/>
        <w:tabs>
          <w:tab w:pos="2486" w:val="left"/>
        </w:tabs>
        <w:bidi w:val="0"/>
        <w:spacing w:before="0" w:after="300"/>
        <w:ind w:left="0" w:right="160" w:firstLine="0"/>
        <w:jc w:val="right"/>
        <w:sectPr>
          <w:footnotePr>
            <w:pos w:val="pageBottom"/>
            <w:numFmt w:val="decimal"/>
            <w:numRestart w:val="continuous"/>
          </w:footnotePr>
          <w:pgSz w:w="11900" w:h="16840"/>
          <w:pgMar w:top="2118" w:right="1072" w:bottom="2118" w:left="1962" w:header="0" w:footer="3" w:gutter="0"/>
          <w:cols w:space="720"/>
          <w:noEndnote/>
          <w:rtlGutter w:val="0"/>
          <w:docGrid w:linePitch="360"/>
        </w:sectPr>
      </w:pPr>
      <w:r>
        <w:rPr>
          <w:color w:val="000000"/>
          <w:spacing w:val="0"/>
          <w:w w:val="100"/>
          <w:position w:val="0"/>
          <w:sz w:val="24"/>
          <w:szCs w:val="24"/>
        </w:rPr>
        <w:t>44,896,515.29</w:t>
        <w:tab/>
        <w:t>63,126,673.64</w:t>
      </w:r>
    </w:p>
    <w:p>
      <w:pPr>
        <w:pStyle w:val="Style27"/>
        <w:keepNext/>
        <w:keepLines/>
        <w:widowControl w:val="0"/>
        <w:shd w:val="clear" w:color="auto" w:fill="auto"/>
        <w:bidi w:val="0"/>
        <w:spacing w:before="0" w:after="340" w:line="240" w:lineRule="auto"/>
        <w:ind w:left="0" w:right="0" w:firstLine="0"/>
        <w:jc w:val="left"/>
      </w:pPr>
      <w:bookmarkStart w:id="877" w:name="bookmark877"/>
      <w:bookmarkStart w:id="878" w:name="bookmark878"/>
      <w:bookmarkStart w:id="879" w:name="bookmark879"/>
      <w:r>
        <w:rPr>
          <w:color w:val="000000"/>
          <w:spacing w:val="0"/>
          <w:w w:val="100"/>
          <w:position w:val="0"/>
          <w:sz w:val="22"/>
          <w:szCs w:val="22"/>
        </w:rPr>
        <w:t>四 合并财务报表项目附注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77"/>
      <w:bookmarkEnd w:id="878"/>
      <w:bookmarkEnd w:id="879"/>
    </w:p>
    <w:p>
      <w:pPr>
        <w:pStyle w:val="Style27"/>
        <w:keepNext/>
        <w:keepLines/>
        <w:widowControl w:val="0"/>
        <w:shd w:val="clear" w:color="auto" w:fill="auto"/>
        <w:bidi w:val="0"/>
        <w:spacing w:before="0" w:after="340" w:line="240" w:lineRule="auto"/>
        <w:ind w:left="0" w:right="0" w:firstLine="0"/>
        <w:jc w:val="left"/>
        <w:rPr>
          <w:sz w:val="22"/>
          <w:szCs w:val="22"/>
        </w:rPr>
      </w:pPr>
      <w:bookmarkStart w:id="877" w:name="bookmark877"/>
      <w:bookmarkStart w:id="878" w:name="bookmark878"/>
      <w:bookmarkStart w:id="880" w:name="bookmark880"/>
      <w:r>
        <w:rPr>
          <w:rFonts w:ascii="Arial" w:eastAsia="Arial" w:hAnsi="Arial" w:cs="Arial"/>
          <w:b w:val="0"/>
          <w:bCs w:val="0"/>
          <w:color w:val="000000"/>
          <w:spacing w:val="0"/>
          <w:w w:val="100"/>
          <w:position w:val="0"/>
          <w:sz w:val="24"/>
          <w:szCs w:val="24"/>
        </w:rPr>
        <w:t xml:space="preserve">(55) </w:t>
      </w:r>
      <w:r>
        <w:rPr>
          <w:color w:val="000000"/>
          <w:spacing w:val="0"/>
          <w:w w:val="100"/>
          <w:position w:val="0"/>
          <w:sz w:val="22"/>
          <w:szCs w:val="22"/>
        </w:rPr>
        <w:t>其他综合收益</w:t>
      </w:r>
      <w:bookmarkEnd w:id="877"/>
      <w:bookmarkEnd w:id="878"/>
      <w:bookmarkEnd w:id="880"/>
    </w:p>
    <w:p>
      <w:pPr>
        <w:pStyle w:val="Style33"/>
        <w:keepNext w:val="0"/>
        <w:keepLines w:val="0"/>
        <w:widowControl w:val="0"/>
        <w:shd w:val="clear" w:color="auto" w:fill="auto"/>
        <w:bidi w:val="0"/>
        <w:spacing w:before="0" w:after="0" w:line="240" w:lineRule="auto"/>
        <w:ind w:left="0" w:right="0" w:firstLine="0"/>
        <w:jc w:val="left"/>
        <w:rPr>
          <w:sz w:val="22"/>
          <w:szCs w:val="22"/>
        </w:rPr>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1516" w:right="1090" w:bottom="2997" w:left="1964" w:header="0" w:footer="3" w:gutter="0"/>
          <w:cols w:space="720"/>
          <w:noEndnote/>
          <w:rtlGutter w:val="0"/>
          <w:docGrid w:linePitch="360"/>
        </w:sectPr>
      </w:pP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年度其他综合收益各项目及其所得税影响和转入损益情况:</w:t>
      </w: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516" w:right="0" w:bottom="2997" w:left="0" w:header="0" w:footer="3" w:gutter="0"/>
          <w:cols w:space="720"/>
          <w:noEndnote/>
          <w:rtlGutter w:val="0"/>
          <w:docGrid w:linePitch="360"/>
        </w:sectPr>
      </w:pPr>
    </w:p>
    <w:p>
      <w:pPr>
        <w:pStyle w:val="Style11"/>
        <w:keepNext w:val="0"/>
        <w:keepLines w:val="0"/>
        <w:widowControl w:val="0"/>
        <w:pBdr>
          <w:bottom w:val="single" w:sz="4" w:space="0" w:color="auto"/>
        </w:pBdr>
        <w:shd w:val="clear" w:color="auto" w:fill="auto"/>
        <w:bidi w:val="0"/>
        <w:spacing w:before="0" w:after="440" w:line="240" w:lineRule="auto"/>
        <w:ind w:left="3860" w:right="0" w:firstLine="0"/>
        <w:jc w:val="left"/>
        <w:rPr>
          <w:sz w:val="16"/>
          <w:szCs w:val="16"/>
        </w:rPr>
      </w:pPr>
      <w:r>
        <w:rPr>
          <w:color w:val="000000"/>
          <w:spacing w:val="0"/>
          <w:w w:val="100"/>
          <w:position w:val="0"/>
          <w:sz w:val="16"/>
          <w:szCs w:val="16"/>
        </w:rPr>
        <w:t>资产负债表中其他综合收益</w:t>
      </w:r>
    </w:p>
    <w:tbl>
      <w:tblPr>
        <w:tblOverlap w:val="never"/>
        <w:jc w:val="center"/>
        <w:tblLayout w:type="fixed"/>
      </w:tblPr>
      <w:tblGrid>
        <w:gridCol w:w="2592"/>
        <w:gridCol w:w="1546"/>
        <w:gridCol w:w="1344"/>
        <w:gridCol w:w="1368"/>
      </w:tblGrid>
      <w:tr>
        <w:trPr>
          <w:trHeight w:val="74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本年税后归属于</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母公司</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外币报表折算差额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73,149,074.56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1 89,053,306.18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262,202,380.74</w:t>
            </w: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可供出售金融资产公允价值变动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(12,614,289.08)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17,094,595.27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4,480,306.19</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60,534,785.48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206,147,901.45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266,682,686.93</w:t>
            </w:r>
          </w:p>
        </w:tc>
      </w:tr>
    </w:tbl>
    <w:p>
      <w:pPr>
        <w:pStyle w:val="Style29"/>
        <w:keepNext w:val="0"/>
        <w:keepLines w:val="0"/>
        <w:widowControl w:val="0"/>
        <w:shd w:val="clear" w:color="auto" w:fill="auto"/>
        <w:bidi w:val="0"/>
        <w:spacing w:before="0" w:after="0" w:line="240" w:lineRule="auto"/>
        <w:ind w:left="2275" w:right="0" w:firstLine="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年度利润表中其他综合收益</w:t>
      </w:r>
    </w:p>
    <w:tbl>
      <w:tblPr>
        <w:tblOverlap w:val="never"/>
        <w:jc w:val="center"/>
        <w:tblLayout w:type="fixed"/>
      </w:tblPr>
      <w:tblGrid>
        <w:gridCol w:w="1373"/>
        <w:gridCol w:w="1483"/>
        <w:gridCol w:w="1325"/>
        <w:gridCol w:w="1402"/>
        <w:gridCol w:w="1296"/>
      </w:tblGrid>
      <w:tr>
        <w:trPr>
          <w:trHeight w:val="1066" w:hRule="exact"/>
        </w:trPr>
        <w:tc>
          <w:tcPr>
            <w:tcBorders/>
            <w:shd w:val="clear" w:color="auto" w:fill="FFFFFF"/>
            <w:vAlign w:val="center"/>
          </w:tcPr>
          <w:p>
            <w:pPr>
              <w:pStyle w:val="Style23"/>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6"/>
                <w:szCs w:val="16"/>
              </w:rPr>
              <w:t>本年所得税</w:t>
            </w:r>
          </w:p>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前发生额</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减：前期计入</w:t>
            </w:r>
          </w:p>
          <w:p>
            <w:pPr>
              <w:pStyle w:val="Style23"/>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其他综合收益</w:t>
            </w:r>
          </w:p>
          <w:p>
            <w:pPr>
              <w:pStyle w:val="Style23"/>
              <w:keepNext w:val="0"/>
              <w:keepLines w:val="0"/>
              <w:widowControl w:val="0"/>
              <w:shd w:val="clear" w:color="auto" w:fill="auto"/>
              <w:bidi w:val="0"/>
              <w:spacing w:before="0" w:after="120" w:line="240" w:lineRule="auto"/>
              <w:ind w:left="0" w:right="0" w:firstLine="300"/>
              <w:jc w:val="left"/>
              <w:rPr>
                <w:sz w:val="16"/>
                <w:szCs w:val="16"/>
              </w:rPr>
            </w:pPr>
            <w:r>
              <w:rPr>
                <w:color w:val="000000"/>
                <w:spacing w:val="0"/>
                <w:w w:val="100"/>
                <w:position w:val="0"/>
                <w:sz w:val="16"/>
                <w:szCs w:val="16"/>
              </w:rPr>
              <w:t>本年转入损益</w:t>
            </w:r>
          </w:p>
        </w:tc>
        <w:tc>
          <w:tcPr>
            <w:tcBorders/>
            <w:shd w:val="clear" w:color="auto" w:fill="FFFFFF"/>
            <w:vAlign w:val="center"/>
          </w:tcPr>
          <w:p>
            <w:pPr>
              <w:pStyle w:val="Style23"/>
              <w:keepNext w:val="0"/>
              <w:keepLines w:val="0"/>
              <w:widowControl w:val="0"/>
              <w:shd w:val="clear" w:color="auto" w:fill="auto"/>
              <w:bidi w:val="0"/>
              <w:spacing w:before="0" w:after="120" w:line="240" w:lineRule="auto"/>
              <w:ind w:left="0" w:right="140" w:firstLine="0"/>
              <w:jc w:val="right"/>
              <w:rPr>
                <w:sz w:val="16"/>
                <w:szCs w:val="16"/>
              </w:rPr>
            </w:pPr>
            <w:r>
              <w:rPr>
                <w:color w:val="000000"/>
                <w:spacing w:val="0"/>
                <w:w w:val="100"/>
                <w:position w:val="0"/>
                <w:sz w:val="16"/>
                <w:szCs w:val="16"/>
              </w:rPr>
              <w:t>减：所得税</w:t>
            </w:r>
          </w:p>
          <w:p>
            <w:pPr>
              <w:pStyle w:val="Style23"/>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费用</w:t>
            </w:r>
          </w:p>
        </w:tc>
        <w:tc>
          <w:tcPr>
            <w:tcBorders/>
            <w:shd w:val="clear" w:color="auto" w:fill="FFFFFF"/>
            <w:vAlign w:val="center"/>
          </w:tcPr>
          <w:p>
            <w:pPr>
              <w:pStyle w:val="Style23"/>
              <w:keepNext w:val="0"/>
              <w:keepLines w:val="0"/>
              <w:widowControl w:val="0"/>
              <w:shd w:val="clear" w:color="auto" w:fill="auto"/>
              <w:bidi w:val="0"/>
              <w:spacing w:before="0" w:after="120" w:line="240" w:lineRule="auto"/>
              <w:ind w:left="0" w:right="180" w:firstLine="0"/>
              <w:jc w:val="right"/>
              <w:rPr>
                <w:sz w:val="16"/>
                <w:szCs w:val="16"/>
              </w:rPr>
            </w:pPr>
            <w:r>
              <w:rPr>
                <w:color w:val="000000"/>
                <w:spacing w:val="0"/>
                <w:w w:val="100"/>
                <w:position w:val="0"/>
                <w:sz w:val="16"/>
                <w:szCs w:val="16"/>
              </w:rPr>
              <w:t>税后归属于</w:t>
            </w:r>
          </w:p>
          <w:p>
            <w:pPr>
              <w:pStyle w:val="Style23"/>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母公司</w:t>
            </w:r>
          </w:p>
        </w:tc>
        <w:tc>
          <w:tcPr>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6"/>
                <w:szCs w:val="16"/>
              </w:rPr>
            </w:pPr>
            <w:r>
              <w:rPr>
                <w:color w:val="000000"/>
                <w:spacing w:val="0"/>
                <w:w w:val="100"/>
                <w:position w:val="0"/>
                <w:sz w:val="16"/>
                <w:szCs w:val="16"/>
              </w:rPr>
              <w:t>税后归属于</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1 86,755,653.48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6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1 89,053,306.18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(2,297,652.70)</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31,569,041.11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(12,303,024.88)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(2,171,420.96)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17,094,595.27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6"/>
                <w:szCs w:val="16"/>
              </w:rPr>
            </w:pPr>
            <w:r>
              <w:rPr>
                <w:rFonts w:ascii="Arial" w:eastAsia="Arial" w:hAnsi="Arial" w:cs="Arial"/>
                <w:color w:val="000000"/>
                <w:spacing w:val="0"/>
                <w:w w:val="100"/>
                <w:position w:val="0"/>
                <w:sz w:val="16"/>
                <w:szCs w:val="16"/>
              </w:rPr>
              <w:t>-</w:t>
            </w:r>
          </w:p>
        </w:tc>
      </w:tr>
      <w:tr>
        <w:trPr>
          <w:trHeight w:val="360"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218,324,694.59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(12,303,024.88)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(2,171,420.96)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206,147,901.45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(2,297,652.70)</w:t>
            </w:r>
          </w:p>
        </w:tc>
      </w:tr>
    </w:tbl>
    <w:p>
      <w:pPr>
        <w:sectPr>
          <w:footnotePr>
            <w:pos w:val="pageBottom"/>
            <w:numFmt w:val="decimal"/>
            <w:numRestart w:val="continuous"/>
          </w:footnotePr>
          <w:type w:val="continuous"/>
          <w:pgSz w:w="16840" w:h="11900" w:orient="landscape"/>
          <w:pgMar w:top="1516" w:right="1180" w:bottom="2997" w:left="1983" w:header="0" w:footer="3" w:gutter="0"/>
          <w:cols w:num="2" w:space="100"/>
          <w:noEndnote/>
          <w:rtlGutter w:val="0"/>
          <w:docGrid w:linePitch="360"/>
        </w:sectPr>
      </w:pP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516" w:right="0" w:bottom="1516" w:left="0" w:header="0" w:footer="3" w:gutter="0"/>
          <w:cols w:space="720"/>
          <w:noEndnote/>
          <w:rtlGutter w:val="0"/>
          <w:docGrid w:linePitch="360"/>
        </w:sectPr>
      </w:pPr>
    </w:p>
    <w:p>
      <w:pPr>
        <w:pStyle w:val="Style11"/>
        <w:keepNext w:val="0"/>
        <w:keepLines w:val="0"/>
        <w:widowControl w:val="0"/>
        <w:pBdr>
          <w:bottom w:val="single" w:sz="4" w:space="0" w:color="auto"/>
        </w:pBdr>
        <w:shd w:val="clear" w:color="auto" w:fill="auto"/>
        <w:bidi w:val="0"/>
        <w:spacing w:before="0" w:after="440" w:line="240" w:lineRule="auto"/>
        <w:ind w:left="3860" w:right="0" w:firstLine="0"/>
        <w:jc w:val="left"/>
        <w:rPr>
          <w:sz w:val="16"/>
          <w:szCs w:val="16"/>
        </w:rPr>
      </w:pPr>
      <w:r>
        <w:rPr>
          <w:color w:val="000000"/>
          <w:spacing w:val="0"/>
          <w:w w:val="100"/>
          <w:position w:val="0"/>
          <w:sz w:val="16"/>
          <w:szCs w:val="16"/>
        </w:rPr>
        <w:t>资产负债表中其他综合收益</w:t>
      </w:r>
    </w:p>
    <w:tbl>
      <w:tblPr>
        <w:tblOverlap w:val="never"/>
        <w:jc w:val="center"/>
        <w:tblLayout w:type="fixed"/>
      </w:tblPr>
      <w:tblGrid>
        <w:gridCol w:w="2659"/>
        <w:gridCol w:w="1454"/>
        <w:gridCol w:w="1402"/>
        <w:gridCol w:w="1334"/>
      </w:tblGrid>
      <w:tr>
        <w:trPr>
          <w:trHeight w:val="74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Arial" w:eastAsia="Arial" w:hAnsi="Arial" w:cs="Arial"/>
                <w:color w:val="000000"/>
                <w:spacing w:val="0"/>
                <w:w w:val="100"/>
                <w:position w:val="0"/>
                <w:sz w:val="16"/>
                <w:szCs w:val="16"/>
              </w:rPr>
              <w:t>2014</w:t>
            </w:r>
            <w:r>
              <w:rPr>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180" w:firstLine="0"/>
              <w:jc w:val="right"/>
              <w:rPr>
                <w:sz w:val="16"/>
                <w:szCs w:val="16"/>
              </w:rPr>
            </w:pPr>
            <w:r>
              <w:rPr>
                <w:color w:val="000000"/>
                <w:spacing w:val="0"/>
                <w:w w:val="100"/>
                <w:position w:val="0"/>
                <w:sz w:val="16"/>
                <w:szCs w:val="16"/>
              </w:rPr>
              <w:t>本年税后归属于</w:t>
            </w:r>
          </w:p>
          <w:p>
            <w:pPr>
              <w:pStyle w:val="Style23"/>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母公司</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外币报表折算差额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3,306,158.54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69,842,916.02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73,149,074.56</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可供出售金融资产公允价值变动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( 12,614,289.08)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(12,614,289.08)</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3,306,158.54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57,228,626.94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60,534,785.48</w:t>
            </w:r>
          </w:p>
        </w:tc>
      </w:tr>
    </w:tbl>
    <w:p>
      <w:pPr>
        <w:pStyle w:val="Style29"/>
        <w:keepNext w:val="0"/>
        <w:keepLines w:val="0"/>
        <w:widowControl w:val="0"/>
        <w:shd w:val="clear" w:color="auto" w:fill="auto"/>
        <w:bidi w:val="0"/>
        <w:spacing w:before="0" w:after="0" w:line="240" w:lineRule="auto"/>
        <w:ind w:left="2261" w:right="0" w:firstLine="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年度利润表中其他综合收益</w:t>
      </w:r>
    </w:p>
    <w:tbl>
      <w:tblPr>
        <w:tblOverlap w:val="never"/>
        <w:jc w:val="center"/>
        <w:tblLayout w:type="fixed"/>
      </w:tblPr>
      <w:tblGrid>
        <w:gridCol w:w="1445"/>
        <w:gridCol w:w="1406"/>
        <w:gridCol w:w="1315"/>
        <w:gridCol w:w="1517"/>
        <w:gridCol w:w="1181"/>
      </w:tblGrid>
      <w:tr>
        <w:trPr>
          <w:trHeight w:val="117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本年所得税</w:t>
            </w:r>
          </w:p>
          <w:p>
            <w:pPr>
              <w:pStyle w:val="Style23"/>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前发生额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200"/>
              <w:jc w:val="left"/>
              <w:rPr>
                <w:sz w:val="16"/>
                <w:szCs w:val="16"/>
              </w:rPr>
            </w:pPr>
            <w:r>
              <w:rPr>
                <w:color w:val="000000"/>
                <w:spacing w:val="0"/>
                <w:w w:val="100"/>
                <w:position w:val="0"/>
                <w:sz w:val="16"/>
                <w:szCs w:val="16"/>
              </w:rPr>
              <w:t>减：前期计入</w:t>
            </w:r>
          </w:p>
          <w:p>
            <w:pPr>
              <w:pStyle w:val="Style23"/>
              <w:keepNext w:val="0"/>
              <w:keepLines w:val="0"/>
              <w:widowControl w:val="0"/>
              <w:shd w:val="clear" w:color="auto" w:fill="auto"/>
              <w:bidi w:val="0"/>
              <w:spacing w:before="0" w:line="240" w:lineRule="auto"/>
              <w:ind w:left="0" w:right="0" w:firstLine="200"/>
              <w:jc w:val="left"/>
              <w:rPr>
                <w:sz w:val="16"/>
                <w:szCs w:val="16"/>
              </w:rPr>
            </w:pPr>
            <w:r>
              <w:rPr>
                <w:color w:val="000000"/>
                <w:spacing w:val="0"/>
                <w:w w:val="100"/>
                <w:position w:val="0"/>
                <w:sz w:val="16"/>
                <w:szCs w:val="16"/>
              </w:rPr>
              <w:t>其他综合收益</w:t>
            </w:r>
          </w:p>
          <w:p>
            <w:pPr>
              <w:pStyle w:val="Style23"/>
              <w:keepNext w:val="0"/>
              <w:keepLines w:val="0"/>
              <w:widowControl w:val="0"/>
              <w:shd w:val="clear" w:color="auto" w:fill="auto"/>
              <w:bidi w:val="0"/>
              <w:spacing w:before="0" w:line="240" w:lineRule="auto"/>
              <w:ind w:left="0" w:right="0" w:firstLine="200"/>
              <w:jc w:val="left"/>
              <w:rPr>
                <w:sz w:val="16"/>
                <w:szCs w:val="16"/>
              </w:rPr>
            </w:pPr>
            <w:r>
              <w:rPr>
                <w:color w:val="000000"/>
                <w:spacing w:val="0"/>
                <w:w w:val="100"/>
                <w:position w:val="0"/>
                <w:sz w:val="16"/>
                <w:szCs w:val="16"/>
              </w:rPr>
              <w:t>本年转入损益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减：所得税</w:t>
            </w:r>
          </w:p>
          <w:p>
            <w:pPr>
              <w:pStyle w:val="Style23"/>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费用</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300" w:firstLine="0"/>
              <w:jc w:val="right"/>
              <w:rPr>
                <w:sz w:val="16"/>
                <w:szCs w:val="16"/>
              </w:rPr>
            </w:pPr>
            <w:r>
              <w:rPr>
                <w:color w:val="000000"/>
                <w:spacing w:val="0"/>
                <w:w w:val="100"/>
                <w:position w:val="0"/>
                <w:sz w:val="16"/>
                <w:szCs w:val="16"/>
              </w:rPr>
              <w:t>税后归属于</w:t>
            </w:r>
          </w:p>
          <w:p>
            <w:pPr>
              <w:pStyle w:val="Style23"/>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母公司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税后归属于</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69,920,073.00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6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00" w:firstLine="0"/>
              <w:jc w:val="right"/>
              <w:rPr>
                <w:sz w:val="16"/>
                <w:szCs w:val="16"/>
              </w:rPr>
            </w:pPr>
            <w:r>
              <w:rPr>
                <w:rFonts w:ascii="Arial" w:eastAsia="Arial" w:hAnsi="Arial" w:cs="Arial"/>
                <w:color w:val="000000"/>
                <w:spacing w:val="0"/>
                <w:w w:val="100"/>
                <w:position w:val="0"/>
                <w:sz w:val="16"/>
                <w:szCs w:val="16"/>
              </w:rPr>
              <w:t>69,842,916.02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77,156.98</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(15,334,082.83)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2,719,793.75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rPr>
                <w:sz w:val="16"/>
                <w:szCs w:val="16"/>
              </w:rPr>
            </w:pPr>
            <w:r>
              <w:rPr>
                <w:rFonts w:ascii="Arial" w:eastAsia="Arial" w:hAnsi="Arial" w:cs="Arial"/>
                <w:color w:val="000000"/>
                <w:spacing w:val="0"/>
                <w:w w:val="100"/>
                <w:position w:val="0"/>
                <w:sz w:val="16"/>
                <w:szCs w:val="16"/>
              </w:rPr>
              <w:t>(12,614,289.08)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6"/>
                <w:szCs w:val="16"/>
              </w:rPr>
            </w:pPr>
            <w:r>
              <w:rPr>
                <w:rFonts w:ascii="Arial" w:eastAsia="Arial" w:hAnsi="Arial" w:cs="Arial"/>
                <w:color w:val="000000"/>
                <w:spacing w:val="0"/>
                <w:w w:val="100"/>
                <w:position w:val="0"/>
                <w:sz w:val="16"/>
                <w:szCs w:val="16"/>
              </w:rPr>
              <w:t>-</w:t>
            </w:r>
          </w:p>
        </w:tc>
      </w:tr>
      <w:tr>
        <w:trPr>
          <w:trHeight w:val="317"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54,585,990.17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2,719,793.75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300" w:firstLine="0"/>
              <w:jc w:val="right"/>
              <w:rPr>
                <w:sz w:val="16"/>
                <w:szCs w:val="16"/>
              </w:rPr>
            </w:pPr>
            <w:r>
              <w:rPr>
                <w:rFonts w:ascii="Arial" w:eastAsia="Arial" w:hAnsi="Arial" w:cs="Arial"/>
                <w:color w:val="000000"/>
                <w:spacing w:val="0"/>
                <w:w w:val="100"/>
                <w:position w:val="0"/>
                <w:sz w:val="16"/>
                <w:szCs w:val="16"/>
              </w:rPr>
              <w:t>57,228,626.94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77,156.98</w:t>
            </w:r>
          </w:p>
        </w:tc>
      </w:tr>
    </w:tbl>
    <w:p>
      <w:pPr>
        <w:sectPr>
          <w:footnotePr>
            <w:pos w:val="pageBottom"/>
            <w:numFmt w:val="decimal"/>
            <w:numRestart w:val="continuous"/>
          </w:footnotePr>
          <w:type w:val="continuous"/>
          <w:pgSz w:w="16840" w:h="11900" w:orient="landscape"/>
          <w:pgMar w:top="1516" w:right="1152" w:bottom="1516" w:left="1983" w:header="0" w:footer="3" w:gutter="0"/>
          <w:cols w:num="2" w:space="100"/>
          <w:noEndnote/>
          <w:rtlGutter w:val="0"/>
          <w:docGrid w:linePitch="360"/>
        </w:sectPr>
      </w:pPr>
    </w:p>
    <w:p>
      <w:pPr>
        <w:rPr>
          <w:sz w:val="2"/>
          <w:szCs w:val="2"/>
        </w:rPr>
        <w:sectPr>
          <w:footnotePr>
            <w:pos w:val="pageBottom"/>
            <w:numFmt w:val="decimal"/>
            <w:numRestart w:val="continuous"/>
          </w:footnotePr>
          <w:type w:val="continuous"/>
          <w:pgSz w:w="16840" w:h="11900" w:orient="landscape"/>
          <w:pgMar w:top="1516" w:right="1152" w:bottom="1516" w:left="1983" w:header="0" w:footer="3" w:gutter="0"/>
          <w:cols w:num="2" w:space="100"/>
          <w:noEndnote/>
          <w:rtlGutter w:val="0"/>
          <w:docGrid w:linePitch="360"/>
        </w:sectPr>
      </w:pPr>
    </w:p>
    <w:p>
      <w:pPr>
        <w:pStyle w:val="Style33"/>
        <w:keepNext w:val="0"/>
        <w:keepLines w:val="0"/>
        <w:widowControl w:val="0"/>
        <w:shd w:val="clear" w:color="auto" w:fill="auto"/>
        <w:bidi w:val="0"/>
        <w:spacing w:before="0" w:after="34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(56) </w:t>
      </w:r>
      <w:r>
        <w:rPr>
          <w:color w:val="000000"/>
          <w:spacing w:val="0"/>
          <w:w w:val="100"/>
          <w:position w:val="0"/>
          <w:sz w:val="22"/>
          <w:szCs w:val="22"/>
        </w:rPr>
        <w:t>现金流量表项目注释</w:t>
      </w:r>
    </w:p>
    <w:p>
      <w:pPr>
        <w:pStyle w:val="Style33"/>
        <w:keepNext w:val="0"/>
        <w:keepLines w:val="0"/>
        <w:widowControl w:val="0"/>
        <w:shd w:val="clear" w:color="auto" w:fill="auto"/>
        <w:bidi w:val="0"/>
        <w:spacing w:before="0" w:after="34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收到的其他与经营活动有关的现金</w:t>
      </w:r>
    </w:p>
    <w:tbl>
      <w:tblPr>
        <w:tblOverlap w:val="never"/>
        <w:jc w:val="left"/>
        <w:tblLayout w:type="fixed"/>
      </w:tblPr>
      <w:tblGrid>
        <w:gridCol w:w="3293"/>
        <w:gridCol w:w="3144"/>
        <w:gridCol w:w="2410"/>
      </w:tblGrid>
      <w:tr>
        <w:trPr>
          <w:trHeight w:val="1574" w:hRule="exact"/>
        </w:trPr>
        <w:tc>
          <w:tcPr>
            <w:tcBorders/>
            <w:shd w:val="clear" w:color="auto" w:fill="FFFFFF"/>
            <w:vAlign w:val="bottom"/>
          </w:tcPr>
          <w:p>
            <w:pPr>
              <w:pStyle w:val="Style23"/>
              <w:keepNext w:val="0"/>
              <w:keepLines w:val="0"/>
              <w:framePr w:w="8846" w:h="1934" w:vSpace="638" w:wrap="notBeside" w:vAnchor="text" w:hAnchor="text" w:x="23" w:y="639"/>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代收货款流入</w:t>
            </w:r>
          </w:p>
          <w:p>
            <w:pPr>
              <w:pStyle w:val="Style23"/>
              <w:keepNext w:val="0"/>
              <w:keepLines w:val="0"/>
              <w:framePr w:w="8846" w:h="1934" w:vSpace="638" w:wrap="notBeside" w:vAnchor="text" w:hAnchor="text" w:x="23" w:y="639"/>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与收益相关的政府补助 利息收入</w:t>
            </w:r>
          </w:p>
          <w:p>
            <w:pPr>
              <w:pStyle w:val="Style23"/>
              <w:keepNext w:val="0"/>
              <w:keepLines w:val="0"/>
              <w:framePr w:w="8846" w:h="1934" w:vSpace="638" w:wrap="notBeside" w:vAnchor="text" w:hAnchor="text" w:x="23" w:y="639"/>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理财平台流入</w:t>
            </w:r>
          </w:p>
          <w:p>
            <w:pPr>
              <w:pStyle w:val="Style23"/>
              <w:keepNext w:val="0"/>
              <w:keepLines w:val="0"/>
              <w:framePr w:w="8846" w:h="1934" w:vSpace="638" w:wrap="notBeside" w:vAnchor="text" w:hAnchor="text" w:x="23" w:y="639"/>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0" w:firstLine="880"/>
              <w:jc w:val="left"/>
              <w:rPr>
                <w:sz w:val="24"/>
                <w:szCs w:val="24"/>
              </w:rPr>
            </w:pPr>
            <w:r>
              <w:rPr>
                <w:rFonts w:ascii="Arial" w:eastAsia="Arial" w:hAnsi="Arial" w:cs="Arial"/>
                <w:color w:val="000000"/>
                <w:spacing w:val="0"/>
                <w:w w:val="100"/>
                <w:position w:val="0"/>
                <w:sz w:val="24"/>
                <w:szCs w:val="24"/>
              </w:rPr>
              <w:t>39,015,803,969.69</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1220" w:right="0" w:firstLine="0"/>
              <w:jc w:val="left"/>
              <w:rPr>
                <w:sz w:val="24"/>
                <w:szCs w:val="24"/>
              </w:rPr>
            </w:pPr>
            <w:r>
              <w:rPr>
                <w:rFonts w:ascii="Arial" w:eastAsia="Arial" w:hAnsi="Arial" w:cs="Arial"/>
                <w:color w:val="000000"/>
                <w:spacing w:val="0"/>
                <w:w w:val="100"/>
                <w:position w:val="0"/>
                <w:sz w:val="24"/>
                <w:szCs w:val="24"/>
              </w:rPr>
              <w:t>263,314,822.92</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240" w:firstLine="0"/>
              <w:jc w:val="right"/>
              <w:rPr>
                <w:sz w:val="24"/>
                <w:szCs w:val="24"/>
              </w:rPr>
            </w:pPr>
            <w:r>
              <w:rPr>
                <w:rFonts w:ascii="Arial" w:eastAsia="Arial" w:hAnsi="Arial" w:cs="Arial"/>
                <w:color w:val="000000"/>
                <w:spacing w:val="0"/>
                <w:w w:val="100"/>
                <w:position w:val="0"/>
                <w:sz w:val="24"/>
                <w:szCs w:val="24"/>
              </w:rPr>
              <w:t>35,781,907.79</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240" w:firstLine="0"/>
              <w:jc w:val="right"/>
              <w:rPr>
                <w:sz w:val="24"/>
                <w:szCs w:val="24"/>
              </w:rPr>
            </w:pPr>
            <w:r>
              <w:rPr>
                <w:rFonts w:ascii="Arial" w:eastAsia="Arial" w:hAnsi="Arial" w:cs="Arial"/>
                <w:color w:val="000000"/>
                <w:spacing w:val="0"/>
                <w:w w:val="100"/>
                <w:position w:val="0"/>
                <w:sz w:val="24"/>
                <w:szCs w:val="24"/>
              </w:rPr>
              <w:t>1,932,558,175.44</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1220" w:right="0" w:firstLine="0"/>
              <w:jc w:val="left"/>
              <w:rPr>
                <w:sz w:val="24"/>
                <w:szCs w:val="24"/>
              </w:rPr>
            </w:pPr>
            <w:r>
              <w:rPr>
                <w:rFonts w:ascii="Arial" w:eastAsia="Arial" w:hAnsi="Arial" w:cs="Arial"/>
                <w:color w:val="000000"/>
                <w:spacing w:val="0"/>
                <w:w w:val="100"/>
                <w:position w:val="0"/>
                <w:sz w:val="24"/>
                <w:szCs w:val="24"/>
              </w:rPr>
              <w:t>471,501,388.22</w:t>
            </w:r>
          </w:p>
        </w:tc>
        <w:tc>
          <w:tcPr>
            <w:tcBorders/>
            <w:shd w:val="clear" w:color="auto" w:fill="FFFFFF"/>
            <w:vAlign w:val="bottom"/>
          </w:tcPr>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0" w:firstLine="240"/>
              <w:jc w:val="left"/>
              <w:rPr>
                <w:sz w:val="24"/>
                <w:szCs w:val="24"/>
              </w:rPr>
            </w:pPr>
            <w:r>
              <w:rPr>
                <w:rFonts w:ascii="Arial" w:eastAsia="Arial" w:hAnsi="Arial" w:cs="Arial"/>
                <w:color w:val="000000"/>
                <w:spacing w:val="0"/>
                <w:w w:val="100"/>
                <w:position w:val="0"/>
                <w:sz w:val="24"/>
                <w:szCs w:val="24"/>
              </w:rPr>
              <w:t>37,353,259,458.98</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0" w:firstLine="560"/>
              <w:jc w:val="left"/>
              <w:rPr>
                <w:sz w:val="24"/>
                <w:szCs w:val="24"/>
              </w:rPr>
            </w:pPr>
            <w:r>
              <w:rPr>
                <w:rFonts w:ascii="Arial" w:eastAsia="Arial" w:hAnsi="Arial" w:cs="Arial"/>
                <w:color w:val="000000"/>
                <w:spacing w:val="0"/>
                <w:w w:val="100"/>
                <w:position w:val="0"/>
                <w:sz w:val="24"/>
                <w:szCs w:val="24"/>
              </w:rPr>
              <w:t>258,710,806.92</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0" w:firstLine="700"/>
              <w:jc w:val="both"/>
              <w:rPr>
                <w:sz w:val="24"/>
                <w:szCs w:val="24"/>
              </w:rPr>
            </w:pPr>
            <w:r>
              <w:rPr>
                <w:rFonts w:ascii="Arial" w:eastAsia="Arial" w:hAnsi="Arial" w:cs="Arial"/>
                <w:color w:val="000000"/>
                <w:spacing w:val="0"/>
                <w:w w:val="100"/>
                <w:position w:val="0"/>
                <w:sz w:val="24"/>
                <w:szCs w:val="24"/>
              </w:rPr>
              <w:t>15,153,341.56</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0" w:firstLine="560"/>
              <w:jc w:val="left"/>
              <w:rPr>
                <w:sz w:val="24"/>
                <w:szCs w:val="24"/>
              </w:rPr>
            </w:pPr>
            <w:r>
              <w:rPr>
                <w:rFonts w:ascii="Arial" w:eastAsia="Arial" w:hAnsi="Arial" w:cs="Arial"/>
                <w:color w:val="000000"/>
                <w:spacing w:val="0"/>
                <w:w w:val="100"/>
                <w:position w:val="0"/>
                <w:sz w:val="24"/>
                <w:szCs w:val="24"/>
              </w:rPr>
              <w:t>160,315,506.00</w:t>
            </w:r>
          </w:p>
          <w:p>
            <w:pPr>
              <w:pStyle w:val="Style23"/>
              <w:keepNext w:val="0"/>
              <w:keepLines w:val="0"/>
              <w:framePr w:w="8846" w:h="1934" w:vSpace="638" w:wrap="notBeside" w:vAnchor="text" w:hAnchor="text" w:x="23" w:y="639"/>
              <w:widowControl w:val="0"/>
              <w:shd w:val="clear" w:color="auto" w:fill="auto"/>
              <w:bidi w:val="0"/>
              <w:spacing w:before="0" w:after="40" w:line="240" w:lineRule="auto"/>
              <w:ind w:left="0" w:right="0" w:firstLine="560"/>
              <w:jc w:val="left"/>
              <w:rPr>
                <w:sz w:val="24"/>
                <w:szCs w:val="24"/>
              </w:rPr>
            </w:pPr>
            <w:r>
              <w:rPr>
                <w:rFonts w:ascii="Arial" w:eastAsia="Arial" w:hAnsi="Arial" w:cs="Arial"/>
                <w:color w:val="000000"/>
                <w:spacing w:val="0"/>
                <w:w w:val="100"/>
                <w:position w:val="0"/>
                <w:sz w:val="24"/>
                <w:szCs w:val="24"/>
              </w:rPr>
              <w:t>304,722,214.70</w:t>
            </w:r>
          </w:p>
        </w:tc>
      </w:tr>
      <w:tr>
        <w:trPr>
          <w:trHeight w:val="360" w:hRule="exact"/>
        </w:trPr>
        <w:tc>
          <w:tcPr>
            <w:tcBorders/>
            <w:shd w:val="clear" w:color="auto" w:fill="FFFFFF"/>
            <w:vAlign w:val="top"/>
          </w:tcPr>
          <w:p>
            <w:pPr>
              <w:framePr w:w="8846" w:h="1934" w:vSpace="638" w:wrap="notBeside" w:vAnchor="text" w:hAnchor="text" w:x="23"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46" w:h="1934" w:vSpace="638" w:wrap="notBeside" w:vAnchor="text" w:hAnchor="text" w:x="23" w:y="639"/>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41,718,960,264.06</w:t>
            </w:r>
          </w:p>
        </w:tc>
        <w:tc>
          <w:tcPr>
            <w:tcBorders>
              <w:top w:val="single" w:sz="4"/>
              <w:bottom w:val="single" w:sz="4"/>
            </w:tcBorders>
            <w:shd w:val="clear" w:color="auto" w:fill="FFFFFF"/>
            <w:vAlign w:val="bottom"/>
          </w:tcPr>
          <w:p>
            <w:pPr>
              <w:pStyle w:val="Style23"/>
              <w:keepNext w:val="0"/>
              <w:keepLines w:val="0"/>
              <w:framePr w:w="8846" w:h="1934" w:vSpace="638" w:wrap="notBeside" w:vAnchor="text" w:hAnchor="text" w:x="23" w:y="639"/>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38,092,161,328.16</w:t>
            </w:r>
          </w:p>
        </w:tc>
      </w:tr>
    </w:tbl>
    <w:p>
      <w:pPr>
        <w:pStyle w:val="Style29"/>
        <w:keepNext w:val="0"/>
        <w:keepLines w:val="0"/>
        <w:framePr w:w="1118" w:h="298" w:hSpace="22" w:wrap="notBeside" w:vAnchor="text" w:hAnchor="text" w:x="5125"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p>
      <w:pPr>
        <w:pStyle w:val="Style29"/>
        <w:keepNext w:val="0"/>
        <w:keepLines w:val="0"/>
        <w:framePr w:w="1118" w:h="298" w:hSpace="22" w:wrap="notBeside" w:vAnchor="text" w:hAnchor="text" w:x="7621"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pStyle w:val="Style29"/>
        <w:keepNext w:val="0"/>
        <w:keepLines w:val="0"/>
        <w:framePr w:w="4051" w:h="302" w:hSpace="22" w:wrap="notBeside" w:vAnchor="text" w:hAnchor="text" w:x="28" w:y="2919"/>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(b)</w:t>
      </w:r>
      <w:r>
        <w:rPr>
          <w:color w:val="000000"/>
          <w:spacing w:val="0"/>
          <w:w w:val="100"/>
          <w:position w:val="0"/>
          <w:sz w:val="22"/>
          <w:szCs w:val="22"/>
        </w:rPr>
        <w:t>支付的其他与经营活动有关的现金</w:t>
      </w:r>
    </w:p>
    <w:p>
      <w:pPr>
        <w:widowControl w:val="0"/>
        <w:spacing w:line="1" w:lineRule="exact"/>
      </w:pPr>
    </w:p>
    <w:p>
      <w:pPr>
        <w:pStyle w:val="Style29"/>
        <w:keepNext w:val="0"/>
        <w:keepLines w:val="0"/>
        <w:widowControl w:val="0"/>
        <w:shd w:val="clear" w:color="auto" w:fill="auto"/>
        <w:tabs>
          <w:tab w:pos="2491" w:val="lef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bl>
      <w:tblPr>
        <w:tblOverlap w:val="never"/>
        <w:jc w:val="center"/>
        <w:tblLayout w:type="fixed"/>
      </w:tblPr>
      <w:tblGrid>
        <w:gridCol w:w="2933"/>
        <w:gridCol w:w="3509"/>
        <w:gridCol w:w="2405"/>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代收货款流出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39,219,378,306.92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37,174,929,641.82</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办公费与租赁费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3,087,149,594.40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3,056,727,511.82</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理财平台流出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1,795,288,088.71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69,364,001.51</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信息技术费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460,514,469.35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406,364,847.81</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关务成本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376,247,224.00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312,111,214.51</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市场营销费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111,282,313.43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217,722,056.92</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专业服务费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199,814,491.47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194,695,063.35</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理赔成本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461,681,261.14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173,953,260.86</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差旅费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158,902,938.14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147,600,824.13</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业务招待费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127,864,803.80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98,381,787.41</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银行手续费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77,044,912.63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59,137,797.32</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赔偿金、罚款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27,352,370.42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28,901,430.82</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捐赠支出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7,540,097.39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5,113,786.39</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Arial" w:eastAsia="Arial" w:hAnsi="Arial" w:cs="Arial"/>
                <w:color w:val="000000"/>
                <w:spacing w:val="0"/>
                <w:w w:val="100"/>
                <w:position w:val="0"/>
                <w:sz w:val="24"/>
                <w:szCs w:val="24"/>
              </w:rPr>
              <w:t>652,861,451.79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136,358,443.67</w:t>
            </w:r>
          </w:p>
        </w:tc>
      </w:tr>
      <w:tr>
        <w:trPr>
          <w:trHeight w:val="38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46,762,922,323.59</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42,081,361,668.34</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 xml:space="preserve">(56) </w:t>
      </w:r>
      <w:r>
        <w:rPr>
          <w:color w:val="000000"/>
          <w:spacing w:val="0"/>
          <w:w w:val="100"/>
          <w:position w:val="0"/>
          <w:sz w:val="22"/>
          <w:szCs w:val="22"/>
        </w:rPr>
        <w:t>现金流量表项目注释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numPr>
          <w:ilvl w:val="0"/>
          <w:numId w:val="67"/>
        </w:numPr>
        <w:shd w:val="clear" w:color="auto" w:fill="auto"/>
        <w:bidi w:val="0"/>
        <w:spacing w:before="0" w:after="360" w:line="240" w:lineRule="auto"/>
        <w:ind w:left="0" w:right="0" w:firstLine="0"/>
        <w:jc w:val="left"/>
        <w:rPr>
          <w:sz w:val="22"/>
          <w:szCs w:val="22"/>
        </w:rPr>
      </w:pPr>
      <w:bookmarkStart w:id="883" w:name="bookmark883"/>
      <w:bookmarkEnd w:id="883"/>
      <w:r>
        <w:rPr>
          <w:b w:val="0"/>
          <w:bCs w:val="0"/>
          <w:color w:val="000000"/>
          <w:spacing w:val="0"/>
          <w:w w:val="100"/>
          <w:position w:val="0"/>
          <w:sz w:val="22"/>
          <w:szCs w:val="22"/>
        </w:rPr>
        <w:t>收到的其他与投资活动有关的现金</w:t>
      </w:r>
    </w:p>
    <w:p>
      <w:pPr>
        <w:pStyle w:val="Style94"/>
        <w:keepNext w:val="0"/>
        <w:keepLines w:val="0"/>
        <w:widowControl w:val="0"/>
        <w:shd w:val="clear" w:color="auto" w:fill="auto"/>
        <w:tabs>
          <w:tab w:pos="2491" w:val="left"/>
        </w:tabs>
        <w:bidi w:val="0"/>
        <w:spacing w:before="0" w:after="360" w:line="240" w:lineRule="auto"/>
        <w:ind w:left="0" w:right="16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bl>
      <w:tblPr>
        <w:tblOverlap w:val="never"/>
        <w:jc w:val="center"/>
        <w:tblLayout w:type="fixed"/>
      </w:tblPr>
      <w:tblGrid>
        <w:gridCol w:w="4114"/>
        <w:gridCol w:w="2328"/>
        <w:gridCol w:w="2424"/>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赎回银行理财产品</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92,325,050,000.00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92,067,200,000.00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收到与资产相关的政府补助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65,196,640.22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25,746,400.00</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反向购买收到的现金及现金等价物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60,156,545.77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Arial" w:eastAsia="Arial" w:hAnsi="Arial" w:cs="Arial"/>
                <w:color w:val="000000"/>
                <w:spacing w:val="0"/>
                <w:w w:val="100"/>
                <w:position w:val="0"/>
                <w:sz w:val="24"/>
                <w:szCs w:val="24"/>
              </w:rPr>
              <w:t>-</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92,450,403,185.99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92,092,946,400.00</w:t>
            </w:r>
          </w:p>
        </w:tc>
      </w:tr>
      <w:tr>
        <w:trPr>
          <w:trHeight w:val="8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(d)</w:t>
            </w:r>
            <w:r>
              <w:rPr>
                <w:color w:val="000000"/>
                <w:spacing w:val="0"/>
                <w:w w:val="100"/>
                <w:position w:val="0"/>
                <w:sz w:val="22"/>
                <w:szCs w:val="22"/>
              </w:rPr>
              <w:t>支付的其他与投资活动有关的现金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5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购买银行理财产品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91,887,000,000.00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91,683,440,842.47</w:t>
            </w:r>
          </w:p>
        </w:tc>
      </w:tr>
      <w:tr>
        <w:trPr>
          <w:trHeight w:val="8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(e)</w:t>
            </w:r>
            <w:r>
              <w:rPr>
                <w:color w:val="000000"/>
                <w:spacing w:val="0"/>
                <w:w w:val="100"/>
                <w:position w:val="0"/>
                <w:sz w:val="22"/>
                <w:szCs w:val="22"/>
              </w:rPr>
              <w:t>收到的其他与筹资活动有关的现金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收到融资租赁公司款项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4"/>
                <w:szCs w:val="24"/>
              </w:rPr>
            </w:pPr>
            <w:r>
              <w:rPr>
                <w:rFonts w:ascii="Arial" w:eastAsia="Arial" w:hAnsi="Arial" w:cs="Arial"/>
                <w:color w:val="000000"/>
                <w:spacing w:val="0"/>
                <w:w w:val="100"/>
                <w:position w:val="0"/>
                <w:sz w:val="24"/>
                <w:szCs w:val="24"/>
              </w:rPr>
              <w:t>1,516,284,154.43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收到保理公司款项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529,661,322.37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关联方委托贷款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658,000,000.00</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4"/>
                <w:szCs w:val="24"/>
              </w:rPr>
            </w:pPr>
            <w:r>
              <w:rPr>
                <w:rFonts w:ascii="Arial" w:eastAsia="Arial" w:hAnsi="Arial" w:cs="Arial"/>
                <w:color w:val="000000"/>
                <w:spacing w:val="0"/>
                <w:w w:val="100"/>
                <w:position w:val="0"/>
                <w:sz w:val="24"/>
                <w:szCs w:val="24"/>
              </w:rPr>
              <w:t>2,045,945,476.80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658,000,000.00</w:t>
            </w:r>
          </w:p>
        </w:tc>
      </w:tr>
      <w:tr>
        <w:trPr>
          <w:trHeight w:val="8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(f)</w:t>
            </w:r>
            <w:r>
              <w:rPr>
                <w:color w:val="000000"/>
                <w:spacing w:val="0"/>
                <w:w w:val="100"/>
                <w:position w:val="0"/>
                <w:sz w:val="22"/>
                <w:szCs w:val="22"/>
              </w:rPr>
              <w:t>支付的其他与筹资活动有关的现金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支付融资租入资产款项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4"/>
                <w:szCs w:val="24"/>
              </w:rPr>
            </w:pPr>
            <w:r>
              <w:rPr>
                <w:rFonts w:ascii="Arial" w:eastAsia="Arial" w:hAnsi="Arial" w:cs="Arial"/>
                <w:color w:val="000000"/>
                <w:spacing w:val="0"/>
                <w:w w:val="100"/>
                <w:position w:val="0"/>
                <w:sz w:val="24"/>
                <w:szCs w:val="24"/>
              </w:rPr>
              <w:t>1,493,045,241.98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支付融资租赁公司款项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736,750,633.69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支付保理公司款项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341,108,426.05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关联方委托贷款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658,000,000.00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4"/>
                <w:szCs w:val="24"/>
              </w:rPr>
            </w:pPr>
            <w:r>
              <w:rPr>
                <w:rFonts w:ascii="Arial" w:eastAsia="Arial" w:hAnsi="Arial" w:cs="Arial"/>
                <w:color w:val="000000"/>
                <w:spacing w:val="0"/>
                <w:w w:val="100"/>
                <w:position w:val="0"/>
                <w:sz w:val="24"/>
                <w:szCs w:val="24"/>
              </w:rPr>
              <w:t>2,570,904,301.72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658,000,000.00</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(57) </w:t>
      </w:r>
      <w:r>
        <w:rPr>
          <w:color w:val="000000"/>
          <w:spacing w:val="0"/>
          <w:w w:val="100"/>
          <w:position w:val="0"/>
          <w:sz w:val="22"/>
          <w:szCs w:val="22"/>
        </w:rPr>
        <w:t>现金流量表补充资料</w:t>
      </w:r>
    </w:p>
    <w:p>
      <w:pPr>
        <w:pStyle w:val="Style33"/>
        <w:keepNext w:val="0"/>
        <w:keepLines w:val="0"/>
        <w:widowControl w:val="0"/>
        <w:shd w:val="clear" w:color="auto" w:fill="auto"/>
        <w:tabs>
          <w:tab w:pos="696" w:val="left"/>
        </w:tabs>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tab/>
      </w:r>
      <w:r>
        <w:rPr>
          <w:b w:val="0"/>
          <w:bCs w:val="0"/>
          <w:color w:val="000000"/>
          <w:spacing w:val="0"/>
          <w:w w:val="100"/>
          <w:position w:val="0"/>
          <w:sz w:val="22"/>
          <w:szCs w:val="22"/>
        </w:rPr>
        <w:t>现金流量表附注</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将净利润调节为经营活动现金流量</w:t>
      </w:r>
    </w:p>
    <w:p>
      <w:pPr>
        <w:widowControl w:val="0"/>
        <w:spacing w:line="1" w:lineRule="exact"/>
      </w:pPr>
      <w:r>
        <mc:AlternateContent>
          <mc:Choice Requires="wps">
            <w:drawing>
              <wp:anchor distT="152400" distB="0" distL="0" distR="0" simplePos="0" relativeHeight="125829521" behindDoc="0" locked="0" layoutInCell="1" allowOverlap="1">
                <wp:simplePos x="0" y="0"/>
                <wp:positionH relativeFrom="page">
                  <wp:posOffset>4493260</wp:posOffset>
                </wp:positionH>
                <wp:positionV relativeFrom="paragraph">
                  <wp:posOffset>152400</wp:posOffset>
                </wp:positionV>
                <wp:extent cx="709930" cy="189230"/>
                <wp:wrapTopAndBottom/>
                <wp:docPr id="386" name="Shape 386"/>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412" type="#_x0000_t202" style="position:absolute;margin-left:353.80000000000001pt;margin-top:12.pt;width:55.899999999999999pt;height:14.9pt;z-index:-125829232;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52400" distB="0" distL="0" distR="0" simplePos="0" relativeHeight="125829523" behindDoc="0" locked="0" layoutInCell="1" allowOverlap="1">
                <wp:simplePos x="0" y="0"/>
                <wp:positionH relativeFrom="page">
                  <wp:posOffset>6078220</wp:posOffset>
                </wp:positionH>
                <wp:positionV relativeFrom="paragraph">
                  <wp:posOffset>152400</wp:posOffset>
                </wp:positionV>
                <wp:extent cx="709930" cy="189230"/>
                <wp:wrapTopAndBottom/>
                <wp:docPr id="388" name="Shape 388"/>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414" type="#_x0000_t202" style="position:absolute;margin-left:478.60000000000002pt;margin-top:12.pt;width:55.899999999999999pt;height:14.9pt;z-index:-125829230;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pPr>
      <w:r>
        <mc:AlternateContent>
          <mc:Choice Requires="wps">
            <w:drawing>
              <wp:anchor distT="177800" distB="27305" distL="0" distR="0" simplePos="0" relativeHeight="125829525" behindDoc="0" locked="0" layoutInCell="1" allowOverlap="1">
                <wp:simplePos x="0" y="0"/>
                <wp:positionH relativeFrom="page">
                  <wp:posOffset>1252855</wp:posOffset>
                </wp:positionH>
                <wp:positionV relativeFrom="paragraph">
                  <wp:posOffset>177800</wp:posOffset>
                </wp:positionV>
                <wp:extent cx="2289175" cy="3684905"/>
                <wp:wrapTopAndBottom/>
                <wp:docPr id="390" name="Shape 390"/>
                <a:graphic xmlns:a="http://schemas.openxmlformats.org/drawingml/2006/main">
                  <a:graphicData uri="http://schemas.microsoft.com/office/word/2010/wordprocessingShape">
                    <wps:wsp>
                      <wps:cNvSpPr txBox="1"/>
                      <wps:spPr>
                        <a:xfrm>
                          <a:ext cx="2289175" cy="3684905"/>
                        </a:xfrm>
                        <a:prstGeom prst="rect"/>
                        <a:noFill/>
                      </wps:spPr>
                      <wps:txbx>
                        <w:txbxContent>
                          <w:p>
                            <w:pPr>
                              <w:pStyle w:val="Style33"/>
                              <w:keepNext w:val="0"/>
                              <w:keepLines w:val="0"/>
                              <w:widowControl w:val="0"/>
                              <w:shd w:val="clear" w:color="auto" w:fill="auto"/>
                              <w:bidi w:val="0"/>
                              <w:spacing w:before="0" w:after="0" w:line="320" w:lineRule="exact"/>
                              <w:ind w:left="0" w:right="0" w:firstLine="0"/>
                              <w:jc w:val="left"/>
                              <w:rPr>
                                <w:sz w:val="22"/>
                                <w:szCs w:val="22"/>
                              </w:rPr>
                            </w:pPr>
                            <w:r>
                              <w:rPr>
                                <w:b w:val="0"/>
                                <w:bCs w:val="0"/>
                                <w:color w:val="000000"/>
                                <w:spacing w:val="0"/>
                                <w:w w:val="100"/>
                                <w:position w:val="0"/>
                                <w:sz w:val="22"/>
                                <w:szCs w:val="22"/>
                              </w:rPr>
                              <w:t>净利润</w:t>
                            </w:r>
                          </w:p>
                          <w:p>
                            <w:pPr>
                              <w:pStyle w:val="Style33"/>
                              <w:keepNext w:val="0"/>
                              <w:keepLines w:val="0"/>
                              <w:widowControl w:val="0"/>
                              <w:shd w:val="clear" w:color="auto" w:fill="auto"/>
                              <w:bidi w:val="0"/>
                              <w:spacing w:before="0" w:after="0" w:line="320" w:lineRule="exact"/>
                              <w:ind w:left="0" w:right="0" w:firstLine="0"/>
                              <w:jc w:val="left"/>
                              <w:rPr>
                                <w:sz w:val="22"/>
                                <w:szCs w:val="22"/>
                              </w:rPr>
                            </w:pPr>
                            <w:r>
                              <w:rPr>
                                <w:b w:val="0"/>
                                <w:bCs w:val="0"/>
                                <w:color w:val="000000"/>
                                <w:spacing w:val="0"/>
                                <w:w w:val="100"/>
                                <w:position w:val="0"/>
                                <w:sz w:val="22"/>
                                <w:szCs w:val="22"/>
                              </w:rPr>
                              <w:t>加：资产减值损失</w:t>
                            </w:r>
                          </w:p>
                          <w:p>
                            <w:pPr>
                              <w:pStyle w:val="Style33"/>
                              <w:keepNext w:val="0"/>
                              <w:keepLines w:val="0"/>
                              <w:widowControl w:val="0"/>
                              <w:shd w:val="clear" w:color="auto" w:fill="auto"/>
                              <w:bidi w:val="0"/>
                              <w:spacing w:before="0" w:after="0" w:line="320" w:lineRule="exact"/>
                              <w:ind w:left="0" w:right="0" w:firstLine="460"/>
                              <w:jc w:val="left"/>
                              <w:rPr>
                                <w:sz w:val="22"/>
                                <w:szCs w:val="22"/>
                              </w:rPr>
                            </w:pPr>
                            <w:r>
                              <w:rPr>
                                <w:b w:val="0"/>
                                <w:bCs w:val="0"/>
                                <w:color w:val="000000"/>
                                <w:spacing w:val="0"/>
                                <w:w w:val="100"/>
                                <w:position w:val="0"/>
                                <w:sz w:val="22"/>
                                <w:szCs w:val="22"/>
                              </w:rPr>
                              <w:t>固定资产折旧</w:t>
                            </w:r>
                          </w:p>
                          <w:p>
                            <w:pPr>
                              <w:pStyle w:val="Style33"/>
                              <w:keepNext w:val="0"/>
                              <w:keepLines w:val="0"/>
                              <w:widowControl w:val="0"/>
                              <w:shd w:val="clear" w:color="auto" w:fill="auto"/>
                              <w:bidi w:val="0"/>
                              <w:spacing w:before="0" w:after="0" w:line="320" w:lineRule="exact"/>
                              <w:ind w:left="460" w:right="0" w:firstLine="0"/>
                              <w:jc w:val="left"/>
                              <w:rPr>
                                <w:sz w:val="22"/>
                                <w:szCs w:val="22"/>
                              </w:rPr>
                            </w:pPr>
                            <w:r>
                              <w:rPr>
                                <w:b w:val="0"/>
                                <w:bCs w:val="0"/>
                                <w:color w:val="000000"/>
                                <w:spacing w:val="0"/>
                                <w:w w:val="100"/>
                                <w:position w:val="0"/>
                                <w:sz w:val="22"/>
                                <w:szCs w:val="22"/>
                              </w:rPr>
                              <w:t>投资性房地产折旧 无形资产摊销 长期待摊费用摊销 处置固定资产净损失 公允价值变动损益 财务费用 投资收益 递延所得税资产减少</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增加</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递延所得税负债增加 递延收益摊销 存货的</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增加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减少 经营性应收项目的增加 经营性应付项目的增加 其他⑴</w:t>
                            </w:r>
                          </w:p>
                          <w:p>
                            <w:pPr>
                              <w:pStyle w:val="Style33"/>
                              <w:keepNext w:val="0"/>
                              <w:keepLines w:val="0"/>
                              <w:widowControl w:val="0"/>
                              <w:shd w:val="clear" w:color="auto" w:fill="auto"/>
                              <w:bidi w:val="0"/>
                              <w:spacing w:before="0" w:after="0" w:line="320" w:lineRule="exact"/>
                              <w:ind w:left="0" w:right="0" w:firstLine="460"/>
                              <w:jc w:val="left"/>
                              <w:rPr>
                                <w:sz w:val="22"/>
                                <w:szCs w:val="22"/>
                              </w:rPr>
                            </w:pPr>
                            <w:r>
                              <w:rPr>
                                <w:b w:val="0"/>
                                <w:bCs w:val="0"/>
                                <w:color w:val="000000"/>
                                <w:spacing w:val="0"/>
                                <w:w w:val="100"/>
                                <w:position w:val="0"/>
                                <w:sz w:val="22"/>
                                <w:szCs w:val="22"/>
                              </w:rPr>
                              <w:t>经营活动产生的现金流量净额</w:t>
                            </w:r>
                          </w:p>
                        </w:txbxContent>
                      </wps:txbx>
                      <wps:bodyPr lIns="0" tIns="0" rIns="0" bIns="0">
                        <a:noAutoFit/>
                      </wps:bodyPr>
                    </wps:wsp>
                  </a:graphicData>
                </a:graphic>
              </wp:anchor>
            </w:drawing>
          </mc:Choice>
          <mc:Fallback>
            <w:pict>
              <v:shape id="_x0000_s1416" type="#_x0000_t202" style="position:absolute;margin-left:98.650000000000006pt;margin-top:14.pt;width:180.25pt;height:290.15000000000003pt;z-index:-125829228;mso-wrap-distance-left:0;mso-wrap-distance-top:14.pt;mso-wrap-distance-right:0;mso-wrap-distance-bottom:2.1499999999999999pt;mso-position-horizontal-relative:page" filled="f" stroked="f">
                <v:textbox inset="0,0,0,0">
                  <w:txbxContent>
                    <w:p>
                      <w:pPr>
                        <w:pStyle w:val="Style33"/>
                        <w:keepNext w:val="0"/>
                        <w:keepLines w:val="0"/>
                        <w:widowControl w:val="0"/>
                        <w:shd w:val="clear" w:color="auto" w:fill="auto"/>
                        <w:bidi w:val="0"/>
                        <w:spacing w:before="0" w:after="0" w:line="320" w:lineRule="exact"/>
                        <w:ind w:left="0" w:right="0" w:firstLine="0"/>
                        <w:jc w:val="left"/>
                        <w:rPr>
                          <w:sz w:val="22"/>
                          <w:szCs w:val="22"/>
                        </w:rPr>
                      </w:pPr>
                      <w:r>
                        <w:rPr>
                          <w:b w:val="0"/>
                          <w:bCs w:val="0"/>
                          <w:color w:val="000000"/>
                          <w:spacing w:val="0"/>
                          <w:w w:val="100"/>
                          <w:position w:val="0"/>
                          <w:sz w:val="22"/>
                          <w:szCs w:val="22"/>
                        </w:rPr>
                        <w:t>净利润</w:t>
                      </w:r>
                    </w:p>
                    <w:p>
                      <w:pPr>
                        <w:pStyle w:val="Style33"/>
                        <w:keepNext w:val="0"/>
                        <w:keepLines w:val="0"/>
                        <w:widowControl w:val="0"/>
                        <w:shd w:val="clear" w:color="auto" w:fill="auto"/>
                        <w:bidi w:val="0"/>
                        <w:spacing w:before="0" w:after="0" w:line="320" w:lineRule="exact"/>
                        <w:ind w:left="0" w:right="0" w:firstLine="0"/>
                        <w:jc w:val="left"/>
                        <w:rPr>
                          <w:sz w:val="22"/>
                          <w:szCs w:val="22"/>
                        </w:rPr>
                      </w:pPr>
                      <w:r>
                        <w:rPr>
                          <w:b w:val="0"/>
                          <w:bCs w:val="0"/>
                          <w:color w:val="000000"/>
                          <w:spacing w:val="0"/>
                          <w:w w:val="100"/>
                          <w:position w:val="0"/>
                          <w:sz w:val="22"/>
                          <w:szCs w:val="22"/>
                        </w:rPr>
                        <w:t>加：资产减值损失</w:t>
                      </w:r>
                    </w:p>
                    <w:p>
                      <w:pPr>
                        <w:pStyle w:val="Style33"/>
                        <w:keepNext w:val="0"/>
                        <w:keepLines w:val="0"/>
                        <w:widowControl w:val="0"/>
                        <w:shd w:val="clear" w:color="auto" w:fill="auto"/>
                        <w:bidi w:val="0"/>
                        <w:spacing w:before="0" w:after="0" w:line="320" w:lineRule="exact"/>
                        <w:ind w:left="0" w:right="0" w:firstLine="460"/>
                        <w:jc w:val="left"/>
                        <w:rPr>
                          <w:sz w:val="22"/>
                          <w:szCs w:val="22"/>
                        </w:rPr>
                      </w:pPr>
                      <w:r>
                        <w:rPr>
                          <w:b w:val="0"/>
                          <w:bCs w:val="0"/>
                          <w:color w:val="000000"/>
                          <w:spacing w:val="0"/>
                          <w:w w:val="100"/>
                          <w:position w:val="0"/>
                          <w:sz w:val="22"/>
                          <w:szCs w:val="22"/>
                        </w:rPr>
                        <w:t>固定资产折旧</w:t>
                      </w:r>
                    </w:p>
                    <w:p>
                      <w:pPr>
                        <w:pStyle w:val="Style33"/>
                        <w:keepNext w:val="0"/>
                        <w:keepLines w:val="0"/>
                        <w:widowControl w:val="0"/>
                        <w:shd w:val="clear" w:color="auto" w:fill="auto"/>
                        <w:bidi w:val="0"/>
                        <w:spacing w:before="0" w:after="0" w:line="320" w:lineRule="exact"/>
                        <w:ind w:left="460" w:right="0" w:firstLine="0"/>
                        <w:jc w:val="left"/>
                        <w:rPr>
                          <w:sz w:val="22"/>
                          <w:szCs w:val="22"/>
                        </w:rPr>
                      </w:pPr>
                      <w:r>
                        <w:rPr>
                          <w:b w:val="0"/>
                          <w:bCs w:val="0"/>
                          <w:color w:val="000000"/>
                          <w:spacing w:val="0"/>
                          <w:w w:val="100"/>
                          <w:position w:val="0"/>
                          <w:sz w:val="22"/>
                          <w:szCs w:val="22"/>
                        </w:rPr>
                        <w:t>投资性房地产折旧 无形资产摊销 长期待摊费用摊销 处置固定资产净损失 公允价值变动损益 财务费用 投资收益 递延所得税资产减少</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增加</w:t>
                      </w:r>
                      <w:r>
                        <w:rPr>
                          <w:b w:val="0"/>
                          <w:bCs w:val="0"/>
                          <w:color w:val="000000"/>
                          <w:spacing w:val="0"/>
                          <w:w w:val="100"/>
                          <w:position w:val="0"/>
                          <w:sz w:val="28"/>
                          <w:szCs w:val="28"/>
                        </w:rPr>
                        <w:t>)</w:t>
                      </w:r>
                      <w:r>
                        <w:rPr>
                          <w:rFonts w:ascii="Arial" w:eastAsia="Arial" w:hAnsi="Arial" w:cs="Arial"/>
                          <w:b w:val="0"/>
                          <w:bCs w:val="0"/>
                          <w:color w:val="000000"/>
                          <w:spacing w:val="0"/>
                          <w:w w:val="100"/>
                          <w:position w:val="0"/>
                          <w:sz w:val="24"/>
                          <w:szCs w:val="24"/>
                        </w:rPr>
                        <w:t xml:space="preserve"> </w:t>
                      </w:r>
                      <w:r>
                        <w:rPr>
                          <w:b w:val="0"/>
                          <w:bCs w:val="0"/>
                          <w:color w:val="000000"/>
                          <w:spacing w:val="0"/>
                          <w:w w:val="100"/>
                          <w:position w:val="0"/>
                          <w:sz w:val="22"/>
                          <w:szCs w:val="22"/>
                        </w:rPr>
                        <w:t>递延所得税负债增加 递延收益摊销 存货的</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增加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减少 经营性应收项目的增加 经营性应付项目的增加 其他⑴</w:t>
                      </w:r>
                    </w:p>
                    <w:p>
                      <w:pPr>
                        <w:pStyle w:val="Style33"/>
                        <w:keepNext w:val="0"/>
                        <w:keepLines w:val="0"/>
                        <w:widowControl w:val="0"/>
                        <w:shd w:val="clear" w:color="auto" w:fill="auto"/>
                        <w:bidi w:val="0"/>
                        <w:spacing w:before="0" w:after="0" w:line="320" w:lineRule="exact"/>
                        <w:ind w:left="0" w:right="0" w:firstLine="460"/>
                        <w:jc w:val="left"/>
                        <w:rPr>
                          <w:sz w:val="22"/>
                          <w:szCs w:val="22"/>
                        </w:rPr>
                      </w:pPr>
                      <w:r>
                        <w:rPr>
                          <w:b w:val="0"/>
                          <w:bCs w:val="0"/>
                          <w:color w:val="000000"/>
                          <w:spacing w:val="0"/>
                          <w:w w:val="100"/>
                          <w:position w:val="0"/>
                          <w:sz w:val="22"/>
                          <w:szCs w:val="22"/>
                        </w:rPr>
                        <w:t>经营活动产生的现金流量净额</w:t>
                      </w:r>
                    </w:p>
                  </w:txbxContent>
                </v:textbox>
                <w10:wrap type="topAndBottom" anchorx="page"/>
              </v:shape>
            </w:pict>
          </mc:Fallback>
        </mc:AlternateContent>
      </w:r>
      <w:r>
        <mc:AlternateContent>
          <mc:Choice Requires="wps">
            <w:drawing>
              <wp:anchor distT="217170" distB="0" distL="0" distR="0" simplePos="0" relativeHeight="125829527" behindDoc="0" locked="0" layoutInCell="1" allowOverlap="1">
                <wp:simplePos x="0" y="0"/>
                <wp:positionH relativeFrom="page">
                  <wp:posOffset>3935095</wp:posOffset>
                </wp:positionH>
                <wp:positionV relativeFrom="paragraph">
                  <wp:posOffset>217170</wp:posOffset>
                </wp:positionV>
                <wp:extent cx="1310640" cy="3672840"/>
                <wp:wrapTopAndBottom/>
                <wp:docPr id="392" name="Shape 392"/>
                <a:graphic xmlns:a="http://schemas.openxmlformats.org/drawingml/2006/main">
                  <a:graphicData uri="http://schemas.microsoft.com/office/word/2010/wordprocessingShape">
                    <wps:wsp>
                      <wps:cNvSpPr txBox="1"/>
                      <wps:spPr>
                        <a:xfrm>
                          <a:ext cx="1310640" cy="3672840"/>
                        </a:xfrm>
                        <a:prstGeom prst="rect"/>
                        <a:noFill/>
                      </wps:spPr>
                      <wps:txbx>
                        <w:txbxContent>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rPr>
                              <w:t>4,160,784,941.34 19,172,492.00 1,781,262,578.15</w:t>
                            </w:r>
                          </w:p>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rPr>
                              <w:t>21,681,244.59 177,377,471.60 381,986,547.11</w:t>
                            </w:r>
                          </w:p>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shd w:val="clear" w:color="auto" w:fill="FFFFFF"/>
                              </w:rPr>
                              <w:t xml:space="preserve">6,095,807.67 </w:t>
                            </w:r>
                            <w:r>
                              <w:rPr>
                                <w:color w:val="000000"/>
                                <w:spacing w:val="0"/>
                                <w:w w:val="100"/>
                                <w:position w:val="0"/>
                                <w:sz w:val="24"/>
                                <w:szCs w:val="24"/>
                                <w:shd w:val="clear" w:color="auto" w:fill="FFFFFF"/>
                              </w:rPr>
                              <w:t xml:space="preserve">13,005,602.05 </w:t>
                            </w:r>
                            <w:r>
                              <w:rPr>
                                <w:color w:val="000000"/>
                                <w:spacing w:val="0"/>
                                <w:w w:val="100"/>
                                <w:position w:val="0"/>
                                <w:sz w:val="24"/>
                                <w:szCs w:val="24"/>
                                <w:shd w:val="clear" w:color="auto" w:fill="FFFFFF"/>
                              </w:rPr>
                              <w:t xml:space="preserve">354,383,466.02 </w:t>
                            </w:r>
                            <w:r>
                              <w:rPr>
                                <w:color w:val="000000"/>
                                <w:spacing w:val="0"/>
                                <w:w w:val="100"/>
                                <w:position w:val="0"/>
                                <w:sz w:val="24"/>
                                <w:szCs w:val="24"/>
                                <w:shd w:val="clear" w:color="auto" w:fill="FFFFFF"/>
                              </w:rPr>
                              <w:t>(258,114,563.37)</w:t>
                            </w:r>
                          </w:p>
                          <w:p>
                            <w:pPr>
                              <w:pStyle w:val="Style94"/>
                              <w:keepNext w:val="0"/>
                              <w:keepLines w:val="0"/>
                              <w:widowControl w:val="0"/>
                              <w:numPr>
                                <w:ilvl w:val="0"/>
                                <w:numId w:val="65"/>
                              </w:numPr>
                              <w:pBdr>
                                <w:top w:val="single" w:sz="4" w:space="0" w:color="auto"/>
                                <w:bottom w:val="single" w:sz="4" w:space="0" w:color="auto"/>
                              </w:pBdr>
                              <w:shd w:val="clear" w:color="auto" w:fill="auto"/>
                              <w:bidi w:val="0"/>
                              <w:spacing w:before="0" w:after="0"/>
                              <w:ind w:left="0" w:right="0" w:firstLine="300"/>
                              <w:jc w:val="both"/>
                            </w:pPr>
                            <w:bookmarkStart w:id="881" w:name="bookmark881"/>
                            <w:bookmarkEnd w:id="881"/>
                            <w:r>
                              <w:rPr>
                                <w:color w:val="000000"/>
                                <w:spacing w:val="0"/>
                                <w:w w:val="100"/>
                                <w:position w:val="0"/>
                                <w:sz w:val="24"/>
                                <w:szCs w:val="24"/>
                              </w:rPr>
                              <w:t xml:space="preserve"> 40,588,301.22 (18,283,240.99) (139,915,755.71) (1,488,151,582.20) 1,734,959,516.66 (1,232,938,035.11) 5,675,037,785.87</w:t>
                            </w:r>
                          </w:p>
                        </w:txbxContent>
                      </wps:txbx>
                      <wps:bodyPr lIns="0" tIns="0" rIns="0" bIns="0">
                        <a:noAutoFit/>
                      </wps:bodyPr>
                    </wps:wsp>
                  </a:graphicData>
                </a:graphic>
              </wp:anchor>
            </w:drawing>
          </mc:Choice>
          <mc:Fallback>
            <w:pict>
              <v:shape id="_x0000_s1418" type="#_x0000_t202" style="position:absolute;margin-left:309.85000000000002pt;margin-top:17.100000000000001pt;width:103.2pt;height:289.19999999999999pt;z-index:-125829226;mso-wrap-distance-left:0;mso-wrap-distance-top:17.100000000000001pt;mso-wrap-distance-right:0;mso-position-horizontal-relative:page" filled="f" stroked="f">
                <v:textbox inset="0,0,0,0">
                  <w:txbxContent>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rPr>
                        <w:t>4,160,784,941.34 19,172,492.00 1,781,262,578.15</w:t>
                      </w:r>
                    </w:p>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rPr>
                        <w:t>21,681,244.59 177,377,471.60 381,986,547.11</w:t>
                      </w:r>
                    </w:p>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shd w:val="clear" w:color="auto" w:fill="FFFFFF"/>
                        </w:rPr>
                        <w:t xml:space="preserve">6,095,807.67 </w:t>
                      </w:r>
                      <w:r>
                        <w:rPr>
                          <w:color w:val="000000"/>
                          <w:spacing w:val="0"/>
                          <w:w w:val="100"/>
                          <w:position w:val="0"/>
                          <w:sz w:val="24"/>
                          <w:szCs w:val="24"/>
                          <w:shd w:val="clear" w:color="auto" w:fill="FFFFFF"/>
                        </w:rPr>
                        <w:t xml:space="preserve">13,005,602.05 </w:t>
                      </w:r>
                      <w:r>
                        <w:rPr>
                          <w:color w:val="000000"/>
                          <w:spacing w:val="0"/>
                          <w:w w:val="100"/>
                          <w:position w:val="0"/>
                          <w:sz w:val="24"/>
                          <w:szCs w:val="24"/>
                          <w:shd w:val="clear" w:color="auto" w:fill="FFFFFF"/>
                        </w:rPr>
                        <w:t xml:space="preserve">354,383,466.02 </w:t>
                      </w:r>
                      <w:r>
                        <w:rPr>
                          <w:color w:val="000000"/>
                          <w:spacing w:val="0"/>
                          <w:w w:val="100"/>
                          <w:position w:val="0"/>
                          <w:sz w:val="24"/>
                          <w:szCs w:val="24"/>
                          <w:shd w:val="clear" w:color="auto" w:fill="FFFFFF"/>
                        </w:rPr>
                        <w:t>(258,114,563.37)</w:t>
                      </w:r>
                    </w:p>
                    <w:p>
                      <w:pPr>
                        <w:pStyle w:val="Style94"/>
                        <w:keepNext w:val="0"/>
                        <w:keepLines w:val="0"/>
                        <w:widowControl w:val="0"/>
                        <w:numPr>
                          <w:ilvl w:val="0"/>
                          <w:numId w:val="65"/>
                        </w:numPr>
                        <w:pBdr>
                          <w:top w:val="single" w:sz="4" w:space="0" w:color="auto"/>
                          <w:bottom w:val="single" w:sz="4" w:space="0" w:color="auto"/>
                        </w:pBdr>
                        <w:shd w:val="clear" w:color="auto" w:fill="auto"/>
                        <w:bidi w:val="0"/>
                        <w:spacing w:before="0" w:after="0"/>
                        <w:ind w:left="0" w:right="0" w:firstLine="300"/>
                        <w:jc w:val="both"/>
                      </w:pPr>
                      <w:bookmarkStart w:id="881" w:name="bookmark881"/>
                      <w:bookmarkEnd w:id="881"/>
                      <w:r>
                        <w:rPr>
                          <w:color w:val="000000"/>
                          <w:spacing w:val="0"/>
                          <w:w w:val="100"/>
                          <w:position w:val="0"/>
                          <w:sz w:val="24"/>
                          <w:szCs w:val="24"/>
                        </w:rPr>
                        <w:t xml:space="preserve"> 40,588,301.22 (18,283,240.99) (139,915,755.71) (1,488,151,582.20) 1,734,959,516.66 (1,232,938,035.11) 5,675,037,785.87</w:t>
                      </w:r>
                    </w:p>
                  </w:txbxContent>
                </v:textbox>
                <w10:wrap type="topAndBottom" anchorx="page"/>
              </v:shape>
            </w:pict>
          </mc:Fallback>
        </mc:AlternateContent>
      </w:r>
      <w:r>
        <mc:AlternateContent>
          <mc:Choice Requires="wps">
            <w:drawing>
              <wp:anchor distT="217170" distB="435610" distL="0" distR="0" simplePos="0" relativeHeight="125829529" behindDoc="0" locked="0" layoutInCell="1" allowOverlap="1">
                <wp:simplePos x="0" y="0"/>
                <wp:positionH relativeFrom="page">
                  <wp:posOffset>5520055</wp:posOffset>
                </wp:positionH>
                <wp:positionV relativeFrom="paragraph">
                  <wp:posOffset>217170</wp:posOffset>
                </wp:positionV>
                <wp:extent cx="1310640" cy="3237230"/>
                <wp:wrapTopAndBottom/>
                <wp:docPr id="394" name="Shape 394"/>
                <a:graphic xmlns:a="http://schemas.openxmlformats.org/drawingml/2006/main">
                  <a:graphicData uri="http://schemas.microsoft.com/office/word/2010/wordprocessingShape">
                    <wps:wsp>
                      <wps:cNvSpPr txBox="1"/>
                      <wps:spPr>
                        <a:xfrm>
                          <a:ext cx="1310640" cy="323723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1,094,221,147.98</w:t>
                            </w:r>
                          </w:p>
                          <w:p>
                            <w:pPr>
                              <w:pStyle w:val="Style94"/>
                              <w:keepNext w:val="0"/>
                              <w:keepLines w:val="0"/>
                              <w:widowControl w:val="0"/>
                              <w:shd w:val="clear" w:color="auto" w:fill="auto"/>
                              <w:bidi w:val="0"/>
                              <w:spacing w:before="0" w:after="40" w:line="240" w:lineRule="auto"/>
                              <w:ind w:left="0" w:right="0" w:firstLine="280"/>
                              <w:jc w:val="left"/>
                            </w:pPr>
                            <w:bookmarkStart w:id="882" w:name="bookmark882"/>
                            <w:r>
                              <w:rPr>
                                <w:color w:val="000000"/>
                                <w:spacing w:val="0"/>
                                <w:w w:val="100"/>
                                <w:position w:val="0"/>
                                <w:sz w:val="24"/>
                                <w:szCs w:val="24"/>
                              </w:rPr>
                              <w:t>1</w:t>
                            </w:r>
                            <w:bookmarkEnd w:id="882"/>
                            <w:r>
                              <w:rPr>
                                <w:color w:val="000000"/>
                                <w:spacing w:val="0"/>
                                <w:w w:val="100"/>
                                <w:position w:val="0"/>
                                <w:sz w:val="24"/>
                                <w:szCs w:val="24"/>
                              </w:rPr>
                              <w:t>80,567,433.16</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1,555,476,014.49</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4,651,609.82</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98,210,055.18</w:t>
                            </w:r>
                          </w:p>
                          <w:p>
                            <w:pPr>
                              <w:pStyle w:val="Style94"/>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4"/>
                                <w:szCs w:val="24"/>
                              </w:rPr>
                              <w:t>426,433,944.88</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11,278,617.88</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(15,189,834.80)</w:t>
                            </w:r>
                          </w:p>
                          <w:p>
                            <w:pPr>
                              <w:pStyle w:val="Style94"/>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4"/>
                                <w:szCs w:val="24"/>
                              </w:rPr>
                              <w:t>285,374,728.35</w:t>
                            </w:r>
                          </w:p>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rPr>
                              <w:t>(410,146,628.49)</w:t>
                            </w:r>
                          </w:p>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rPr>
                              <w:t>(275,259,794.03)</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27,360,057.90</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(7,796,298.14)</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38,476,971.85</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(2,135,406,894.03)</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1,903,830,700.55</w:t>
                            </w:r>
                          </w:p>
                        </w:txbxContent>
                      </wps:txbx>
                      <wps:bodyPr lIns="0" tIns="0" rIns="0" bIns="0">
                        <a:noAutoFit/>
                      </wps:bodyPr>
                    </wps:wsp>
                  </a:graphicData>
                </a:graphic>
              </wp:anchor>
            </w:drawing>
          </mc:Choice>
          <mc:Fallback>
            <w:pict>
              <v:shape id="_x0000_s1420" type="#_x0000_t202" style="position:absolute;margin-left:434.65000000000003pt;margin-top:17.100000000000001pt;width:103.2pt;height:254.90000000000001pt;z-index:-125829224;mso-wrap-distance-left:0;mso-wrap-distance-top:17.100000000000001pt;mso-wrap-distance-right:0;mso-wrap-distance-bottom:34.300000000000004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1,094,221,147.98</w:t>
                      </w:r>
                    </w:p>
                    <w:p>
                      <w:pPr>
                        <w:pStyle w:val="Style94"/>
                        <w:keepNext w:val="0"/>
                        <w:keepLines w:val="0"/>
                        <w:widowControl w:val="0"/>
                        <w:shd w:val="clear" w:color="auto" w:fill="auto"/>
                        <w:bidi w:val="0"/>
                        <w:spacing w:before="0" w:after="40" w:line="240" w:lineRule="auto"/>
                        <w:ind w:left="0" w:right="0" w:firstLine="280"/>
                        <w:jc w:val="left"/>
                      </w:pPr>
                      <w:bookmarkStart w:id="882" w:name="bookmark882"/>
                      <w:r>
                        <w:rPr>
                          <w:color w:val="000000"/>
                          <w:spacing w:val="0"/>
                          <w:w w:val="100"/>
                          <w:position w:val="0"/>
                          <w:sz w:val="24"/>
                          <w:szCs w:val="24"/>
                        </w:rPr>
                        <w:t>1</w:t>
                      </w:r>
                      <w:bookmarkEnd w:id="882"/>
                      <w:r>
                        <w:rPr>
                          <w:color w:val="000000"/>
                          <w:spacing w:val="0"/>
                          <w:w w:val="100"/>
                          <w:position w:val="0"/>
                          <w:sz w:val="24"/>
                          <w:szCs w:val="24"/>
                        </w:rPr>
                        <w:t>80,567,433.16</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1,555,476,014.49</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4,651,609.82</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98,210,055.18</w:t>
                      </w:r>
                    </w:p>
                    <w:p>
                      <w:pPr>
                        <w:pStyle w:val="Style94"/>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4"/>
                          <w:szCs w:val="24"/>
                        </w:rPr>
                        <w:t>426,433,944.88</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11,278,617.88</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(15,189,834.80)</w:t>
                      </w:r>
                    </w:p>
                    <w:p>
                      <w:pPr>
                        <w:pStyle w:val="Style94"/>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4"/>
                          <w:szCs w:val="24"/>
                        </w:rPr>
                        <w:t>285,374,728.35</w:t>
                      </w:r>
                    </w:p>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rPr>
                        <w:t>(410,146,628.49)</w:t>
                      </w:r>
                    </w:p>
                    <w:p>
                      <w:pPr>
                        <w:pStyle w:val="Style94"/>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4"/>
                          <w:szCs w:val="24"/>
                        </w:rPr>
                        <w:t>(275,259,794.03)</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27,360,057.90</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(7,796,298.14)</w:t>
                      </w:r>
                    </w:p>
                    <w:p>
                      <w:pPr>
                        <w:pStyle w:val="Style94"/>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38,476,971.85</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(2,135,406,894.03)</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1,903,830,700.55</w:t>
                      </w:r>
                    </w:p>
                  </w:txbxContent>
                </v:textbox>
                <w10:wrap type="topAndBottom" anchorx="page"/>
              </v:shape>
            </w:pict>
          </mc:Fallback>
        </mc:AlternateContent>
      </w:r>
      <w:r>
        <mc:AlternateContent>
          <mc:Choice Requires="wps">
            <w:drawing>
              <wp:anchor distT="3676650" distB="24130" distL="0" distR="0" simplePos="0" relativeHeight="125829531" behindDoc="0" locked="0" layoutInCell="1" allowOverlap="1">
                <wp:simplePos x="0" y="0"/>
                <wp:positionH relativeFrom="page">
                  <wp:posOffset>5565775</wp:posOffset>
                </wp:positionH>
                <wp:positionV relativeFrom="paragraph">
                  <wp:posOffset>3676650</wp:posOffset>
                </wp:positionV>
                <wp:extent cx="1212850" cy="189230"/>
                <wp:wrapTopAndBottom/>
                <wp:docPr id="396" name="Shape 396"/>
                <a:graphic xmlns:a="http://schemas.openxmlformats.org/drawingml/2006/main">
                  <a:graphicData uri="http://schemas.microsoft.com/office/word/2010/wordprocessingShape">
                    <wps:wsp>
                      <wps:cNvSpPr txBox="1"/>
                      <wps:spPr>
                        <a:xfrm>
                          <a:ext cx="121285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2,782,081,832.55</w:t>
                            </w:r>
                          </w:p>
                        </w:txbxContent>
                      </wps:txbx>
                      <wps:bodyPr wrap="none" lIns="0" tIns="0" rIns="0" bIns="0">
                        <a:noAutoFit/>
                      </wps:bodyPr>
                    </wps:wsp>
                  </a:graphicData>
                </a:graphic>
              </wp:anchor>
            </w:drawing>
          </mc:Choice>
          <mc:Fallback>
            <w:pict>
              <v:shape id="_x0000_s1422" type="#_x0000_t202" style="position:absolute;margin-left:438.25pt;margin-top:289.5pt;width:95.5pt;height:14.9pt;z-index:-125829222;mso-wrap-distance-left:0;mso-wrap-distance-top:289.5pt;mso-wrap-distance-right:0;mso-wrap-distance-bottom:1.9000000000000001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2,782,081,832.55</w:t>
                      </w:r>
                    </w:p>
                  </w:txbxContent>
                </v:textbox>
                <w10:wrap type="topAndBottom" anchorx="page"/>
              </v:shape>
            </w:pict>
          </mc:Fallback>
        </mc:AlternateContent>
      </w:r>
    </w:p>
    <w:p>
      <w:pPr>
        <w:pStyle w:val="Style33"/>
        <w:keepNext w:val="0"/>
        <w:keepLines w:val="0"/>
        <w:widowControl w:val="0"/>
        <w:shd w:val="clear" w:color="auto" w:fill="auto"/>
        <w:tabs>
          <w:tab w:pos="701" w:val="left"/>
        </w:tabs>
        <w:bidi w:val="0"/>
        <w:spacing w:before="0" w:after="0" w:line="331" w:lineRule="exact"/>
        <w:ind w:left="0" w:right="0" w:firstLine="0"/>
        <w:jc w:val="left"/>
        <w:rPr>
          <w:sz w:val="22"/>
          <w:szCs w:val="22"/>
        </w:rPr>
      </w:pPr>
      <w:r>
        <w:rPr>
          <w:b w:val="0"/>
          <w:bCs w:val="0"/>
          <w:color w:val="000000"/>
          <w:spacing w:val="0"/>
          <w:w w:val="100"/>
          <w:position w:val="0"/>
          <w:sz w:val="22"/>
          <w:szCs w:val="22"/>
        </w:rPr>
        <w:t>⑴</w:t>
        <w:tab/>
        <w:t>如附注五</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所述，非同一控制下企业合并购买翠玉控股及其附属公司产生的</w:t>
      </w:r>
    </w:p>
    <w:p>
      <w:pPr>
        <w:pStyle w:val="Style94"/>
        <w:keepNext w:val="0"/>
        <w:keepLines w:val="0"/>
        <w:widowControl w:val="0"/>
        <w:shd w:val="clear" w:color="auto" w:fill="auto"/>
        <w:bidi w:val="0"/>
        <w:spacing w:before="0" w:after="320" w:line="331" w:lineRule="exact"/>
        <w:ind w:left="0" w:right="0" w:firstLine="0"/>
        <w:jc w:val="center"/>
        <w:rPr>
          <w:sz w:val="22"/>
          <w:szCs w:val="22"/>
        </w:rPr>
      </w:pPr>
      <w:r>
        <w:rPr>
          <w:rFonts w:ascii="SimSun" w:eastAsia="SimSun" w:hAnsi="SimSun" w:cs="SimSun"/>
          <w:color w:val="000000"/>
          <w:spacing w:val="0"/>
          <w:w w:val="100"/>
          <w:position w:val="0"/>
          <w:sz w:val="22"/>
          <w:szCs w:val="22"/>
        </w:rPr>
        <w:t>计入营业外收入的负商誉人民币</w:t>
      </w:r>
      <w:r>
        <w:rPr>
          <w:color w:val="000000"/>
          <w:spacing w:val="0"/>
          <w:w w:val="100"/>
          <w:position w:val="0"/>
          <w:sz w:val="24"/>
          <w:szCs w:val="24"/>
        </w:rPr>
        <w:t>1,232,938,035.11</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附注四</w:t>
      </w:r>
      <w:r>
        <w:rPr>
          <w:color w:val="000000"/>
          <w:spacing w:val="0"/>
          <w:w w:val="100"/>
          <w:position w:val="0"/>
          <w:sz w:val="24"/>
          <w:szCs w:val="24"/>
        </w:rPr>
        <w:t>(50)(a))</w:t>
      </w:r>
      <w:r>
        <w:rPr>
          <w:rFonts w:ascii="SimSun" w:eastAsia="SimSun" w:hAnsi="SimSun" w:cs="SimSun"/>
          <w:color w:val="000000"/>
          <w:spacing w:val="0"/>
          <w:w w:val="100"/>
          <w:position w:val="0"/>
          <w:sz w:val="22"/>
          <w:szCs w:val="22"/>
        </w:rPr>
        <w:t>。</w:t>
      </w:r>
    </w:p>
    <w:p>
      <w:pPr>
        <w:pStyle w:val="Style33"/>
        <w:keepNext w:val="0"/>
        <w:keepLines w:val="0"/>
        <w:widowControl w:val="0"/>
        <w:numPr>
          <w:ilvl w:val="0"/>
          <w:numId w:val="69"/>
        </w:numPr>
        <w:shd w:val="clear" w:color="auto" w:fill="auto"/>
        <w:tabs>
          <w:tab w:pos="701" w:val="left"/>
        </w:tabs>
        <w:bidi w:val="0"/>
        <w:spacing w:before="0" w:after="0" w:line="331" w:lineRule="exact"/>
        <w:ind w:left="720" w:right="0" w:hanging="720"/>
        <w:jc w:val="left"/>
        <w:rPr>
          <w:sz w:val="22"/>
          <w:szCs w:val="22"/>
        </w:r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2113" w:right="1066" w:bottom="3356" w:left="1944" w:header="0" w:footer="3" w:gutter="0"/>
          <w:cols w:space="720"/>
          <w:noEndnote/>
          <w:rtlGutter w:val="0"/>
          <w:docGrid w:linePitch="360"/>
        </w:sectPr>
      </w:pPr>
      <w:bookmarkStart w:id="884" w:name="bookmark884"/>
      <w:bookmarkEnd w:id="884"/>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年度，不涉及现金收支的重大筹资活动包含了本集团重大资产置换及 发行股份购买资产的部分交易，详见附注一。</w:t>
      </w:r>
    </w:p>
    <w:p>
      <w:pPr>
        <w:pStyle w:val="Style33"/>
        <w:keepNext w:val="0"/>
        <w:keepLines w:val="0"/>
        <w:widowControl w:val="0"/>
        <w:shd w:val="clear" w:color="auto" w:fill="auto"/>
        <w:bidi w:val="0"/>
        <w:spacing w:before="0" w:after="36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 xml:space="preserve">（57） </w:t>
      </w:r>
      <w:r>
        <w:rPr>
          <w:color w:val="000000"/>
          <w:spacing w:val="0"/>
          <w:w w:val="100"/>
          <w:position w:val="0"/>
          <w:sz w:val="22"/>
          <w:szCs w:val="22"/>
        </w:rPr>
        <w:t>现金流量表补充资料</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bidi w:val="0"/>
        <w:spacing w:before="0" w:after="36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现金流量表附注</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19" w:right="0" w:firstLine="0"/>
        <w:jc w:val="left"/>
        <w:rPr>
          <w:sz w:val="22"/>
          <w:szCs w:val="22"/>
        </w:rPr>
      </w:pPr>
      <w:r>
        <w:rPr>
          <w:color w:val="000000"/>
          <w:spacing w:val="0"/>
          <w:w w:val="100"/>
          <w:position w:val="0"/>
          <w:sz w:val="22"/>
          <w:szCs w:val="22"/>
        </w:rPr>
        <w:t>现金及现金等价物净变动情况</w:t>
      </w:r>
    </w:p>
    <w:tbl>
      <w:tblPr>
        <w:tblOverlap w:val="never"/>
        <w:jc w:val="center"/>
        <w:tblLayout w:type="fixed"/>
      </w:tblPr>
      <w:tblGrid>
        <w:gridCol w:w="3970"/>
        <w:gridCol w:w="4920"/>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3651" w:val="left"/>
              </w:tabs>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334" w:hRule="exact"/>
        </w:trPr>
        <w:tc>
          <w:tcPr>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现金的年末余额</w:t>
            </w:r>
          </w:p>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减：现金的年初余额</w:t>
            </w:r>
          </w:p>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现金及现金等价物净增加额</w:t>
            </w:r>
          </w:p>
        </w:tc>
        <w:tc>
          <w:tcPr>
            <w:tcBorders/>
            <w:shd w:val="clear" w:color="auto" w:fill="FFFFFF"/>
            <w:vAlign w:val="center"/>
          </w:tcPr>
          <w:p>
            <w:pPr>
              <w:pStyle w:val="Style23"/>
              <w:keepNext w:val="0"/>
              <w:keepLines w:val="0"/>
              <w:widowControl w:val="0"/>
              <w:shd w:val="clear" w:color="auto" w:fill="auto"/>
              <w:tabs>
                <w:tab w:pos="4704" w:val="right"/>
              </w:tabs>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6,369,775,801.18</w:t>
              <w:tab/>
              <w:t>3,444,801,237.57</w:t>
            </w:r>
          </w:p>
          <w:p>
            <w:pPr>
              <w:pStyle w:val="Style23"/>
              <w:keepNext w:val="0"/>
              <w:keepLines w:val="0"/>
              <w:widowControl w:val="0"/>
              <w:shd w:val="clear" w:color="auto" w:fill="auto"/>
              <w:tabs>
                <w:tab w:pos="4778" w:val="right"/>
              </w:tabs>
              <w:bidi w:val="0"/>
              <w:spacing w:before="0" w:after="40" w:line="240" w:lineRule="auto"/>
              <w:ind w:left="0" w:right="0" w:firstLine="280"/>
              <w:jc w:val="left"/>
              <w:rPr>
                <w:sz w:val="24"/>
                <w:szCs w:val="24"/>
              </w:rPr>
            </w:pPr>
            <w:r>
              <w:rPr>
                <w:color w:val="000000"/>
                <w:spacing w:val="0"/>
                <w:w w:val="100"/>
                <w:position w:val="0"/>
                <w:sz w:val="28"/>
                <w:szCs w:val="28"/>
                <w:u w:val="single"/>
              </w:rPr>
              <w:t>(</w:t>
            </w:r>
            <w:r>
              <w:rPr>
                <w:rFonts w:ascii="Arial" w:eastAsia="Arial" w:hAnsi="Arial" w:cs="Arial"/>
                <w:color w:val="000000"/>
                <w:spacing w:val="0"/>
                <w:w w:val="100"/>
                <w:position w:val="0"/>
                <w:sz w:val="24"/>
                <w:szCs w:val="24"/>
                <w:u w:val="single"/>
              </w:rPr>
              <w:t>3,444,801,237.57)</w:t>
              <w:tab/>
              <w:t>(2,351,875,550.95)</w:t>
            </w:r>
          </w:p>
          <w:p>
            <w:pPr>
              <w:pStyle w:val="Style23"/>
              <w:keepNext w:val="0"/>
              <w:keepLines w:val="0"/>
              <w:widowControl w:val="0"/>
              <w:shd w:val="clear" w:color="auto" w:fill="auto"/>
              <w:tabs>
                <w:tab w:pos="4704" w:val="right"/>
              </w:tabs>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u w:val="single"/>
              </w:rPr>
              <w:t>2,924,974,563.61</w:t>
              <w:tab/>
              <w:t>1,092,925,686.62</w:t>
            </w:r>
          </w:p>
        </w:tc>
      </w:tr>
    </w:tbl>
    <w:p>
      <w:pPr>
        <w:widowControl w:val="0"/>
        <w:spacing w:after="1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24" w:right="0" w:firstLine="0"/>
        <w:jc w:val="left"/>
        <w:rPr>
          <w:sz w:val="22"/>
          <w:szCs w:val="22"/>
        </w:rPr>
      </w:pPr>
      <w:r>
        <w:rPr>
          <w:rFonts w:ascii="Arial" w:eastAsia="Arial" w:hAnsi="Arial" w:cs="Arial"/>
          <w:color w:val="000000"/>
          <w:spacing w:val="0"/>
          <w:w w:val="100"/>
          <w:position w:val="0"/>
          <w:sz w:val="24"/>
          <w:szCs w:val="24"/>
        </w:rPr>
        <w:t>（b）</w:t>
      </w:r>
      <w:r>
        <w:rPr>
          <w:color w:val="000000"/>
          <w:spacing w:val="0"/>
          <w:w w:val="100"/>
          <w:position w:val="0"/>
          <w:sz w:val="22"/>
          <w:szCs w:val="22"/>
        </w:rPr>
        <w:t>取得或处置子公司</w:t>
      </w:r>
    </w:p>
    <w:tbl>
      <w:tblPr>
        <w:tblOverlap w:val="never"/>
        <w:jc w:val="center"/>
        <w:tblLayout w:type="fixed"/>
      </w:tblPr>
      <w:tblGrid>
        <w:gridCol w:w="3970"/>
        <w:gridCol w:w="4920"/>
      </w:tblGrid>
      <w:tr>
        <w:trPr>
          <w:trHeight w:val="1306" w:hRule="exact"/>
        </w:trPr>
        <w:tc>
          <w:tcPr>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left"/>
              <w:rPr>
                <w:sz w:val="22"/>
                <w:szCs w:val="22"/>
              </w:rPr>
            </w:pPr>
            <w:r>
              <w:rPr>
                <w:color w:val="000000"/>
                <w:spacing w:val="0"/>
                <w:w w:val="100"/>
                <w:position w:val="0"/>
                <w:sz w:val="22"/>
                <w:szCs w:val="22"/>
              </w:rPr>
              <w:t>⑴取得子公司</w:t>
            </w:r>
          </w:p>
        </w:tc>
        <w:tc>
          <w:tcPr>
            <w:tcBorders/>
            <w:shd w:val="clear" w:color="auto" w:fill="FFFFFF"/>
            <w:vAlign w:val="bottom"/>
          </w:tcPr>
          <w:p>
            <w:pPr>
              <w:pStyle w:val="Style23"/>
              <w:keepNext w:val="0"/>
              <w:keepLines w:val="0"/>
              <w:widowControl w:val="0"/>
              <w:shd w:val="clear" w:color="auto" w:fill="auto"/>
              <w:tabs>
                <w:tab w:pos="3651" w:val="left"/>
              </w:tabs>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792" w:hRule="exact"/>
        </w:trPr>
        <w:tc>
          <w:tcPr>
            <w:tcBorders/>
            <w:shd w:val="clear" w:color="auto" w:fill="FFFFFF"/>
            <w:vAlign w:val="bottom"/>
          </w:tcPr>
          <w:p>
            <w:pPr>
              <w:pStyle w:val="Style23"/>
              <w:keepNext w:val="0"/>
              <w:keepLines w:val="0"/>
              <w:widowControl w:val="0"/>
              <w:shd w:val="clear" w:color="auto" w:fill="auto"/>
              <w:bidi w:val="0"/>
              <w:spacing w:before="0" w:after="0" w:line="302" w:lineRule="exact"/>
              <w:ind w:left="260" w:right="0" w:hanging="260"/>
              <w:jc w:val="left"/>
              <w:rPr>
                <w:sz w:val="22"/>
                <w:szCs w:val="22"/>
              </w:rPr>
            </w:pPr>
            <w:r>
              <w:rPr>
                <w:color w:val="000000"/>
                <w:spacing w:val="0"/>
                <w:w w:val="100"/>
                <w:position w:val="0"/>
                <w:sz w:val="22"/>
                <w:szCs w:val="22"/>
              </w:rPr>
              <w:t>本年发生的企业合并于本年支付的现 金和现金等价物</w:t>
            </w:r>
          </w:p>
        </w:tc>
        <w:tc>
          <w:tcPr>
            <w:tcBorders/>
            <w:shd w:val="clear" w:color="auto" w:fill="FFFFFF"/>
            <w:vAlign w:val="bottom"/>
          </w:tcPr>
          <w:p>
            <w:pPr>
              <w:pStyle w:val="Style23"/>
              <w:keepNext w:val="0"/>
              <w:keepLines w:val="0"/>
              <w:widowControl w:val="0"/>
              <w:shd w:val="clear" w:color="auto" w:fill="auto"/>
              <w:tabs>
                <w:tab w:pos="1229" w:val="left"/>
              </w:tabs>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203,000,000.00</w:t>
            </w:r>
          </w:p>
        </w:tc>
      </w:tr>
    </w:tbl>
    <w:p>
      <w:pPr>
        <w:widowControl w:val="0"/>
        <w:spacing w:line="1" w:lineRule="exact"/>
      </w:pPr>
    </w:p>
    <w:p>
      <w:pPr>
        <w:pStyle w:val="Style29"/>
        <w:keepNext w:val="0"/>
        <w:keepLines w:val="0"/>
        <w:widowControl w:val="0"/>
        <w:shd w:val="clear" w:color="auto" w:fill="auto"/>
        <w:bidi w:val="0"/>
        <w:spacing w:before="0" w:after="0" w:line="240" w:lineRule="auto"/>
        <w:ind w:left="19" w:right="0" w:firstLine="0"/>
        <w:jc w:val="left"/>
        <w:rPr>
          <w:sz w:val="22"/>
          <w:szCs w:val="22"/>
        </w:rPr>
      </w:pPr>
      <w:r>
        <w:rPr>
          <w:color w:val="000000"/>
          <w:spacing w:val="0"/>
          <w:w w:val="100"/>
          <w:position w:val="0"/>
          <w:sz w:val="22"/>
          <w:szCs w:val="22"/>
        </w:rPr>
        <w:t>减：购买日子公司持有的现金和现金等</w:t>
      </w:r>
    </w:p>
    <w:tbl>
      <w:tblPr>
        <w:tblOverlap w:val="never"/>
        <w:jc w:val="center"/>
        <w:tblLayout w:type="fixed"/>
      </w:tblPr>
      <w:tblGrid>
        <w:gridCol w:w="3970"/>
        <w:gridCol w:w="4920"/>
      </w:tblGrid>
      <w:tr>
        <w:trPr>
          <w:trHeight w:val="840" w:hRule="exact"/>
        </w:trPr>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740"/>
              <w:jc w:val="left"/>
              <w:rPr>
                <w:sz w:val="22"/>
                <w:szCs w:val="22"/>
              </w:rPr>
            </w:pPr>
            <w:r>
              <w:rPr>
                <w:color w:val="000000"/>
                <w:spacing w:val="0"/>
                <w:w w:val="100"/>
                <w:position w:val="0"/>
                <w:sz w:val="22"/>
                <w:szCs w:val="22"/>
              </w:rPr>
              <w:t>价物</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取得子公司</w:t>
            </w:r>
            <w:r>
              <w:rPr>
                <w:rFonts w:ascii="Arial" w:eastAsia="Arial" w:hAnsi="Arial" w:cs="Arial"/>
                <w:color w:val="000000"/>
                <w:spacing w:val="0"/>
                <w:w w:val="100"/>
                <w:position w:val="0"/>
                <w:sz w:val="24"/>
                <w:szCs w:val="24"/>
              </w:rPr>
              <w:t>（</w:t>
            </w:r>
            <w:r>
              <w:rPr>
                <w:color w:val="000000"/>
                <w:spacing w:val="0"/>
                <w:w w:val="100"/>
                <w:position w:val="0"/>
                <w:sz w:val="22"/>
                <w:szCs w:val="22"/>
              </w:rPr>
              <w:t>收到</w:t>
            </w:r>
            <w:r>
              <w:rPr>
                <w:rFonts w:ascii="Arial" w:eastAsia="Arial" w:hAnsi="Arial" w:cs="Arial"/>
                <w:color w:val="000000"/>
                <w:spacing w:val="0"/>
                <w:w w:val="100"/>
                <w:position w:val="0"/>
                <w:sz w:val="24"/>
                <w:szCs w:val="24"/>
              </w:rPr>
              <w:t>）/</w:t>
            </w:r>
            <w:r>
              <w:rPr>
                <w:color w:val="000000"/>
                <w:spacing w:val="0"/>
                <w:w w:val="100"/>
                <w:position w:val="0"/>
                <w:sz w:val="22"/>
                <w:szCs w:val="22"/>
              </w:rPr>
              <w:t>支付的现金净额</w:t>
            </w:r>
          </w:p>
        </w:tc>
        <w:tc>
          <w:tcPr>
            <w:tcBorders/>
            <w:shd w:val="clear" w:color="auto" w:fill="FFFFFF"/>
            <w:vAlign w:val="top"/>
          </w:tcPr>
          <w:p>
            <w:pPr>
              <w:pStyle w:val="Style23"/>
              <w:keepNext w:val="0"/>
              <w:keepLines w:val="0"/>
              <w:widowControl w:val="0"/>
              <w:shd w:val="clear" w:color="auto" w:fill="auto"/>
              <w:tabs>
                <w:tab w:pos="3066" w:val="left"/>
              </w:tabs>
              <w:bidi w:val="0"/>
              <w:spacing w:before="0" w:after="40" w:line="240" w:lineRule="auto"/>
              <w:ind w:left="0" w:right="0" w:firstLine="440"/>
              <w:jc w:val="left"/>
              <w:rPr>
                <w:sz w:val="24"/>
                <w:szCs w:val="24"/>
              </w:rPr>
            </w:pPr>
            <w:r>
              <w:rPr>
                <w:rFonts w:ascii="Arial" w:eastAsia="Arial" w:hAnsi="Arial" w:cs="Arial"/>
                <w:color w:val="000000"/>
                <w:spacing w:val="0"/>
                <w:w w:val="100"/>
                <w:position w:val="0"/>
                <w:sz w:val="24"/>
                <w:szCs w:val="24"/>
                <w:u w:val="single"/>
              </w:rPr>
              <w:t>(110,652,843.66)</w:t>
              <w:tab/>
              <w:t>(98,169,943.08)</w:t>
            </w:r>
          </w:p>
          <w:p>
            <w:pPr>
              <w:pStyle w:val="Style23"/>
              <w:keepNext w:val="0"/>
              <w:keepLines w:val="0"/>
              <w:widowControl w:val="0"/>
              <w:shd w:val="clear" w:color="auto" w:fill="auto"/>
              <w:tabs>
                <w:tab w:pos="3022" w:val="left"/>
              </w:tabs>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u w:val="single"/>
              </w:rPr>
              <w:t>(110,652,843.66)</w:t>
              <w:tab/>
              <w:t>104,830,056.92</w:t>
            </w:r>
          </w:p>
        </w:tc>
      </w:tr>
    </w:tbl>
    <w:p>
      <w:pPr>
        <w:widowControl w:val="0"/>
        <w:spacing w:after="1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年度取得子公司的价格</w:t>
      </w:r>
    </w:p>
    <w:tbl>
      <w:tblPr>
        <w:tblOverlap w:val="never"/>
        <w:jc w:val="center"/>
        <w:tblLayout w:type="fixed"/>
      </w:tblPr>
      <w:tblGrid>
        <w:gridCol w:w="3970"/>
        <w:gridCol w:w="4920"/>
      </w:tblGrid>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翠玉控股及其附属公司</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1,098,368,000.00</w:t>
            </w:r>
          </w:p>
        </w:tc>
      </w:tr>
    </w:tbl>
    <w:p>
      <w:pPr>
        <w:spacing w:lineRule="exact" w:line="1"/>
        <w:rPr>
          <w:sz w:val="2"/>
          <w:szCs w:val="2"/>
        </w:rPr>
      </w:pPr>
      <w:r>
        <w:br w:type="page"/>
      </w:r>
    </w:p>
    <w:p>
      <w:pPr>
        <w:pStyle w:val="Style33"/>
        <w:keepNext w:val="0"/>
        <w:keepLines w:val="0"/>
        <w:widowControl w:val="0"/>
        <w:shd w:val="clear" w:color="auto" w:fill="auto"/>
        <w:tabs>
          <w:tab w:pos="816" w:val="left"/>
        </w:tabs>
        <w:bidi w:val="0"/>
        <w:spacing w:before="0" w:after="36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(57)</w:t>
        <w:tab/>
      </w:r>
      <w:r>
        <w:rPr>
          <w:color w:val="000000"/>
          <w:spacing w:val="0"/>
          <w:w w:val="100"/>
          <w:position w:val="0"/>
          <w:sz w:val="22"/>
          <w:szCs w:val="22"/>
        </w:rPr>
        <w:t>现金流量表补充资料</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bidi w:val="0"/>
        <w:spacing w:before="0" w:after="36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取得或处置子公司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60" w:line="240" w:lineRule="auto"/>
        <w:ind w:left="0" w:right="0" w:firstLine="0"/>
        <w:jc w:val="left"/>
        <w:rPr>
          <w:sz w:val="28"/>
          <w:szCs w:val="28"/>
        </w:rPr>
      </w:pPr>
      <w:r>
        <w:rPr>
          <w:b w:val="0"/>
          <w:bCs w:val="0"/>
          <w:color w:val="000000"/>
          <w:spacing w:val="0"/>
          <w:w w:val="100"/>
          <w:position w:val="0"/>
          <w:sz w:val="22"/>
          <w:szCs w:val="22"/>
        </w:rPr>
        <w:t>⑴取得子公司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取得子公司的净资产</w:t>
      </w:r>
    </w:p>
    <w:tbl>
      <w:tblPr>
        <w:tblOverlap w:val="never"/>
        <w:jc w:val="center"/>
        <w:tblLayout w:type="fixed"/>
      </w:tblPr>
      <w:tblGrid>
        <w:gridCol w:w="4061"/>
        <w:gridCol w:w="2534"/>
        <w:gridCol w:w="2256"/>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101,176,758.60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160,854,965.19</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4,342,521,183.93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91,433,030.54</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(166,737,240.60)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(22,443,251.79)</w:t>
            </w:r>
          </w:p>
        </w:tc>
      </w:tr>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(1,670,778,319.27)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(20,317,435.95)</w:t>
            </w:r>
          </w:p>
        </w:tc>
      </w:tr>
      <w:tr>
        <w:trPr>
          <w:trHeight w:val="30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2,606,182,382.66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209,527,307.99</w:t>
            </w:r>
          </w:p>
        </w:tc>
      </w:tr>
      <w:tr>
        <w:trPr>
          <w:trHeight w:val="1464" w:hRule="exact"/>
        </w:trPr>
        <w:tc>
          <w:tcPr>
            <w:tcBorders/>
            <w:shd w:val="clear" w:color="auto" w:fill="FFFFFF"/>
            <w:vAlign w:val="top"/>
          </w:tcPr>
          <w:p>
            <w:pPr>
              <w:pStyle w:val="Style23"/>
              <w:keepNext w:val="0"/>
              <w:keepLines w:val="0"/>
              <w:widowControl w:val="0"/>
              <w:shd w:val="clear" w:color="auto" w:fill="auto"/>
              <w:bidi w:val="0"/>
              <w:spacing w:before="380" w:after="0" w:line="240" w:lineRule="auto"/>
              <w:ind w:left="0" w:right="0" w:firstLine="0"/>
              <w:jc w:val="left"/>
              <w:rPr>
                <w:sz w:val="22"/>
                <w:szCs w:val="22"/>
              </w:rPr>
            </w:pPr>
            <w:r>
              <w:rPr>
                <w:rFonts w:ascii="Arial" w:eastAsia="Arial" w:hAnsi="Arial" w:cs="Arial"/>
                <w:color w:val="000000"/>
                <w:spacing w:val="0"/>
                <w:w w:val="100"/>
                <w:position w:val="0"/>
                <w:sz w:val="24"/>
                <w:szCs w:val="24"/>
              </w:rPr>
              <w:t>(ii)</w:t>
            </w:r>
            <w:r>
              <w:rPr>
                <w:color w:val="000000"/>
                <w:spacing w:val="0"/>
                <w:w w:val="100"/>
                <w:position w:val="0"/>
                <w:sz w:val="22"/>
                <w:szCs w:val="22"/>
              </w:rPr>
              <w:t>处置子公司</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处置子公司于本年收到的现金和现金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等价物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734,587,773.82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250,000,012.83</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减：丧失控制权日子公司持有的现金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和现金等价物</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(92,509,812.86)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(104,227,720.02)</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处置子公司收到的现金净额</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642,077,960.96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145,772,292.81</w:t>
            </w:r>
          </w:p>
        </w:tc>
      </w:tr>
      <w:tr>
        <w:trPr>
          <w:trHeight w:val="83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处置子公司的价格</w:t>
            </w:r>
            <w:r>
              <w:rPr>
                <w:rFonts w:ascii="Arial" w:eastAsia="Arial" w:hAnsi="Arial" w:cs="Arial"/>
                <w:color w:val="000000"/>
                <w:spacing w:val="0"/>
                <w:w w:val="100"/>
                <w:position w:val="0"/>
                <w:sz w:val="24"/>
                <w:szCs w:val="24"/>
              </w:rPr>
              <w:t>(</w:t>
            </w:r>
            <w:r>
              <w:rPr>
                <w:color w:val="000000"/>
                <w:spacing w:val="0"/>
                <w:w w:val="100"/>
                <w:position w:val="0"/>
                <w:sz w:val="22"/>
                <w:szCs w:val="22"/>
              </w:rPr>
              <w:t>附注五</w:t>
            </w:r>
            <w:r>
              <w:rPr>
                <w:rFonts w:ascii="Arial" w:eastAsia="Arial" w:hAnsi="Arial" w:cs="Arial"/>
                <w:color w:val="000000"/>
                <w:spacing w:val="0"/>
                <w:w w:val="100"/>
                <w:position w:val="0"/>
                <w:sz w:val="24"/>
                <w:szCs w:val="24"/>
              </w:rPr>
              <w:t>(3)(a))</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734,587,773.82</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250,000,012.83</w:t>
            </w:r>
          </w:p>
        </w:tc>
      </w:tr>
    </w:tbl>
    <w:p>
      <w:pPr>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2113" w:right="1066" w:bottom="3356" w:left="1944" w:header="0" w:footer="3" w:gutter="0"/>
          <w:cols w:space="720"/>
          <w:noEndnote/>
          <w:titlePg/>
          <w:rtlGutter w:val="0"/>
          <w:docGrid w:linePitch="360"/>
        </w:sectPr>
      </w:pPr>
    </w:p>
    <w:p>
      <w:pPr>
        <w:widowControl w:val="0"/>
        <w:spacing w:line="1" w:lineRule="exact"/>
      </w:pPr>
      <w:r>
        <mc:AlternateContent>
          <mc:Choice Requires="wps">
            <w:drawing>
              <wp:anchor distT="0" distB="0" distL="114300" distR="114300" simplePos="0" relativeHeight="125829533" behindDoc="0" locked="0" layoutInCell="1" allowOverlap="1">
                <wp:simplePos x="0" y="0"/>
                <wp:positionH relativeFrom="page">
                  <wp:posOffset>5683885</wp:posOffset>
                </wp:positionH>
                <wp:positionV relativeFrom="paragraph">
                  <wp:posOffset>1627505</wp:posOffset>
                </wp:positionV>
                <wp:extent cx="1097280" cy="829310"/>
                <wp:wrapSquare wrapText="left"/>
                <wp:docPr id="433" name="Shape 433"/>
                <a:graphic xmlns:a="http://schemas.openxmlformats.org/drawingml/2006/main">
                  <a:graphicData uri="http://schemas.microsoft.com/office/word/2010/wordprocessingShape">
                    <wps:wsp>
                      <wps:cNvSpPr txBox="1"/>
                      <wps:spPr>
                        <a:xfrm>
                          <a:ext cx="1097280" cy="829310"/>
                        </a:xfrm>
                        <a:prstGeom prst="rect"/>
                        <a:noFill/>
                      </wps:spPr>
                      <wps:txbx>
                        <w:txbxContent>
                          <w:p>
                            <w:pPr>
                              <w:pStyle w:val="Style94"/>
                              <w:keepNext w:val="0"/>
                              <w:keepLines w:val="0"/>
                              <w:widowControl w:val="0"/>
                              <w:shd w:val="clear" w:color="auto" w:fill="auto"/>
                              <w:bidi w:val="0"/>
                              <w:spacing w:before="0" w:after="0"/>
                              <w:ind w:left="0" w:right="0" w:firstLine="140"/>
                              <w:jc w:val="both"/>
                              <w:rPr>
                                <w:sz w:val="28"/>
                                <w:szCs w:val="28"/>
                              </w:rPr>
                            </w:pPr>
                            <w:r>
                              <w:rPr>
                                <w:color w:val="000000"/>
                                <w:spacing w:val="0"/>
                                <w:w w:val="100"/>
                                <w:position w:val="0"/>
                                <w:sz w:val="24"/>
                                <w:szCs w:val="24"/>
                              </w:rPr>
                              <w:t xml:space="preserve">54,705,787.80 302,304,386.02 </w:t>
                            </w:r>
                            <w:r>
                              <w:rPr>
                                <w:color w:val="000000"/>
                                <w:spacing w:val="0"/>
                                <w:w w:val="100"/>
                                <w:position w:val="0"/>
                                <w:sz w:val="24"/>
                                <w:szCs w:val="24"/>
                              </w:rPr>
                              <w:t xml:space="preserve">377,577,600.00 </w:t>
                            </w:r>
                            <w:r>
                              <w:rPr>
                                <w:color w:val="000000"/>
                                <w:spacing w:val="0"/>
                                <w:w w:val="100"/>
                                <w:position w:val="0"/>
                                <w:sz w:val="24"/>
                                <w:szCs w:val="24"/>
                              </w:rPr>
                              <w:t>734,587,773</w:t>
                            </w:r>
                            <w:r>
                              <w:rPr>
                                <w:rFonts w:ascii="SimSun" w:eastAsia="SimSun" w:hAnsi="SimSun" w:cs="SimSun"/>
                                <w:color w:val="000000"/>
                                <w:spacing w:val="0"/>
                                <w:w w:val="100"/>
                                <w:position w:val="0"/>
                                <w:sz w:val="28"/>
                                <w:szCs w:val="28"/>
                              </w:rPr>
                              <w:t>蕊</w:t>
                            </w:r>
                          </w:p>
                        </w:txbxContent>
                      </wps:txbx>
                      <wps:bodyPr lIns="0" tIns="0" rIns="0" bIns="0">
                        <a:noAutoFit/>
                      </wps:bodyPr>
                    </wps:wsp>
                  </a:graphicData>
                </a:graphic>
              </wp:anchor>
            </w:drawing>
          </mc:Choice>
          <mc:Fallback>
            <w:pict>
              <v:shape id="_x0000_s1459" type="#_x0000_t202" style="position:absolute;margin-left:447.55000000000001pt;margin-top:128.15000000000001pt;width:86.400000000000006pt;height:65.299999999999997pt;z-index:-125829220;mso-wrap-distance-left:9.pt;mso-wrap-distance-right:9.pt;mso-position-horizontal-relative:page" filled="f" stroked="f">
                <v:textbox inset="0,0,0,0">
                  <w:txbxContent>
                    <w:p>
                      <w:pPr>
                        <w:pStyle w:val="Style94"/>
                        <w:keepNext w:val="0"/>
                        <w:keepLines w:val="0"/>
                        <w:widowControl w:val="0"/>
                        <w:shd w:val="clear" w:color="auto" w:fill="auto"/>
                        <w:bidi w:val="0"/>
                        <w:spacing w:before="0" w:after="0"/>
                        <w:ind w:left="0" w:right="0" w:firstLine="140"/>
                        <w:jc w:val="both"/>
                        <w:rPr>
                          <w:sz w:val="28"/>
                          <w:szCs w:val="28"/>
                        </w:rPr>
                      </w:pPr>
                      <w:r>
                        <w:rPr>
                          <w:color w:val="000000"/>
                          <w:spacing w:val="0"/>
                          <w:w w:val="100"/>
                          <w:position w:val="0"/>
                          <w:sz w:val="24"/>
                          <w:szCs w:val="24"/>
                        </w:rPr>
                        <w:t xml:space="preserve">54,705,787.80 302,304,386.02 </w:t>
                      </w:r>
                      <w:r>
                        <w:rPr>
                          <w:color w:val="000000"/>
                          <w:spacing w:val="0"/>
                          <w:w w:val="100"/>
                          <w:position w:val="0"/>
                          <w:sz w:val="24"/>
                          <w:szCs w:val="24"/>
                        </w:rPr>
                        <w:t xml:space="preserve">377,577,600.00 </w:t>
                      </w:r>
                      <w:r>
                        <w:rPr>
                          <w:color w:val="000000"/>
                          <w:spacing w:val="0"/>
                          <w:w w:val="100"/>
                          <w:position w:val="0"/>
                          <w:sz w:val="24"/>
                          <w:szCs w:val="24"/>
                        </w:rPr>
                        <w:t>734,587,773</w:t>
                      </w:r>
                      <w:r>
                        <w:rPr>
                          <w:rFonts w:ascii="SimSun" w:eastAsia="SimSun" w:hAnsi="SimSun" w:cs="SimSun"/>
                          <w:color w:val="000000"/>
                          <w:spacing w:val="0"/>
                          <w:w w:val="100"/>
                          <w:position w:val="0"/>
                          <w:sz w:val="28"/>
                          <w:szCs w:val="28"/>
                        </w:rPr>
                        <w:t>蕊</w:t>
                      </w:r>
                    </w:p>
                  </w:txbxContent>
                </v:textbox>
                <w10:wrap type="square" side="left" anchorx="page"/>
              </v:shape>
            </w:pict>
          </mc:Fallback>
        </mc:AlternateContent>
      </w:r>
      <w:r>
        <mc:AlternateContent>
          <mc:Choice Requires="wps">
            <w:drawing>
              <wp:anchor distT="268605" distB="238125" distL="114300" distR="4320540" simplePos="0" relativeHeight="125829535" behindDoc="0" locked="0" layoutInCell="1" allowOverlap="1">
                <wp:simplePos x="0" y="0"/>
                <wp:positionH relativeFrom="page">
                  <wp:posOffset>1249045</wp:posOffset>
                </wp:positionH>
                <wp:positionV relativeFrom="paragraph">
                  <wp:posOffset>2667000</wp:posOffset>
                </wp:positionV>
                <wp:extent cx="1393190" cy="1200785"/>
                <wp:wrapTopAndBottom/>
                <wp:docPr id="435" name="Shape 435"/>
                <a:graphic xmlns:a="http://schemas.openxmlformats.org/drawingml/2006/main">
                  <a:graphicData uri="http://schemas.microsoft.com/office/word/2010/wordprocessingShape">
                    <wps:wsp>
                      <wps:cNvSpPr txBox="1"/>
                      <wps:spPr>
                        <a:xfrm>
                          <a:ext cx="1393190" cy="1200785"/>
                        </a:xfrm>
                        <a:prstGeom prst="rect"/>
                        <a:noFill/>
                      </wps:spPr>
                      <wps:txbx>
                        <w:txbxContent>
                          <w:p>
                            <w:pPr>
                              <w:pStyle w:val="Style33"/>
                              <w:keepNext w:val="0"/>
                              <w:keepLines w:val="0"/>
                              <w:widowControl w:val="0"/>
                              <w:shd w:val="clear" w:color="auto" w:fill="auto"/>
                              <w:bidi w:val="0"/>
                              <w:spacing w:before="0" w:after="380" w:line="240" w:lineRule="auto"/>
                              <w:ind w:left="0" w:right="0" w:firstLine="0"/>
                              <w:jc w:val="left"/>
                              <w:rPr>
                                <w:sz w:val="22"/>
                                <w:szCs w:val="22"/>
                              </w:rPr>
                            </w:pPr>
                            <w:r>
                              <w:rPr>
                                <w:b w:val="0"/>
                                <w:bCs w:val="0"/>
                                <w:color w:val="000000"/>
                                <w:spacing w:val="0"/>
                                <w:w w:val="100"/>
                                <w:position w:val="0"/>
                                <w:sz w:val="22"/>
                                <w:szCs w:val="22"/>
                              </w:rPr>
                              <w:t>处置子公司的净资产</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流动资产</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非流动资产</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流动负债</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非流动负债</w:t>
                            </w:r>
                          </w:p>
                        </w:txbxContent>
                      </wps:txbx>
                      <wps:bodyPr lIns="0" tIns="0" rIns="0" bIns="0">
                        <a:noAutoFit/>
                      </wps:bodyPr>
                    </wps:wsp>
                  </a:graphicData>
                </a:graphic>
              </wp:anchor>
            </w:drawing>
          </mc:Choice>
          <mc:Fallback>
            <w:pict>
              <v:shape id="_x0000_s1461" type="#_x0000_t202" style="position:absolute;margin-left:98.350000000000009pt;margin-top:210.pt;width:109.7pt;height:94.549999999999997pt;z-index:-125829218;mso-wrap-distance-left:9.pt;mso-wrap-distance-top:21.150000000000002pt;mso-wrap-distance-right:340.19999999999999pt;mso-wrap-distance-bottom:18.75pt;mso-position-horizontal-relative:page" filled="f" stroked="f">
                <v:textbox inset="0,0,0,0">
                  <w:txbxContent>
                    <w:p>
                      <w:pPr>
                        <w:pStyle w:val="Style33"/>
                        <w:keepNext w:val="0"/>
                        <w:keepLines w:val="0"/>
                        <w:widowControl w:val="0"/>
                        <w:shd w:val="clear" w:color="auto" w:fill="auto"/>
                        <w:bidi w:val="0"/>
                        <w:spacing w:before="0" w:after="380" w:line="240" w:lineRule="auto"/>
                        <w:ind w:left="0" w:right="0" w:firstLine="0"/>
                        <w:jc w:val="left"/>
                        <w:rPr>
                          <w:sz w:val="22"/>
                          <w:szCs w:val="22"/>
                        </w:rPr>
                      </w:pPr>
                      <w:r>
                        <w:rPr>
                          <w:b w:val="0"/>
                          <w:bCs w:val="0"/>
                          <w:color w:val="000000"/>
                          <w:spacing w:val="0"/>
                          <w:w w:val="100"/>
                          <w:position w:val="0"/>
                          <w:sz w:val="22"/>
                          <w:szCs w:val="22"/>
                        </w:rPr>
                        <w:t>处置子公司的净资产</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流动资产</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非流动资产</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流动负债</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非流动负债</w:t>
                      </w:r>
                    </w:p>
                  </w:txbxContent>
                </v:textbox>
                <w10:wrap type="topAndBottom" anchorx="page"/>
              </v:shape>
            </w:pict>
          </mc:Fallback>
        </mc:AlternateContent>
      </w:r>
      <w:r>
        <mc:AlternateContent>
          <mc:Choice Requires="wps">
            <w:drawing>
              <wp:anchor distT="241300" distB="0" distL="2757170" distR="1696085" simplePos="0" relativeHeight="125829537" behindDoc="0" locked="0" layoutInCell="1" allowOverlap="1">
                <wp:simplePos x="0" y="0"/>
                <wp:positionH relativeFrom="page">
                  <wp:posOffset>3891915</wp:posOffset>
                </wp:positionH>
                <wp:positionV relativeFrom="paragraph">
                  <wp:posOffset>2639695</wp:posOffset>
                </wp:positionV>
                <wp:extent cx="1374775" cy="1466215"/>
                <wp:wrapTopAndBottom/>
                <wp:docPr id="437" name="Shape 437"/>
                <a:graphic xmlns:a="http://schemas.openxmlformats.org/drawingml/2006/main">
                  <a:graphicData uri="http://schemas.microsoft.com/office/word/2010/wordprocessingShape">
                    <wps:wsp>
                      <wps:cNvSpPr txBox="1"/>
                      <wps:spPr>
                        <a:xfrm>
                          <a:ext cx="1374775" cy="1466215"/>
                        </a:xfrm>
                        <a:prstGeom prst="rect"/>
                        <a:noFill/>
                      </wps:spPr>
                      <wps:txbx>
                        <w:txbxContent>
                          <w:p>
                            <w:pPr>
                              <w:pStyle w:val="Style94"/>
                              <w:keepNext w:val="0"/>
                              <w:keepLines w:val="0"/>
                              <w:widowControl w:val="0"/>
                              <w:shd w:val="clear" w:color="auto" w:fill="auto"/>
                              <w:bidi w:val="0"/>
                              <w:spacing w:before="0" w:after="360" w:line="322" w:lineRule="exact"/>
                              <w:ind w:left="0" w:right="0" w:firstLine="94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p>
                            <w:pPr>
                              <w:pStyle w:val="Style94"/>
                              <w:keepNext w:val="0"/>
                              <w:keepLines w:val="0"/>
                              <w:widowControl w:val="0"/>
                              <w:shd w:val="clear" w:color="auto" w:fill="auto"/>
                              <w:bidi w:val="0"/>
                              <w:spacing w:before="0" w:after="0"/>
                              <w:ind w:left="0" w:right="0" w:firstLine="140"/>
                              <w:jc w:val="left"/>
                            </w:pPr>
                            <w:r>
                              <w:rPr>
                                <w:color w:val="000000"/>
                                <w:spacing w:val="0"/>
                                <w:w w:val="100"/>
                                <w:position w:val="0"/>
                                <w:sz w:val="24"/>
                                <w:szCs w:val="24"/>
                              </w:rPr>
                              <w:t>2,656,694,469.28</w:t>
                            </w:r>
                          </w:p>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rPr>
                              <w:t>720,428,942.50 (2,187,623,214.21)</w:t>
                            </w:r>
                          </w:p>
                          <w:p>
                            <w:pPr>
                              <w:pStyle w:val="Style94"/>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sz w:val="24"/>
                                <w:szCs w:val="24"/>
                                <w:u w:val="single"/>
                              </w:rPr>
                              <w:t>(450,074,047.79)</w:t>
                            </w:r>
                          </w:p>
                          <w:p>
                            <w:pPr>
                              <w:pStyle w:val="Style94"/>
                              <w:keepNext w:val="0"/>
                              <w:keepLines w:val="0"/>
                              <w:widowControl w:val="0"/>
                              <w:pBdr>
                                <w:bottom w:val="single" w:sz="4" w:space="0" w:color="auto"/>
                              </w:pBdr>
                              <w:shd w:val="clear" w:color="auto" w:fill="auto"/>
                              <w:bidi w:val="0"/>
                              <w:spacing w:before="0" w:after="180"/>
                              <w:ind w:left="0" w:right="0" w:firstLine="340"/>
                              <w:jc w:val="left"/>
                            </w:pPr>
                            <w:r>
                              <w:rPr>
                                <w:color w:val="000000"/>
                                <w:spacing w:val="0"/>
                                <w:w w:val="100"/>
                                <w:position w:val="0"/>
                                <w:sz w:val="24"/>
                                <w:szCs w:val="24"/>
                              </w:rPr>
                              <w:t>739,426,149.78</w:t>
                            </w:r>
                          </w:p>
                        </w:txbxContent>
                      </wps:txbx>
                      <wps:bodyPr lIns="0" tIns="0" rIns="0" bIns="0">
                        <a:noAutoFit/>
                      </wps:bodyPr>
                    </wps:wsp>
                  </a:graphicData>
                </a:graphic>
              </wp:anchor>
            </w:drawing>
          </mc:Choice>
          <mc:Fallback>
            <w:pict>
              <v:shape id="_x0000_s1463" type="#_x0000_t202" style="position:absolute;margin-left:306.44999999999999pt;margin-top:207.84999999999999pt;width:108.25pt;height:115.45pt;z-index:-125829216;mso-wrap-distance-left:217.09999999999999pt;mso-wrap-distance-top:19.pt;mso-wrap-distance-right:133.55000000000001pt;mso-position-horizontal-relative:page" filled="f" stroked="f">
                <v:textbox inset="0,0,0,0">
                  <w:txbxContent>
                    <w:p>
                      <w:pPr>
                        <w:pStyle w:val="Style94"/>
                        <w:keepNext w:val="0"/>
                        <w:keepLines w:val="0"/>
                        <w:widowControl w:val="0"/>
                        <w:shd w:val="clear" w:color="auto" w:fill="auto"/>
                        <w:bidi w:val="0"/>
                        <w:spacing w:before="0" w:after="360" w:line="322" w:lineRule="exact"/>
                        <w:ind w:left="0" w:right="0" w:firstLine="94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p>
                      <w:pPr>
                        <w:pStyle w:val="Style94"/>
                        <w:keepNext w:val="0"/>
                        <w:keepLines w:val="0"/>
                        <w:widowControl w:val="0"/>
                        <w:shd w:val="clear" w:color="auto" w:fill="auto"/>
                        <w:bidi w:val="0"/>
                        <w:spacing w:before="0" w:after="0"/>
                        <w:ind w:left="0" w:right="0" w:firstLine="140"/>
                        <w:jc w:val="left"/>
                      </w:pPr>
                      <w:r>
                        <w:rPr>
                          <w:color w:val="000000"/>
                          <w:spacing w:val="0"/>
                          <w:w w:val="100"/>
                          <w:position w:val="0"/>
                          <w:sz w:val="24"/>
                          <w:szCs w:val="24"/>
                        </w:rPr>
                        <w:t>2,656,694,469.28</w:t>
                      </w:r>
                    </w:p>
                    <w:p>
                      <w:pPr>
                        <w:pStyle w:val="Style94"/>
                        <w:keepNext w:val="0"/>
                        <w:keepLines w:val="0"/>
                        <w:widowControl w:val="0"/>
                        <w:shd w:val="clear" w:color="auto" w:fill="auto"/>
                        <w:bidi w:val="0"/>
                        <w:spacing w:before="0" w:after="0"/>
                        <w:ind w:left="0" w:right="0" w:firstLine="0"/>
                        <w:jc w:val="right"/>
                      </w:pPr>
                      <w:r>
                        <w:rPr>
                          <w:color w:val="000000"/>
                          <w:spacing w:val="0"/>
                          <w:w w:val="100"/>
                          <w:position w:val="0"/>
                          <w:sz w:val="24"/>
                          <w:szCs w:val="24"/>
                        </w:rPr>
                        <w:t>720,428,942.50 (2,187,623,214.21)</w:t>
                      </w:r>
                    </w:p>
                    <w:p>
                      <w:pPr>
                        <w:pStyle w:val="Style94"/>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sz w:val="24"/>
                          <w:szCs w:val="24"/>
                          <w:u w:val="single"/>
                        </w:rPr>
                        <w:t>(450,074,047.79)</w:t>
                      </w:r>
                    </w:p>
                    <w:p>
                      <w:pPr>
                        <w:pStyle w:val="Style94"/>
                        <w:keepNext w:val="0"/>
                        <w:keepLines w:val="0"/>
                        <w:widowControl w:val="0"/>
                        <w:pBdr>
                          <w:bottom w:val="single" w:sz="4" w:space="0" w:color="auto"/>
                        </w:pBdr>
                        <w:shd w:val="clear" w:color="auto" w:fill="auto"/>
                        <w:bidi w:val="0"/>
                        <w:spacing w:before="0" w:after="180"/>
                        <w:ind w:left="0" w:right="0" w:firstLine="340"/>
                        <w:jc w:val="left"/>
                      </w:pPr>
                      <w:r>
                        <w:rPr>
                          <w:color w:val="000000"/>
                          <w:spacing w:val="0"/>
                          <w:w w:val="100"/>
                          <w:position w:val="0"/>
                          <w:sz w:val="24"/>
                          <w:szCs w:val="24"/>
                        </w:rPr>
                        <w:t>739,426,149.78</w:t>
                      </w:r>
                    </w:p>
                  </w:txbxContent>
                </v:textbox>
                <w10:wrap type="topAndBottom" anchorx="page"/>
              </v:shape>
            </w:pict>
          </mc:Fallback>
        </mc:AlternateContent>
      </w:r>
      <w:r>
        <mc:AlternateContent>
          <mc:Choice Requires="wps">
            <w:drawing>
              <wp:anchor distT="268605" distB="24765" distL="4338955" distR="114300" simplePos="0" relativeHeight="125829539" behindDoc="0" locked="0" layoutInCell="1" allowOverlap="1">
                <wp:simplePos x="0" y="0"/>
                <wp:positionH relativeFrom="page">
                  <wp:posOffset>5473700</wp:posOffset>
                </wp:positionH>
                <wp:positionV relativeFrom="paragraph">
                  <wp:posOffset>2667000</wp:posOffset>
                </wp:positionV>
                <wp:extent cx="1374775" cy="1414145"/>
                <wp:wrapTopAndBottom/>
                <wp:docPr id="439" name="Shape 439"/>
                <a:graphic xmlns:a="http://schemas.openxmlformats.org/drawingml/2006/main">
                  <a:graphicData uri="http://schemas.microsoft.com/office/word/2010/wordprocessingShape">
                    <wps:wsp>
                      <wps:cNvSpPr txBox="1"/>
                      <wps:spPr>
                        <a:xfrm>
                          <a:ext cx="1374775" cy="1414145"/>
                        </a:xfrm>
                        <a:prstGeom prst="rect"/>
                        <a:noFill/>
                      </wps:spPr>
                      <wps:txbx>
                        <w:txbxContent>
                          <w:p>
                            <w:pPr>
                              <w:pStyle w:val="Style94"/>
                              <w:keepNext w:val="0"/>
                              <w:keepLines w:val="0"/>
                              <w:widowControl w:val="0"/>
                              <w:shd w:val="clear" w:color="auto" w:fill="auto"/>
                              <w:bidi w:val="0"/>
                              <w:spacing w:before="0" w:after="360" w:line="240" w:lineRule="auto"/>
                              <w:ind w:left="0" w:right="0" w:firstLine="94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9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4"/>
                                <w:szCs w:val="24"/>
                              </w:rPr>
                              <w:t>1,693,108,832.90</w:t>
                            </w:r>
                          </w:p>
                          <w:p>
                            <w:pPr>
                              <w:pStyle w:val="Style94"/>
                              <w:keepNext w:val="0"/>
                              <w:keepLines w:val="0"/>
                              <w:widowControl w:val="0"/>
                              <w:shd w:val="clear" w:color="auto" w:fill="auto"/>
                              <w:bidi w:val="0"/>
                              <w:spacing w:before="0" w:after="40" w:line="240" w:lineRule="auto"/>
                              <w:ind w:left="0" w:right="0" w:firstLine="340"/>
                              <w:jc w:val="left"/>
                            </w:pPr>
                            <w:r>
                              <w:rPr>
                                <w:color w:val="000000"/>
                                <w:spacing w:val="0"/>
                                <w:w w:val="100"/>
                                <w:position w:val="0"/>
                                <w:sz w:val="24"/>
                                <w:szCs w:val="24"/>
                              </w:rPr>
                              <w:t>907,658,587.77</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(2,337,814,910.83)</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(11,611,199.20)</w:t>
                            </w:r>
                          </w:p>
                          <w:p>
                            <w:pPr>
                              <w:pStyle w:val="Style94"/>
                              <w:keepNext w:val="0"/>
                              <w:keepLines w:val="0"/>
                              <w:widowControl w:val="0"/>
                              <w:pBdr>
                                <w:bottom w:val="single" w:sz="4" w:space="0" w:color="auto"/>
                              </w:pBdr>
                              <w:shd w:val="clear" w:color="auto" w:fill="auto"/>
                              <w:bidi w:val="0"/>
                              <w:spacing w:before="0" w:after="40" w:line="240" w:lineRule="auto"/>
                              <w:ind w:left="0" w:right="0" w:firstLine="340"/>
                              <w:jc w:val="left"/>
                            </w:pPr>
                            <w:r>
                              <w:rPr>
                                <w:color w:val="000000"/>
                                <w:spacing w:val="0"/>
                                <w:w w:val="100"/>
                                <w:position w:val="0"/>
                                <w:sz w:val="24"/>
                                <w:szCs w:val="24"/>
                              </w:rPr>
                              <w:t>251,341,310.64</w:t>
                            </w:r>
                          </w:p>
                        </w:txbxContent>
                      </wps:txbx>
                      <wps:bodyPr lIns="0" tIns="0" rIns="0" bIns="0">
                        <a:noAutoFit/>
                      </wps:bodyPr>
                    </wps:wsp>
                  </a:graphicData>
                </a:graphic>
              </wp:anchor>
            </w:drawing>
          </mc:Choice>
          <mc:Fallback>
            <w:pict>
              <v:shape id="_x0000_s1465" type="#_x0000_t202" style="position:absolute;margin-left:431.pt;margin-top:210.pt;width:108.25pt;height:111.35000000000001pt;z-index:-125829214;mso-wrap-distance-left:341.65000000000003pt;mso-wrap-distance-top:21.150000000000002pt;mso-wrap-distance-right:9.pt;mso-wrap-distance-bottom:1.95pt;mso-position-horizontal-relative:page" filled="f" stroked="f">
                <v:textbox inset="0,0,0,0">
                  <w:txbxContent>
                    <w:p>
                      <w:pPr>
                        <w:pStyle w:val="Style94"/>
                        <w:keepNext w:val="0"/>
                        <w:keepLines w:val="0"/>
                        <w:widowControl w:val="0"/>
                        <w:shd w:val="clear" w:color="auto" w:fill="auto"/>
                        <w:bidi w:val="0"/>
                        <w:spacing w:before="0" w:after="360" w:line="240" w:lineRule="auto"/>
                        <w:ind w:left="0" w:right="0" w:firstLine="94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9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4"/>
                          <w:szCs w:val="24"/>
                        </w:rPr>
                        <w:t>1,693,108,832.90</w:t>
                      </w:r>
                    </w:p>
                    <w:p>
                      <w:pPr>
                        <w:pStyle w:val="Style94"/>
                        <w:keepNext w:val="0"/>
                        <w:keepLines w:val="0"/>
                        <w:widowControl w:val="0"/>
                        <w:shd w:val="clear" w:color="auto" w:fill="auto"/>
                        <w:bidi w:val="0"/>
                        <w:spacing w:before="0" w:after="40" w:line="240" w:lineRule="auto"/>
                        <w:ind w:left="0" w:right="0" w:firstLine="340"/>
                        <w:jc w:val="left"/>
                      </w:pPr>
                      <w:r>
                        <w:rPr>
                          <w:color w:val="000000"/>
                          <w:spacing w:val="0"/>
                          <w:w w:val="100"/>
                          <w:position w:val="0"/>
                          <w:sz w:val="24"/>
                          <w:szCs w:val="24"/>
                        </w:rPr>
                        <w:t>907,658,587.77</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(2,337,814,910.83)</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u w:val="single"/>
                        </w:rPr>
                        <w:t>(11,611,199.20)</w:t>
                      </w:r>
                    </w:p>
                    <w:p>
                      <w:pPr>
                        <w:pStyle w:val="Style94"/>
                        <w:keepNext w:val="0"/>
                        <w:keepLines w:val="0"/>
                        <w:widowControl w:val="0"/>
                        <w:pBdr>
                          <w:bottom w:val="single" w:sz="4" w:space="0" w:color="auto"/>
                        </w:pBdr>
                        <w:shd w:val="clear" w:color="auto" w:fill="auto"/>
                        <w:bidi w:val="0"/>
                        <w:spacing w:before="0" w:after="40" w:line="240" w:lineRule="auto"/>
                        <w:ind w:left="0" w:right="0" w:firstLine="340"/>
                        <w:jc w:val="left"/>
                      </w:pPr>
                      <w:r>
                        <w:rPr>
                          <w:color w:val="000000"/>
                          <w:spacing w:val="0"/>
                          <w:w w:val="100"/>
                          <w:position w:val="0"/>
                          <w:sz w:val="24"/>
                          <w:szCs w:val="24"/>
                        </w:rPr>
                        <w:t>251,341,310.64</w:t>
                      </w:r>
                    </w:p>
                  </w:txbxContent>
                </v:textbox>
                <w10:wrap type="topAndBottom" anchorx="page"/>
              </v:shape>
            </w:pict>
          </mc:Fallback>
        </mc:AlternateContent>
      </w:r>
    </w:p>
    <w:p>
      <w:pPr>
        <w:pStyle w:val="Style33"/>
        <w:keepNext w:val="0"/>
        <w:keepLines w:val="0"/>
        <w:widowControl w:val="0"/>
        <w:shd w:val="clear" w:color="auto" w:fill="auto"/>
        <w:tabs>
          <w:tab w:pos="811" w:val="left"/>
        </w:tabs>
        <w:bidi w:val="0"/>
        <w:spacing w:before="0" w:after="36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(57)</w:t>
        <w:tab/>
      </w:r>
      <w:r>
        <w:rPr>
          <w:color w:val="000000"/>
          <w:spacing w:val="0"/>
          <w:w w:val="100"/>
          <w:position w:val="0"/>
          <w:sz w:val="22"/>
          <w:szCs w:val="22"/>
        </w:rPr>
        <w:t>现金流量表补充资料</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bidi w:val="0"/>
        <w:spacing w:before="0" w:after="36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取得或处置子公司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94"/>
        <w:keepNext w:val="0"/>
        <w:keepLines w:val="0"/>
        <w:widowControl w:val="0"/>
        <w:shd w:val="clear" w:color="auto" w:fill="auto"/>
        <w:bidi w:val="0"/>
        <w:spacing w:before="0" w:after="360" w:line="240" w:lineRule="auto"/>
        <w:ind w:left="0" w:right="0" w:firstLine="0"/>
        <w:jc w:val="left"/>
        <w:rPr>
          <w:sz w:val="28"/>
          <w:szCs w:val="28"/>
        </w:rPr>
      </w:pPr>
      <w:r>
        <w:rPr>
          <w:color w:val="000000"/>
          <w:spacing w:val="0"/>
          <w:w w:val="100"/>
          <w:position w:val="0"/>
          <w:sz w:val="24"/>
          <w:szCs w:val="24"/>
        </w:rPr>
        <w:t>(ii)</w:t>
      </w:r>
      <w:r>
        <w:rPr>
          <w:rFonts w:ascii="SimSun" w:eastAsia="SimSun" w:hAnsi="SimSun" w:cs="SimSun"/>
          <w:color w:val="000000"/>
          <w:spacing w:val="0"/>
          <w:w w:val="100"/>
          <w:position w:val="0"/>
          <w:sz w:val="22"/>
          <w:szCs w:val="22"/>
        </w:rPr>
        <w:t>处置子公司</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年度处置子公司的价格</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乐丰保理</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合丰小额贷款</w:t>
      </w:r>
    </w:p>
    <w:p>
      <w:pPr>
        <w:pStyle w:val="Style33"/>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2161" w:right="1158" w:bottom="5329" w:left="1890" w:header="0" w:footer="3" w:gutter="0"/>
          <w:cols w:space="720"/>
          <w:noEndnote/>
          <w:rtlGutter w:val="0"/>
          <w:docGrid w:linePitch="360"/>
        </w:sectPr>
      </w:pPr>
      <w:r>
        <w:rPr>
          <w:b w:val="0"/>
          <w:bCs w:val="0"/>
          <w:color w:val="000000"/>
          <w:spacing w:val="0"/>
          <w:w w:val="100"/>
          <w:position w:val="0"/>
          <w:sz w:val="22"/>
          <w:szCs w:val="22"/>
        </w:rPr>
        <w:t>顺诚融资租赁及其子公司</w:t>
      </w:r>
    </w:p>
    <w:p>
      <w:pPr>
        <w:widowControl w:val="0"/>
        <w:spacing w:line="215" w:lineRule="exact"/>
        <w:rPr>
          <w:sz w:val="17"/>
          <w:szCs w:val="17"/>
        </w:rPr>
      </w:pPr>
    </w:p>
    <w:p>
      <w:pPr>
        <w:widowControl w:val="0"/>
        <w:spacing w:line="1" w:lineRule="exact"/>
        <w:sectPr>
          <w:footnotePr>
            <w:pos w:val="pageBottom"/>
            <w:numFmt w:val="decimal"/>
            <w:numRestart w:val="continuous"/>
          </w:footnotePr>
          <w:type w:val="continuous"/>
          <w:pgSz w:w="11900" w:h="16840"/>
          <w:pgMar w:top="2161" w:right="0" w:bottom="2161" w:left="0" w:header="0" w:footer="3" w:gutter="0"/>
          <w:cols w:space="720"/>
          <w:noEndnote/>
          <w:rtlGutter w:val="0"/>
          <w:docGrid w:linePitch="360"/>
        </w:sectPr>
      </w:pPr>
    </w:p>
    <w:p>
      <w:pPr>
        <w:pStyle w:val="Style33"/>
        <w:keepNext w:val="0"/>
        <w:keepLines w:val="0"/>
        <w:widowControl w:val="0"/>
        <w:numPr>
          <w:ilvl w:val="0"/>
          <w:numId w:val="71"/>
        </w:numPr>
        <w:shd w:val="clear" w:color="auto" w:fill="auto"/>
        <w:bidi w:val="0"/>
        <w:spacing w:before="0" w:after="0" w:line="240" w:lineRule="auto"/>
        <w:ind w:left="0" w:right="0" w:firstLine="0"/>
        <w:jc w:val="left"/>
        <w:rPr>
          <w:sz w:val="22"/>
          <w:szCs w:val="22"/>
        </w:rPr>
      </w:pPr>
      <w:bookmarkStart w:id="889" w:name="bookmark889"/>
      <w:bookmarkEnd w:id="889"/>
      <w:r>
        <w:rPr>
          <w:b w:val="0"/>
          <w:bCs w:val="0"/>
          <w:color w:val="000000"/>
          <w:spacing w:val="0"/>
          <w:w w:val="100"/>
          <w:position w:val="0"/>
          <w:sz w:val="22"/>
          <w:szCs w:val="22"/>
        </w:rPr>
        <w:t>现金及现金等价物</w:t>
      </w:r>
    </w:p>
    <w:p>
      <w:pPr>
        <w:widowControl w:val="0"/>
        <w:spacing w:line="1" w:lineRule="exact"/>
        <w:sectPr>
          <w:footnotePr>
            <w:pos w:val="pageBottom"/>
            <w:numFmt w:val="decimal"/>
            <w:numRestart w:val="continuous"/>
          </w:footnotePr>
          <w:type w:val="continuous"/>
          <w:pgSz w:w="11900" w:h="16840"/>
          <w:pgMar w:top="2161" w:right="1115" w:bottom="2161" w:left="1890" w:header="0" w:footer="3" w:gutter="0"/>
          <w:cols w:space="720"/>
          <w:noEndnote/>
          <w:rtlGutter w:val="0"/>
          <w:docGrid w:linePitch="360"/>
        </w:sectPr>
      </w:pPr>
      <w:r>
        <mc:AlternateContent>
          <mc:Choice Requires="wps">
            <w:drawing>
              <wp:anchor distT="139700" distB="1023620" distL="0" distR="0" simplePos="0" relativeHeight="125829541" behindDoc="0" locked="0" layoutInCell="1" allowOverlap="1">
                <wp:simplePos x="0" y="0"/>
                <wp:positionH relativeFrom="page">
                  <wp:posOffset>3855085</wp:posOffset>
                </wp:positionH>
                <wp:positionV relativeFrom="paragraph">
                  <wp:posOffset>139700</wp:posOffset>
                </wp:positionV>
                <wp:extent cx="1353185" cy="189230"/>
                <wp:wrapTopAndBottom/>
                <wp:docPr id="441" name="Shape 441"/>
                <a:graphic xmlns:a="http://schemas.openxmlformats.org/drawingml/2006/main">
                  <a:graphicData uri="http://schemas.microsoft.com/office/word/2010/wordprocessingShape">
                    <wps:wsp>
                      <wps:cNvSpPr txBox="1"/>
                      <wps:spPr>
                        <a:xfrm>
                          <a:ext cx="1353185"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467" type="#_x0000_t202" style="position:absolute;margin-left:303.55000000000001pt;margin-top:11.pt;width:106.55pt;height:14.9pt;z-index:-125829212;mso-wrap-distance-left:0;mso-wrap-distance-top:11.pt;mso-wrap-distance-right:0;mso-wrap-distance-bottom:80.600000000000009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520700" distB="213360" distL="0" distR="0" simplePos="0" relativeHeight="125829543" behindDoc="0" locked="0" layoutInCell="1" allowOverlap="1">
                <wp:simplePos x="0" y="0"/>
                <wp:positionH relativeFrom="page">
                  <wp:posOffset>1245870</wp:posOffset>
                </wp:positionH>
                <wp:positionV relativeFrom="paragraph">
                  <wp:posOffset>520700</wp:posOffset>
                </wp:positionV>
                <wp:extent cx="2157730" cy="618490"/>
                <wp:wrapTopAndBottom/>
                <wp:docPr id="443" name="Shape 443"/>
                <a:graphic xmlns:a="http://schemas.openxmlformats.org/drawingml/2006/main">
                  <a:graphicData uri="http://schemas.microsoft.com/office/word/2010/wordprocessingShape">
                    <wps:wsp>
                      <wps:cNvSpPr txBox="1"/>
                      <wps:spPr>
                        <a:xfrm>
                          <a:ext cx="2157730" cy="618490"/>
                        </a:xfrm>
                        <a:prstGeom prst="rect"/>
                        <a:noFill/>
                      </wps:spPr>
                      <wps:txbx>
                        <w:txbxContent>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库存现金</w:t>
                            </w:r>
                          </w:p>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可随时用于支付的银行存款 可随时用于支付的其他货币资金</w:t>
                            </w:r>
                          </w:p>
                        </w:txbxContent>
                      </wps:txbx>
                      <wps:bodyPr lIns="0" tIns="0" rIns="0" bIns="0">
                        <a:noAutoFit/>
                      </wps:bodyPr>
                    </wps:wsp>
                  </a:graphicData>
                </a:graphic>
              </wp:anchor>
            </w:drawing>
          </mc:Choice>
          <mc:Fallback>
            <w:pict>
              <v:shape id="_x0000_s1469" type="#_x0000_t202" style="position:absolute;margin-left:98.100000000000009pt;margin-top:41.pt;width:169.90000000000001pt;height:48.700000000000003pt;z-index:-125829210;mso-wrap-distance-left:0;mso-wrap-distance-top:41.pt;mso-wrap-distance-right:0;mso-wrap-distance-bottom:16.800000000000001pt;mso-position-horizontal-relative:page" filled="f" stroked="f">
                <v:textbox inset="0,0,0,0">
                  <w:txbxContent>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库存现金</w:t>
                      </w:r>
                    </w:p>
                    <w:p>
                      <w:pPr>
                        <w:pStyle w:val="Style33"/>
                        <w:keepNext w:val="0"/>
                        <w:keepLines w:val="0"/>
                        <w:widowControl w:val="0"/>
                        <w:shd w:val="clear" w:color="auto" w:fill="auto"/>
                        <w:bidi w:val="0"/>
                        <w:spacing w:before="0" w:after="0" w:line="322" w:lineRule="exact"/>
                        <w:ind w:left="0" w:right="0" w:firstLine="0"/>
                        <w:jc w:val="left"/>
                        <w:rPr>
                          <w:sz w:val="22"/>
                          <w:szCs w:val="22"/>
                        </w:rPr>
                      </w:pPr>
                      <w:r>
                        <w:rPr>
                          <w:b w:val="0"/>
                          <w:bCs w:val="0"/>
                          <w:color w:val="000000"/>
                          <w:spacing w:val="0"/>
                          <w:w w:val="100"/>
                          <w:position w:val="0"/>
                          <w:sz w:val="22"/>
                          <w:szCs w:val="22"/>
                        </w:rPr>
                        <w:t>可随时用于支付的银行存款 可随时用于支付的其他货币资金</w:t>
                      </w:r>
                    </w:p>
                  </w:txbxContent>
                </v:textbox>
                <w10:wrap type="topAndBottom" anchorx="page"/>
              </v:shape>
            </w:pict>
          </mc:Fallback>
        </mc:AlternateContent>
      </w:r>
      <w:r>
        <mc:AlternateContent>
          <mc:Choice Requires="wps">
            <w:drawing>
              <wp:anchor distT="548005" distB="0" distL="0" distR="0" simplePos="0" relativeHeight="125829545" behindDoc="0" locked="0" layoutInCell="1" allowOverlap="1">
                <wp:simplePos x="0" y="0"/>
                <wp:positionH relativeFrom="page">
                  <wp:posOffset>3995420</wp:posOffset>
                </wp:positionH>
                <wp:positionV relativeFrom="paragraph">
                  <wp:posOffset>548005</wp:posOffset>
                </wp:positionV>
                <wp:extent cx="1212850" cy="804545"/>
                <wp:wrapTopAndBottom/>
                <wp:docPr id="445" name="Shape 445"/>
                <a:graphic xmlns:a="http://schemas.openxmlformats.org/drawingml/2006/main">
                  <a:graphicData uri="http://schemas.microsoft.com/office/word/2010/wordprocessingShape">
                    <wps:wsp>
                      <wps:cNvSpPr txBox="1"/>
                      <wps:spPr>
                        <a:xfrm>
                          <a:ext cx="1212850" cy="804545"/>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1,054,389.11</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5,920,163,931.91</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bookmarkStart w:id="885" w:name="bookmark885"/>
                            <w:r>
                              <w:rPr>
                                <w:color w:val="000000"/>
                                <w:spacing w:val="0"/>
                                <w:w w:val="100"/>
                                <w:position w:val="0"/>
                                <w:sz w:val="24"/>
                                <w:szCs w:val="24"/>
                              </w:rPr>
                              <w:t>4</w:t>
                            </w:r>
                            <w:bookmarkEnd w:id="885"/>
                            <w:r>
                              <w:rPr>
                                <w:color w:val="000000"/>
                                <w:spacing w:val="0"/>
                                <w:w w:val="100"/>
                                <w:position w:val="0"/>
                                <w:sz w:val="24"/>
                                <w:szCs w:val="24"/>
                              </w:rPr>
                              <w:t>48,557,480.16</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left"/>
                            </w:pPr>
                            <w:bookmarkStart w:id="886" w:name="bookmark886"/>
                            <w:r>
                              <w:rPr>
                                <w:color w:val="000000"/>
                                <w:spacing w:val="0"/>
                                <w:w w:val="100"/>
                                <w:position w:val="0"/>
                                <w:sz w:val="24"/>
                                <w:szCs w:val="24"/>
                              </w:rPr>
                              <w:t>6</w:t>
                            </w:r>
                            <w:bookmarkEnd w:id="886"/>
                            <w:r>
                              <w:rPr>
                                <w:color w:val="000000"/>
                                <w:spacing w:val="0"/>
                                <w:w w:val="100"/>
                                <w:position w:val="0"/>
                                <w:sz w:val="24"/>
                                <w:szCs w:val="24"/>
                              </w:rPr>
                              <w:t>,369,775,801.18</w:t>
                            </w:r>
                          </w:p>
                        </w:txbxContent>
                      </wps:txbx>
                      <wps:bodyPr lIns="0" tIns="0" rIns="0" bIns="0">
                        <a:noAutoFit/>
                      </wps:bodyPr>
                    </wps:wsp>
                  </a:graphicData>
                </a:graphic>
              </wp:anchor>
            </w:drawing>
          </mc:Choice>
          <mc:Fallback>
            <w:pict>
              <v:shape id="_x0000_s1471" type="#_x0000_t202" style="position:absolute;margin-left:314.60000000000002pt;margin-top:43.149999999999999pt;width:95.5pt;height:63.350000000000001pt;z-index:-125829208;mso-wrap-distance-left:0;mso-wrap-distance-top:43.149999999999999pt;mso-wrap-distance-right:0;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1,054,389.11</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5,920,163,931.91</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bookmarkStart w:id="885" w:name="bookmark885"/>
                      <w:r>
                        <w:rPr>
                          <w:color w:val="000000"/>
                          <w:spacing w:val="0"/>
                          <w:w w:val="100"/>
                          <w:position w:val="0"/>
                          <w:sz w:val="24"/>
                          <w:szCs w:val="24"/>
                        </w:rPr>
                        <w:t>4</w:t>
                      </w:r>
                      <w:bookmarkEnd w:id="885"/>
                      <w:r>
                        <w:rPr>
                          <w:color w:val="000000"/>
                          <w:spacing w:val="0"/>
                          <w:w w:val="100"/>
                          <w:position w:val="0"/>
                          <w:sz w:val="24"/>
                          <w:szCs w:val="24"/>
                        </w:rPr>
                        <w:t>48,557,480.16</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left"/>
                      </w:pPr>
                      <w:bookmarkStart w:id="886" w:name="bookmark886"/>
                      <w:r>
                        <w:rPr>
                          <w:color w:val="000000"/>
                          <w:spacing w:val="0"/>
                          <w:w w:val="100"/>
                          <w:position w:val="0"/>
                          <w:sz w:val="24"/>
                          <w:szCs w:val="24"/>
                        </w:rPr>
                        <w:t>6</w:t>
                      </w:r>
                      <w:bookmarkEnd w:id="886"/>
                      <w:r>
                        <w:rPr>
                          <w:color w:val="000000"/>
                          <w:spacing w:val="0"/>
                          <w:w w:val="100"/>
                          <w:position w:val="0"/>
                          <w:sz w:val="24"/>
                          <w:szCs w:val="24"/>
                        </w:rPr>
                        <w:t>,369,775,801.18</w:t>
                      </w:r>
                    </w:p>
                  </w:txbxContent>
                </v:textbox>
                <w10:wrap type="topAndBottom" anchorx="page"/>
              </v:shape>
            </w:pict>
          </mc:Fallback>
        </mc:AlternateContent>
      </w:r>
      <w:r>
        <mc:AlternateContent>
          <mc:Choice Requires="wps">
            <w:drawing>
              <wp:anchor distT="139700" distB="0" distL="0" distR="0" simplePos="0" relativeHeight="125829547" behindDoc="0" locked="0" layoutInCell="1" allowOverlap="1">
                <wp:simplePos x="0" y="0"/>
                <wp:positionH relativeFrom="page">
                  <wp:posOffset>5427980</wp:posOffset>
                </wp:positionH>
                <wp:positionV relativeFrom="paragraph">
                  <wp:posOffset>139700</wp:posOffset>
                </wp:positionV>
                <wp:extent cx="1356360" cy="1212850"/>
                <wp:wrapTopAndBottom/>
                <wp:docPr id="447" name="Shape 447"/>
                <a:graphic xmlns:a="http://schemas.openxmlformats.org/drawingml/2006/main">
                  <a:graphicData uri="http://schemas.microsoft.com/office/word/2010/wordprocessingShape">
                    <wps:wsp>
                      <wps:cNvSpPr txBox="1"/>
                      <wps:spPr>
                        <a:xfrm>
                          <a:ext cx="1356360" cy="1212850"/>
                        </a:xfrm>
                        <a:prstGeom prst="rect"/>
                        <a:noFill/>
                      </wps:spPr>
                      <wps:txbx>
                        <w:txbxContent>
                          <w:p>
                            <w:pPr>
                              <w:pStyle w:val="Style94"/>
                              <w:keepNext w:val="0"/>
                              <w:keepLines w:val="0"/>
                              <w:widowControl w:val="0"/>
                              <w:shd w:val="clear" w:color="auto" w:fill="auto"/>
                              <w:bidi w:val="0"/>
                              <w:spacing w:before="0" w:after="360" w:line="240" w:lineRule="auto"/>
                              <w:ind w:left="0" w:right="0" w:firstLine="0"/>
                              <w:jc w:val="righ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288,358.38</w:t>
                            </w:r>
                          </w:p>
                          <w:p>
                            <w:pPr>
                              <w:pStyle w:val="Style94"/>
                              <w:keepNext w:val="0"/>
                              <w:keepLines w:val="0"/>
                              <w:widowControl w:val="0"/>
                              <w:shd w:val="clear" w:color="auto" w:fill="auto"/>
                              <w:bidi w:val="0"/>
                              <w:spacing w:before="0" w:after="40" w:line="240" w:lineRule="auto"/>
                              <w:ind w:left="0" w:right="0" w:firstLine="240"/>
                              <w:jc w:val="left"/>
                            </w:pPr>
                            <w:bookmarkStart w:id="887" w:name="bookmark887"/>
                            <w:r>
                              <w:rPr>
                                <w:color w:val="000000"/>
                                <w:spacing w:val="0"/>
                                <w:w w:val="100"/>
                                <w:position w:val="0"/>
                                <w:sz w:val="24"/>
                                <w:szCs w:val="24"/>
                              </w:rPr>
                              <w:t>3</w:t>
                            </w:r>
                            <w:bookmarkEnd w:id="887"/>
                            <w:r>
                              <w:rPr>
                                <w:color w:val="000000"/>
                                <w:spacing w:val="0"/>
                                <w:w w:val="100"/>
                                <w:position w:val="0"/>
                                <w:sz w:val="24"/>
                                <w:szCs w:val="24"/>
                              </w:rPr>
                              <w:t>,242,524,559.84</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201,988,319.35</w:t>
                            </w:r>
                          </w:p>
                          <w:p>
                            <w:pPr>
                              <w:pStyle w:val="Style94"/>
                              <w:keepNext w:val="0"/>
                              <w:keepLines w:val="0"/>
                              <w:widowControl w:val="0"/>
                              <w:pBdr>
                                <w:bottom w:val="single" w:sz="4" w:space="0" w:color="auto"/>
                              </w:pBdr>
                              <w:shd w:val="clear" w:color="auto" w:fill="auto"/>
                              <w:bidi w:val="0"/>
                              <w:spacing w:before="0" w:after="40" w:line="240" w:lineRule="auto"/>
                              <w:ind w:left="0" w:right="0" w:firstLine="240"/>
                              <w:jc w:val="left"/>
                            </w:pPr>
                            <w:bookmarkStart w:id="888" w:name="bookmark888"/>
                            <w:r>
                              <w:rPr>
                                <w:color w:val="000000"/>
                                <w:spacing w:val="0"/>
                                <w:w w:val="100"/>
                                <w:position w:val="0"/>
                                <w:sz w:val="24"/>
                                <w:szCs w:val="24"/>
                              </w:rPr>
                              <w:t>3</w:t>
                            </w:r>
                            <w:bookmarkEnd w:id="888"/>
                            <w:r>
                              <w:rPr>
                                <w:color w:val="000000"/>
                                <w:spacing w:val="0"/>
                                <w:w w:val="100"/>
                                <w:position w:val="0"/>
                                <w:sz w:val="24"/>
                                <w:szCs w:val="24"/>
                              </w:rPr>
                              <w:t>,444,801,237.57</w:t>
                            </w:r>
                          </w:p>
                        </w:txbxContent>
                      </wps:txbx>
                      <wps:bodyPr lIns="0" tIns="0" rIns="0" bIns="0">
                        <a:noAutoFit/>
                      </wps:bodyPr>
                    </wps:wsp>
                  </a:graphicData>
                </a:graphic>
              </wp:anchor>
            </w:drawing>
          </mc:Choice>
          <mc:Fallback>
            <w:pict>
              <v:shape id="_x0000_s1473" type="#_x0000_t202" style="position:absolute;margin-left:427.40000000000003pt;margin-top:11.pt;width:106.8pt;height:95.5pt;z-index:-125829206;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360" w:line="240" w:lineRule="auto"/>
                        <w:ind w:left="0" w:right="0" w:firstLine="0"/>
                        <w:jc w:val="righ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288,358.38</w:t>
                      </w:r>
                    </w:p>
                    <w:p>
                      <w:pPr>
                        <w:pStyle w:val="Style94"/>
                        <w:keepNext w:val="0"/>
                        <w:keepLines w:val="0"/>
                        <w:widowControl w:val="0"/>
                        <w:shd w:val="clear" w:color="auto" w:fill="auto"/>
                        <w:bidi w:val="0"/>
                        <w:spacing w:before="0" w:after="40" w:line="240" w:lineRule="auto"/>
                        <w:ind w:left="0" w:right="0" w:firstLine="240"/>
                        <w:jc w:val="left"/>
                      </w:pPr>
                      <w:bookmarkStart w:id="887" w:name="bookmark887"/>
                      <w:r>
                        <w:rPr>
                          <w:color w:val="000000"/>
                          <w:spacing w:val="0"/>
                          <w:w w:val="100"/>
                          <w:position w:val="0"/>
                          <w:sz w:val="24"/>
                          <w:szCs w:val="24"/>
                        </w:rPr>
                        <w:t>3</w:t>
                      </w:r>
                      <w:bookmarkEnd w:id="887"/>
                      <w:r>
                        <w:rPr>
                          <w:color w:val="000000"/>
                          <w:spacing w:val="0"/>
                          <w:w w:val="100"/>
                          <w:position w:val="0"/>
                          <w:sz w:val="24"/>
                          <w:szCs w:val="24"/>
                        </w:rPr>
                        <w:t>,242,524,559.84</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201,988,319.35</w:t>
                      </w:r>
                    </w:p>
                    <w:p>
                      <w:pPr>
                        <w:pStyle w:val="Style94"/>
                        <w:keepNext w:val="0"/>
                        <w:keepLines w:val="0"/>
                        <w:widowControl w:val="0"/>
                        <w:pBdr>
                          <w:bottom w:val="single" w:sz="4" w:space="0" w:color="auto"/>
                        </w:pBdr>
                        <w:shd w:val="clear" w:color="auto" w:fill="auto"/>
                        <w:bidi w:val="0"/>
                        <w:spacing w:before="0" w:after="40" w:line="240" w:lineRule="auto"/>
                        <w:ind w:left="0" w:right="0" w:firstLine="240"/>
                        <w:jc w:val="left"/>
                      </w:pPr>
                      <w:bookmarkStart w:id="888" w:name="bookmark888"/>
                      <w:r>
                        <w:rPr>
                          <w:color w:val="000000"/>
                          <w:spacing w:val="0"/>
                          <w:w w:val="100"/>
                          <w:position w:val="0"/>
                          <w:sz w:val="24"/>
                          <w:szCs w:val="24"/>
                        </w:rPr>
                        <w:t>3</w:t>
                      </w:r>
                      <w:bookmarkEnd w:id="888"/>
                      <w:r>
                        <w:rPr>
                          <w:color w:val="000000"/>
                          <w:spacing w:val="0"/>
                          <w:w w:val="100"/>
                          <w:position w:val="0"/>
                          <w:sz w:val="24"/>
                          <w:szCs w:val="24"/>
                        </w:rPr>
                        <w:t>,444,801,237.57</w:t>
                      </w:r>
                    </w:p>
                  </w:txbxContent>
                </v:textbox>
                <w10:wrap type="topAndBottom" anchorx="page"/>
              </v:shape>
            </w:pict>
          </mc:Fallback>
        </mc:AlternateContent>
      </w:r>
    </w:p>
    <w:p>
      <w:pPr>
        <w:pStyle w:val="Style27"/>
        <w:keepNext/>
        <w:keepLines/>
        <w:widowControl w:val="0"/>
        <w:shd w:val="clear" w:color="auto" w:fill="auto"/>
        <w:bidi w:val="0"/>
        <w:spacing w:before="0" w:after="300" w:line="326" w:lineRule="exact"/>
        <w:ind w:left="0" w:right="0" w:firstLine="0"/>
        <w:jc w:val="both"/>
        <w:rPr>
          <w:sz w:val="22"/>
          <w:szCs w:val="22"/>
        </w:rPr>
      </w:pPr>
      <w:bookmarkStart w:id="890" w:name="bookmark890"/>
      <w:bookmarkStart w:id="891" w:name="bookmark891"/>
      <w:bookmarkStart w:id="892" w:name="bookmark892"/>
      <w:r>
        <w:rPr>
          <w:rFonts w:ascii="Arial" w:eastAsia="Arial" w:hAnsi="Arial" w:cs="Arial"/>
          <w:b w:val="0"/>
          <w:bCs w:val="0"/>
          <w:color w:val="000000"/>
          <w:spacing w:val="0"/>
          <w:w w:val="100"/>
          <w:position w:val="0"/>
          <w:sz w:val="24"/>
          <w:szCs w:val="24"/>
        </w:rPr>
        <w:t xml:space="preserve">（58） </w:t>
      </w:r>
      <w:r>
        <w:rPr>
          <w:color w:val="000000"/>
          <w:spacing w:val="0"/>
          <w:w w:val="100"/>
          <w:position w:val="0"/>
          <w:sz w:val="22"/>
          <w:szCs w:val="22"/>
        </w:rPr>
        <w:t>外币货币性项目</w:t>
      </w:r>
      <w:bookmarkEnd w:id="890"/>
      <w:bookmarkEnd w:id="891"/>
      <w:bookmarkEnd w:id="892"/>
    </w:p>
    <w:p>
      <w:pPr>
        <w:pStyle w:val="Style33"/>
        <w:keepNext w:val="0"/>
        <w:keepLines w:val="0"/>
        <w:widowControl w:val="0"/>
        <w:shd w:val="clear" w:color="auto" w:fill="auto"/>
        <w:bidi w:val="0"/>
        <w:spacing w:before="0" w:after="380" w:line="326"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日，本集团以人民币作为记账本位币的公 司未持有重大的外币资产和负债，主要在香港地区以港币作为记账本位币的公司持有 外币资产和负债</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主要为美元及人民币</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，折算成香港地区公司记账本位币港币的金额 及折算成本财务报表列报货币人民币的金额列示如下：</w:t>
      </w:r>
    </w:p>
    <w:p>
      <w:pPr>
        <w:pStyle w:val="Style29"/>
        <w:keepNext w:val="0"/>
        <w:keepLines w:val="0"/>
        <w:widowControl w:val="0"/>
        <w:shd w:val="clear" w:color="auto" w:fill="auto"/>
        <w:bidi w:val="0"/>
        <w:spacing w:before="0" w:after="0" w:line="240" w:lineRule="auto"/>
        <w:ind w:left="4368"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1526"/>
        <w:gridCol w:w="2146"/>
        <w:gridCol w:w="1632"/>
        <w:gridCol w:w="1747"/>
        <w:gridCol w:w="1598"/>
      </w:tblGrid>
      <w:tr>
        <w:trPr>
          <w:trHeight w:val="533"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原币金额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折算港币汇率</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折算成港币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折合人民币</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货币资金</w:t>
            </w:r>
            <w:r>
              <w:rPr>
                <w:color w:val="000000"/>
                <w:spacing w:val="0"/>
                <w:w w:val="100"/>
                <w:position w:val="0"/>
                <w:sz w:val="24"/>
                <w:szCs w:val="24"/>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127,794,166.65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1.1179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142,861,098.90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127,794,166.65</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8,740,051.79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7.7551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67,779,975.64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60,629,739.28</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3,137,792.68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1.1179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3,507,738.44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3,137,792.68</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959,079.91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7.7551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7,437,760.61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6,653,137.34</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应付款项</w:t>
            </w:r>
            <w:r>
              <w:rPr>
                <w:color w:val="000000"/>
                <w:spacing w:val="0"/>
                <w:w w:val="100"/>
                <w:position w:val="0"/>
                <w:sz w:val="24"/>
                <w:szCs w:val="24"/>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2,975,741.78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1.1179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3,326,581.74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2,975,741.78</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917,930.74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7.7551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7,118,644.68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6,367,685.54</w:t>
            </w:r>
          </w:p>
        </w:tc>
      </w:tr>
    </w:tbl>
    <w:p>
      <w:pPr>
        <w:widowControl w:val="0"/>
        <w:spacing w:after="3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411" w:right="0" w:firstLine="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1550"/>
        <w:gridCol w:w="2184"/>
        <w:gridCol w:w="1618"/>
        <w:gridCol w:w="1742"/>
        <w:gridCol w:w="1742"/>
      </w:tblGrid>
      <w:tr>
        <w:trPr>
          <w:trHeight w:val="533"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原币金额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折算港币汇率</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折算成港币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折合人民币</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货币资金</w:t>
            </w:r>
            <w:r>
              <w:rPr>
                <w:color w:val="000000"/>
                <w:spacing w:val="0"/>
                <w:w w:val="100"/>
                <w:position w:val="0"/>
                <w:sz w:val="24"/>
                <w:szCs w:val="24"/>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30,805,221.23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1.1936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36,769,112.06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30,805,221.23</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1,736,214.44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7.7508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13,457,050.88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11,274,282.09</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应收款项</w:t>
            </w:r>
            <w:r>
              <w:rPr>
                <w:color w:val="000000"/>
                <w:spacing w:val="0"/>
                <w:w w:val="100"/>
                <w:position w:val="0"/>
                <w:sz w:val="24"/>
                <w:szCs w:val="24"/>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147,069,309.99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1.1936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175,541,928.40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147,069,309.99</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1,412,954.84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7.7508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10,951,530.37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9,175,163.55</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9"/>
                <w:szCs w:val="19"/>
              </w:rPr>
              <w:t>应付款项</w:t>
            </w:r>
            <w:r>
              <w:rPr>
                <w:color w:val="000000"/>
                <w:spacing w:val="0"/>
                <w:w w:val="100"/>
                <w:position w:val="0"/>
                <w:sz w:val="24"/>
                <w:szCs w:val="24"/>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128,955,586.13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1.1936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153,921,387.60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128,955,586.13</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美元</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3,088,462.50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7.7508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23,938,055.15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20,055,240.09</w:t>
            </w:r>
          </w:p>
        </w:tc>
      </w:tr>
    </w:tbl>
    <w:p>
      <w:pPr>
        <w:spacing w:lineRule="exact" w:line="1"/>
        <w:rPr>
          <w:sz w:val="2"/>
          <w:szCs w:val="2"/>
        </w:rPr>
      </w:pPr>
      <w:r>
        <w:br w:type="page"/>
      </w:r>
    </w:p>
    <w:p>
      <w:pPr>
        <w:pStyle w:val="Style33"/>
        <w:keepNext w:val="0"/>
        <w:keepLines w:val="0"/>
        <w:widowControl w:val="0"/>
        <w:shd w:val="clear" w:color="auto" w:fill="auto"/>
        <w:bidi w:val="0"/>
        <w:spacing w:before="0" w:after="320" w:line="319" w:lineRule="exact"/>
        <w:ind w:left="0" w:right="0" w:firstLine="0"/>
        <w:jc w:val="left"/>
        <w:rPr>
          <w:sz w:val="22"/>
          <w:szCs w:val="22"/>
        </w:rPr>
      </w:pPr>
      <w:r>
        <w:rPr>
          <w:rFonts w:ascii="Arial" w:eastAsia="Arial" w:hAnsi="Arial" w:cs="Arial"/>
          <w:b w:val="0"/>
          <w:bCs w:val="0"/>
          <w:color w:val="000000"/>
          <w:spacing w:val="0"/>
          <w:w w:val="100"/>
          <w:position w:val="0"/>
          <w:sz w:val="24"/>
          <w:szCs w:val="24"/>
        </w:rPr>
        <w:t xml:space="preserve">（1） </w:t>
      </w:r>
      <w:r>
        <w:rPr>
          <w:color w:val="000000"/>
          <w:spacing w:val="0"/>
          <w:w w:val="100"/>
          <w:position w:val="0"/>
          <w:sz w:val="22"/>
          <w:szCs w:val="22"/>
        </w:rPr>
        <w:t>反向购买</w:t>
      </w:r>
    </w:p>
    <w:p>
      <w:pPr>
        <w:pStyle w:val="Style33"/>
        <w:keepNext w:val="0"/>
        <w:keepLines w:val="0"/>
        <w:widowControl w:val="0"/>
        <w:shd w:val="clear" w:color="auto" w:fill="auto"/>
        <w:bidi w:val="0"/>
        <w:spacing w:before="0" w:after="320" w:line="319" w:lineRule="exact"/>
        <w:ind w:left="0" w:right="0" w:firstLine="0"/>
        <w:jc w:val="both"/>
        <w:rPr>
          <w:sz w:val="22"/>
          <w:szCs w:val="22"/>
        </w:rPr>
      </w:pPr>
      <w:r>
        <w:rPr>
          <w:b w:val="0"/>
          <w:bCs w:val="0"/>
          <w:color w:val="000000"/>
          <w:spacing w:val="0"/>
          <w:w w:val="100"/>
          <w:position w:val="0"/>
          <w:sz w:val="22"/>
          <w:szCs w:val="22"/>
        </w:rPr>
        <w:t>根据财政部《关于做好执行会计准则企业</w:t>
      </w:r>
      <w:r>
        <w:rPr>
          <w:rFonts w:ascii="Arial" w:eastAsia="Arial" w:hAnsi="Arial" w:cs="Arial"/>
          <w:b w:val="0"/>
          <w:bCs w:val="0"/>
          <w:color w:val="000000"/>
          <w:spacing w:val="0"/>
          <w:w w:val="100"/>
          <w:position w:val="0"/>
          <w:sz w:val="24"/>
          <w:szCs w:val="24"/>
        </w:rPr>
        <w:t>2008</w:t>
      </w:r>
      <w:r>
        <w:rPr>
          <w:b w:val="0"/>
          <w:bCs w:val="0"/>
          <w:color w:val="000000"/>
          <w:spacing w:val="0"/>
          <w:w w:val="100"/>
          <w:position w:val="0"/>
          <w:sz w:val="22"/>
          <w:szCs w:val="22"/>
        </w:rPr>
        <w:t>年年报工作的通知》</w:t>
      </w:r>
      <w:r>
        <w:rPr>
          <w:b w:val="0"/>
          <w:bCs w:val="0"/>
          <w:color w:val="000000"/>
          <w:spacing w:val="0"/>
          <w:w w:val="100"/>
          <w:position w:val="0"/>
          <w:sz w:val="28"/>
          <w:szCs w:val="28"/>
        </w:rPr>
        <w:t>（</w:t>
      </w:r>
      <w:r>
        <w:rPr>
          <w:b w:val="0"/>
          <w:bCs w:val="0"/>
          <w:color w:val="000000"/>
          <w:spacing w:val="0"/>
          <w:w w:val="100"/>
          <w:position w:val="0"/>
          <w:sz w:val="22"/>
          <w:szCs w:val="22"/>
        </w:rPr>
        <w:t>财会函</w:t>
      </w:r>
      <w:r>
        <w:rPr>
          <w:rFonts w:ascii="Arial" w:eastAsia="Arial" w:hAnsi="Arial" w:cs="Arial"/>
          <w:b w:val="0"/>
          <w:bCs w:val="0"/>
          <w:color w:val="000000"/>
          <w:spacing w:val="0"/>
          <w:w w:val="100"/>
          <w:position w:val="0"/>
          <w:sz w:val="24"/>
          <w:szCs w:val="24"/>
        </w:rPr>
        <w:t xml:space="preserve">[2008]60 </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及财政部《关于非上市公司购买上市公司股权实现间接上市会计处理的复函》</w:t>
      </w:r>
      <w:r>
        <w:rPr>
          <w:b w:val="0"/>
          <w:bCs w:val="0"/>
          <w:color w:val="000000"/>
          <w:spacing w:val="0"/>
          <w:w w:val="100"/>
          <w:position w:val="0"/>
          <w:sz w:val="28"/>
          <w:szCs w:val="28"/>
        </w:rPr>
        <w:t>（</w:t>
      </w:r>
      <w:r>
        <w:rPr>
          <w:b w:val="0"/>
          <w:bCs w:val="0"/>
          <w:color w:val="000000"/>
          <w:spacing w:val="0"/>
          <w:w w:val="100"/>
          <w:position w:val="0"/>
          <w:sz w:val="22"/>
          <w:szCs w:val="22"/>
        </w:rPr>
        <w:t>财 会便</w:t>
      </w:r>
      <w:r>
        <w:rPr>
          <w:rFonts w:ascii="Arial" w:eastAsia="Arial" w:hAnsi="Arial" w:cs="Arial"/>
          <w:b w:val="0"/>
          <w:bCs w:val="0"/>
          <w:color w:val="000000"/>
          <w:spacing w:val="0"/>
          <w:w w:val="100"/>
          <w:position w:val="0"/>
          <w:sz w:val="24"/>
          <w:szCs w:val="24"/>
        </w:rPr>
        <w:t>[2009]17</w:t>
      </w:r>
      <w:r>
        <w:rPr>
          <w:b w:val="0"/>
          <w:bCs w:val="0"/>
          <w:color w:val="000000"/>
          <w:spacing w:val="0"/>
          <w:w w:val="100"/>
          <w:position w:val="0"/>
          <w:sz w:val="22"/>
          <w:szCs w:val="22"/>
        </w:rPr>
        <w:t>号</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的规定，本公司于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月完成的重大资产置换及发行股份购 买资产的交易</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附注一</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构成非业务类型的反向购买，应按照权益性交易的原则进行处 理。</w:t>
      </w:r>
    </w:p>
    <w:p>
      <w:pPr>
        <w:pStyle w:val="Style33"/>
        <w:keepNext w:val="0"/>
        <w:keepLines w:val="0"/>
        <w:widowControl w:val="0"/>
        <w:shd w:val="clear" w:color="auto" w:fill="auto"/>
        <w:bidi w:val="0"/>
        <w:spacing w:before="0" w:after="320" w:line="324" w:lineRule="exact"/>
        <w:ind w:left="0" w:right="0" w:firstLine="0"/>
        <w:jc w:val="both"/>
        <w:rPr>
          <w:sz w:val="22"/>
          <w:szCs w:val="22"/>
        </w:rPr>
      </w:pPr>
      <w:r>
        <w:rPr>
          <w:b w:val="0"/>
          <w:bCs w:val="0"/>
          <w:color w:val="000000"/>
          <w:spacing w:val="0"/>
          <w:w w:val="100"/>
          <w:position w:val="0"/>
          <w:sz w:val="22"/>
          <w:szCs w:val="22"/>
        </w:rPr>
        <w:t>因此，本公司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法律上的母公司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在资产置换完成后保留的各项可辨认资产、负债，按 照重组日的公允价值进行确认和计量，企业合并成本与本公司可辨认净资产公允价值 之间的差额调整合并报表的资本公积，不确认商誉或计入当期损益。</w:t>
      </w:r>
    </w:p>
    <w:p>
      <w:pPr>
        <w:pStyle w:val="Style33"/>
        <w:keepNext w:val="0"/>
        <w:keepLines w:val="0"/>
        <w:widowControl w:val="0"/>
        <w:shd w:val="clear" w:color="auto" w:fill="auto"/>
        <w:bidi w:val="0"/>
        <w:spacing w:before="0" w:after="320" w:line="317" w:lineRule="exact"/>
        <w:ind w:left="0" w:right="0" w:firstLine="0"/>
        <w:jc w:val="both"/>
        <w:rPr>
          <w:sz w:val="22"/>
          <w:szCs w:val="22"/>
        </w:rPr>
      </w:pP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资本公积的确认情况下：</w:t>
      </w:r>
    </w:p>
    <w:p>
      <w:pPr>
        <w:pStyle w:val="Style33"/>
        <w:keepNext w:val="0"/>
        <w:keepLines w:val="0"/>
        <w:widowControl w:val="0"/>
        <w:shd w:val="clear" w:color="auto" w:fill="auto"/>
        <w:bidi w:val="0"/>
        <w:spacing w:before="0" w:after="320" w:line="317" w:lineRule="exact"/>
        <w:ind w:left="0" w:right="0" w:firstLine="0"/>
        <w:jc w:val="both"/>
        <w:rPr>
          <w:sz w:val="24"/>
          <w:szCs w:val="24"/>
        </w:rPr>
      </w:pPr>
      <w:r>
        <w:rPr>
          <w:b w:val="0"/>
          <w:bCs w:val="0"/>
          <w:color w:val="000000"/>
          <w:spacing w:val="0"/>
          <w:w w:val="100"/>
          <w:position w:val="0"/>
          <w:sz w:val="22"/>
          <w:szCs w:val="22"/>
        </w:rPr>
        <w:t>合并成本</w:t>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bidi w:val="0"/>
        <w:spacing w:before="0" w:after="320" w:line="317" w:lineRule="exact"/>
        <w:ind w:left="0" w:right="0" w:firstLine="0"/>
        <w:jc w:val="both"/>
        <w:rPr>
          <w:sz w:val="22"/>
          <w:szCs w:val="22"/>
        </w:rPr>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Restart w:val="continuous"/>
          </w:footnotePr>
          <w:pgSz w:w="11900" w:h="16840"/>
          <w:pgMar w:top="2119" w:right="1107" w:bottom="3143" w:left="1956" w:header="0" w:footer="3" w:gutter="0"/>
          <w:cols w:space="720"/>
          <w:noEndnote/>
          <w:titlePg/>
          <w:rtlGutter w:val="0"/>
          <w:docGrid w:linePitch="360"/>
        </w:sectPr>
      </w:pPr>
      <w:r>
        <mc:AlternateContent>
          <mc:Choice Requires="wps">
            <w:drawing>
              <wp:anchor distT="0" distB="0" distL="114300" distR="114300" simplePos="0" relativeHeight="125829549" behindDoc="0" locked="0" layoutInCell="1" allowOverlap="1">
                <wp:simplePos x="0" y="0"/>
                <wp:positionH relativeFrom="page">
                  <wp:posOffset>5588635</wp:posOffset>
                </wp:positionH>
                <wp:positionV relativeFrom="paragraph">
                  <wp:posOffset>241300</wp:posOffset>
                </wp:positionV>
                <wp:extent cx="1246505" cy="429895"/>
                <wp:wrapSquare wrapText="left"/>
                <wp:docPr id="470" name="Shape 470"/>
                <a:graphic xmlns:a="http://schemas.openxmlformats.org/drawingml/2006/main">
                  <a:graphicData uri="http://schemas.microsoft.com/office/word/2010/wordprocessingShape">
                    <wps:wsp>
                      <wps:cNvSpPr txBox="1"/>
                      <wps:spPr>
                        <a:xfrm>
                          <a:ext cx="1246505" cy="429895"/>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u w:val="single"/>
                              </w:rPr>
                              <w:t>(233,492,340.00)</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(233,492,340.00)</w:t>
                            </w:r>
                          </w:p>
                        </w:txbxContent>
                      </wps:txbx>
                      <wps:bodyPr lIns="0" tIns="0" rIns="0" bIns="0">
                        <a:noAutoFit/>
                      </wps:bodyPr>
                    </wps:wsp>
                  </a:graphicData>
                </a:graphic>
              </wp:anchor>
            </w:drawing>
          </mc:Choice>
          <mc:Fallback>
            <w:pict>
              <v:shape id="_x0000_s1496" type="#_x0000_t202" style="position:absolute;margin-left:440.05000000000001pt;margin-top:19.pt;width:98.150000000000006pt;height:33.850000000000001pt;z-index:-125829204;mso-wrap-distance-left:9.pt;mso-wrap-distance-right:9.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u w:val="single"/>
                        </w:rPr>
                        <w:t>(233,492,340.00)</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(233,492,340.00)</w:t>
                      </w:r>
                    </w:p>
                  </w:txbxContent>
                </v:textbox>
                <w10:wrap type="square" side="left" anchorx="page"/>
              </v:shape>
            </w:pict>
          </mc:Fallback>
        </mc:AlternateContent>
      </w:r>
      <w:r>
        <w:rPr>
          <w:b w:val="0"/>
          <w:bCs w:val="0"/>
          <w:color w:val="000000"/>
          <w:spacing w:val="0"/>
          <w:w w:val="100"/>
          <w:position w:val="0"/>
          <w:sz w:val="22"/>
          <w:szCs w:val="22"/>
        </w:rPr>
        <w:t>取得的可辨认净资产公允价值</w:t>
      </w:r>
      <w:r>
        <w:rPr>
          <w:rFonts w:ascii="Arial" w:eastAsia="Arial" w:hAnsi="Arial" w:cs="Arial"/>
          <w:b w:val="0"/>
          <w:bCs w:val="0"/>
          <w:color w:val="000000"/>
          <w:spacing w:val="0"/>
          <w:w w:val="100"/>
          <w:position w:val="0"/>
          <w:sz w:val="24"/>
          <w:szCs w:val="24"/>
        </w:rPr>
        <w:t xml:space="preserve">（b） </w:t>
      </w:r>
      <w:r>
        <w:rPr>
          <w:b w:val="0"/>
          <w:bCs w:val="0"/>
          <w:color w:val="000000"/>
          <w:spacing w:val="0"/>
          <w:w w:val="100"/>
          <w:position w:val="0"/>
          <w:sz w:val="22"/>
          <w:szCs w:val="22"/>
        </w:rPr>
        <w:t>减：本公司资产置换时已存在的股份面值 合并报表确认的资本公积</w:t>
      </w:r>
    </w:p>
    <w:p>
      <w:pPr>
        <w:pStyle w:val="Style27"/>
        <w:keepNext/>
        <w:keepLines/>
        <w:widowControl w:val="0"/>
        <w:shd w:val="clear" w:color="auto" w:fill="auto"/>
        <w:bidi w:val="0"/>
        <w:spacing w:before="0" w:after="340" w:line="240" w:lineRule="auto"/>
        <w:ind w:left="0" w:right="0" w:firstLine="0"/>
        <w:jc w:val="left"/>
        <w:rPr>
          <w:sz w:val="28"/>
          <w:szCs w:val="28"/>
        </w:rPr>
      </w:pPr>
      <w:bookmarkStart w:id="893" w:name="bookmark893"/>
      <w:bookmarkStart w:id="894" w:name="bookmark894"/>
      <w:bookmarkStart w:id="895" w:name="bookmark895"/>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反向购买</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893"/>
      <w:bookmarkEnd w:id="894"/>
      <w:bookmarkEnd w:id="895"/>
    </w:p>
    <w:p>
      <w:pPr>
        <w:pStyle w:val="Style33"/>
        <w:keepNext w:val="0"/>
        <w:keepLines w:val="0"/>
        <w:widowControl w:val="0"/>
        <w:shd w:val="clear" w:color="auto" w:fill="auto"/>
        <w:bidi w:val="0"/>
        <w:spacing w:before="0" w:after="38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(b) </w:t>
      </w:r>
      <w:r>
        <w:rPr>
          <w:b w:val="0"/>
          <w:bCs w:val="0"/>
          <w:color w:val="000000"/>
          <w:spacing w:val="0"/>
          <w:w w:val="100"/>
          <w:position w:val="0"/>
          <w:sz w:val="22"/>
          <w:szCs w:val="22"/>
        </w:rPr>
        <w:t>被购买方于重组日的资产和负债情况列示如下:</w:t>
      </w:r>
    </w:p>
    <w:tbl>
      <w:tblPr>
        <w:tblOverlap w:val="never"/>
        <w:jc w:val="center"/>
        <w:tblLayout w:type="fixed"/>
      </w:tblPr>
      <w:tblGrid>
        <w:gridCol w:w="2381"/>
        <w:gridCol w:w="2530"/>
        <w:gridCol w:w="2069"/>
        <w:gridCol w:w="1800"/>
      </w:tblGrid>
      <w:tr>
        <w:trPr>
          <w:trHeight w:val="108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重组日 公允价值</w:t>
            </w:r>
          </w:p>
        </w:tc>
        <w:tc>
          <w:tcPr>
            <w:tcBorders/>
            <w:shd w:val="clear" w:color="auto" w:fill="FFFFFF"/>
            <w:vAlign w:val="center"/>
          </w:tcPr>
          <w:p>
            <w:pPr>
              <w:pStyle w:val="Style23"/>
              <w:keepNext w:val="0"/>
              <w:keepLines w:val="0"/>
              <w:widowControl w:val="0"/>
              <w:shd w:val="clear" w:color="auto" w:fill="auto"/>
              <w:bidi w:val="0"/>
              <w:spacing w:before="0" w:after="0" w:line="322" w:lineRule="exact"/>
              <w:ind w:left="0" w:right="360" w:firstLine="0"/>
              <w:jc w:val="right"/>
              <w:rPr>
                <w:sz w:val="19"/>
                <w:szCs w:val="19"/>
              </w:rPr>
            </w:pPr>
            <w:r>
              <w:rPr>
                <w:color w:val="000000"/>
                <w:spacing w:val="0"/>
                <w:w w:val="100"/>
                <w:position w:val="0"/>
                <w:sz w:val="19"/>
                <w:szCs w:val="19"/>
              </w:rPr>
              <w:t>重组日 账面价值</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p>
            <w:pPr>
              <w:pStyle w:val="Style23"/>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账面价值</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货币资金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60,156,545.77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60,156,545.77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92,171,132.32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应收票据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63,864,782.09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应收账款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161,477,605.37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预付款项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86,217,596.53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应收利息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178,161.87</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其他应收款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13,179,087.61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13,179,087.61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150,537,020.98</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存货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123,661,078.50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可供出售金融资产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50,000.00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长期股权投资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50,000,000.00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固定资产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105,248,526.45</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在建工程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672,380.70</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无形资产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19,868,098.66</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递延所得税资产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1,859,788.03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其他非流动资产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9,733,730.00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减</w:t>
            </w:r>
            <w:r>
              <w:rPr>
                <w:rFonts w:ascii="Arial" w:eastAsia="Arial" w:hAnsi="Arial" w:cs="Arial"/>
                <w:color w:val="000000"/>
                <w:spacing w:val="0"/>
                <w:w w:val="100"/>
                <w:position w:val="0"/>
                <w:sz w:val="20"/>
                <w:szCs w:val="20"/>
              </w:rPr>
              <w:t>:</w:t>
            </w:r>
            <w:r>
              <w:rPr>
                <w:color w:val="000000"/>
                <w:spacing w:val="0"/>
                <w:w w:val="100"/>
                <w:position w:val="0"/>
                <w:sz w:val="19"/>
                <w:szCs w:val="19"/>
              </w:rPr>
              <w:t>短期借款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(20,000,000.00)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(67,000,000.00)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应付票据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(58,288,000.00)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(7,896,982.58)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预收款项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(1,229,279.97)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应付职工薪酬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(1,316,309.09)</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应交税费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(47,528,429.77)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(47,528,429.77)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(15,542,452.12)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应付利息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(24,165.67)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(24,165.67)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(2,781,066.13)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(5,783,037.94)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(5,783,037.94)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(912,126.16)</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(6,640,000.00)</w:t>
            </w:r>
          </w:p>
        </w:tc>
      </w:tr>
      <w:tr>
        <w:trPr>
          <w:trHeight w:val="36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净资产</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703,933,685.45</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2119" w:right="1107" w:bottom="3143" w:left="1956" w:header="0" w:footer="3" w:gutter="0"/>
          <w:cols w:space="720"/>
          <w:noEndnote/>
          <w:rtlGutter w:val="0"/>
          <w:docGrid w:linePitch="360"/>
        </w:sectPr>
      </w:pPr>
    </w:p>
    <w:p>
      <w:pPr>
        <w:pStyle w:val="Style94"/>
        <w:keepNext w:val="0"/>
        <w:keepLines w:val="0"/>
        <w:widowControl w:val="0"/>
        <w:shd w:val="clear" w:color="auto" w:fill="auto"/>
        <w:bidi w:val="0"/>
        <w:spacing w:before="0" w:after="360" w:line="240" w:lineRule="auto"/>
        <w:ind w:left="0" w:right="0" w:firstLine="0"/>
        <w:jc w:val="left"/>
        <w:rPr>
          <w:sz w:val="28"/>
          <w:szCs w:val="28"/>
        </w:rPr>
      </w:pPr>
      <w:r>
        <w:rPr>
          <w:color w:val="000000"/>
          <w:spacing w:val="0"/>
          <w:w w:val="100"/>
          <w:position w:val="0"/>
          <w:sz w:val="24"/>
          <w:szCs w:val="24"/>
        </w:rPr>
        <w:t>(1)</w:t>
      </w:r>
      <w:r>
        <w:rPr>
          <w:rFonts w:ascii="SimSun" w:eastAsia="SimSun" w:hAnsi="SimSun" w:cs="SimSun"/>
          <w:b/>
          <w:bCs/>
          <w:color w:val="000000"/>
          <w:spacing w:val="0"/>
          <w:w w:val="100"/>
          <w:position w:val="0"/>
          <w:sz w:val="22"/>
          <w:szCs w:val="22"/>
        </w:rPr>
        <w:t>反向购买</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950" w:val="left"/>
        </w:tabs>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被购买方于重组日的资产和负债情况列示如下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shd w:val="clear" w:color="auto" w:fill="auto"/>
        <w:tabs>
          <w:tab w:pos="8213" w:val="left"/>
        </w:tabs>
        <w:bidi w:val="0"/>
        <w:spacing w:before="0" w:after="0" w:line="240" w:lineRule="auto"/>
        <w:ind w:left="0" w:right="0" w:firstLine="0"/>
        <w:jc w:val="left"/>
        <w:rPr>
          <w:sz w:val="24"/>
          <w:szCs w:val="24"/>
        </w:rPr>
      </w:pPr>
      <w:r>
        <w:rPr>
          <w:b w:val="0"/>
          <w:bCs w:val="0"/>
          <w:color w:val="000000"/>
          <w:spacing w:val="0"/>
          <w:w w:val="100"/>
          <w:position w:val="0"/>
          <w:sz w:val="22"/>
          <w:szCs w:val="22"/>
        </w:rPr>
        <w:t>以现金支付的对价</w:t>
        <w:tab/>
      </w:r>
      <w:r>
        <w:rPr>
          <w:rFonts w:ascii="Arial" w:eastAsia="Arial" w:hAnsi="Arial" w:cs="Arial"/>
          <w:b w:val="0"/>
          <w:bCs w:val="0"/>
          <w:color w:val="000000"/>
          <w:spacing w:val="0"/>
          <w:w w:val="100"/>
          <w:position w:val="0"/>
          <w:sz w:val="24"/>
          <w:szCs w:val="24"/>
        </w:rPr>
        <w:t>-</w:t>
      </w:r>
    </w:p>
    <w:p>
      <w:pPr>
        <w:pStyle w:val="Style33"/>
        <w:keepNext w:val="0"/>
        <w:keepLines w:val="0"/>
        <w:widowControl w:val="0"/>
        <w:shd w:val="clear" w:color="auto" w:fill="auto"/>
        <w:tabs>
          <w:tab w:pos="7020" w:val="left"/>
        </w:tabs>
        <w:bidi w:val="0"/>
        <w:spacing w:before="0" w:after="0" w:line="240" w:lineRule="auto"/>
        <w:ind w:left="0" w:right="0" w:firstLine="0"/>
        <w:jc w:val="left"/>
        <w:rPr>
          <w:sz w:val="24"/>
          <w:szCs w:val="24"/>
        </w:rPr>
      </w:pPr>
      <w:r>
        <w:rPr>
          <w:b w:val="0"/>
          <w:bCs w:val="0"/>
          <w:color w:val="000000"/>
          <w:spacing w:val="0"/>
          <w:w w:val="100"/>
          <w:position w:val="0"/>
          <w:sz w:val="22"/>
          <w:szCs w:val="22"/>
        </w:rPr>
        <w:t>减：取得的被收购子公司的现金及现金等价物</w:t>
        <w:tab/>
      </w:r>
      <w:r>
        <w:rPr>
          <w:rFonts w:ascii="Arial" w:eastAsia="Arial" w:hAnsi="Arial" w:cs="Arial"/>
          <w:b w:val="0"/>
          <w:bCs w:val="0"/>
          <w:color w:val="000000"/>
          <w:spacing w:val="0"/>
          <w:w w:val="100"/>
          <w:position w:val="0"/>
          <w:sz w:val="24"/>
          <w:szCs w:val="24"/>
          <w:u w:val="single"/>
        </w:rPr>
        <w:t>(60,156,545.77)</w:t>
      </w:r>
    </w:p>
    <w:p>
      <w:pPr>
        <w:pStyle w:val="Style94"/>
        <w:keepNext w:val="0"/>
        <w:keepLines w:val="0"/>
        <w:widowControl w:val="0"/>
        <w:shd w:val="clear" w:color="auto" w:fill="auto"/>
        <w:tabs>
          <w:tab w:pos="7020" w:val="left"/>
        </w:tabs>
        <w:bidi w:val="0"/>
        <w:spacing w:before="0" w:after="180" w:line="240" w:lineRule="auto"/>
        <w:ind w:left="0"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2194" w:right="1100" w:bottom="2194" w:left="1962" w:header="0" w:footer="3" w:gutter="0"/>
          <w:cols w:space="720"/>
          <w:noEndnote/>
          <w:rtlGutter w:val="0"/>
          <w:docGrid w:linePitch="360"/>
        </w:sectPr>
      </w:pPr>
      <w:r>
        <w:rPr>
          <w:rFonts w:ascii="SimSun" w:eastAsia="SimSun" w:hAnsi="SimSun" w:cs="SimSun"/>
          <w:color w:val="000000"/>
          <w:spacing w:val="0"/>
          <w:w w:val="100"/>
          <w:position w:val="0"/>
          <w:sz w:val="22"/>
          <w:szCs w:val="22"/>
        </w:rPr>
        <w:t>取得子公司取得的现金净额</w:t>
        <w:tab/>
      </w:r>
      <w:r>
        <w:rPr>
          <w:color w:val="000000"/>
          <w:spacing w:val="0"/>
          <w:w w:val="100"/>
          <w:position w:val="0"/>
          <w:sz w:val="24"/>
          <w:szCs w:val="24"/>
          <w:u w:val="single"/>
        </w:rPr>
        <w:t>(60,156,545.77)</w:t>
      </w:r>
    </w:p>
    <w:p>
      <w:pPr>
        <w:pStyle w:val="Style27"/>
        <w:keepNext/>
        <w:keepLines/>
        <w:widowControl w:val="0"/>
        <w:shd w:val="clear" w:color="auto" w:fill="auto"/>
        <w:bidi w:val="0"/>
        <w:spacing w:before="0" w:line="240" w:lineRule="auto"/>
        <w:ind w:left="0" w:right="0" w:firstLine="0"/>
        <w:jc w:val="left"/>
      </w:pPr>
      <w:bookmarkStart w:id="896" w:name="bookmark896"/>
      <w:bookmarkStart w:id="897" w:name="bookmark897"/>
      <w:bookmarkStart w:id="898" w:name="bookmark898"/>
      <w:r>
        <w:rPr>
          <w:color w:val="000000"/>
          <w:spacing w:val="0"/>
          <w:w w:val="100"/>
          <w:position w:val="0"/>
          <w:sz w:val="22"/>
          <w:szCs w:val="22"/>
        </w:rPr>
        <w:t>五合并范围的变更</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896"/>
      <w:bookmarkEnd w:id="897"/>
      <w:bookmarkEnd w:id="898"/>
    </w:p>
    <w:p>
      <w:pPr>
        <w:pStyle w:val="Style27"/>
        <w:keepNext/>
        <w:keepLines/>
        <w:widowControl w:val="0"/>
        <w:shd w:val="clear" w:color="auto" w:fill="auto"/>
        <w:bidi w:val="0"/>
        <w:spacing w:before="0" w:after="420" w:line="240" w:lineRule="auto"/>
        <w:ind w:left="0" w:right="0" w:firstLine="0"/>
        <w:jc w:val="left"/>
        <w:rPr>
          <w:sz w:val="22"/>
          <w:szCs w:val="22"/>
        </w:rPr>
      </w:pPr>
      <w:bookmarkStart w:id="896" w:name="bookmark896"/>
      <w:bookmarkStart w:id="897" w:name="bookmark897"/>
      <w:bookmarkStart w:id="899" w:name="bookmark899"/>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非同一控制下企业合并</w:t>
      </w:r>
      <w:bookmarkEnd w:id="896"/>
      <w:bookmarkEnd w:id="897"/>
      <w:bookmarkEnd w:id="899"/>
    </w:p>
    <w:p>
      <w:pPr>
        <w:pStyle w:val="Style29"/>
        <w:keepNext w:val="0"/>
        <w:keepLines w:val="0"/>
        <w:widowControl w:val="0"/>
        <w:shd w:val="clear" w:color="auto" w:fill="auto"/>
        <w:bidi w:val="0"/>
        <w:spacing w:before="0" w:after="0" w:line="240" w:lineRule="auto"/>
        <w:ind w:left="11410" w:right="0" w:firstLine="0"/>
        <w:jc w:val="left"/>
        <w:rPr>
          <w:sz w:val="13"/>
          <w:szCs w:val="13"/>
        </w:rPr>
      </w:pPr>
      <w:r>
        <w:rPr>
          <w:color w:val="000000"/>
          <w:spacing w:val="0"/>
          <w:w w:val="100"/>
          <w:position w:val="0"/>
          <w:sz w:val="13"/>
          <w:szCs w:val="13"/>
        </w:rPr>
        <w:t>购买日至年末</w:t>
      </w:r>
    </w:p>
    <w:tbl>
      <w:tblPr>
        <w:tblOverlap w:val="never"/>
        <w:jc w:val="center"/>
        <w:tblLayout w:type="fixed"/>
      </w:tblPr>
      <w:tblGrid>
        <w:gridCol w:w="1488"/>
        <w:gridCol w:w="1349"/>
        <w:gridCol w:w="1435"/>
        <w:gridCol w:w="1032"/>
        <w:gridCol w:w="1013"/>
        <w:gridCol w:w="1464"/>
        <w:gridCol w:w="1142"/>
        <w:gridCol w:w="1157"/>
        <w:gridCol w:w="1171"/>
        <w:gridCol w:w="1243"/>
        <w:gridCol w:w="1219"/>
      </w:tblGrid>
      <w:tr>
        <w:trPr>
          <w:trHeight w:val="10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被购买方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取得时点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购买成本</w:t>
            </w:r>
          </w:p>
        </w:tc>
        <w:tc>
          <w:tcPr>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取得的</w:t>
            </w:r>
          </w:p>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权益比例</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取得方式</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购买日</w:t>
            </w:r>
          </w:p>
        </w:tc>
        <w:tc>
          <w:tcPr>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购买日</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确定依据</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购买日至年末</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被购买方的</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营业收入</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购买日至年末</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被购买方的</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亏损</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220" w:firstLine="0"/>
              <w:jc w:val="right"/>
              <w:rPr>
                <w:sz w:val="13"/>
                <w:szCs w:val="13"/>
              </w:rPr>
            </w:pPr>
            <w:r>
              <w:rPr>
                <w:color w:val="000000"/>
                <w:spacing w:val="0"/>
                <w:w w:val="100"/>
                <w:position w:val="0"/>
                <w:sz w:val="13"/>
                <w:szCs w:val="13"/>
              </w:rPr>
              <w:t>被购买方的</w:t>
            </w:r>
          </w:p>
          <w:p>
            <w:pPr>
              <w:pStyle w:val="Style23"/>
              <w:keepNext w:val="0"/>
              <w:keepLines w:val="0"/>
              <w:widowControl w:val="0"/>
              <w:shd w:val="clear" w:color="auto" w:fill="auto"/>
              <w:bidi w:val="0"/>
              <w:spacing w:before="0" w:after="160" w:line="240" w:lineRule="auto"/>
              <w:ind w:left="0" w:right="220" w:firstLine="0"/>
              <w:jc w:val="right"/>
              <w:rPr>
                <w:sz w:val="13"/>
                <w:szCs w:val="13"/>
              </w:rPr>
            </w:pPr>
            <w:r>
              <w:rPr>
                <w:color w:val="000000"/>
                <w:spacing w:val="0"/>
                <w:w w:val="100"/>
                <w:position w:val="0"/>
                <w:sz w:val="13"/>
                <w:szCs w:val="13"/>
              </w:rPr>
              <w:t>经营活动</w:t>
            </w:r>
          </w:p>
          <w:p>
            <w:pPr>
              <w:pStyle w:val="Style23"/>
              <w:keepNext w:val="0"/>
              <w:keepLines w:val="0"/>
              <w:widowControl w:val="0"/>
              <w:shd w:val="clear" w:color="auto" w:fill="auto"/>
              <w:bidi w:val="0"/>
              <w:spacing w:before="0" w:after="160" w:line="240" w:lineRule="auto"/>
              <w:ind w:left="0" w:right="220" w:firstLine="0"/>
              <w:jc w:val="right"/>
              <w:rPr>
                <w:sz w:val="13"/>
                <w:szCs w:val="13"/>
              </w:rPr>
            </w:pPr>
            <w:r>
              <w:rPr>
                <w:color w:val="000000"/>
                <w:spacing w:val="0"/>
                <w:w w:val="100"/>
                <w:position w:val="0"/>
                <w:sz w:val="13"/>
                <w:szCs w:val="13"/>
              </w:rPr>
              <w:t>现金流量</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购买日至年末</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被购买方的</w:t>
            </w:r>
          </w:p>
          <w:p>
            <w:pPr>
              <w:pStyle w:val="Style23"/>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现金流量净额</w:t>
            </w:r>
          </w:p>
        </w:tc>
      </w:tr>
      <w:tr>
        <w:trPr>
          <w:trHeight w:val="4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翠玉控股及其附属公司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w:t>
            </w:r>
            <w:r>
              <w:rPr>
                <w:rFonts w:ascii="Arial" w:eastAsia="Arial" w:hAnsi="Arial" w:cs="Arial"/>
                <w:color w:val="000000"/>
                <w:spacing w:val="0"/>
                <w:w w:val="100"/>
                <w:position w:val="0"/>
                <w:sz w:val="14"/>
                <w:szCs w:val="14"/>
              </w:rPr>
              <w:t>7</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1,098,368,000.00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股权转让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w:t>
            </w:r>
            <w:r>
              <w:rPr>
                <w:rFonts w:ascii="Arial" w:eastAsia="Arial" w:hAnsi="Arial" w:cs="Arial"/>
                <w:color w:val="000000"/>
                <w:spacing w:val="0"/>
                <w:w w:val="100"/>
                <w:position w:val="0"/>
                <w:sz w:val="14"/>
                <w:szCs w:val="14"/>
              </w:rPr>
              <w:t>7</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股权交割完成</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82,491,531.01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(4,084,954.91)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73,372,261.86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(27,612,514.52)</w:t>
            </w:r>
          </w:p>
        </w:tc>
      </w:tr>
    </w:tbl>
    <w:p>
      <w:pPr>
        <w:widowControl w:val="0"/>
        <w:spacing w:after="319" w:line="1" w:lineRule="exact"/>
      </w:pPr>
    </w:p>
    <w:p>
      <w:pPr>
        <w:pStyle w:val="Style33"/>
        <w:keepNext w:val="0"/>
        <w:keepLines w:val="0"/>
        <w:widowControl w:val="0"/>
        <w:shd w:val="clear" w:color="auto" w:fill="auto"/>
        <w:bidi w:val="0"/>
        <w:spacing w:before="0" w:after="320" w:line="323" w:lineRule="exact"/>
        <w:ind w:left="0" w:right="0" w:firstLine="0"/>
        <w:jc w:val="both"/>
        <w:rPr>
          <w:sz w:val="19"/>
          <w:szCs w:val="19"/>
        </w:rPr>
      </w:pPr>
      <w:r>
        <w:rPr>
          <w:b w:val="0"/>
          <w:bCs w:val="0"/>
          <w:color w:val="000000"/>
          <w:spacing w:val="0"/>
          <w:w w:val="100"/>
          <w:position w:val="0"/>
          <w:sz w:val="19"/>
          <w:szCs w:val="19"/>
        </w:rPr>
        <w:t>于</w:t>
      </w:r>
      <w:r>
        <w:rPr>
          <w:rFonts w:ascii="Arial" w:eastAsia="Arial" w:hAnsi="Arial" w:cs="Arial"/>
          <w:b w:val="0"/>
          <w:bCs w:val="0"/>
          <w:color w:val="000000"/>
          <w:spacing w:val="0"/>
          <w:w w:val="100"/>
          <w:position w:val="0"/>
          <w:sz w:val="20"/>
          <w:szCs w:val="20"/>
        </w:rPr>
        <w:t>2013</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日，本公司之全资附属公司顺丰控股有限公司</w:t>
      </w:r>
      <w:r>
        <w:rPr>
          <w:b w:val="0"/>
          <w:bCs w:val="0"/>
          <w:color w:val="000000"/>
          <w:spacing w:val="0"/>
          <w:w w:val="100"/>
          <w:position w:val="0"/>
          <w:sz w:val="24"/>
          <w:szCs w:val="24"/>
        </w:rPr>
        <w:t>（</w:t>
      </w:r>
      <w:r>
        <w:rPr>
          <w:b w:val="0"/>
          <w:bCs w:val="0"/>
          <w:color w:val="000000"/>
          <w:spacing w:val="0"/>
          <w:w w:val="100"/>
          <w:position w:val="0"/>
          <w:sz w:val="19"/>
          <w:szCs w:val="19"/>
        </w:rPr>
        <w:t>以下简称“顺丰香港”</w:t>
      </w:r>
      <w:r>
        <w:rPr>
          <w:b w:val="0"/>
          <w:bCs w:val="0"/>
          <w:color w:val="000000"/>
          <w:spacing w:val="0"/>
          <w:w w:val="100"/>
          <w:position w:val="0"/>
          <w:sz w:val="24"/>
          <w:szCs w:val="24"/>
        </w:rPr>
        <w:t>）</w:t>
      </w:r>
      <w:r>
        <w:rPr>
          <w:b w:val="0"/>
          <w:bCs w:val="0"/>
          <w:color w:val="000000"/>
          <w:spacing w:val="0"/>
          <w:w w:val="100"/>
          <w:position w:val="0"/>
          <w:sz w:val="19"/>
          <w:szCs w:val="19"/>
        </w:rPr>
        <w:t>与招商局食品供应链管理有限公司</w:t>
      </w:r>
      <w:r>
        <w:rPr>
          <w:b w:val="0"/>
          <w:bCs w:val="0"/>
          <w:color w:val="000000"/>
          <w:spacing w:val="0"/>
          <w:w w:val="100"/>
          <w:position w:val="0"/>
          <w:sz w:val="24"/>
          <w:szCs w:val="24"/>
        </w:rPr>
        <w:t>（</w:t>
      </w:r>
      <w:r>
        <w:rPr>
          <w:b w:val="0"/>
          <w:bCs w:val="0"/>
          <w:color w:val="000000"/>
          <w:spacing w:val="0"/>
          <w:w w:val="100"/>
          <w:position w:val="0"/>
          <w:sz w:val="19"/>
          <w:szCs w:val="19"/>
        </w:rPr>
        <w:t>其后股权转让给</w:t>
      </w:r>
      <w:r>
        <w:rPr>
          <w:rFonts w:ascii="Arial" w:eastAsia="Arial" w:hAnsi="Arial" w:cs="Arial"/>
          <w:b w:val="0"/>
          <w:bCs w:val="0"/>
          <w:color w:val="000000"/>
          <w:spacing w:val="0"/>
          <w:w w:val="100"/>
          <w:position w:val="0"/>
          <w:sz w:val="20"/>
          <w:szCs w:val="20"/>
        </w:rPr>
        <w:t>China Assess Investment Limited（</w:t>
      </w:r>
      <w:r>
        <w:rPr>
          <w:b w:val="0"/>
          <w:bCs w:val="0"/>
          <w:color w:val="000000"/>
          <w:spacing w:val="0"/>
          <w:w w:val="100"/>
          <w:position w:val="0"/>
          <w:sz w:val="19"/>
          <w:szCs w:val="19"/>
        </w:rPr>
        <w:t>以下简称</w:t>
      </w:r>
      <w:r>
        <w:rPr>
          <w:b w:val="0"/>
          <w:bCs w:val="0"/>
          <w:color w:val="000000"/>
          <w:spacing w:val="0"/>
          <w:w w:val="100"/>
          <w:position w:val="0"/>
          <w:sz w:val="19"/>
          <w:szCs w:val="19"/>
        </w:rPr>
        <w:t>“</w:t>
      </w:r>
      <w:r>
        <w:rPr>
          <w:rFonts w:ascii="Arial" w:eastAsia="Arial" w:hAnsi="Arial" w:cs="Arial"/>
          <w:b w:val="0"/>
          <w:bCs w:val="0"/>
          <w:color w:val="000000"/>
          <w:spacing w:val="0"/>
          <w:w w:val="100"/>
          <w:position w:val="0"/>
          <w:sz w:val="20"/>
          <w:szCs w:val="20"/>
        </w:rPr>
        <w:t>China Assess</w:t>
      </w:r>
      <w:r>
        <w:rPr>
          <w:b w:val="0"/>
          <w:bCs w:val="0"/>
          <w:color w:val="000000"/>
          <w:spacing w:val="0"/>
          <w:w w:val="100"/>
          <w:position w:val="0"/>
          <w:sz w:val="19"/>
          <w:szCs w:val="19"/>
        </w:rPr>
        <w:t>"</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持有</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签署相关协议约定，顺丰香港以其对翠玉控股及其附属公司</w:t>
      </w:r>
      <w:r>
        <w:rPr>
          <w:rFonts w:ascii="Arial" w:eastAsia="Arial" w:hAnsi="Arial" w:cs="Arial"/>
          <w:b w:val="0"/>
          <w:bCs w:val="0"/>
          <w:color w:val="000000"/>
          <w:spacing w:val="0"/>
          <w:w w:val="100"/>
          <w:position w:val="0"/>
          <w:sz w:val="20"/>
          <w:szCs w:val="20"/>
        </w:rPr>
        <w:t>100%</w:t>
      </w:r>
      <w:r>
        <w:rPr>
          <w:b w:val="0"/>
          <w:bCs w:val="0"/>
          <w:color w:val="000000"/>
          <w:spacing w:val="0"/>
          <w:w w:val="100"/>
          <w:position w:val="0"/>
          <w:sz w:val="19"/>
          <w:szCs w:val="19"/>
        </w:rPr>
        <w:t>的股权以及股东贷款，</w:t>
      </w:r>
      <w:r>
        <w:rPr>
          <w:rFonts w:ascii="Arial" w:eastAsia="Arial" w:hAnsi="Arial" w:cs="Arial"/>
          <w:b w:val="0"/>
          <w:bCs w:val="0"/>
          <w:color w:val="000000"/>
          <w:spacing w:val="0"/>
          <w:w w:val="100"/>
          <w:position w:val="0"/>
          <w:sz w:val="20"/>
          <w:szCs w:val="20"/>
        </w:rPr>
        <w:t xml:space="preserve">China Assess </w:t>
      </w:r>
      <w:r>
        <w:rPr>
          <w:b w:val="0"/>
          <w:bCs w:val="0"/>
          <w:color w:val="000000"/>
          <w:spacing w:val="0"/>
          <w:w w:val="100"/>
          <w:position w:val="0"/>
          <w:sz w:val="19"/>
          <w:szCs w:val="19"/>
        </w:rPr>
        <w:t>以其对</w:t>
      </w:r>
      <w:r>
        <w:rPr>
          <w:rFonts w:ascii="Arial" w:eastAsia="Arial" w:hAnsi="Arial" w:cs="Arial"/>
          <w:b w:val="0"/>
          <w:bCs w:val="0"/>
          <w:color w:val="000000"/>
          <w:spacing w:val="0"/>
          <w:w w:val="100"/>
          <w:position w:val="0"/>
          <w:sz w:val="20"/>
          <w:szCs w:val="20"/>
        </w:rPr>
        <w:t>Gold Carrier Enterprise Limited（</w:t>
      </w:r>
      <w:r>
        <w:rPr>
          <w:b w:val="0"/>
          <w:bCs w:val="0"/>
          <w:color w:val="000000"/>
          <w:spacing w:val="0"/>
          <w:w w:val="100"/>
          <w:position w:val="0"/>
          <w:sz w:val="19"/>
          <w:szCs w:val="19"/>
        </w:rPr>
        <w:t>以下简称</w:t>
      </w:r>
      <w:r>
        <w:rPr>
          <w:b w:val="0"/>
          <w:bCs w:val="0"/>
          <w:color w:val="000000"/>
          <w:spacing w:val="0"/>
          <w:w w:val="100"/>
          <w:position w:val="0"/>
          <w:sz w:val="19"/>
          <w:szCs w:val="19"/>
        </w:rPr>
        <w:t>“</w:t>
      </w:r>
      <w:r>
        <w:rPr>
          <w:rFonts w:ascii="Arial" w:eastAsia="Arial" w:hAnsi="Arial" w:cs="Arial"/>
          <w:b w:val="0"/>
          <w:bCs w:val="0"/>
          <w:color w:val="000000"/>
          <w:spacing w:val="0"/>
          <w:w w:val="100"/>
          <w:position w:val="0"/>
          <w:sz w:val="20"/>
          <w:szCs w:val="20"/>
        </w:rPr>
        <w:t>Gold Carrier</w:t>
      </w:r>
      <w:r>
        <w:rPr>
          <w:b w:val="0"/>
          <w:bCs w:val="0"/>
          <w:color w:val="000000"/>
          <w:spacing w:val="0"/>
          <w:w w:val="100"/>
          <w:position w:val="0"/>
          <w:sz w:val="19"/>
          <w:szCs w:val="19"/>
        </w:rPr>
        <w:t>"</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及其附属公司</w:t>
      </w:r>
      <w:r>
        <w:rPr>
          <w:rFonts w:ascii="Arial" w:eastAsia="Arial" w:hAnsi="Arial" w:cs="Arial"/>
          <w:b w:val="0"/>
          <w:bCs w:val="0"/>
          <w:color w:val="000000"/>
          <w:spacing w:val="0"/>
          <w:w w:val="100"/>
          <w:position w:val="0"/>
          <w:sz w:val="20"/>
          <w:szCs w:val="20"/>
        </w:rPr>
        <w:t>100%</w:t>
      </w:r>
      <w:r>
        <w:rPr>
          <w:b w:val="0"/>
          <w:bCs w:val="0"/>
          <w:color w:val="000000"/>
          <w:spacing w:val="0"/>
          <w:w w:val="100"/>
          <w:position w:val="0"/>
          <w:sz w:val="19"/>
          <w:szCs w:val="19"/>
        </w:rPr>
        <w:t>的股权，分别作价港币</w:t>
      </w:r>
      <w:r>
        <w:rPr>
          <w:rFonts w:ascii="Arial" w:eastAsia="Arial" w:hAnsi="Arial" w:cs="Arial"/>
          <w:b w:val="0"/>
          <w:bCs w:val="0"/>
          <w:color w:val="000000"/>
          <w:spacing w:val="0"/>
          <w:w w:val="100"/>
          <w:position w:val="0"/>
          <w:sz w:val="20"/>
          <w:szCs w:val="20"/>
        </w:rPr>
        <w:t>12.8</w:t>
      </w:r>
      <w:r>
        <w:rPr>
          <w:b w:val="0"/>
          <w:bCs w:val="0"/>
          <w:color w:val="000000"/>
          <w:spacing w:val="0"/>
          <w:w w:val="100"/>
          <w:position w:val="0"/>
          <w:sz w:val="19"/>
          <w:szCs w:val="19"/>
        </w:rPr>
        <w:t xml:space="preserve">亿元，投资设立商顺供应链。顺丰香港和 </w:t>
      </w:r>
      <w:r>
        <w:rPr>
          <w:rFonts w:ascii="Arial" w:eastAsia="Arial" w:hAnsi="Arial" w:cs="Arial"/>
          <w:b w:val="0"/>
          <w:bCs w:val="0"/>
          <w:color w:val="000000"/>
          <w:spacing w:val="0"/>
          <w:w w:val="100"/>
          <w:position w:val="0"/>
          <w:sz w:val="20"/>
          <w:szCs w:val="20"/>
        </w:rPr>
        <w:t>China Assess</w:t>
      </w:r>
      <w:r>
        <w:rPr>
          <w:b w:val="0"/>
          <w:bCs w:val="0"/>
          <w:color w:val="000000"/>
          <w:spacing w:val="0"/>
          <w:w w:val="100"/>
          <w:position w:val="0"/>
          <w:sz w:val="19"/>
          <w:szCs w:val="19"/>
        </w:rPr>
        <w:t>双方各持有商顺供应链</w:t>
      </w:r>
      <w:r>
        <w:rPr>
          <w:rFonts w:ascii="Arial" w:eastAsia="Arial" w:hAnsi="Arial" w:cs="Arial"/>
          <w:b w:val="0"/>
          <w:bCs w:val="0"/>
          <w:color w:val="000000"/>
          <w:spacing w:val="0"/>
          <w:w w:val="100"/>
          <w:position w:val="0"/>
          <w:sz w:val="20"/>
          <w:szCs w:val="20"/>
        </w:rPr>
        <w:t>50%</w:t>
      </w:r>
      <w:r>
        <w:rPr>
          <w:b w:val="0"/>
          <w:bCs w:val="0"/>
          <w:color w:val="000000"/>
          <w:spacing w:val="0"/>
          <w:w w:val="100"/>
          <w:position w:val="0"/>
          <w:sz w:val="19"/>
          <w:szCs w:val="19"/>
        </w:rPr>
        <w:t>的股份，由于合营协议中规定重大的经营和财务决策需双方共同决定，故顺丰香港将对商顺供应链的投资作为对合 营公司的长期股权投资核算。</w:t>
      </w:r>
    </w:p>
    <w:p>
      <w:pPr>
        <w:pStyle w:val="Style33"/>
        <w:keepNext w:val="0"/>
        <w:keepLines w:val="0"/>
        <w:widowControl w:val="0"/>
        <w:shd w:val="clear" w:color="auto" w:fill="auto"/>
        <w:bidi w:val="0"/>
        <w:spacing w:before="0" w:after="320" w:line="323" w:lineRule="exact"/>
        <w:ind w:left="0" w:right="0" w:firstLine="0"/>
        <w:jc w:val="both"/>
        <w:rPr>
          <w:sz w:val="19"/>
          <w:szCs w:val="19"/>
        </w:rPr>
      </w:pPr>
      <w:r>
        <w:rPr>
          <w:b w:val="0"/>
          <w:bCs w:val="0"/>
          <w:color w:val="000000"/>
          <w:spacing w:val="0"/>
          <w:w w:val="100"/>
          <w:position w:val="0"/>
          <w:sz w:val="19"/>
          <w:szCs w:val="19"/>
        </w:rPr>
        <w:t>为促进翠玉控股及其附属公司、</w:t>
      </w:r>
      <w:r>
        <w:rPr>
          <w:rFonts w:ascii="Arial" w:eastAsia="Arial" w:hAnsi="Arial" w:cs="Arial"/>
          <w:b w:val="0"/>
          <w:bCs w:val="0"/>
          <w:color w:val="000000"/>
          <w:spacing w:val="0"/>
          <w:w w:val="100"/>
          <w:position w:val="0"/>
          <w:sz w:val="20"/>
          <w:szCs w:val="20"/>
        </w:rPr>
        <w:t>Gold Carrier</w:t>
      </w:r>
      <w:r>
        <w:rPr>
          <w:b w:val="0"/>
          <w:bCs w:val="0"/>
          <w:color w:val="000000"/>
          <w:spacing w:val="0"/>
          <w:w w:val="100"/>
          <w:position w:val="0"/>
          <w:sz w:val="19"/>
          <w:szCs w:val="19"/>
        </w:rPr>
        <w:t>及其附属公司更好地发展，顺丰香港与</w:t>
      </w:r>
      <w:r>
        <w:rPr>
          <w:rFonts w:ascii="Arial" w:eastAsia="Arial" w:hAnsi="Arial" w:cs="Arial"/>
          <w:b w:val="0"/>
          <w:bCs w:val="0"/>
          <w:color w:val="000000"/>
          <w:spacing w:val="0"/>
          <w:w w:val="100"/>
          <w:position w:val="0"/>
          <w:sz w:val="20"/>
          <w:szCs w:val="20"/>
        </w:rPr>
        <w:t>China Assess</w:t>
      </w:r>
      <w:r>
        <w:rPr>
          <w:b w:val="0"/>
          <w:bCs w:val="0"/>
          <w:color w:val="000000"/>
          <w:spacing w:val="0"/>
          <w:w w:val="100"/>
          <w:position w:val="0"/>
          <w:sz w:val="19"/>
          <w:szCs w:val="19"/>
        </w:rPr>
        <w:t>经协商一致同意对商顺供应链及其下属子公司进行重组， 并于</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6</w:t>
      </w:r>
      <w:r>
        <w:rPr>
          <w:b w:val="0"/>
          <w:bCs w:val="0"/>
          <w:color w:val="000000"/>
          <w:spacing w:val="0"/>
          <w:w w:val="100"/>
          <w:position w:val="0"/>
          <w:sz w:val="19"/>
          <w:szCs w:val="19"/>
        </w:rPr>
        <w:t>月签署《框架协议》及后续的补充协议，决定按照</w:t>
      </w:r>
      <w:r>
        <w:rPr>
          <w:rFonts w:ascii="Arial" w:eastAsia="Arial" w:hAnsi="Arial" w:cs="Arial"/>
          <w:b w:val="0"/>
          <w:bCs w:val="0"/>
          <w:color w:val="000000"/>
          <w:spacing w:val="0"/>
          <w:w w:val="100"/>
          <w:position w:val="0"/>
          <w:sz w:val="20"/>
          <w:szCs w:val="20"/>
        </w:rPr>
        <w:t>2013</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月顺丰香港与招商局食品供应链管理有限公司签署的相关合资协议中确认的双 方投入资产的原始作价港币</w:t>
      </w:r>
      <w:r>
        <w:rPr>
          <w:rFonts w:ascii="Arial" w:eastAsia="Arial" w:hAnsi="Arial" w:cs="Arial"/>
          <w:b w:val="0"/>
          <w:bCs w:val="0"/>
          <w:color w:val="000000"/>
          <w:spacing w:val="0"/>
          <w:w w:val="100"/>
          <w:position w:val="0"/>
          <w:sz w:val="20"/>
          <w:szCs w:val="20"/>
        </w:rPr>
        <w:t>12.8</w:t>
      </w:r>
      <w:r>
        <w:rPr>
          <w:b w:val="0"/>
          <w:bCs w:val="0"/>
          <w:color w:val="000000"/>
          <w:spacing w:val="0"/>
          <w:w w:val="100"/>
          <w:position w:val="0"/>
          <w:sz w:val="19"/>
          <w:szCs w:val="19"/>
        </w:rPr>
        <w:t>亿元</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折合人民币</w:t>
      </w:r>
      <w:r>
        <w:rPr>
          <w:rFonts w:ascii="Arial" w:eastAsia="Arial" w:hAnsi="Arial" w:cs="Arial"/>
          <w:b w:val="0"/>
          <w:bCs w:val="0"/>
          <w:color w:val="000000"/>
          <w:spacing w:val="0"/>
          <w:w w:val="100"/>
          <w:position w:val="0"/>
          <w:sz w:val="20"/>
          <w:szCs w:val="20"/>
        </w:rPr>
        <w:t>10.98</w:t>
      </w:r>
      <w:r>
        <w:rPr>
          <w:b w:val="0"/>
          <w:bCs w:val="0"/>
          <w:color w:val="000000"/>
          <w:spacing w:val="0"/>
          <w:w w:val="100"/>
          <w:position w:val="0"/>
          <w:sz w:val="19"/>
          <w:szCs w:val="19"/>
        </w:rPr>
        <w:t>亿元</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由顺丰香港和</w:t>
      </w:r>
      <w:r>
        <w:rPr>
          <w:rFonts w:ascii="Arial" w:eastAsia="Arial" w:hAnsi="Arial" w:cs="Arial"/>
          <w:b w:val="0"/>
          <w:bCs w:val="0"/>
          <w:color w:val="000000"/>
          <w:spacing w:val="0"/>
          <w:w w:val="100"/>
          <w:position w:val="0"/>
          <w:sz w:val="20"/>
          <w:szCs w:val="20"/>
        </w:rPr>
        <w:t>China Assess</w:t>
      </w:r>
      <w:r>
        <w:rPr>
          <w:b w:val="0"/>
          <w:bCs w:val="0"/>
          <w:color w:val="000000"/>
          <w:spacing w:val="0"/>
          <w:w w:val="100"/>
          <w:position w:val="0"/>
          <w:sz w:val="19"/>
          <w:szCs w:val="19"/>
        </w:rPr>
        <w:t>分别收回各自原投入资产，同时减少对商顺供应链的长期股权投资。 重组完成后，顺丰香港重新持有翠玉控股及其附属公司</w:t>
      </w:r>
      <w:r>
        <w:rPr>
          <w:rFonts w:ascii="Arial" w:eastAsia="Arial" w:hAnsi="Arial" w:cs="Arial"/>
          <w:b w:val="0"/>
          <w:bCs w:val="0"/>
          <w:color w:val="000000"/>
          <w:spacing w:val="0"/>
          <w:w w:val="100"/>
          <w:position w:val="0"/>
          <w:sz w:val="20"/>
          <w:szCs w:val="20"/>
        </w:rPr>
        <w:t>100%</w:t>
      </w:r>
      <w:r>
        <w:rPr>
          <w:b w:val="0"/>
          <w:bCs w:val="0"/>
          <w:color w:val="000000"/>
          <w:spacing w:val="0"/>
          <w:w w:val="100"/>
          <w:position w:val="0"/>
          <w:sz w:val="19"/>
          <w:szCs w:val="19"/>
        </w:rPr>
        <w:t>的股权，</w:t>
      </w:r>
      <w:r>
        <w:rPr>
          <w:rFonts w:ascii="Arial" w:eastAsia="Arial" w:hAnsi="Arial" w:cs="Arial"/>
          <w:b w:val="0"/>
          <w:bCs w:val="0"/>
          <w:color w:val="000000"/>
          <w:spacing w:val="0"/>
          <w:w w:val="100"/>
          <w:position w:val="0"/>
          <w:sz w:val="20"/>
          <w:szCs w:val="20"/>
        </w:rPr>
        <w:t>China Assess</w:t>
      </w:r>
      <w:r>
        <w:rPr>
          <w:b w:val="0"/>
          <w:bCs w:val="0"/>
          <w:color w:val="000000"/>
          <w:spacing w:val="0"/>
          <w:w w:val="100"/>
          <w:position w:val="0"/>
          <w:sz w:val="19"/>
          <w:szCs w:val="19"/>
        </w:rPr>
        <w:t>也再次持有</w:t>
      </w:r>
      <w:r>
        <w:rPr>
          <w:rFonts w:ascii="Arial" w:eastAsia="Arial" w:hAnsi="Arial" w:cs="Arial"/>
          <w:b w:val="0"/>
          <w:bCs w:val="0"/>
          <w:color w:val="000000"/>
          <w:spacing w:val="0"/>
          <w:w w:val="100"/>
          <w:position w:val="0"/>
          <w:sz w:val="20"/>
          <w:szCs w:val="20"/>
        </w:rPr>
        <w:t>Gold Carrier</w:t>
      </w:r>
      <w:r>
        <w:rPr>
          <w:b w:val="0"/>
          <w:bCs w:val="0"/>
          <w:color w:val="000000"/>
          <w:spacing w:val="0"/>
          <w:w w:val="100"/>
          <w:position w:val="0"/>
          <w:sz w:val="19"/>
          <w:szCs w:val="19"/>
        </w:rPr>
        <w:t>及其附属公司</w:t>
      </w:r>
      <w:r>
        <w:rPr>
          <w:rFonts w:ascii="Arial" w:eastAsia="Arial" w:hAnsi="Arial" w:cs="Arial"/>
          <w:b w:val="0"/>
          <w:bCs w:val="0"/>
          <w:color w:val="000000"/>
          <w:spacing w:val="0"/>
          <w:w w:val="100"/>
          <w:position w:val="0"/>
          <w:sz w:val="20"/>
          <w:szCs w:val="20"/>
        </w:rPr>
        <w:t>100%</w:t>
      </w:r>
      <w:r>
        <w:rPr>
          <w:b w:val="0"/>
          <w:bCs w:val="0"/>
          <w:color w:val="000000"/>
          <w:spacing w:val="0"/>
          <w:w w:val="100"/>
          <w:position w:val="0"/>
          <w:sz w:val="19"/>
          <w:szCs w:val="19"/>
        </w:rPr>
        <w:t>的股权。至此，商顺供应链 不再拥有上述资产。</w:t>
      </w:r>
    </w:p>
    <w:p>
      <w:pPr>
        <w:pStyle w:val="Style33"/>
        <w:keepNext w:val="0"/>
        <w:keepLines w:val="0"/>
        <w:widowControl w:val="0"/>
        <w:shd w:val="clear" w:color="auto" w:fill="auto"/>
        <w:bidi w:val="0"/>
        <w:spacing w:before="0" w:after="420" w:line="320" w:lineRule="exact"/>
        <w:ind w:left="0" w:right="0" w:firstLine="0"/>
        <w:jc w:val="both"/>
        <w:rPr>
          <w:sz w:val="19"/>
          <w:szCs w:val="19"/>
        </w:rPr>
      </w:pPr>
      <w:r>
        <w:rPr>
          <w:b w:val="0"/>
          <w:bCs w:val="0"/>
          <w:color w:val="000000"/>
          <w:spacing w:val="0"/>
          <w:w w:val="100"/>
          <w:position w:val="0"/>
          <w:sz w:val="19"/>
          <w:szCs w:val="19"/>
        </w:rPr>
        <w:t>于</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7</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日，顺丰香港实际取得了翠玉控股及其附属公司的控制权。由于翠玉控股及其附属公司所持有的物业已对外放租并正常运营，因此顺丰香 港本次购买翠玉控股及其附属公司的股权被视为业务合并，且由于翠玉控股及其附属公司与顺丰香港在购买前并不受同一最终控制方控制，因此本交易属于非 同一控制下企业合并。负商誉计算确认为人民币</w:t>
      </w:r>
      <w:r>
        <w:rPr>
          <w:rFonts w:ascii="Arial" w:eastAsia="Arial" w:hAnsi="Arial" w:cs="Arial"/>
          <w:b w:val="0"/>
          <w:bCs w:val="0"/>
          <w:color w:val="000000"/>
          <w:spacing w:val="0"/>
          <w:w w:val="100"/>
          <w:position w:val="0"/>
          <w:sz w:val="20"/>
          <w:szCs w:val="20"/>
        </w:rPr>
        <w:t>1,232,938,035.11</w:t>
      </w:r>
      <w:r>
        <w:rPr>
          <w:b w:val="0"/>
          <w:bCs w:val="0"/>
          <w:color w:val="000000"/>
          <w:spacing w:val="0"/>
          <w:w w:val="100"/>
          <w:position w:val="0"/>
          <w:sz w:val="19"/>
          <w:szCs w:val="19"/>
        </w:rPr>
        <w:t>元，计入营业外收入</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参见附注四</w:t>
      </w:r>
      <w:r>
        <w:rPr>
          <w:rFonts w:ascii="Arial" w:eastAsia="Arial" w:hAnsi="Arial" w:cs="Arial"/>
          <w:b w:val="0"/>
          <w:bCs w:val="0"/>
          <w:color w:val="000000"/>
          <w:spacing w:val="0"/>
          <w:w w:val="100"/>
          <w:position w:val="0"/>
          <w:sz w:val="20"/>
          <w:szCs w:val="20"/>
        </w:rPr>
        <w:t>（50）（a））</w:t>
      </w:r>
      <w:r>
        <w:rPr>
          <w:b w:val="0"/>
          <w:bCs w:val="0"/>
          <w:color w:val="000000"/>
          <w:spacing w:val="0"/>
          <w:w w:val="100"/>
          <w:position w:val="0"/>
          <w:sz w:val="19"/>
          <w:szCs w:val="19"/>
        </w:rPr>
        <w:t>。</w:t>
      </w:r>
      <w:r>
        <w:rPr>
          <w:b w:val="0"/>
          <w:bCs w:val="0"/>
          <w:color w:val="000000"/>
          <w:spacing w:val="0"/>
          <w:w w:val="100"/>
          <w:position w:val="0"/>
          <w:sz w:val="19"/>
          <w:szCs w:val="19"/>
        </w:rPr>
        <w:t>本集团的长期股权投资由于本次交易减少对商顺 供应链的投资共计人民币</w:t>
      </w:r>
      <w:r>
        <w:rPr>
          <w:rFonts w:ascii="Arial" w:eastAsia="Arial" w:hAnsi="Arial" w:cs="Arial"/>
          <w:b w:val="0"/>
          <w:bCs w:val="0"/>
          <w:color w:val="000000"/>
          <w:spacing w:val="0"/>
          <w:w w:val="100"/>
          <w:position w:val="0"/>
          <w:sz w:val="20"/>
          <w:szCs w:val="20"/>
        </w:rPr>
        <w:t>1,098,368,000.00</w:t>
      </w:r>
      <w:r>
        <w:rPr>
          <w:b w:val="0"/>
          <w:bCs w:val="0"/>
          <w:color w:val="000000"/>
          <w:spacing w:val="0"/>
          <w:w w:val="100"/>
          <w:position w:val="0"/>
          <w:sz w:val="19"/>
          <w:szCs w:val="19"/>
        </w:rPr>
        <w:t>元</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参见附注四</w:t>
      </w:r>
      <w:r>
        <w:rPr>
          <w:rFonts w:ascii="Arial" w:eastAsia="Arial" w:hAnsi="Arial" w:cs="Arial"/>
          <w:b w:val="0"/>
          <w:bCs w:val="0"/>
          <w:color w:val="000000"/>
          <w:spacing w:val="0"/>
          <w:w w:val="100"/>
          <w:position w:val="0"/>
          <w:sz w:val="20"/>
          <w:szCs w:val="20"/>
        </w:rPr>
        <w:t>（12）（a）</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并转回计入投资收益的内部交易未实现的利润人民币</w:t>
      </w:r>
      <w:r>
        <w:rPr>
          <w:rFonts w:ascii="Arial" w:eastAsia="Arial" w:hAnsi="Arial" w:cs="Arial"/>
          <w:b w:val="0"/>
          <w:bCs w:val="0"/>
          <w:color w:val="000000"/>
          <w:spacing w:val="0"/>
          <w:w w:val="100"/>
          <w:position w:val="0"/>
          <w:sz w:val="20"/>
          <w:szCs w:val="20"/>
        </w:rPr>
        <w:t>34,916.188.43</w:t>
      </w:r>
      <w:r>
        <w:rPr>
          <w:b w:val="0"/>
          <w:bCs w:val="0"/>
          <w:color w:val="000000"/>
          <w:spacing w:val="0"/>
          <w:w w:val="100"/>
          <w:position w:val="0"/>
          <w:sz w:val="19"/>
          <w:szCs w:val="19"/>
        </w:rPr>
        <w:t>元</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参见附注四</w:t>
      </w:r>
      <w:r>
        <w:rPr>
          <w:rFonts w:ascii="Arial" w:eastAsia="Arial" w:hAnsi="Arial" w:cs="Arial"/>
          <w:b w:val="0"/>
          <w:bCs w:val="0"/>
          <w:color w:val="000000"/>
          <w:spacing w:val="0"/>
          <w:w w:val="100"/>
          <w:position w:val="0"/>
          <w:sz w:val="20"/>
          <w:szCs w:val="20"/>
        </w:rPr>
        <w:t>（12）（a））</w:t>
      </w:r>
      <w:r>
        <w:rPr>
          <w:b w:val="0"/>
          <w:bCs w:val="0"/>
          <w:color w:val="000000"/>
          <w:spacing w:val="0"/>
          <w:w w:val="100"/>
          <w:position w:val="0"/>
          <w:sz w:val="19"/>
          <w:szCs w:val="19"/>
        </w:rPr>
        <w:t>。</w:t>
      </w:r>
    </w:p>
    <w:p>
      <w:pPr>
        <w:pStyle w:val="Style33"/>
        <w:keepNext w:val="0"/>
        <w:keepLines w:val="0"/>
        <w:widowControl w:val="0"/>
        <w:shd w:val="clear" w:color="auto" w:fill="auto"/>
        <w:bidi w:val="0"/>
        <w:spacing w:before="0" w:after="320" w:line="240" w:lineRule="auto"/>
        <w:ind w:left="0" w:right="0" w:firstLine="0"/>
        <w:jc w:val="both"/>
        <w:rPr>
          <w:sz w:val="19"/>
          <w:szCs w:val="19"/>
        </w:rPr>
        <w:sectPr>
          <w:footnotePr>
            <w:pos w:val="pageBottom"/>
            <w:numFmt w:val="decimal"/>
            <w:numRestart w:val="continuous"/>
          </w:footnotePr>
          <w:pgSz w:w="16840" w:h="11900" w:orient="landscape"/>
          <w:pgMar w:top="1516" w:right="1014" w:bottom="1144" w:left="1964" w:header="0" w:footer="3" w:gutter="0"/>
          <w:cols w:space="720"/>
          <w:noEndnote/>
          <w:rtlGutter w:val="0"/>
          <w:docGrid w:linePitch="360"/>
        </w:sectPr>
      </w:pPr>
      <w:r>
        <w:rPr>
          <w:b w:val="0"/>
          <w:bCs w:val="0"/>
          <w:color w:val="000000"/>
          <w:spacing w:val="0"/>
          <w:w w:val="100"/>
          <w:position w:val="0"/>
          <w:sz w:val="19"/>
          <w:szCs w:val="19"/>
        </w:rPr>
        <w:t>由于翠玉控股及其附属公司为英属维尔京群岛成立的公司，根据当地纳税条例，本交易无需纳税。</w:t>
      </w:r>
    </w:p>
    <w:p>
      <w:pPr>
        <w:pStyle w:val="Style27"/>
        <w:keepNext/>
        <w:keepLines/>
        <w:widowControl w:val="0"/>
        <w:shd w:val="clear" w:color="auto" w:fill="auto"/>
        <w:bidi w:val="0"/>
        <w:spacing w:before="0" w:line="322" w:lineRule="exact"/>
        <w:ind w:left="0" w:right="0" w:firstLine="0"/>
        <w:jc w:val="both"/>
        <w:rPr>
          <w:sz w:val="28"/>
          <w:szCs w:val="28"/>
        </w:rPr>
      </w:pPr>
      <w:bookmarkStart w:id="900" w:name="bookmark900"/>
      <w:bookmarkStart w:id="901" w:name="bookmark901"/>
      <w:bookmarkStart w:id="902" w:name="bookmark902"/>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非同一控制下企业合并</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00"/>
      <w:bookmarkEnd w:id="901"/>
      <w:bookmarkEnd w:id="902"/>
    </w:p>
    <w:p>
      <w:pPr>
        <w:pStyle w:val="Style33"/>
        <w:keepNext w:val="0"/>
        <w:keepLines w:val="0"/>
        <w:widowControl w:val="0"/>
        <w:numPr>
          <w:ilvl w:val="0"/>
          <w:numId w:val="73"/>
        </w:numPr>
        <w:shd w:val="clear" w:color="auto" w:fill="auto"/>
        <w:tabs>
          <w:tab w:pos="712" w:val="left"/>
        </w:tabs>
        <w:bidi w:val="0"/>
        <w:spacing w:before="0" w:after="320" w:line="322" w:lineRule="exact"/>
        <w:ind w:left="0" w:right="0" w:firstLine="0"/>
        <w:jc w:val="both"/>
        <w:rPr>
          <w:sz w:val="22"/>
          <w:szCs w:val="22"/>
        </w:rPr>
      </w:pPr>
      <w:bookmarkStart w:id="903" w:name="bookmark903"/>
      <w:bookmarkEnd w:id="903"/>
      <w:r>
        <w:rPr>
          <w:b w:val="0"/>
          <w:bCs w:val="0"/>
          <w:color w:val="000000"/>
          <w:spacing w:val="0"/>
          <w:w w:val="100"/>
          <w:position w:val="0"/>
          <w:sz w:val="22"/>
          <w:szCs w:val="22"/>
        </w:rPr>
        <w:t>合并发生时的合并成本及商誉的确认情况如下：</w:t>
      </w:r>
    </w:p>
    <w:p>
      <w:pPr>
        <w:pStyle w:val="Style33"/>
        <w:keepNext w:val="0"/>
        <w:keepLines w:val="0"/>
        <w:widowControl w:val="0"/>
        <w:shd w:val="clear" w:color="auto" w:fill="auto"/>
        <w:bidi w:val="0"/>
        <w:spacing w:before="0" w:after="320" w:line="322" w:lineRule="exact"/>
        <w:ind w:left="0" w:right="0" w:firstLine="0"/>
        <w:jc w:val="right"/>
        <w:rPr>
          <w:sz w:val="24"/>
          <w:szCs w:val="24"/>
        </w:rPr>
      </w:pPr>
      <w:r>
        <w:rPr>
          <w:b w:val="0"/>
          <w:bCs w:val="0"/>
          <w:color w:val="000000"/>
          <w:spacing w:val="0"/>
          <w:w w:val="100"/>
          <w:position w:val="0"/>
          <w:sz w:val="22"/>
          <w:szCs w:val="22"/>
        </w:rPr>
        <w:t>翠玉控股 及其子公司 合并成本</w:t>
      </w:r>
      <w:r>
        <w:rPr>
          <w:rFonts w:ascii="Arial" w:eastAsia="Arial" w:hAnsi="Arial" w:cs="Arial"/>
          <w:b w:val="0"/>
          <w:bCs w:val="0"/>
          <w:color w:val="000000"/>
          <w:spacing w:val="0"/>
          <w:w w:val="100"/>
          <w:position w:val="0"/>
          <w:sz w:val="24"/>
          <w:szCs w:val="24"/>
        </w:rPr>
        <w:t>-</w:t>
      </w:r>
    </w:p>
    <w:p>
      <w:pPr>
        <w:pStyle w:val="Style94"/>
        <w:keepNext w:val="0"/>
        <w:keepLines w:val="0"/>
        <w:widowControl w:val="0"/>
        <w:shd w:val="clear" w:color="auto" w:fill="auto"/>
        <w:tabs>
          <w:tab w:pos="8672" w:val="right"/>
        </w:tabs>
        <w:bidi w:val="0"/>
        <w:spacing w:before="0" w:after="0" w:line="322" w:lineRule="exact"/>
        <w:ind w:left="0" w:right="0" w:firstLine="0"/>
        <w:jc w:val="both"/>
      </w:pPr>
      <w:r>
        <w:rPr>
          <w:rFonts w:ascii="SimSun" w:eastAsia="SimSun" w:hAnsi="SimSun" w:cs="SimSun"/>
          <w:color w:val="000000"/>
          <w:spacing w:val="0"/>
          <w:w w:val="100"/>
          <w:position w:val="0"/>
          <w:sz w:val="22"/>
          <w:szCs w:val="22"/>
        </w:rPr>
        <w:t>不涉及现金的合并成本</w:t>
      </w:r>
      <w:r>
        <w:rPr>
          <w:color w:val="000000"/>
          <w:spacing w:val="0"/>
          <w:w w:val="100"/>
          <w:position w:val="0"/>
          <w:sz w:val="24"/>
          <w:szCs w:val="24"/>
        </w:rPr>
        <w:t>(</w:t>
      </w:r>
      <w:r>
        <w:rPr>
          <w:rFonts w:ascii="SimSun" w:eastAsia="SimSun" w:hAnsi="SimSun" w:cs="SimSun"/>
          <w:color w:val="000000"/>
          <w:spacing w:val="0"/>
          <w:w w:val="100"/>
          <w:position w:val="0"/>
          <w:sz w:val="22"/>
          <w:szCs w:val="22"/>
        </w:rPr>
        <w:t>按协议价格</w:t>
      </w:r>
      <w:r>
        <w:rPr>
          <w:rFonts w:ascii="SimSun" w:eastAsia="SimSun" w:hAnsi="SimSun" w:cs="SimSun"/>
          <w:color w:val="000000"/>
          <w:spacing w:val="0"/>
          <w:w w:val="100"/>
          <w:position w:val="0"/>
          <w:sz w:val="28"/>
          <w:szCs w:val="28"/>
        </w:rPr>
        <w:t>)</w:t>
      </w:r>
      <w:r>
        <w:rPr>
          <w:color w:val="000000"/>
          <w:spacing w:val="0"/>
          <w:w w:val="100"/>
          <w:position w:val="0"/>
          <w:sz w:val="24"/>
          <w:szCs w:val="24"/>
        </w:rPr>
        <w:tab/>
      </w:r>
      <w:r>
        <w:rPr>
          <w:color w:val="000000"/>
          <w:spacing w:val="0"/>
          <w:w w:val="100"/>
          <w:position w:val="0"/>
          <w:sz w:val="24"/>
          <w:szCs w:val="24"/>
        </w:rPr>
        <w:t>1,098,368,000.00</w:t>
      </w:r>
    </w:p>
    <w:p>
      <w:pPr>
        <w:pStyle w:val="Style94"/>
        <w:keepNext w:val="0"/>
        <w:keepLines w:val="0"/>
        <w:widowControl w:val="0"/>
        <w:shd w:val="clear" w:color="auto" w:fill="auto"/>
        <w:tabs>
          <w:tab w:pos="8672" w:val="right"/>
        </w:tabs>
        <w:bidi w:val="0"/>
        <w:spacing w:before="0" w:after="320" w:line="322" w:lineRule="exact"/>
        <w:ind w:left="0" w:right="0" w:firstLine="0"/>
        <w:jc w:val="both"/>
      </w:pPr>
      <w:r>
        <w:rPr>
          <w:rFonts w:ascii="SimSun" w:eastAsia="SimSun" w:hAnsi="SimSun" w:cs="SimSun"/>
          <w:color w:val="000000"/>
          <w:spacing w:val="0"/>
          <w:w w:val="100"/>
          <w:position w:val="0"/>
          <w:sz w:val="22"/>
          <w:szCs w:val="22"/>
        </w:rPr>
        <w:t>减：取得的可辨认净资产公允价值份额</w:t>
      </w:r>
      <w:r>
        <w:rPr>
          <w:color w:val="000000"/>
          <w:spacing w:val="0"/>
          <w:w w:val="100"/>
          <w:position w:val="0"/>
          <w:sz w:val="24"/>
          <w:szCs w:val="24"/>
        </w:rPr>
        <w:t>(b)</w:t>
        <w:tab/>
      </w:r>
      <w:r>
        <w:rPr>
          <w:color w:val="000000"/>
          <w:spacing w:val="0"/>
          <w:w w:val="100"/>
          <w:position w:val="0"/>
          <w:sz w:val="24"/>
          <w:szCs w:val="24"/>
          <w:u w:val="single"/>
        </w:rPr>
        <w:t>(2,331,306,035.11)</w:t>
      </w:r>
    </w:p>
    <w:p>
      <w:pPr>
        <w:pStyle w:val="Style94"/>
        <w:keepNext w:val="0"/>
        <w:keepLines w:val="0"/>
        <w:widowControl w:val="0"/>
        <w:shd w:val="clear" w:color="auto" w:fill="auto"/>
        <w:tabs>
          <w:tab w:pos="8672" w:val="right"/>
        </w:tabs>
        <w:bidi w:val="0"/>
        <w:spacing w:before="0" w:after="320" w:line="322" w:lineRule="exact"/>
        <w:ind w:left="0" w:right="0" w:firstLine="0"/>
        <w:jc w:val="both"/>
      </w:pPr>
      <w:r>
        <w:rPr>
          <w:rFonts w:ascii="SimSun" w:eastAsia="SimSun" w:hAnsi="SimSun" w:cs="SimSun"/>
          <w:color w:val="000000"/>
          <w:spacing w:val="0"/>
          <w:w w:val="100"/>
          <w:position w:val="0"/>
          <w:sz w:val="22"/>
          <w:szCs w:val="22"/>
        </w:rPr>
        <w:t>负商誉</w:t>
        <w:tab/>
      </w:r>
      <w:r>
        <w:rPr>
          <w:color w:val="000000"/>
          <w:spacing w:val="0"/>
          <w:w w:val="100"/>
          <w:position w:val="0"/>
          <w:sz w:val="24"/>
          <w:szCs w:val="24"/>
          <w:u w:val="single"/>
        </w:rPr>
        <w:t>(1,232,938,035.11)</w:t>
      </w:r>
    </w:p>
    <w:p>
      <w:pPr>
        <w:pStyle w:val="Style33"/>
        <w:keepNext w:val="0"/>
        <w:keepLines w:val="0"/>
        <w:widowControl w:val="0"/>
        <w:numPr>
          <w:ilvl w:val="0"/>
          <w:numId w:val="73"/>
        </w:numPr>
        <w:shd w:val="clear" w:color="auto" w:fill="auto"/>
        <w:tabs>
          <w:tab w:pos="712" w:val="left"/>
        </w:tabs>
        <w:bidi w:val="0"/>
        <w:spacing w:before="0" w:after="360" w:line="322" w:lineRule="exact"/>
        <w:ind w:left="0" w:right="0" w:firstLine="0"/>
        <w:jc w:val="both"/>
        <w:rPr>
          <w:sz w:val="22"/>
          <w:szCs w:val="22"/>
        </w:rPr>
      </w:pPr>
      <w:bookmarkStart w:id="904" w:name="bookmark904"/>
      <w:bookmarkEnd w:id="904"/>
      <w:r>
        <w:rPr>
          <w:b w:val="0"/>
          <w:bCs w:val="0"/>
          <w:color w:val="000000"/>
          <w:spacing w:val="0"/>
          <w:w w:val="100"/>
          <w:position w:val="0"/>
          <w:sz w:val="22"/>
          <w:szCs w:val="22"/>
        </w:rPr>
        <w:t>被购买方于购买日的资产和负债情况列示如下：</w:t>
      </w:r>
    </w:p>
    <w:p>
      <w:pPr>
        <w:pStyle w:val="Style33"/>
        <w:keepNext w:val="0"/>
        <w:keepLines w:val="0"/>
        <w:widowControl w:val="0"/>
        <w:shd w:val="clear" w:color="auto" w:fill="auto"/>
        <w:tabs>
          <w:tab w:pos="712" w:val="left"/>
        </w:tabs>
        <w:bidi w:val="0"/>
        <w:spacing w:before="0" w:after="80" w:line="240" w:lineRule="auto"/>
        <w:ind w:left="0" w:right="0" w:firstLine="0"/>
        <w:jc w:val="both"/>
        <w:rPr>
          <w:sz w:val="22"/>
          <w:szCs w:val="22"/>
        </w:rPr>
      </w:pPr>
      <w:r>
        <w:rPr>
          <w:b w:val="0"/>
          <w:bCs w:val="0"/>
          <w:color w:val="000000"/>
          <w:spacing w:val="0"/>
          <w:w w:val="100"/>
          <w:position w:val="0"/>
          <w:sz w:val="22"/>
          <w:szCs w:val="22"/>
        </w:rPr>
        <w:t>⑴</w:t>
        <w:tab/>
        <w:t>翠玉控股及其附属公司于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7</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w:t>
      </w:r>
      <w:r>
        <w:rPr>
          <w:b w:val="0"/>
          <w:bCs w:val="0"/>
          <w:color w:val="000000"/>
          <w:spacing w:val="0"/>
          <w:w w:val="100"/>
          <w:position w:val="0"/>
          <w:sz w:val="28"/>
          <w:szCs w:val="28"/>
        </w:rPr>
        <w:t>(</w:t>
      </w:r>
      <w:r>
        <w:rPr>
          <w:b w:val="0"/>
          <w:bCs w:val="0"/>
          <w:color w:val="000000"/>
          <w:spacing w:val="0"/>
          <w:w w:val="100"/>
          <w:position w:val="0"/>
          <w:sz w:val="22"/>
          <w:szCs w:val="22"/>
        </w:rPr>
        <w:t>“购买日”</w:t>
      </w:r>
      <w:r>
        <w:rPr>
          <w:b w:val="0"/>
          <w:bCs w:val="0"/>
          <w:color w:val="000000"/>
          <w:spacing w:val="0"/>
          <w:w w:val="100"/>
          <w:position w:val="0"/>
          <w:sz w:val="28"/>
          <w:szCs w:val="28"/>
        </w:rPr>
        <w:t>)</w:t>
      </w:r>
      <w:r>
        <w:rPr>
          <w:b w:val="0"/>
          <w:bCs w:val="0"/>
          <w:color w:val="000000"/>
          <w:spacing w:val="0"/>
          <w:w w:val="100"/>
          <w:position w:val="0"/>
          <w:sz w:val="22"/>
          <w:szCs w:val="22"/>
        </w:rPr>
        <w:t>的资产和负债情况列</w:t>
      </w:r>
    </w:p>
    <w:p>
      <w:pPr>
        <w:pStyle w:val="Style33"/>
        <w:keepNext w:val="0"/>
        <w:keepLines w:val="0"/>
        <w:widowControl w:val="0"/>
        <w:shd w:val="clear" w:color="auto" w:fill="auto"/>
        <w:bidi w:val="0"/>
        <w:spacing w:before="0" w:after="420" w:line="240" w:lineRule="auto"/>
        <w:ind w:left="0" w:right="0" w:firstLine="720"/>
        <w:jc w:val="both"/>
        <w:rPr>
          <w:sz w:val="22"/>
          <w:szCs w:val="22"/>
        </w:rPr>
      </w:pPr>
      <w:r>
        <w:rPr>
          <w:b w:val="0"/>
          <w:bCs w:val="0"/>
          <w:color w:val="000000"/>
          <w:spacing w:val="0"/>
          <w:w w:val="100"/>
          <w:position w:val="0"/>
          <w:sz w:val="22"/>
          <w:szCs w:val="22"/>
        </w:rPr>
        <w:t>示如下：</w:t>
      </w:r>
    </w:p>
    <w:tbl>
      <w:tblPr>
        <w:tblOverlap w:val="never"/>
        <w:jc w:val="center"/>
        <w:tblLayout w:type="fixed"/>
      </w:tblPr>
      <w:tblGrid>
        <w:gridCol w:w="2150"/>
        <w:gridCol w:w="2621"/>
        <w:gridCol w:w="2102"/>
        <w:gridCol w:w="1906"/>
      </w:tblGrid>
      <w:tr>
        <w:trPr>
          <w:trHeight w:val="108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322" w:lineRule="exact"/>
              <w:ind w:left="0" w:right="260" w:firstLine="0"/>
              <w:jc w:val="right"/>
              <w:rPr>
                <w:sz w:val="19"/>
                <w:szCs w:val="19"/>
              </w:rPr>
            </w:pPr>
            <w:r>
              <w:rPr>
                <w:color w:val="000000"/>
                <w:spacing w:val="0"/>
                <w:w w:val="100"/>
                <w:position w:val="0"/>
                <w:sz w:val="19"/>
                <w:szCs w:val="19"/>
              </w:rPr>
              <w:t>购买日 公允价值</w:t>
            </w:r>
          </w:p>
        </w:tc>
        <w:tc>
          <w:tcPr>
            <w:tcBorders/>
            <w:shd w:val="clear" w:color="auto" w:fill="FFFFFF"/>
            <w:vAlign w:val="center"/>
          </w:tcPr>
          <w:p>
            <w:pPr>
              <w:pStyle w:val="Style23"/>
              <w:keepNext w:val="0"/>
              <w:keepLines w:val="0"/>
              <w:widowControl w:val="0"/>
              <w:shd w:val="clear" w:color="auto" w:fill="auto"/>
              <w:bidi w:val="0"/>
              <w:spacing w:before="0" w:after="0" w:line="322" w:lineRule="exact"/>
              <w:ind w:left="0" w:right="260" w:firstLine="0"/>
              <w:jc w:val="right"/>
              <w:rPr>
                <w:sz w:val="19"/>
                <w:szCs w:val="19"/>
              </w:rPr>
            </w:pPr>
            <w:r>
              <w:rPr>
                <w:color w:val="000000"/>
                <w:spacing w:val="0"/>
                <w:w w:val="100"/>
                <w:position w:val="0"/>
                <w:sz w:val="19"/>
                <w:szCs w:val="19"/>
              </w:rPr>
              <w:t>购买日 账面价值</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p>
            <w:pPr>
              <w:pStyle w:val="Style23"/>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账面价值</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110,652,843.66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110,652,843.66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19,521,982.57</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24,558,495.06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24,558,495.06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69,031,980.83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5,155,751.41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5,155,751.41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5,579,994.88</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投资性房地产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4,092,278,900.00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2,677,540,375.07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2,646,587,537.06</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递延所得税资产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13,323,626.88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13,323,626.88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13,297,420.15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减：其他应付款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(158,579,713.45)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(158,579,713.45)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(145,805,489.71)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应付股东</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(164,183,001.76)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(164,183,001.76)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(144,107,084.84)</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(1,591,900,866.69)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(1,591,918,646.53)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(1,553,887,726.76)</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取得的净资产</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2,331,306,035.11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916,549,730.34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910,218,614.18</w:t>
            </w:r>
          </w:p>
        </w:tc>
      </w:tr>
    </w:tbl>
    <w:p>
      <w:pPr>
        <w:sectPr>
          <w:footnotePr>
            <w:pos w:val="pageBottom"/>
            <w:numFmt w:val="decimal"/>
            <w:numRestart w:val="continuous"/>
          </w:footnotePr>
          <w:pgSz w:w="11900" w:h="16840"/>
          <w:pgMar w:top="2118" w:right="1115" w:bottom="2118" w:left="1962" w:header="0" w:footer="3" w:gutter="0"/>
          <w:cols w:space="720"/>
          <w:noEndnote/>
          <w:rtlGutter w:val="0"/>
          <w:docGrid w:linePitch="360"/>
        </w:sectPr>
      </w:pPr>
    </w:p>
    <w:p>
      <w:pPr>
        <w:pStyle w:val="Style33"/>
        <w:keepNext w:val="0"/>
        <w:keepLines w:val="0"/>
        <w:widowControl w:val="0"/>
        <w:shd w:val="clear" w:color="auto" w:fill="auto"/>
        <w:bidi w:val="0"/>
        <w:spacing w:before="0" w:after="320" w:line="322" w:lineRule="exact"/>
        <w:ind w:left="0" w:right="0" w:firstLine="0"/>
        <w:jc w:val="left"/>
        <w:rPr>
          <w:sz w:val="28"/>
          <w:szCs w:val="28"/>
        </w:rPr>
      </w:pPr>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非同一控制下企业合并</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rFonts w:ascii="Arial" w:eastAsia="Arial" w:hAnsi="Arial" w:cs="Arial"/>
          <w:b w:val="0"/>
          <w:bCs w:val="0"/>
          <w:color w:val="000000"/>
          <w:spacing w:val="0"/>
          <w:w w:val="100"/>
          <w:position w:val="0"/>
          <w:sz w:val="24"/>
          <w:szCs w:val="24"/>
        </w:rPr>
        <w:t xml:space="preserve">（b） </w:t>
      </w:r>
      <w:r>
        <w:rPr>
          <w:b w:val="0"/>
          <w:bCs w:val="0"/>
          <w:color w:val="000000"/>
          <w:spacing w:val="0"/>
          <w:w w:val="100"/>
          <w:position w:val="0"/>
          <w:sz w:val="22"/>
          <w:szCs w:val="22"/>
        </w:rPr>
        <w:t>被购买方于购买日的资产和负债情况列示如下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shd w:val="clear" w:color="auto" w:fill="auto"/>
        <w:tabs>
          <w:tab w:pos="720" w:val="left"/>
        </w:tabs>
        <w:bidi w:val="0"/>
        <w:spacing w:before="0" w:after="0" w:line="322" w:lineRule="exact"/>
        <w:ind w:left="0" w:right="0" w:firstLine="0"/>
        <w:jc w:val="left"/>
        <w:rPr>
          <w:sz w:val="22"/>
          <w:szCs w:val="22"/>
        </w:rPr>
      </w:pPr>
      <w:r>
        <w:rPr>
          <w:b w:val="0"/>
          <w:bCs w:val="0"/>
          <w:color w:val="000000"/>
          <w:spacing w:val="0"/>
          <w:w w:val="100"/>
          <w:position w:val="0"/>
          <w:sz w:val="22"/>
          <w:szCs w:val="22"/>
        </w:rPr>
        <w:t>⑴</w:t>
        <w:tab/>
        <w:t>翠玉控股及其附属公司于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7</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w:t>
      </w:r>
      <w:r>
        <w:rPr>
          <w:b w:val="0"/>
          <w:bCs w:val="0"/>
          <w:color w:val="000000"/>
          <w:spacing w:val="0"/>
          <w:w w:val="100"/>
          <w:position w:val="0"/>
          <w:sz w:val="28"/>
          <w:szCs w:val="28"/>
        </w:rPr>
        <w:t>（</w:t>
      </w:r>
      <w:r>
        <w:rPr>
          <w:b w:val="0"/>
          <w:bCs w:val="0"/>
          <w:color w:val="000000"/>
          <w:spacing w:val="0"/>
          <w:w w:val="100"/>
          <w:position w:val="0"/>
          <w:sz w:val="22"/>
          <w:szCs w:val="22"/>
        </w:rPr>
        <w:t>“购买日”</w:t>
      </w:r>
      <w:r>
        <w:rPr>
          <w:b w:val="0"/>
          <w:bCs w:val="0"/>
          <w:color w:val="000000"/>
          <w:spacing w:val="0"/>
          <w:w w:val="100"/>
          <w:position w:val="0"/>
          <w:sz w:val="28"/>
          <w:szCs w:val="28"/>
        </w:rPr>
        <w:t>）</w:t>
      </w:r>
      <w:r>
        <w:rPr>
          <w:b w:val="0"/>
          <w:bCs w:val="0"/>
          <w:color w:val="000000"/>
          <w:spacing w:val="0"/>
          <w:w w:val="100"/>
          <w:position w:val="0"/>
          <w:sz w:val="22"/>
          <w:szCs w:val="22"/>
        </w:rPr>
        <w:t>的资产和负债情况列</w:t>
      </w:r>
    </w:p>
    <w:p>
      <w:pPr>
        <w:pStyle w:val="Style33"/>
        <w:keepNext w:val="0"/>
        <w:keepLines w:val="0"/>
        <w:widowControl w:val="0"/>
        <w:shd w:val="clear" w:color="auto" w:fill="auto"/>
        <w:bidi w:val="0"/>
        <w:spacing w:before="0" w:after="320" w:line="322" w:lineRule="exact"/>
        <w:ind w:left="0" w:right="0" w:firstLine="740"/>
        <w:jc w:val="left"/>
        <w:rPr>
          <w:sz w:val="22"/>
          <w:szCs w:val="22"/>
        </w:rPr>
      </w:pPr>
      <w:r>
        <w:rPr>
          <w:b w:val="0"/>
          <w:bCs w:val="0"/>
          <w:color w:val="000000"/>
          <w:spacing w:val="0"/>
          <w:w w:val="100"/>
          <w:position w:val="0"/>
          <w:sz w:val="22"/>
          <w:szCs w:val="22"/>
        </w:rPr>
        <w:t>示如下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本集团采用估值技术来确定翠玉控股及其附属公司的资产负债于购买日的公允价值。 主要资产的评估方法及其关键假设列示如下：</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投资性房地产的评估方法主要采用资产基础法进行评估；</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评估依据现有租赁及实际使用状况进行；</w:t>
      </w:r>
    </w:p>
    <w:p>
      <w:pPr>
        <w:pStyle w:val="Style33"/>
        <w:keepNext w:val="0"/>
        <w:keepLines w:val="0"/>
        <w:widowControl w:val="0"/>
        <w:shd w:val="clear" w:color="auto" w:fill="auto"/>
        <w:bidi w:val="0"/>
        <w:spacing w:before="0" w:after="320" w:line="312" w:lineRule="exact"/>
        <w:ind w:left="0" w:right="0" w:firstLine="0"/>
        <w:jc w:val="left"/>
        <w:rPr>
          <w:sz w:val="22"/>
          <w:szCs w:val="22"/>
        </w:rPr>
      </w:pPr>
      <w:r>
        <w:rPr>
          <w:b w:val="0"/>
          <w:bCs w:val="0"/>
          <w:color w:val="000000"/>
          <w:spacing w:val="0"/>
          <w:w w:val="100"/>
          <w:position w:val="0"/>
          <w:sz w:val="22"/>
          <w:szCs w:val="22"/>
        </w:rPr>
        <w:t>假设企业目前及未来存续期间内，相关的法律法规、行业政策以及财政和货币政策、 所处经济环境等不会发生重大变化；</w:t>
      </w:r>
    </w:p>
    <w:p>
      <w:pPr>
        <w:pStyle w:val="Style33"/>
        <w:keepNext w:val="0"/>
        <w:keepLines w:val="0"/>
        <w:widowControl w:val="0"/>
        <w:shd w:val="clear" w:color="auto" w:fill="auto"/>
        <w:bidi w:val="0"/>
        <w:spacing w:before="0" w:after="320" w:line="322" w:lineRule="exact"/>
        <w:ind w:left="0" w:right="0" w:firstLine="0"/>
        <w:jc w:val="left"/>
        <w:rPr>
          <w:sz w:val="22"/>
          <w:szCs w:val="22"/>
        </w:r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2118" w:right="1000" w:bottom="2118" w:left="1962" w:header="0" w:footer="3" w:gutter="0"/>
          <w:cols w:space="720"/>
          <w:noEndnote/>
          <w:rtlGutter w:val="0"/>
          <w:docGrid w:linePitch="360"/>
        </w:sectPr>
      </w:pPr>
      <w:r>
        <w:rPr>
          <w:b w:val="0"/>
          <w:bCs w:val="0"/>
          <w:color w:val="000000"/>
          <w:spacing w:val="0"/>
          <w:w w:val="100"/>
          <w:position w:val="0"/>
          <w:sz w:val="22"/>
          <w:szCs w:val="22"/>
        </w:rPr>
        <w:t>假设企业未来一直保持持续经营状态，且未来管理层、业务战略和运营等不会发生重 大变化。</w:t>
      </w:r>
    </w:p>
    <w:p>
      <w:pPr>
        <w:pStyle w:val="Style27"/>
        <w:keepNext/>
        <w:keepLines/>
        <w:widowControl w:val="0"/>
        <w:shd w:val="clear" w:color="auto" w:fill="auto"/>
        <w:bidi w:val="0"/>
        <w:spacing w:before="0" w:after="340" w:line="240" w:lineRule="auto"/>
        <w:ind w:left="0" w:right="0" w:firstLine="0"/>
        <w:jc w:val="left"/>
      </w:pPr>
      <w:bookmarkStart w:id="905" w:name="bookmark905"/>
      <w:bookmarkStart w:id="906" w:name="bookmark906"/>
      <w:bookmarkStart w:id="907" w:name="bookmark907"/>
      <w:r>
        <w:rPr>
          <w:color w:val="000000"/>
          <w:spacing w:val="0"/>
          <w:w w:val="100"/>
          <w:position w:val="0"/>
          <w:sz w:val="22"/>
          <w:szCs w:val="22"/>
        </w:rPr>
        <w:t>五合并范围的变更</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05"/>
      <w:bookmarkEnd w:id="906"/>
      <w:bookmarkEnd w:id="907"/>
    </w:p>
    <w:p>
      <w:pPr>
        <w:pStyle w:val="Style27"/>
        <w:keepNext/>
        <w:keepLines/>
        <w:widowControl w:val="0"/>
        <w:shd w:val="clear" w:color="auto" w:fill="auto"/>
        <w:bidi w:val="0"/>
        <w:spacing w:before="0" w:after="340" w:line="240" w:lineRule="auto"/>
        <w:ind w:left="0" w:right="0" w:firstLine="0"/>
        <w:jc w:val="left"/>
        <w:rPr>
          <w:sz w:val="22"/>
          <w:szCs w:val="22"/>
        </w:rPr>
      </w:pPr>
      <w:bookmarkStart w:id="905" w:name="bookmark905"/>
      <w:bookmarkStart w:id="906" w:name="bookmark906"/>
      <w:bookmarkStart w:id="908" w:name="bookmark908"/>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处置子公司</w:t>
      </w:r>
      <w:bookmarkEnd w:id="905"/>
      <w:bookmarkEnd w:id="906"/>
      <w:bookmarkEnd w:id="908"/>
    </w:p>
    <w:p>
      <w:pPr>
        <w:pStyle w:val="Style33"/>
        <w:keepNext w:val="0"/>
        <w:keepLines w:val="0"/>
        <w:widowControl w:val="0"/>
        <w:shd w:val="clear" w:color="auto" w:fill="auto"/>
        <w:bidi w:val="0"/>
        <w:spacing w:before="0" w:after="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本年度处置子公司的相关信息汇总如下:</w:t>
      </w:r>
    </w:p>
    <w:tbl>
      <w:tblPr>
        <w:tblOverlap w:val="never"/>
        <w:jc w:val="center"/>
        <w:tblLayout w:type="fixed"/>
      </w:tblPr>
      <w:tblGrid>
        <w:gridCol w:w="1382"/>
        <w:gridCol w:w="1656"/>
        <w:gridCol w:w="826"/>
        <w:gridCol w:w="1104"/>
        <w:gridCol w:w="1810"/>
        <w:gridCol w:w="1675"/>
        <w:gridCol w:w="2832"/>
        <w:gridCol w:w="2006"/>
      </w:tblGrid>
      <w:tr>
        <w:trPr>
          <w:trHeight w:val="109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子公司名称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处置价款</w:t>
            </w:r>
          </w:p>
        </w:tc>
        <w:tc>
          <w:tcPr>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处置 比例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处置方式</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丧失控制权时点</w:t>
            </w:r>
          </w:p>
        </w:tc>
        <w:tc>
          <w:tcPr>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丧失控制权时点</w:t>
            </w:r>
          </w:p>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的判断依据</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160"/>
              <w:jc w:val="left"/>
              <w:rPr>
                <w:sz w:val="19"/>
                <w:szCs w:val="19"/>
              </w:rPr>
            </w:pPr>
            <w:r>
              <w:rPr>
                <w:color w:val="000000"/>
                <w:spacing w:val="0"/>
                <w:w w:val="100"/>
                <w:position w:val="0"/>
                <w:sz w:val="19"/>
                <w:szCs w:val="19"/>
              </w:rPr>
              <w:t>处置价款与处置投资对应的</w:t>
            </w:r>
          </w:p>
          <w:p>
            <w:pPr>
              <w:pStyle w:val="Style23"/>
              <w:keepNext w:val="0"/>
              <w:keepLines w:val="0"/>
              <w:widowControl w:val="0"/>
              <w:shd w:val="clear" w:color="auto" w:fill="auto"/>
              <w:bidi w:val="0"/>
              <w:spacing w:before="0" w:after="100" w:line="240" w:lineRule="auto"/>
              <w:ind w:left="0" w:right="0" w:firstLine="160"/>
              <w:jc w:val="left"/>
              <w:rPr>
                <w:sz w:val="19"/>
                <w:szCs w:val="19"/>
              </w:rPr>
            </w:pPr>
            <w:r>
              <w:rPr>
                <w:color w:val="000000"/>
                <w:spacing w:val="0"/>
                <w:w w:val="100"/>
                <w:position w:val="0"/>
                <w:sz w:val="19"/>
                <w:szCs w:val="19"/>
              </w:rPr>
              <w:t>合并财务报表层面享有该子</w:t>
            </w:r>
          </w:p>
          <w:p>
            <w:pPr>
              <w:pStyle w:val="Style23"/>
              <w:keepNext w:val="0"/>
              <w:keepLines w:val="0"/>
              <w:widowControl w:val="0"/>
              <w:shd w:val="clear" w:color="auto" w:fill="auto"/>
              <w:bidi w:val="0"/>
              <w:spacing w:before="0" w:after="100" w:line="240" w:lineRule="auto"/>
              <w:ind w:left="0" w:right="240" w:firstLine="0"/>
              <w:jc w:val="right"/>
              <w:rPr>
                <w:sz w:val="19"/>
                <w:szCs w:val="19"/>
              </w:rPr>
            </w:pPr>
            <w:r>
              <w:rPr>
                <w:color w:val="000000"/>
                <w:spacing w:val="0"/>
                <w:w w:val="100"/>
                <w:position w:val="0"/>
                <w:sz w:val="19"/>
                <w:szCs w:val="19"/>
              </w:rPr>
              <w:t>公司净资产份额的差额</w:t>
            </w:r>
          </w:p>
        </w:tc>
        <w:tc>
          <w:tcPr>
            <w:tcBorders/>
            <w:shd w:val="clear" w:color="auto" w:fill="FFFFFF"/>
            <w:vAlign w:val="top"/>
          </w:tcPr>
          <w:p>
            <w:pPr>
              <w:pStyle w:val="Style23"/>
              <w:keepNext w:val="0"/>
              <w:keepLines w:val="0"/>
              <w:widowControl w:val="0"/>
              <w:shd w:val="clear" w:color="auto" w:fill="auto"/>
              <w:bidi w:val="0"/>
              <w:spacing w:before="0" w:after="0" w:line="324" w:lineRule="exact"/>
              <w:ind w:left="0" w:right="0" w:firstLine="0"/>
              <w:jc w:val="right"/>
              <w:rPr>
                <w:sz w:val="19"/>
                <w:szCs w:val="19"/>
              </w:rPr>
            </w:pPr>
            <w:r>
              <w:rPr>
                <w:color w:val="000000"/>
                <w:spacing w:val="0"/>
                <w:w w:val="100"/>
                <w:position w:val="0"/>
                <w:sz w:val="19"/>
                <w:szCs w:val="19"/>
              </w:rPr>
              <w:t>与原子公司股权投资 相关的其他综合收益 转入投资损益的金额</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合丰小额贷款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302,304,386.02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出售股权</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8</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控制权移交</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(5,201,630.89)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40" w:firstLine="0"/>
              <w:jc w:val="right"/>
              <w:rPr>
                <w:sz w:val="20"/>
                <w:szCs w:val="20"/>
              </w:rPr>
            </w:pPr>
            <w:r>
              <w:rPr>
                <w:rFonts w:ascii="Arial" w:eastAsia="Arial" w:hAnsi="Arial" w:cs="Arial"/>
                <w:color w:val="000000"/>
                <w:spacing w:val="0"/>
                <w:w w:val="100"/>
                <w:position w:val="0"/>
                <w:sz w:val="20"/>
                <w:szCs w:val="20"/>
              </w:rPr>
              <w:t>-</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乐丰保理</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54,705,787.80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出售股权</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控制权移交</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7.64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40" w:firstLine="0"/>
              <w:jc w:val="right"/>
              <w:rPr>
                <w:sz w:val="20"/>
                <w:szCs w:val="20"/>
              </w:rPr>
            </w:pPr>
            <w:r>
              <w:rPr>
                <w:rFonts w:ascii="Arial" w:eastAsia="Arial" w:hAnsi="Arial" w:cs="Arial"/>
                <w:color w:val="000000"/>
                <w:spacing w:val="0"/>
                <w:w w:val="100"/>
                <w:position w:val="0"/>
                <w:sz w:val="20"/>
                <w:szCs w:val="20"/>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顺诚融资租赁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377,577,600.00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出售股权</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控制权移交</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363,247.29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40" w:firstLine="0"/>
              <w:jc w:val="right"/>
              <w:rPr>
                <w:sz w:val="20"/>
                <w:szCs w:val="20"/>
              </w:rPr>
            </w:pPr>
            <w:r>
              <w:rPr>
                <w:rFonts w:ascii="Arial" w:eastAsia="Arial" w:hAnsi="Arial" w:cs="Arial"/>
                <w:color w:val="000000"/>
                <w:spacing w:val="0"/>
                <w:w w:val="100"/>
                <w:position w:val="0"/>
                <w:sz w:val="20"/>
                <w:szCs w:val="20"/>
              </w:rPr>
              <w:t>-</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6840" w:h="11900" w:orient="landscape"/>
          <w:pgMar w:top="1516" w:right="1052" w:bottom="1516" w:left="1978" w:header="0" w:footer="3" w:gutter="0"/>
          <w:cols w:space="720"/>
          <w:noEndnote/>
          <w:rtlGutter w:val="0"/>
          <w:docGrid w:linePitch="360"/>
        </w:sectPr>
      </w:pPr>
    </w:p>
    <w:p>
      <w:pPr>
        <w:pStyle w:val="Style27"/>
        <w:keepNext/>
        <w:keepLines/>
        <w:widowControl w:val="0"/>
        <w:shd w:val="clear" w:color="auto" w:fill="auto"/>
        <w:bidi w:val="0"/>
        <w:spacing w:before="0" w:after="280" w:line="240" w:lineRule="auto"/>
        <w:ind w:left="0" w:right="0" w:firstLine="0"/>
        <w:jc w:val="left"/>
        <w:rPr>
          <w:sz w:val="28"/>
          <w:szCs w:val="28"/>
        </w:rPr>
      </w:pPr>
      <w:bookmarkStart w:id="909" w:name="bookmark909"/>
      <w:bookmarkStart w:id="910" w:name="bookmark910"/>
      <w:bookmarkStart w:id="911" w:name="bookmark911"/>
      <w:r>
        <w:rPr>
          <w:color w:val="000000"/>
          <w:spacing w:val="0"/>
          <w:w w:val="100"/>
          <w:position w:val="0"/>
          <w:sz w:val="22"/>
          <w:szCs w:val="22"/>
        </w:rPr>
        <w:t>五合并范围的变更</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09"/>
      <w:bookmarkEnd w:id="910"/>
      <w:bookmarkEnd w:id="911"/>
    </w:p>
    <w:p>
      <w:pPr>
        <w:pStyle w:val="Style27"/>
        <w:keepNext/>
        <w:keepLines/>
        <w:widowControl w:val="0"/>
        <w:shd w:val="clear" w:color="auto" w:fill="auto"/>
        <w:bidi w:val="0"/>
        <w:spacing w:before="0" w:after="360" w:line="240" w:lineRule="auto"/>
        <w:ind w:left="0" w:right="0" w:firstLine="0"/>
        <w:jc w:val="left"/>
        <w:rPr>
          <w:sz w:val="28"/>
          <w:szCs w:val="28"/>
        </w:rPr>
      </w:pPr>
      <w:bookmarkStart w:id="909" w:name="bookmark909"/>
      <w:bookmarkStart w:id="910" w:name="bookmark910"/>
      <w:bookmarkStart w:id="912" w:name="bookmark912"/>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处置子公司</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09"/>
      <w:bookmarkEnd w:id="910"/>
      <w:bookmarkEnd w:id="912"/>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处置损益以及相关现金流量信息如下:</w:t>
      </w:r>
    </w:p>
    <w:p>
      <w:pPr>
        <w:pStyle w:val="Style33"/>
        <w:keepNext w:val="0"/>
        <w:keepLines w:val="0"/>
        <w:widowControl w:val="0"/>
        <w:shd w:val="clear" w:color="auto" w:fill="auto"/>
        <w:tabs>
          <w:tab w:pos="720" w:val="left"/>
        </w:tabs>
        <w:bidi w:val="0"/>
        <w:spacing w:before="0" w:after="360" w:line="240" w:lineRule="auto"/>
        <w:ind w:left="0" w:right="0" w:firstLine="0"/>
        <w:jc w:val="left"/>
        <w:rPr>
          <w:sz w:val="22"/>
          <w:szCs w:val="22"/>
        </w:rPr>
      </w:pPr>
      <w:r>
        <w:rPr>
          <w:b w:val="0"/>
          <w:bCs w:val="0"/>
          <w:color w:val="000000"/>
          <w:spacing w:val="0"/>
          <w:w w:val="100"/>
          <w:position w:val="0"/>
          <w:sz w:val="22"/>
          <w:szCs w:val="22"/>
        </w:rPr>
        <w:t>⑴</w:t>
        <w:tab/>
        <w:t>乐丰保理</w:t>
      </w:r>
    </w:p>
    <w:p>
      <w:pPr>
        <w:pStyle w:val="Style33"/>
        <w:keepNext w:val="0"/>
        <w:keepLines w:val="0"/>
        <w:widowControl w:val="0"/>
        <w:shd w:val="clear" w:color="auto" w:fill="auto"/>
        <w:bidi w:val="0"/>
        <w:spacing w:before="0" w:after="700" w:line="240" w:lineRule="auto"/>
        <w:ind w:left="0" w:right="0" w:firstLine="0"/>
        <w:jc w:val="left"/>
        <w:rPr>
          <w:sz w:val="22"/>
          <w:szCs w:val="22"/>
        </w:rPr>
      </w:pPr>
      <w:r>
        <mc:AlternateContent>
          <mc:Choice Requires="wps">
            <w:drawing>
              <wp:anchor distT="0" distB="0" distL="114300" distR="114300" simplePos="0" relativeHeight="125829551" behindDoc="0" locked="0" layoutInCell="1" allowOverlap="1">
                <wp:simplePos x="0" y="0"/>
                <wp:positionH relativeFrom="page">
                  <wp:posOffset>5694045</wp:posOffset>
                </wp:positionH>
                <wp:positionV relativeFrom="paragraph">
                  <wp:posOffset>190500</wp:posOffset>
                </wp:positionV>
                <wp:extent cx="1164590" cy="1210310"/>
                <wp:wrapSquare wrapText="left"/>
                <wp:docPr id="522" name="Shape 522"/>
                <a:graphic xmlns:a="http://schemas.openxmlformats.org/drawingml/2006/main">
                  <a:graphicData uri="http://schemas.microsoft.com/office/word/2010/wordprocessingShape">
                    <wps:wsp>
                      <wps:cNvSpPr txBox="1"/>
                      <wps:spPr>
                        <a:xfrm>
                          <a:ext cx="1164590" cy="1210310"/>
                        </a:xfrm>
                        <a:prstGeom prst="rect"/>
                        <a:noFill/>
                      </wps:spPr>
                      <wps:txbx>
                        <w:txbxContent>
                          <w:p>
                            <w:pPr>
                              <w:pStyle w:val="Style33"/>
                              <w:keepNext w:val="0"/>
                              <w:keepLines w:val="0"/>
                              <w:widowControl w:val="0"/>
                              <w:shd w:val="clear" w:color="auto" w:fill="auto"/>
                              <w:bidi w:val="0"/>
                              <w:spacing w:before="0" w:after="360" w:line="240" w:lineRule="auto"/>
                              <w:ind w:left="1020" w:right="0" w:firstLine="0"/>
                              <w:jc w:val="left"/>
                              <w:rPr>
                                <w:sz w:val="22"/>
                                <w:szCs w:val="22"/>
                              </w:rPr>
                            </w:pPr>
                            <w:r>
                              <w:rPr>
                                <w:b w:val="0"/>
                                <w:bCs w:val="0"/>
                                <w:color w:val="000000"/>
                                <w:spacing w:val="0"/>
                                <w:w w:val="100"/>
                                <w:position w:val="0"/>
                                <w:sz w:val="22"/>
                                <w:szCs w:val="22"/>
                              </w:rPr>
                              <w:t>金额</w:t>
                            </w:r>
                          </w:p>
                          <w:p>
                            <w:pPr>
                              <w:pStyle w:val="Style9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4"/>
                                <w:szCs w:val="24"/>
                              </w:rPr>
                              <w:t>54,705,787.80</w:t>
                            </w:r>
                          </w:p>
                          <w:p>
                            <w:pPr>
                              <w:pStyle w:val="Style9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(54,705,780.16)</w:t>
                            </w:r>
                          </w:p>
                          <w:p>
                            <w:pPr>
                              <w:pStyle w:val="Style94"/>
                              <w:keepNext w:val="0"/>
                              <w:keepLines w:val="0"/>
                              <w:widowControl w:val="0"/>
                              <w:shd w:val="clear" w:color="auto" w:fill="auto"/>
                              <w:bidi w:val="0"/>
                              <w:spacing w:before="0" w:after="360" w:line="240" w:lineRule="auto"/>
                              <w:ind w:left="1200" w:right="0" w:firstLine="0"/>
                              <w:jc w:val="left"/>
                            </w:pPr>
                            <w:r>
                              <w:rPr>
                                <w:color w:val="000000"/>
                                <w:spacing w:val="0"/>
                                <w:w w:val="100"/>
                                <w:position w:val="0"/>
                                <w:sz w:val="24"/>
                                <w:szCs w:val="24"/>
                              </w:rPr>
                              <w:t>7.64</w:t>
                            </w:r>
                          </w:p>
                        </w:txbxContent>
                      </wps:txbx>
                      <wps:bodyPr lIns="0" tIns="0" rIns="0" bIns="0">
                        <a:noAutoFit/>
                      </wps:bodyPr>
                    </wps:wsp>
                  </a:graphicData>
                </a:graphic>
              </wp:anchor>
            </w:drawing>
          </mc:Choice>
          <mc:Fallback>
            <w:pict>
              <v:shape id="_x0000_s1548" type="#_x0000_t202" style="position:absolute;margin-left:448.35000000000002pt;margin-top:15.pt;width:91.700000000000003pt;height:95.299999999999997pt;z-index:-125829202;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360" w:line="240" w:lineRule="auto"/>
                        <w:ind w:left="1020" w:right="0" w:firstLine="0"/>
                        <w:jc w:val="left"/>
                        <w:rPr>
                          <w:sz w:val="22"/>
                          <w:szCs w:val="22"/>
                        </w:rPr>
                      </w:pPr>
                      <w:r>
                        <w:rPr>
                          <w:b w:val="0"/>
                          <w:bCs w:val="0"/>
                          <w:color w:val="000000"/>
                          <w:spacing w:val="0"/>
                          <w:w w:val="100"/>
                          <w:position w:val="0"/>
                          <w:sz w:val="22"/>
                          <w:szCs w:val="22"/>
                        </w:rPr>
                        <w:t>金额</w:t>
                      </w:r>
                    </w:p>
                    <w:p>
                      <w:pPr>
                        <w:pStyle w:val="Style9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4"/>
                          <w:szCs w:val="24"/>
                        </w:rPr>
                        <w:t>54,705,787.80</w:t>
                      </w:r>
                    </w:p>
                    <w:p>
                      <w:pPr>
                        <w:pStyle w:val="Style9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(54,705,780.16)</w:t>
                      </w:r>
                    </w:p>
                    <w:p>
                      <w:pPr>
                        <w:pStyle w:val="Style94"/>
                        <w:keepNext w:val="0"/>
                        <w:keepLines w:val="0"/>
                        <w:widowControl w:val="0"/>
                        <w:shd w:val="clear" w:color="auto" w:fill="auto"/>
                        <w:bidi w:val="0"/>
                        <w:spacing w:before="0" w:after="360" w:line="240" w:lineRule="auto"/>
                        <w:ind w:left="1200" w:right="0" w:firstLine="0"/>
                        <w:jc w:val="left"/>
                      </w:pPr>
                      <w:r>
                        <w:rPr>
                          <w:color w:val="000000"/>
                          <w:spacing w:val="0"/>
                          <w:w w:val="100"/>
                          <w:position w:val="0"/>
                          <w:sz w:val="24"/>
                          <w:szCs w:val="24"/>
                        </w:rPr>
                        <w:t>7.64</w:t>
                      </w:r>
                    </w:p>
                  </w:txbxContent>
                </v:textbox>
                <w10:wrap type="square" side="left" anchorx="page"/>
              </v:shape>
            </w:pict>
          </mc:Fallback>
        </mc:AlternateContent>
      </w:r>
      <w:r>
        <w:rPr>
          <w:b w:val="0"/>
          <w:bCs w:val="0"/>
          <w:color w:val="000000"/>
          <w:spacing w:val="0"/>
          <w:w w:val="100"/>
          <w:position w:val="0"/>
          <w:sz w:val="22"/>
          <w:szCs w:val="22"/>
        </w:rPr>
        <w:t>处置损益计算如下：</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处置价格</w:t>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减：合并财务报表层面享有的净资产份额</w:t>
      </w:r>
    </w:p>
    <w:p>
      <w:pPr>
        <w:pStyle w:val="Style33"/>
        <w:keepNext w:val="0"/>
        <w:keepLines w:val="0"/>
        <w:widowControl w:val="0"/>
        <w:shd w:val="clear" w:color="auto" w:fill="auto"/>
        <w:bidi w:val="0"/>
        <w:spacing w:before="0" w:after="400" w:line="240" w:lineRule="auto"/>
        <w:ind w:left="0" w:right="0" w:firstLine="0"/>
        <w:jc w:val="left"/>
        <w:rPr>
          <w:sz w:val="22"/>
          <w:szCs w:val="22"/>
        </w:rPr>
      </w:pPr>
      <w:r>
        <w:rPr>
          <w:b w:val="0"/>
          <w:bCs w:val="0"/>
          <w:color w:val="000000"/>
          <w:spacing w:val="0"/>
          <w:w w:val="100"/>
          <w:position w:val="0"/>
          <w:sz w:val="22"/>
          <w:szCs w:val="22"/>
        </w:rPr>
        <w:t>处置产生的投资收益</w:t>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(ii) </w:t>
      </w:r>
      <w:r>
        <w:rPr>
          <w:b w:val="0"/>
          <w:bCs w:val="0"/>
          <w:color w:val="000000"/>
          <w:spacing w:val="0"/>
          <w:w w:val="100"/>
          <w:position w:val="0"/>
          <w:sz w:val="22"/>
          <w:szCs w:val="22"/>
        </w:rPr>
        <w:t>合丰小额贷款</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处置损益计算如下：</w:t>
      </w:r>
    </w:p>
    <w:p>
      <w:pPr>
        <w:widowControl w:val="0"/>
        <w:spacing w:line="1" w:lineRule="exact"/>
        <w:sectPr>
          <w:footnotePr>
            <w:pos w:val="pageBottom"/>
            <w:numFmt w:val="decimal"/>
            <w:numRestart w:val="continuous"/>
          </w:footnotePr>
          <w:pgSz w:w="16840" w:h="11900" w:orient="landscape"/>
          <w:pgMar w:top="1482" w:right="1076" w:bottom="2305" w:left="1954" w:header="0" w:footer="3" w:gutter="0"/>
          <w:cols w:space="720"/>
          <w:noEndnote/>
          <w:rtlGutter w:val="0"/>
          <w:docGrid w:linePitch="360"/>
        </w:sectPr>
      </w:pPr>
      <w:r>
        <mc:AlternateContent>
          <mc:Choice Requires="wps">
            <w:drawing>
              <wp:anchor distT="0" distB="0" distL="0" distR="0" simplePos="0" relativeHeight="125829553" behindDoc="0" locked="0" layoutInCell="1" allowOverlap="1">
                <wp:simplePos x="0" y="0"/>
                <wp:positionH relativeFrom="page">
                  <wp:posOffset>6343650</wp:posOffset>
                </wp:positionH>
                <wp:positionV relativeFrom="paragraph">
                  <wp:posOffset>0</wp:posOffset>
                </wp:positionV>
                <wp:extent cx="326390" cy="176530"/>
                <wp:wrapTopAndBottom/>
                <wp:docPr id="524" name="Shape 524"/>
                <a:graphic xmlns:a="http://schemas.openxmlformats.org/drawingml/2006/main">
                  <a:graphicData uri="http://schemas.microsoft.com/office/word/2010/wordprocessingShape">
                    <wps:wsp>
                      <wps:cNvSpPr txBox="1"/>
                      <wps:spPr>
                        <a:xfrm>
                          <a:ext cx="326390" cy="1765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金额</w:t>
                            </w:r>
                          </w:p>
                        </w:txbxContent>
                      </wps:txbx>
                      <wps:bodyPr wrap="none" lIns="0" tIns="0" rIns="0" bIns="0">
                        <a:noAutoFit/>
                      </wps:bodyPr>
                    </wps:wsp>
                  </a:graphicData>
                </a:graphic>
              </wp:anchor>
            </w:drawing>
          </mc:Choice>
          <mc:Fallback>
            <w:pict>
              <v:shape id="_x0000_s1550" type="#_x0000_t202" style="position:absolute;margin-left:499.5pt;margin-top:0;width:25.699999999999999pt;height:13.9pt;z-index:-125829200;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金额</w:t>
                      </w:r>
                    </w:p>
                  </w:txbxContent>
                </v:textbox>
                <w10:wrap type="topAndBottom" anchorx="page"/>
              </v:shape>
            </w:pict>
          </mc:Fallback>
        </mc:AlternateContent>
      </w: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98" w:right="0" w:bottom="127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55" behindDoc="0" locked="0" layoutInCell="1" allowOverlap="1">
                <wp:simplePos x="0" y="0"/>
                <wp:positionH relativeFrom="page">
                  <wp:posOffset>5612130</wp:posOffset>
                </wp:positionH>
                <wp:positionV relativeFrom="paragraph">
                  <wp:posOffset>12700</wp:posOffset>
                </wp:positionV>
                <wp:extent cx="1246505" cy="838200"/>
                <wp:wrapSquare wrapText="left"/>
                <wp:docPr id="526" name="Shape 526"/>
                <a:graphic xmlns:a="http://schemas.openxmlformats.org/drawingml/2006/main">
                  <a:graphicData uri="http://schemas.microsoft.com/office/word/2010/wordprocessingShape">
                    <wps:wsp>
                      <wps:cNvSpPr txBox="1"/>
                      <wps:spPr>
                        <a:xfrm>
                          <a:ext cx="1246505" cy="83820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302,304,386.02</w:t>
                            </w:r>
                          </w:p>
                          <w:p>
                            <w:pPr>
                              <w:pStyle w:val="Style9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(307,506,016.91)</w:t>
                            </w:r>
                          </w:p>
                          <w:p>
                            <w:pPr>
                              <w:pStyle w:val="Style9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(5,201,630.89)</w:t>
                            </w:r>
                          </w:p>
                        </w:txbxContent>
                      </wps:txbx>
                      <wps:bodyPr lIns="0" tIns="0" rIns="0" bIns="0">
                        <a:noAutoFit/>
                      </wps:bodyPr>
                    </wps:wsp>
                  </a:graphicData>
                </a:graphic>
              </wp:anchor>
            </w:drawing>
          </mc:Choice>
          <mc:Fallback>
            <w:pict>
              <v:shape id="_x0000_s1552" type="#_x0000_t202" style="position:absolute;margin-left:441.90000000000003pt;margin-top:1.pt;width:98.150000000000006pt;height:66.pt;z-index:-125829198;mso-wrap-distance-left:9.pt;mso-wrap-distance-right:9.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302,304,386.02</w:t>
                      </w:r>
                    </w:p>
                    <w:p>
                      <w:pPr>
                        <w:pStyle w:val="Style9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(307,506,016.91)</w:t>
                      </w:r>
                    </w:p>
                    <w:p>
                      <w:pPr>
                        <w:pStyle w:val="Style9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(5,201,630.89)</w:t>
                      </w:r>
                    </w:p>
                  </w:txbxContent>
                </v:textbox>
                <w10:wrap type="square" side="left" anchorx="page"/>
              </v:shape>
            </w:pict>
          </mc:Fallback>
        </mc:AlternateConten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处置价格</w:t>
      </w:r>
    </w:p>
    <w:p>
      <w:pPr>
        <w:pStyle w:val="Style33"/>
        <w:keepNext w:val="0"/>
        <w:keepLines w:val="0"/>
        <w:widowControl w:val="0"/>
        <w:shd w:val="clear" w:color="auto" w:fill="auto"/>
        <w:bidi w:val="0"/>
        <w:spacing w:before="0" w:after="400" w:line="240" w:lineRule="auto"/>
        <w:ind w:left="0" w:right="0" w:firstLine="0"/>
        <w:jc w:val="left"/>
        <w:rPr>
          <w:sz w:val="22"/>
          <w:szCs w:val="22"/>
        </w:rPr>
      </w:pPr>
      <w:r>
        <w:rPr>
          <w:b w:val="0"/>
          <w:bCs w:val="0"/>
          <w:color w:val="000000"/>
          <w:spacing w:val="0"/>
          <w:w w:val="100"/>
          <w:position w:val="0"/>
          <w:sz w:val="22"/>
          <w:szCs w:val="22"/>
        </w:rPr>
        <w:t>减：合并财务报表层面享有的净资产份额</w:t>
      </w:r>
    </w:p>
    <w:p>
      <w:pPr>
        <w:pStyle w:val="Style33"/>
        <w:keepNext w:val="0"/>
        <w:keepLines w:val="0"/>
        <w:widowControl w:val="0"/>
        <w:shd w:val="clear" w:color="auto" w:fill="auto"/>
        <w:bidi w:val="0"/>
        <w:spacing w:before="0" w:after="240" w:line="240" w:lineRule="auto"/>
        <w:ind w:left="0" w:right="0" w:firstLine="0"/>
        <w:jc w:val="left"/>
        <w:rPr>
          <w:sz w:val="22"/>
          <w:szCs w:val="22"/>
        </w:rPr>
      </w:pPr>
      <w:r>
        <w:rPr>
          <w:b w:val="0"/>
          <w:bCs w:val="0"/>
          <w:color w:val="000000"/>
          <w:spacing w:val="0"/>
          <w:w w:val="100"/>
          <w:position w:val="0"/>
          <w:sz w:val="22"/>
          <w:szCs w:val="22"/>
        </w:rPr>
        <w:t>处置产生的投资亏损</w:t>
      </w:r>
    </w:p>
    <w:p>
      <w:pPr>
        <w:pStyle w:val="Style27"/>
        <w:keepNext/>
        <w:keepLines/>
        <w:widowControl w:val="0"/>
        <w:shd w:val="clear" w:color="auto" w:fill="auto"/>
        <w:bidi w:val="0"/>
        <w:spacing w:before="0" w:after="300" w:line="240" w:lineRule="auto"/>
        <w:ind w:left="0" w:right="0" w:firstLine="0"/>
        <w:jc w:val="left"/>
      </w:pPr>
      <w:bookmarkStart w:id="913" w:name="bookmark913"/>
      <w:bookmarkStart w:id="914" w:name="bookmark914"/>
      <w:bookmarkStart w:id="915" w:name="bookmark915"/>
      <w:r>
        <w:rPr>
          <w:color w:val="000000"/>
          <w:spacing w:val="0"/>
          <w:w w:val="100"/>
          <w:position w:val="0"/>
          <w:sz w:val="22"/>
          <w:szCs w:val="22"/>
        </w:rPr>
        <w:t>五合并范围的变更</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13"/>
      <w:bookmarkEnd w:id="914"/>
      <w:bookmarkEnd w:id="915"/>
    </w:p>
    <w:p>
      <w:pPr>
        <w:pStyle w:val="Style27"/>
        <w:keepNext/>
        <w:keepLines/>
        <w:widowControl w:val="0"/>
        <w:shd w:val="clear" w:color="auto" w:fill="auto"/>
        <w:tabs>
          <w:tab w:pos="662" w:val="left"/>
        </w:tabs>
        <w:bidi w:val="0"/>
        <w:spacing w:before="0" w:after="360" w:line="240" w:lineRule="auto"/>
        <w:ind w:left="0" w:right="0" w:firstLine="0"/>
        <w:jc w:val="left"/>
        <w:rPr>
          <w:sz w:val="28"/>
          <w:szCs w:val="28"/>
        </w:rPr>
      </w:pPr>
      <w:bookmarkStart w:id="913" w:name="bookmark913"/>
      <w:bookmarkStart w:id="914" w:name="bookmark914"/>
      <w:bookmarkStart w:id="916" w:name="bookmark916"/>
      <w:r>
        <w:rPr>
          <w:rFonts w:ascii="Arial" w:eastAsia="Arial" w:hAnsi="Arial" w:cs="Arial"/>
          <w:b w:val="0"/>
          <w:bCs w:val="0"/>
          <w:color w:val="000000"/>
          <w:spacing w:val="0"/>
          <w:w w:val="100"/>
          <w:position w:val="0"/>
          <w:sz w:val="24"/>
          <w:szCs w:val="24"/>
        </w:rPr>
        <w:t>(3)</w:t>
        <w:tab/>
      </w:r>
      <w:r>
        <w:rPr>
          <w:color w:val="000000"/>
          <w:spacing w:val="0"/>
          <w:w w:val="100"/>
          <w:position w:val="0"/>
          <w:sz w:val="22"/>
          <w:szCs w:val="22"/>
        </w:rPr>
        <w:t>处置子公司</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13"/>
      <w:bookmarkEnd w:id="914"/>
      <w:bookmarkEnd w:id="916"/>
    </w:p>
    <w:p>
      <w:pPr>
        <w:pStyle w:val="Style33"/>
        <w:keepNext w:val="0"/>
        <w:keepLines w:val="0"/>
        <w:widowControl w:val="0"/>
        <w:shd w:val="clear" w:color="auto" w:fill="auto"/>
        <w:tabs>
          <w:tab w:pos="662" w:val="left"/>
        </w:tabs>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处置损益以及相关现金流量信息如下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numPr>
          <w:ilvl w:val="0"/>
          <w:numId w:val="69"/>
        </w:numPr>
        <w:shd w:val="clear" w:color="auto" w:fill="auto"/>
        <w:tabs>
          <w:tab w:pos="662" w:val="left"/>
        </w:tabs>
        <w:bidi w:val="0"/>
        <w:spacing w:before="0" w:after="360" w:line="240" w:lineRule="auto"/>
        <w:ind w:left="0" w:right="0" w:firstLine="0"/>
        <w:jc w:val="left"/>
        <w:rPr>
          <w:sz w:val="22"/>
          <w:szCs w:val="22"/>
        </w:rPr>
      </w:pPr>
      <w:bookmarkStart w:id="917" w:name="bookmark917"/>
      <w:bookmarkEnd w:id="917"/>
      <w:r>
        <w:rPr>
          <w:b w:val="0"/>
          <w:bCs w:val="0"/>
          <w:color w:val="000000"/>
          <w:spacing w:val="0"/>
          <w:w w:val="100"/>
          <w:position w:val="0"/>
          <w:sz w:val="22"/>
          <w:szCs w:val="22"/>
        </w:rPr>
        <w:t>顺诚融资租赁及其子公司</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处置损益计算如下：</w:t>
      </w:r>
    </w:p>
    <w:p>
      <w:pPr>
        <w:pStyle w:val="Style33"/>
        <w:keepNext w:val="0"/>
        <w:keepLines w:val="0"/>
        <w:widowControl w:val="0"/>
        <w:shd w:val="clear" w:color="auto" w:fill="auto"/>
        <w:bidi w:val="0"/>
        <w:spacing w:before="0" w:after="360" w:line="240" w:lineRule="auto"/>
        <w:ind w:left="0" w:right="0" w:firstLine="0"/>
        <w:jc w:val="center"/>
        <w:rPr>
          <w:sz w:val="22"/>
          <w:szCs w:val="22"/>
        </w:rPr>
      </w:pPr>
      <w:r>
        <w:rPr>
          <w:b w:val="0"/>
          <w:bCs w:val="0"/>
          <w:color w:val="000000"/>
          <w:spacing w:val="0"/>
          <w:w w:val="100"/>
          <w:position w:val="0"/>
          <w:sz w:val="22"/>
          <w:szCs w:val="22"/>
        </w:rPr>
        <w:t>金额</w:t>
      </w:r>
    </w:p>
    <w:p>
      <w:pPr>
        <w:pStyle w:val="Style94"/>
        <w:keepNext w:val="0"/>
        <w:keepLines w:val="0"/>
        <w:widowControl w:val="0"/>
        <w:shd w:val="clear" w:color="auto" w:fill="auto"/>
        <w:tabs>
          <w:tab w:pos="6934" w:val="left"/>
        </w:tabs>
        <w:bidi w:val="0"/>
        <w:spacing w:before="0" w:after="60" w:line="240" w:lineRule="auto"/>
        <w:ind w:left="0" w:right="0" w:firstLine="0"/>
        <w:jc w:val="both"/>
      </w:pPr>
      <w:r>
        <w:rPr>
          <w:rFonts w:ascii="SimSun" w:eastAsia="SimSun" w:hAnsi="SimSun" w:cs="SimSun"/>
          <w:color w:val="000000"/>
          <w:spacing w:val="0"/>
          <w:w w:val="100"/>
          <w:position w:val="0"/>
          <w:sz w:val="22"/>
          <w:szCs w:val="22"/>
        </w:rPr>
        <w:t>处置价格</w:t>
        <w:tab/>
      </w:r>
      <w:r>
        <w:rPr>
          <w:color w:val="000000"/>
          <w:spacing w:val="0"/>
          <w:w w:val="100"/>
          <w:position w:val="0"/>
          <w:sz w:val="24"/>
          <w:szCs w:val="24"/>
        </w:rPr>
        <w:t>377,577,600.00</w:t>
      </w:r>
    </w:p>
    <w:p>
      <w:pPr>
        <w:pStyle w:val="Style33"/>
        <w:keepNext w:val="0"/>
        <w:keepLines w:val="0"/>
        <w:widowControl w:val="0"/>
        <w:shd w:val="clear" w:color="auto" w:fill="auto"/>
        <w:tabs>
          <w:tab w:pos="6934" w:val="left"/>
        </w:tabs>
        <w:bidi w:val="0"/>
        <w:spacing w:before="0" w:after="360" w:line="240" w:lineRule="auto"/>
        <w:ind w:left="0" w:right="0" w:firstLine="0"/>
        <w:jc w:val="both"/>
        <w:rPr>
          <w:sz w:val="24"/>
          <w:szCs w:val="24"/>
        </w:rPr>
      </w:pPr>
      <w:r>
        <w:rPr>
          <w:b w:val="0"/>
          <w:bCs w:val="0"/>
          <w:color w:val="000000"/>
          <w:spacing w:val="0"/>
          <w:w w:val="100"/>
          <w:position w:val="0"/>
          <w:sz w:val="22"/>
          <w:szCs w:val="22"/>
        </w:rPr>
        <w:t>减：合并财务报表层面享有的净资产份额</w:t>
        <w:tab/>
      </w:r>
      <w:r>
        <w:rPr>
          <w:rFonts w:ascii="Arial" w:eastAsia="Arial" w:hAnsi="Arial" w:cs="Arial"/>
          <w:b w:val="0"/>
          <w:bCs w:val="0"/>
          <w:color w:val="000000"/>
          <w:spacing w:val="0"/>
          <w:w w:val="100"/>
          <w:position w:val="0"/>
          <w:sz w:val="24"/>
          <w:szCs w:val="24"/>
          <w:u w:val="single"/>
        </w:rPr>
        <w:t>(377,214,352.71)</w:t>
      </w:r>
    </w:p>
    <w:p>
      <w:pPr>
        <w:pStyle w:val="Style33"/>
        <w:keepNext w:val="0"/>
        <w:keepLines w:val="0"/>
        <w:widowControl w:val="0"/>
        <w:shd w:val="clear" w:color="auto" w:fill="auto"/>
        <w:tabs>
          <w:tab w:pos="6514" w:val="left"/>
          <w:tab w:leader="underscore" w:pos="7474" w:val="left"/>
        </w:tabs>
        <w:bidi w:val="0"/>
        <w:spacing w:before="0" w:after="300" w:line="240" w:lineRule="auto"/>
        <w:ind w:left="0" w:right="0" w:firstLine="0"/>
        <w:jc w:val="both"/>
        <w:rPr>
          <w:sz w:val="24"/>
          <w:szCs w:val="24"/>
        </w:rPr>
      </w:pPr>
      <w:r>
        <w:rPr>
          <w:b w:val="0"/>
          <w:bCs w:val="0"/>
          <w:color w:val="000000"/>
          <w:spacing w:val="0"/>
          <w:w w:val="100"/>
          <w:position w:val="0"/>
          <w:sz w:val="22"/>
          <w:szCs w:val="22"/>
        </w:rPr>
        <w:t>处置产生的投资收益</w:t>
        <w:tab/>
        <w:tab/>
      </w:r>
      <w:r>
        <w:rPr>
          <w:rFonts w:ascii="Arial" w:eastAsia="Arial" w:hAnsi="Arial" w:cs="Arial"/>
          <w:b w:val="0"/>
          <w:bCs w:val="0"/>
          <w:color w:val="000000"/>
          <w:spacing w:val="0"/>
          <w:w w:val="100"/>
          <w:position w:val="0"/>
          <w:sz w:val="24"/>
          <w:szCs w:val="24"/>
          <w:u w:val="single"/>
        </w:rPr>
        <w:t>363,247.29</w:t>
      </w:r>
    </w:p>
    <w:p>
      <w:pPr>
        <w:pStyle w:val="Style33"/>
        <w:keepNext w:val="0"/>
        <w:keepLines w:val="0"/>
        <w:widowControl w:val="0"/>
        <w:shd w:val="clear" w:color="auto" w:fill="auto"/>
        <w:bidi w:val="0"/>
        <w:spacing w:before="0" w:after="300" w:line="324"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7</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25</w:t>
      </w:r>
      <w:r>
        <w:rPr>
          <w:b w:val="0"/>
          <w:bCs w:val="0"/>
          <w:color w:val="000000"/>
          <w:spacing w:val="0"/>
          <w:w w:val="100"/>
          <w:position w:val="0"/>
          <w:sz w:val="22"/>
          <w:szCs w:val="22"/>
        </w:rPr>
        <w:t>日，泰森控股、泰森控股的子公司顺丰科技以及泰森控股的子公司顺丰香港分别与明德控股以及置业企业有限公 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以下简称“置业企业”</w:t>
      </w:r>
      <w:r>
        <w:rPr>
          <w:b w:val="0"/>
          <w:bCs w:val="0"/>
          <w:color w:val="000000"/>
          <w:spacing w:val="0"/>
          <w:w w:val="100"/>
          <w:position w:val="0"/>
          <w:sz w:val="28"/>
          <w:szCs w:val="28"/>
        </w:rPr>
        <w:t>)</w:t>
      </w:r>
      <w:r>
        <w:rPr>
          <w:b w:val="0"/>
          <w:bCs w:val="0"/>
          <w:color w:val="000000"/>
          <w:spacing w:val="0"/>
          <w:w w:val="100"/>
          <w:position w:val="0"/>
          <w:sz w:val="22"/>
          <w:szCs w:val="22"/>
        </w:rPr>
        <w:t>签署股权转让协议，将合丰小额贷款</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股权、乐丰保理</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股权转让给明德控股，将顺诚融资租赁 及其子公司</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股权转让给置业企业，股权转让价格乃参考评估价后经双方协商确定，即分别为人民币</w:t>
      </w:r>
      <w:r>
        <w:rPr>
          <w:rFonts w:ascii="Arial" w:eastAsia="Arial" w:hAnsi="Arial" w:cs="Arial"/>
          <w:b w:val="0"/>
          <w:bCs w:val="0"/>
          <w:color w:val="000000"/>
          <w:spacing w:val="0"/>
          <w:w w:val="100"/>
          <w:position w:val="0"/>
          <w:sz w:val="24"/>
          <w:szCs w:val="24"/>
        </w:rPr>
        <w:t>29,932.04</w:t>
      </w:r>
      <w:r>
        <w:rPr>
          <w:b w:val="0"/>
          <w:bCs w:val="0"/>
          <w:color w:val="000000"/>
          <w:spacing w:val="0"/>
          <w:w w:val="100"/>
          <w:position w:val="0"/>
          <w:sz w:val="22"/>
          <w:szCs w:val="22"/>
        </w:rPr>
        <w:t>万元、</w:t>
      </w:r>
      <w:r>
        <w:rPr>
          <w:rFonts w:ascii="Arial" w:eastAsia="Arial" w:hAnsi="Arial" w:cs="Arial"/>
          <w:b w:val="0"/>
          <w:bCs w:val="0"/>
          <w:color w:val="000000"/>
          <w:spacing w:val="0"/>
          <w:w w:val="100"/>
          <w:position w:val="0"/>
          <w:sz w:val="24"/>
          <w:szCs w:val="24"/>
        </w:rPr>
        <w:t xml:space="preserve">5,057.46 </w:t>
      </w:r>
      <w:r>
        <w:rPr>
          <w:b w:val="0"/>
          <w:bCs w:val="0"/>
          <w:color w:val="000000"/>
          <w:spacing w:val="0"/>
          <w:w w:val="100"/>
          <w:position w:val="0"/>
          <w:sz w:val="22"/>
          <w:szCs w:val="22"/>
        </w:rPr>
        <w:t>万元以及</w:t>
      </w:r>
      <w:r>
        <w:rPr>
          <w:rFonts w:ascii="Arial" w:eastAsia="Arial" w:hAnsi="Arial" w:cs="Arial"/>
          <w:b w:val="0"/>
          <w:bCs w:val="0"/>
          <w:color w:val="000000"/>
          <w:spacing w:val="0"/>
          <w:w w:val="100"/>
          <w:position w:val="0"/>
          <w:sz w:val="24"/>
          <w:szCs w:val="24"/>
        </w:rPr>
        <w:t>36,705.15</w:t>
      </w:r>
      <w:r>
        <w:rPr>
          <w:b w:val="0"/>
          <w:bCs w:val="0"/>
          <w:color w:val="000000"/>
          <w:spacing w:val="0"/>
          <w:w w:val="100"/>
          <w:position w:val="0"/>
          <w:sz w:val="22"/>
          <w:szCs w:val="22"/>
        </w:rPr>
        <w:t>万元，同时约定，评估基准日起至股权协议签署日止上述三家被转让公司运营所产生的盈利由本集团享有，亏 损由受让方承担，并于本次交易完成后以现金形式对本集团予以补偿。</w:t>
      </w:r>
    </w:p>
    <w:p>
      <w:pPr>
        <w:pStyle w:val="Style33"/>
        <w:keepNext w:val="0"/>
        <w:keepLines w:val="0"/>
        <w:widowControl w:val="0"/>
        <w:shd w:val="clear" w:color="auto" w:fill="auto"/>
        <w:bidi w:val="0"/>
        <w:spacing w:before="0" w:after="360" w:line="322"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7</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日，本集团将持有的乐丰保理和顺诚融资租赁及其子公司</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股权分别转让予明德控股和置业企业；于</w:t>
      </w:r>
      <w:r>
        <w:rPr>
          <w:rFonts w:ascii="Arial" w:eastAsia="Arial" w:hAnsi="Arial" w:cs="Arial"/>
          <w:b w:val="0"/>
          <w:bCs w:val="0"/>
          <w:color w:val="000000"/>
          <w:spacing w:val="0"/>
          <w:w w:val="100"/>
          <w:position w:val="0"/>
          <w:sz w:val="24"/>
          <w:szCs w:val="24"/>
        </w:rPr>
        <w:t xml:space="preserve">2016 </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8</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日，本集团将持有的合丰小额贷款</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股权转让予明德控股。</w:t>
      </w:r>
    </w:p>
    <w:p>
      <w:pPr>
        <w:pStyle w:val="Style33"/>
        <w:keepNext w:val="0"/>
        <w:keepLines w:val="0"/>
        <w:widowControl w:val="0"/>
        <w:numPr>
          <w:ilvl w:val="0"/>
          <w:numId w:val="75"/>
        </w:numPr>
        <w:shd w:val="clear" w:color="auto" w:fill="auto"/>
        <w:tabs>
          <w:tab w:pos="662" w:val="left"/>
        </w:tabs>
        <w:bidi w:val="0"/>
        <w:spacing w:before="0" w:after="360" w:line="240" w:lineRule="auto"/>
        <w:ind w:left="0" w:right="0" w:firstLine="0"/>
        <w:jc w:val="both"/>
        <w:rPr>
          <w:sz w:val="22"/>
          <w:szCs w:val="22"/>
        </w:rPr>
      </w:pPr>
      <w:bookmarkStart w:id="918" w:name="bookmark918"/>
      <w:bookmarkEnd w:id="918"/>
      <w:r>
        <w:rPr>
          <w:b w:val="0"/>
          <w:bCs w:val="0"/>
          <w:color w:val="000000"/>
          <w:spacing w:val="0"/>
          <w:w w:val="100"/>
          <w:position w:val="0"/>
          <w:sz w:val="22"/>
          <w:szCs w:val="22"/>
        </w:rPr>
        <w:t xml:space="preserve">其他原因的合并范围变动 </w:t>
      </w:r>
      <w:r>
        <w:rPr>
          <w:b w:val="0"/>
          <w:bCs w:val="0"/>
          <w:color w:val="000000"/>
          <w:spacing w:val="0"/>
          <w:w w:val="100"/>
          <w:position w:val="0"/>
          <w:sz w:val="22"/>
          <w:szCs w:val="22"/>
        </w:rPr>
        <w:t>本集团于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年以现金出资设立如下主要全资子公司:</w:t>
      </w:r>
      <w:r>
        <w:br w:type="page"/>
      </w:r>
    </w:p>
    <w:tbl>
      <w:tblPr>
        <w:tblOverlap w:val="never"/>
        <w:jc w:val="center"/>
        <w:tblLayout w:type="fixed"/>
      </w:tblPr>
      <w:tblGrid>
        <w:gridCol w:w="4483"/>
        <w:gridCol w:w="754"/>
        <w:gridCol w:w="1522"/>
        <w:gridCol w:w="1339"/>
        <w:gridCol w:w="2146"/>
        <w:gridCol w:w="710"/>
        <w:gridCol w:w="758"/>
        <w:gridCol w:w="1973"/>
      </w:tblGrid>
      <w:tr>
        <w:trPr>
          <w:trHeight w:val="466" w:hRule="exact"/>
        </w:trPr>
        <w:tc>
          <w:tcPr>
            <w:gridSpan w:val="3"/>
            <w:tcBorders/>
            <w:shd w:val="clear" w:color="auto" w:fill="FFFFFF"/>
            <w:vAlign w:val="top"/>
          </w:tcPr>
          <w:p>
            <w:pPr>
              <w:widowControl w:val="0"/>
              <w:rPr>
                <w:sz w:val="10"/>
                <w:szCs w:val="10"/>
              </w:rPr>
            </w:pP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实际出资</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取得方式</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上海丰预泰实业有限公司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22"/>
                <w:szCs w:val="22"/>
              </w:rPr>
            </w:pPr>
            <w:r>
              <w:rPr>
                <w:rFonts w:ascii="Arial" w:eastAsia="Arial" w:hAnsi="Arial" w:cs="Arial"/>
                <w:color w:val="000000"/>
                <w:spacing w:val="0"/>
                <w:w w:val="100"/>
                <w:position w:val="0"/>
                <w:sz w:val="24"/>
                <w:szCs w:val="24"/>
              </w:rPr>
              <w:t xml:space="preserve">20,000 </w:t>
            </w:r>
            <w:r>
              <w:rPr>
                <w:color w:val="000000"/>
                <w:spacing w:val="0"/>
                <w:w w:val="100"/>
                <w:position w:val="0"/>
                <w:sz w:val="22"/>
                <w:szCs w:val="22"/>
              </w:rPr>
              <w:t>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杭州捷泰物业管理有限公司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4"/>
                <w:szCs w:val="24"/>
              </w:rPr>
              <w:t>100</w:t>
            </w:r>
            <w:r>
              <w:rPr>
                <w:color w:val="000000"/>
                <w:spacing w:val="0"/>
                <w:w w:val="100"/>
                <w:position w:val="0"/>
                <w:sz w:val="22"/>
                <w:szCs w:val="22"/>
              </w:rPr>
              <w:t>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集团财务公司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 xml:space="preserve">100,000 </w:t>
            </w:r>
            <w:r>
              <w:rPr>
                <w:color w:val="000000"/>
                <w:spacing w:val="0"/>
                <w:w w:val="100"/>
                <w:position w:val="0"/>
                <w:sz w:val="22"/>
                <w:szCs w:val="22"/>
              </w:rPr>
              <w:t>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深圳市顺丰同城信息技术有限公司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4"/>
                <w:szCs w:val="24"/>
              </w:rPr>
              <w:t xml:space="preserve">1,000 </w:t>
            </w:r>
            <w:r>
              <w:rPr>
                <w:color w:val="000000"/>
                <w:spacing w:val="0"/>
                <w:w w:val="100"/>
                <w:position w:val="0"/>
                <w:sz w:val="22"/>
                <w:szCs w:val="22"/>
              </w:rPr>
              <w:t>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苏州市丰泰跨境电商产业园服务有限公司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4"/>
                <w:szCs w:val="24"/>
              </w:rPr>
              <w:t>300</w:t>
            </w:r>
            <w:r>
              <w:rPr>
                <w:color w:val="000000"/>
                <w:spacing w:val="0"/>
                <w:w w:val="100"/>
                <w:position w:val="0"/>
                <w:sz w:val="22"/>
                <w:szCs w:val="22"/>
              </w:rPr>
              <w:t>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S.F.Holding Co.,Ltd.(Thailand)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4"/>
                <w:szCs w:val="24"/>
              </w:rPr>
              <w:t>250</w:t>
            </w:r>
            <w:r>
              <w:rPr>
                <w:color w:val="000000"/>
                <w:spacing w:val="0"/>
                <w:w w:val="100"/>
                <w:position w:val="0"/>
                <w:sz w:val="22"/>
                <w:szCs w:val="22"/>
              </w:rPr>
              <w:t>万泰铢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S.F.Express Co.,Ltd.(Thailand)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4"/>
                <w:szCs w:val="24"/>
              </w:rPr>
              <w:t>400</w:t>
            </w:r>
            <w:r>
              <w:rPr>
                <w:color w:val="000000"/>
                <w:spacing w:val="0"/>
                <w:w w:val="100"/>
                <w:position w:val="0"/>
                <w:sz w:val="22"/>
                <w:szCs w:val="22"/>
              </w:rPr>
              <w:t>万泰铢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长沙捷泰电商产业园管理有限公司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4"/>
                <w:szCs w:val="24"/>
              </w:rPr>
              <w:t xml:space="preserve">7,000 </w:t>
            </w:r>
            <w:r>
              <w:rPr>
                <w:color w:val="000000"/>
                <w:spacing w:val="0"/>
                <w:w w:val="100"/>
                <w:position w:val="0"/>
                <w:sz w:val="22"/>
                <w:szCs w:val="22"/>
              </w:rPr>
              <w:t>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出资设立</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六在其他主体中的权益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(1)</w:t>
            </w:r>
            <w:r>
              <w:rPr>
                <w:b/>
                <w:bCs/>
                <w:color w:val="000000"/>
                <w:spacing w:val="0"/>
                <w:w w:val="100"/>
                <w:position w:val="0"/>
                <w:sz w:val="22"/>
                <w:szCs w:val="22"/>
              </w:rPr>
              <w:t>在子公司中的权益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2" w:hRule="exact"/>
        </w:trPr>
        <w:tc>
          <w:tcPr>
            <w:gridSpan w:val="2"/>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(a)</w:t>
            </w:r>
            <w:r>
              <w:rPr>
                <w:color w:val="000000"/>
                <w:spacing w:val="0"/>
                <w:w w:val="100"/>
                <w:position w:val="0"/>
                <w:sz w:val="22"/>
                <w:szCs w:val="22"/>
              </w:rPr>
              <w:t>本公司之一级子公司和二级子公司如下：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主要经营地</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注册资本</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业务性质</w:t>
            </w: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持股比例</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取得方式</w:t>
            </w: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直接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泰森控股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200,000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投资控股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反向购买</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国际货运代理、国内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顺丰速运</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15,000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及国际快递服务等</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同一控制下企业合并取得</w:t>
            </w:r>
          </w:p>
        </w:tc>
      </w:tr>
      <w:tr>
        <w:trPr>
          <w:trHeight w:val="30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顺丰科技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 xml:space="preserve">5,000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技术维护及开发服务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四川顺丰通讯科技有限公司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四川省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 xml:space="preserve">1,000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增值电信服务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深圳顺路物流有限公司</w:t>
            </w:r>
            <w:r>
              <w:rPr>
                <w:rFonts w:ascii="Arial" w:eastAsia="Arial" w:hAnsi="Arial" w:cs="Arial"/>
                <w:color w:val="000000"/>
                <w:spacing w:val="0"/>
                <w:w w:val="100"/>
                <w:position w:val="0"/>
                <w:sz w:val="16"/>
                <w:szCs w:val="16"/>
              </w:rPr>
              <w:t>(</w:t>
            </w:r>
            <w:r>
              <w:rPr>
                <w:color w:val="000000"/>
                <w:spacing w:val="0"/>
                <w:w w:val="100"/>
                <w:position w:val="0"/>
                <w:sz w:val="16"/>
                <w:szCs w:val="16"/>
              </w:rPr>
              <w:t>原名：深圳汇海运输有限公司</w:t>
            </w:r>
            <w:r>
              <w:rPr>
                <w:color w:val="000000"/>
                <w:spacing w:val="0"/>
                <w:w w:val="100"/>
                <w:position w:val="0"/>
                <w:sz w:val="19"/>
                <w:szCs w:val="19"/>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 xml:space="preserve">2,000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货物运输、货代</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同一控制下企业合并取得</w:t>
            </w: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安徽顺丰通讯服务有限公司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安徽省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 xml:space="preserve">5,000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增值电信服务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深圳誉惠管理咨询有限公司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786</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咨询服务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同一控制下企业合并取得</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顺丰供应链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70,000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供应链管理等服务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bl>
    <w:p>
      <w:pPr>
        <w:sectPr>
          <w:footnotePr>
            <w:pos w:val="pageBottom"/>
            <w:numFmt w:val="decimal"/>
            <w:numRestart w:val="continuous"/>
          </w:footnotePr>
          <w:type w:val="continuous"/>
          <w:pgSz w:w="16840" w:h="11900" w:orient="landscape"/>
          <w:pgMar w:top="1498" w:right="1120" w:bottom="1272" w:left="1944" w:header="0" w:footer="3" w:gutter="0"/>
          <w:cols w:space="720"/>
          <w:noEndnote/>
          <w:rtlGutter w:val="0"/>
          <w:docGrid w:linePitch="360"/>
        </w:sectPr>
      </w:pPr>
    </w:p>
    <w:tbl>
      <w:tblPr>
        <w:tblOverlap w:val="never"/>
        <w:jc w:val="center"/>
        <w:tblLayout w:type="fixed"/>
      </w:tblPr>
      <w:tblGrid>
        <w:gridCol w:w="5299"/>
        <w:gridCol w:w="816"/>
      </w:tblGrid>
      <w:tr>
        <w:trPr>
          <w:trHeight w:val="1680" w:hRule="exact"/>
        </w:trPr>
        <w:tc>
          <w:tcPr>
            <w:tcBorders/>
            <w:shd w:val="clear" w:color="auto" w:fill="FFFFFF"/>
            <w:vAlign w:val="top"/>
          </w:tcPr>
          <w:p>
            <w:pPr>
              <w:pStyle w:val="Style23"/>
              <w:keepNext w:val="0"/>
              <w:keepLines w:val="0"/>
              <w:widowControl w:val="0"/>
              <w:shd w:val="clear" w:color="auto" w:fill="auto"/>
              <w:bidi w:val="0"/>
              <w:spacing w:before="0" w:after="0" w:line="297" w:lineRule="exact"/>
              <w:ind w:left="0" w:right="0" w:firstLine="0"/>
              <w:jc w:val="left"/>
              <w:rPr>
                <w:sz w:val="16"/>
                <w:szCs w:val="16"/>
              </w:rPr>
            </w:pPr>
            <w:r>
              <w:rPr>
                <w:color w:val="000000"/>
                <w:spacing w:val="0"/>
                <w:w w:val="100"/>
                <w:position w:val="0"/>
                <w:sz w:val="16"/>
                <w:szCs w:val="16"/>
              </w:rPr>
              <w:t>顺丰航空</w:t>
            </w:r>
            <w:r>
              <w:rPr>
                <w:rFonts w:ascii="Arial" w:eastAsia="Arial" w:hAnsi="Arial" w:cs="Arial"/>
                <w:color w:val="000000"/>
                <w:spacing w:val="0"/>
                <w:w w:val="100"/>
                <w:position w:val="0"/>
                <w:sz w:val="16"/>
                <w:szCs w:val="16"/>
              </w:rPr>
              <w:t xml:space="preserve">(iv) </w:t>
            </w:r>
            <w:r>
              <w:rPr>
                <w:color w:val="000000"/>
                <w:spacing w:val="0"/>
                <w:w w:val="100"/>
                <w:position w:val="0"/>
                <w:sz w:val="16"/>
                <w:szCs w:val="16"/>
              </w:rPr>
              <w:t>深圳市 东莞市嘉达快运服务有限公司 东莞市 深圳市丰泰电商产业园资产管理有限公司 深圳市 深圳市丰泰产业园投资有限公司 深圳市 深圳市顺丰机场投资有限公司 深圳市 顺丰香港 香港</w:t>
            </w:r>
          </w:p>
        </w:tc>
        <w:tc>
          <w:tcPr>
            <w:tcBorders/>
            <w:shd w:val="clear" w:color="auto" w:fill="FFFFFF"/>
            <w:vAlign w:val="top"/>
          </w:tcPr>
          <w:p>
            <w:pPr>
              <w:pStyle w:val="Style23"/>
              <w:keepNext w:val="0"/>
              <w:keepLines w:val="0"/>
              <w:widowControl w:val="0"/>
              <w:shd w:val="clear" w:color="auto" w:fill="auto"/>
              <w:bidi w:val="0"/>
              <w:spacing w:before="0" w:after="0" w:line="294" w:lineRule="exact"/>
              <w:ind w:left="280" w:right="0" w:firstLine="0"/>
              <w:jc w:val="both"/>
              <w:rPr>
                <w:sz w:val="16"/>
                <w:szCs w:val="16"/>
              </w:rPr>
            </w:pPr>
            <w:r>
              <w:rPr>
                <w:color w:val="000000"/>
                <w:spacing w:val="0"/>
                <w:w w:val="100"/>
                <w:position w:val="0"/>
                <w:sz w:val="16"/>
                <w:szCs w:val="16"/>
              </w:rPr>
              <w:t>深圳市 东莞市 深圳市 深圳市 深圳市 香港</w:t>
            </w:r>
          </w:p>
        </w:tc>
      </w:tr>
    </w:tbl>
    <w:p>
      <w:pPr>
        <w:sectPr>
          <w:headerReference w:type="default" r:id="rId125"/>
          <w:footerReference w:type="default" r:id="rId126"/>
          <w:headerReference w:type="even" r:id="rId127"/>
          <w:footerReference w:type="even" r:id="rId128"/>
          <w:footnotePr>
            <w:pos w:val="pageBottom"/>
            <w:numFmt w:val="decimal"/>
            <w:numRestart w:val="continuous"/>
          </w:footnotePr>
          <w:pgSz w:w="8400" w:h="11900"/>
          <w:pgMar w:top="1583" w:right="323" w:bottom="1583" w:left="1961" w:header="1155" w:footer="1155" w:gutter="0"/>
          <w:pgNumType w:start="285"/>
          <w:cols w:space="720"/>
          <w:noEndnote/>
          <w:rtlGutter w:val="0"/>
          <w:docGrid w:linePitch="360"/>
        </w:sectPr>
      </w:pPr>
    </w:p>
    <w:tbl>
      <w:tblPr>
        <w:tblOverlap w:val="never"/>
        <w:jc w:val="center"/>
        <w:tblLayout w:type="fixed"/>
      </w:tblPr>
      <w:tblGrid>
        <w:gridCol w:w="1085"/>
        <w:gridCol w:w="2078"/>
        <w:gridCol w:w="1291"/>
        <w:gridCol w:w="1978"/>
      </w:tblGrid>
      <w:tr>
        <w:trPr>
          <w:trHeight w:val="25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150,000 </w:t>
            </w:r>
            <w:r>
              <w:rPr>
                <w:color w:val="000000"/>
                <w:spacing w:val="0"/>
                <w:w w:val="100"/>
                <w:position w:val="0"/>
                <w:sz w:val="16"/>
                <w:szCs w:val="16"/>
              </w:rPr>
              <w:t>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航空货邮运输服务</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同一控制下企业合并取得</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400</w:t>
            </w:r>
            <w:r>
              <w:rPr>
                <w:color w:val="000000"/>
                <w:spacing w:val="0"/>
                <w:w w:val="100"/>
                <w:position w:val="0"/>
                <w:sz w:val="16"/>
                <w:szCs w:val="16"/>
              </w:rPr>
              <w:t>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货物快运代办服务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同一控制下企业合并取得</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200,000 </w:t>
            </w:r>
            <w:r>
              <w:rPr>
                <w:color w:val="000000"/>
                <w:spacing w:val="0"/>
                <w:w w:val="100"/>
                <w:position w:val="0"/>
                <w:sz w:val="16"/>
                <w:szCs w:val="16"/>
              </w:rPr>
              <w:t>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电子商务产业园管理</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同一控制下企业合并取得</w:t>
            </w:r>
          </w:p>
        </w:tc>
      </w:tr>
      <w:tr>
        <w:trPr>
          <w:trHeight w:val="29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5,000 </w:t>
            </w:r>
            <w:r>
              <w:rPr>
                <w:color w:val="000000"/>
                <w:spacing w:val="0"/>
                <w:w w:val="100"/>
                <w:position w:val="0"/>
                <w:sz w:val="16"/>
                <w:szCs w:val="16"/>
              </w:rPr>
              <w:t>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管理咨询</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10,000 </w:t>
            </w:r>
            <w:r>
              <w:rPr>
                <w:color w:val="000000"/>
                <w:spacing w:val="0"/>
                <w:w w:val="100"/>
                <w:position w:val="0"/>
                <w:sz w:val="16"/>
                <w:szCs w:val="16"/>
              </w:rPr>
              <w:t>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投资实业</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5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万港币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投资控股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同一控制下企业合并取得</w:t>
            </w: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8400" w:h="11900"/>
          <w:pgMar w:top="1578" w:right="1175" w:bottom="1578" w:left="794" w:header="0" w:footer="3" w:gutter="0"/>
          <w:pgNumType w:start="284"/>
          <w:cols w:space="720"/>
          <w:noEndnote/>
          <w:rtlGutter w:val="0"/>
          <w:docGrid w:linePitch="360"/>
        </w:sectPr>
      </w:pPr>
    </w:p>
    <w:p>
      <w:pPr>
        <w:pStyle w:val="Style27"/>
        <w:keepNext/>
        <w:keepLines/>
        <w:widowControl w:val="0"/>
        <w:shd w:val="clear" w:color="auto" w:fill="auto"/>
        <w:bidi w:val="0"/>
        <w:spacing w:before="0" w:line="240" w:lineRule="auto"/>
        <w:ind w:left="0" w:right="0" w:firstLine="0"/>
        <w:jc w:val="left"/>
      </w:pPr>
      <w:bookmarkStart w:id="919" w:name="bookmark919"/>
      <w:bookmarkStart w:id="920" w:name="bookmark920"/>
      <w:bookmarkStart w:id="921" w:name="bookmark921"/>
      <w:r>
        <w:rPr>
          <w:color w:val="000000"/>
          <w:spacing w:val="0"/>
          <w:w w:val="100"/>
          <w:position w:val="0"/>
          <w:sz w:val="22"/>
          <w:szCs w:val="22"/>
        </w:rPr>
        <w:t>六在其他主体中的权益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19"/>
      <w:bookmarkEnd w:id="920"/>
      <w:bookmarkEnd w:id="921"/>
    </w:p>
    <w:p>
      <w:pPr>
        <w:pStyle w:val="Style27"/>
        <w:keepNext/>
        <w:keepLines/>
        <w:widowControl w:val="0"/>
        <w:shd w:val="clear" w:color="auto" w:fill="auto"/>
        <w:bidi w:val="0"/>
        <w:spacing w:before="0" w:line="240" w:lineRule="auto"/>
        <w:ind w:left="0" w:right="0" w:firstLine="0"/>
        <w:jc w:val="left"/>
        <w:rPr>
          <w:sz w:val="28"/>
          <w:szCs w:val="28"/>
        </w:rPr>
      </w:pPr>
      <w:bookmarkStart w:id="919" w:name="bookmark919"/>
      <w:bookmarkStart w:id="920" w:name="bookmark920"/>
      <w:bookmarkStart w:id="922" w:name="bookmark922"/>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在子公司中的权益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19"/>
      <w:bookmarkEnd w:id="920"/>
      <w:bookmarkEnd w:id="922"/>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本公司之一级子公司和二级子公司如下</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widowControl w:val="0"/>
        <w:spacing w:line="1" w:lineRule="exact"/>
      </w:pPr>
      <w:r>
        <mc:AlternateContent>
          <mc:Choice Requires="wps">
            <w:drawing>
              <wp:anchor distT="720090" distB="0" distL="0" distR="0" simplePos="0" relativeHeight="125829557" behindDoc="0" locked="0" layoutInCell="1" allowOverlap="1">
                <wp:simplePos x="0" y="0"/>
                <wp:positionH relativeFrom="page">
                  <wp:posOffset>1253490</wp:posOffset>
                </wp:positionH>
                <wp:positionV relativeFrom="paragraph">
                  <wp:posOffset>720090</wp:posOffset>
                </wp:positionV>
                <wp:extent cx="1639570" cy="1027430"/>
                <wp:wrapTopAndBottom/>
                <wp:docPr id="538" name="Shape 538"/>
                <a:graphic xmlns:a="http://schemas.openxmlformats.org/drawingml/2006/main">
                  <a:graphicData uri="http://schemas.microsoft.com/office/word/2010/wordprocessingShape">
                    <wps:wsp>
                      <wps:cNvSpPr txBox="1"/>
                      <wps:spPr>
                        <a:xfrm>
                          <a:ext cx="1639570" cy="1027430"/>
                        </a:xfrm>
                        <a:prstGeom prst="rect"/>
                        <a:noFill/>
                      </wps:spPr>
                      <wps:txbx>
                        <w:txbxContent>
                          <w:p>
                            <w:pPr>
                              <w:pStyle w:val="Style11"/>
                              <w:keepNext w:val="0"/>
                              <w:keepLines w:val="0"/>
                              <w:widowControl w:val="0"/>
                              <w:shd w:val="clear" w:color="auto" w:fill="auto"/>
                              <w:bidi w:val="0"/>
                              <w:spacing w:before="0" w:after="0" w:line="320" w:lineRule="exact"/>
                              <w:ind w:left="0" w:right="0" w:firstLine="0"/>
                              <w:jc w:val="left"/>
                              <w:rPr>
                                <w:sz w:val="19"/>
                                <w:szCs w:val="19"/>
                              </w:rPr>
                            </w:pPr>
                            <w:r>
                              <w:rPr>
                                <w:color w:val="000000"/>
                                <w:spacing w:val="0"/>
                                <w:w w:val="100"/>
                                <w:position w:val="0"/>
                                <w:sz w:val="16"/>
                                <w:szCs w:val="16"/>
                              </w:rPr>
                              <w:t>顺丰控股集团财务有限公司</w:t>
                            </w:r>
                            <w:r>
                              <w:rPr>
                                <w:color w:val="000000"/>
                                <w:spacing w:val="0"/>
                                <w:w w:val="100"/>
                                <w:position w:val="0"/>
                                <w:sz w:val="19"/>
                                <w:szCs w:val="19"/>
                              </w:rPr>
                              <w:t>(访)</w:t>
                            </w:r>
                          </w:p>
                          <w:p>
                            <w:pPr>
                              <w:pStyle w:val="Style11"/>
                              <w:keepNext w:val="0"/>
                              <w:keepLines w:val="0"/>
                              <w:widowControl w:val="0"/>
                              <w:shd w:val="clear" w:color="auto" w:fill="auto"/>
                              <w:bidi w:val="0"/>
                              <w:spacing w:before="0" w:after="0" w:line="320" w:lineRule="exact"/>
                              <w:ind w:left="0" w:right="0" w:firstLine="0"/>
                              <w:jc w:val="left"/>
                              <w:rPr>
                                <w:sz w:val="19"/>
                                <w:szCs w:val="19"/>
                              </w:rPr>
                            </w:pPr>
                            <w:r>
                              <w:rPr>
                                <w:color w:val="000000"/>
                                <w:spacing w:val="0"/>
                                <w:w w:val="100"/>
                                <w:position w:val="0"/>
                                <w:sz w:val="16"/>
                                <w:szCs w:val="16"/>
                              </w:rPr>
                              <w:t>深圳市顺丰信息服务科技有限公司</w:t>
                            </w:r>
                            <w:r>
                              <w:rPr>
                                <w:rFonts w:ascii="Arial" w:eastAsia="Arial" w:hAnsi="Arial" w:cs="Arial"/>
                                <w:color w:val="000000"/>
                                <w:spacing w:val="0"/>
                                <w:w w:val="100"/>
                                <w:position w:val="0"/>
                                <w:sz w:val="16"/>
                                <w:szCs w:val="16"/>
                              </w:rPr>
                              <w:t xml:space="preserve">(i) </w:t>
                            </w:r>
                            <w:r>
                              <w:rPr>
                                <w:color w:val="000000"/>
                                <w:spacing w:val="0"/>
                                <w:w w:val="100"/>
                                <w:position w:val="0"/>
                                <w:sz w:val="16"/>
                                <w:szCs w:val="16"/>
                              </w:rPr>
                              <w:t>江苏顺丰通讯服务有限公司① 山东顺丰通讯服务有限公司① 深圳市顺丰创兴投资有限公司</w:t>
                            </w:r>
                            <w:r>
                              <w:rPr>
                                <w:color w:val="000000"/>
                                <w:spacing w:val="0"/>
                                <w:w w:val="100"/>
                                <w:position w:val="0"/>
                                <w:sz w:val="19"/>
                                <w:szCs w:val="19"/>
                              </w:rPr>
                              <w:t>仰)</w:t>
                            </w:r>
                          </w:p>
                        </w:txbxContent>
                      </wps:txbx>
                      <wps:bodyPr lIns="0" tIns="0" rIns="0" bIns="0">
                        <a:noAutoFit/>
                      </wps:bodyPr>
                    </wps:wsp>
                  </a:graphicData>
                </a:graphic>
              </wp:anchor>
            </w:drawing>
          </mc:Choice>
          <mc:Fallback>
            <w:pict>
              <v:shape id="_x0000_s1564" type="#_x0000_t202" style="position:absolute;margin-left:98.700000000000003pt;margin-top:56.700000000000003pt;width:129.09999999999999pt;height:80.900000000000006pt;z-index:-125829196;mso-wrap-distance-left:0;mso-wrap-distance-top:56.700000000000003pt;mso-wrap-distance-right:0;mso-position-horizontal-relative:page" filled="f" stroked="f">
                <v:textbox inset="0,0,0,0">
                  <w:txbxContent>
                    <w:p>
                      <w:pPr>
                        <w:pStyle w:val="Style11"/>
                        <w:keepNext w:val="0"/>
                        <w:keepLines w:val="0"/>
                        <w:widowControl w:val="0"/>
                        <w:shd w:val="clear" w:color="auto" w:fill="auto"/>
                        <w:bidi w:val="0"/>
                        <w:spacing w:before="0" w:after="0" w:line="320" w:lineRule="exact"/>
                        <w:ind w:left="0" w:right="0" w:firstLine="0"/>
                        <w:jc w:val="left"/>
                        <w:rPr>
                          <w:sz w:val="19"/>
                          <w:szCs w:val="19"/>
                        </w:rPr>
                      </w:pPr>
                      <w:r>
                        <w:rPr>
                          <w:color w:val="000000"/>
                          <w:spacing w:val="0"/>
                          <w:w w:val="100"/>
                          <w:position w:val="0"/>
                          <w:sz w:val="16"/>
                          <w:szCs w:val="16"/>
                        </w:rPr>
                        <w:t>顺丰控股集团财务有限公司</w:t>
                      </w:r>
                      <w:r>
                        <w:rPr>
                          <w:color w:val="000000"/>
                          <w:spacing w:val="0"/>
                          <w:w w:val="100"/>
                          <w:position w:val="0"/>
                          <w:sz w:val="19"/>
                          <w:szCs w:val="19"/>
                        </w:rPr>
                        <w:t>(访)</w:t>
                      </w:r>
                    </w:p>
                    <w:p>
                      <w:pPr>
                        <w:pStyle w:val="Style11"/>
                        <w:keepNext w:val="0"/>
                        <w:keepLines w:val="0"/>
                        <w:widowControl w:val="0"/>
                        <w:shd w:val="clear" w:color="auto" w:fill="auto"/>
                        <w:bidi w:val="0"/>
                        <w:spacing w:before="0" w:after="0" w:line="320" w:lineRule="exact"/>
                        <w:ind w:left="0" w:right="0" w:firstLine="0"/>
                        <w:jc w:val="left"/>
                        <w:rPr>
                          <w:sz w:val="19"/>
                          <w:szCs w:val="19"/>
                        </w:rPr>
                      </w:pPr>
                      <w:r>
                        <w:rPr>
                          <w:color w:val="000000"/>
                          <w:spacing w:val="0"/>
                          <w:w w:val="100"/>
                          <w:position w:val="0"/>
                          <w:sz w:val="16"/>
                          <w:szCs w:val="16"/>
                        </w:rPr>
                        <w:t>深圳市顺丰信息服务科技有限公司</w:t>
                      </w:r>
                      <w:r>
                        <w:rPr>
                          <w:rFonts w:ascii="Arial" w:eastAsia="Arial" w:hAnsi="Arial" w:cs="Arial"/>
                          <w:color w:val="000000"/>
                          <w:spacing w:val="0"/>
                          <w:w w:val="100"/>
                          <w:position w:val="0"/>
                          <w:sz w:val="16"/>
                          <w:szCs w:val="16"/>
                        </w:rPr>
                        <w:t xml:space="preserve">(i) </w:t>
                      </w:r>
                      <w:r>
                        <w:rPr>
                          <w:color w:val="000000"/>
                          <w:spacing w:val="0"/>
                          <w:w w:val="100"/>
                          <w:position w:val="0"/>
                          <w:sz w:val="16"/>
                          <w:szCs w:val="16"/>
                        </w:rPr>
                        <w:t>江苏顺丰通讯服务有限公司① 山东顺丰通讯服务有限公司① 深圳市顺丰创兴投资有限公司</w:t>
                      </w:r>
                      <w:r>
                        <w:rPr>
                          <w:color w:val="000000"/>
                          <w:spacing w:val="0"/>
                          <w:w w:val="100"/>
                          <w:position w:val="0"/>
                          <w:sz w:val="19"/>
                          <w:szCs w:val="19"/>
                        </w:rPr>
                        <w:t>仰)</w:t>
                      </w:r>
                    </w:p>
                  </w:txbxContent>
                </v:textbox>
                <w10:wrap type="topAndBottom" anchorx="page"/>
              </v:shape>
            </w:pict>
          </mc:Fallback>
        </mc:AlternateContent>
      </w:r>
      <w:r>
        <mc:AlternateContent>
          <mc:Choice Requires="wps">
            <w:drawing>
              <wp:anchor distT="177800" distB="6350" distL="0" distR="0" simplePos="0" relativeHeight="125829559" behindDoc="0" locked="0" layoutInCell="1" allowOverlap="1">
                <wp:simplePos x="0" y="0"/>
                <wp:positionH relativeFrom="page">
                  <wp:posOffset>4106545</wp:posOffset>
                </wp:positionH>
                <wp:positionV relativeFrom="paragraph">
                  <wp:posOffset>177800</wp:posOffset>
                </wp:positionV>
                <wp:extent cx="5828030" cy="1563370"/>
                <wp:wrapTopAndBottom/>
                <wp:docPr id="540" name="Shape 540"/>
                <a:graphic xmlns:a="http://schemas.openxmlformats.org/drawingml/2006/main">
                  <a:graphicData uri="http://schemas.microsoft.com/office/word/2010/wordprocessingShape">
                    <wps:wsp>
                      <wps:cNvSpPr txBox="1"/>
                      <wps:spPr>
                        <a:xfrm>
                          <a:ext cx="5828030" cy="1563370"/>
                        </a:xfrm>
                        <a:prstGeom prst="rect"/>
                        <a:noFill/>
                      </wps:spPr>
                      <wps:txbx>
                        <w:txbxContent>
                          <w:tbl>
                            <w:tblPr>
                              <w:tblOverlap w:val="never"/>
                              <w:jc w:val="left"/>
                              <w:tblLayout w:type="fixed"/>
                            </w:tblPr>
                            <w:tblGrid>
                              <w:gridCol w:w="758"/>
                              <w:gridCol w:w="1531"/>
                              <w:gridCol w:w="1459"/>
                              <w:gridCol w:w="1958"/>
                              <w:gridCol w:w="1997"/>
                              <w:gridCol w:w="1474"/>
                            </w:tblGrid>
                            <w:tr>
                              <w:trPr>
                                <w:tblHeader/>
                                <w:trHeight w:val="230" w:hRule="exact"/>
                              </w:trPr>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主要经营地</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注册资本</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业务性质_</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持股比例</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取得方式</w:t>
                                  </w:r>
                                </w:p>
                              </w:tc>
                            </w:tr>
                            <w:tr>
                              <w:trPr>
                                <w:trHeight w:val="518"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tabs>
                                      <w:tab w:pos="855" w:val="left"/>
                                    </w:tabs>
                                    <w:bidi w:val="0"/>
                                    <w:spacing w:before="0" w:after="0" w:line="240" w:lineRule="auto"/>
                                    <w:ind w:left="0" w:right="0" w:firstLine="140"/>
                                    <w:jc w:val="left"/>
                                    <w:rPr>
                                      <w:sz w:val="16"/>
                                      <w:szCs w:val="16"/>
                                    </w:rPr>
                                  </w:pPr>
                                  <w:r>
                                    <w:rPr>
                                      <w:color w:val="000000"/>
                                      <w:spacing w:val="0"/>
                                      <w:w w:val="100"/>
                                      <w:position w:val="0"/>
                                      <w:sz w:val="16"/>
                                      <w:szCs w:val="16"/>
                                    </w:rPr>
                                    <w:t>直接</w:t>
                                    <w:tab/>
                                    <w:t>间接</w:t>
                                  </w:r>
                                </w:p>
                              </w:tc>
                              <w:tc>
                                <w:tcPr>
                                  <w:vMerge/>
                                  <w:tcBorders/>
                                  <w:shd w:val="clear" w:color="auto" w:fill="FFFFFF"/>
                                  <w:vAlign w:val="top"/>
                                </w:tcPr>
                                <w:p>
                                  <w:pP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深圳市</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100,000 </w:t>
                                  </w:r>
                                  <w:r>
                                    <w:rPr>
                                      <w:color w:val="000000"/>
                                      <w:spacing w:val="0"/>
                                      <w:w w:val="100"/>
                                      <w:position w:val="0"/>
                                      <w:sz w:val="16"/>
                                      <w:szCs w:val="16"/>
                                    </w:rPr>
                                    <w:t>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融资、理财、咨询服务</w:t>
                                  </w:r>
                                </w:p>
                              </w:tc>
                              <w:tc>
                                <w:tcPr>
                                  <w:tcBorders/>
                                  <w:shd w:val="clear" w:color="auto" w:fill="FFFFFF"/>
                                  <w:vAlign w:val="bottom"/>
                                </w:tcPr>
                                <w:p>
                                  <w:pPr>
                                    <w:pStyle w:val="Style23"/>
                                    <w:keepNext w:val="0"/>
                                    <w:keepLines w:val="0"/>
                                    <w:widowControl w:val="0"/>
                                    <w:shd w:val="clear" w:color="auto" w:fill="auto"/>
                                    <w:tabs>
                                      <w:tab w:pos="755"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500</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信息服务</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江苏省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1,000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增值电信服务</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山东省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1,000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增值电信服务</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5,000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投资实业</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bl>
                          <w:p>
                            <w:pPr>
                              <w:widowControl w:val="0"/>
                              <w:spacing w:line="1" w:lineRule="exact"/>
                            </w:pPr>
                          </w:p>
                        </w:txbxContent>
                      </wps:txbx>
                      <wps:bodyPr lIns="0" tIns="0" rIns="0" bIns="0">
                        <a:noAutoFit/>
                      </wps:bodyPr>
                    </wps:wsp>
                  </a:graphicData>
                </a:graphic>
              </wp:anchor>
            </w:drawing>
          </mc:Choice>
          <mc:Fallback>
            <w:pict>
              <v:shape id="_x0000_s1566" type="#_x0000_t202" style="position:absolute;margin-left:323.35000000000002pt;margin-top:14.pt;width:458.90000000000003pt;height:123.10000000000001pt;z-index:-125829194;mso-wrap-distance-left:0;mso-wrap-distance-top:14.pt;mso-wrap-distance-right:0;mso-wrap-distance-bottom:0.5pt;mso-position-horizontal-relative:page" filled="f" stroked="f">
                <v:textbox inset="0,0,0,0">
                  <w:txbxContent>
                    <w:tbl>
                      <w:tblPr>
                        <w:tblOverlap w:val="never"/>
                        <w:jc w:val="left"/>
                        <w:tblLayout w:type="fixed"/>
                      </w:tblPr>
                      <w:tblGrid>
                        <w:gridCol w:w="758"/>
                        <w:gridCol w:w="1531"/>
                        <w:gridCol w:w="1459"/>
                        <w:gridCol w:w="1958"/>
                        <w:gridCol w:w="1997"/>
                        <w:gridCol w:w="1474"/>
                      </w:tblGrid>
                      <w:tr>
                        <w:trPr>
                          <w:tblHeader/>
                          <w:trHeight w:val="230" w:hRule="exact"/>
                        </w:trPr>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主要经营地</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注册资本</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业务性质_</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持股比例</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取得方式</w:t>
                            </w:r>
                          </w:p>
                        </w:tc>
                      </w:tr>
                      <w:tr>
                        <w:trPr>
                          <w:trHeight w:val="518"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tabs>
                                <w:tab w:pos="855" w:val="left"/>
                              </w:tabs>
                              <w:bidi w:val="0"/>
                              <w:spacing w:before="0" w:after="0" w:line="240" w:lineRule="auto"/>
                              <w:ind w:left="0" w:right="0" w:firstLine="140"/>
                              <w:jc w:val="left"/>
                              <w:rPr>
                                <w:sz w:val="16"/>
                                <w:szCs w:val="16"/>
                              </w:rPr>
                            </w:pPr>
                            <w:r>
                              <w:rPr>
                                <w:color w:val="000000"/>
                                <w:spacing w:val="0"/>
                                <w:w w:val="100"/>
                                <w:position w:val="0"/>
                                <w:sz w:val="16"/>
                                <w:szCs w:val="16"/>
                              </w:rPr>
                              <w:t>直接</w:t>
                              <w:tab/>
                              <w:t>间接</w:t>
                            </w:r>
                          </w:p>
                        </w:tc>
                        <w:tc>
                          <w:tcPr>
                            <w:vMerge/>
                            <w:tcBorders/>
                            <w:shd w:val="clear" w:color="auto" w:fill="FFFFFF"/>
                            <w:vAlign w:val="top"/>
                          </w:tcPr>
                          <w:p>
                            <w:pP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深圳市</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100,000 </w:t>
                            </w:r>
                            <w:r>
                              <w:rPr>
                                <w:color w:val="000000"/>
                                <w:spacing w:val="0"/>
                                <w:w w:val="100"/>
                                <w:position w:val="0"/>
                                <w:sz w:val="16"/>
                                <w:szCs w:val="16"/>
                              </w:rPr>
                              <w:t>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融资、理财、咨询服务</w:t>
                            </w:r>
                          </w:p>
                        </w:tc>
                        <w:tc>
                          <w:tcPr>
                            <w:tcBorders/>
                            <w:shd w:val="clear" w:color="auto" w:fill="FFFFFF"/>
                            <w:vAlign w:val="bottom"/>
                          </w:tcPr>
                          <w:p>
                            <w:pPr>
                              <w:pStyle w:val="Style23"/>
                              <w:keepNext w:val="0"/>
                              <w:keepLines w:val="0"/>
                              <w:widowControl w:val="0"/>
                              <w:shd w:val="clear" w:color="auto" w:fill="auto"/>
                              <w:tabs>
                                <w:tab w:pos="755"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500</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信息服务</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江苏省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1,000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增值电信服务</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山东省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1,000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增值电信服务</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深圳市</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5,000 </w:t>
                            </w:r>
                            <w:r>
                              <w:rPr>
                                <w:color w:val="000000"/>
                                <w:spacing w:val="0"/>
                                <w:w w:val="100"/>
                                <w:position w:val="0"/>
                                <w:sz w:val="16"/>
                                <w:szCs w:val="16"/>
                              </w:rPr>
                              <w:t>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投资实业</w:t>
                            </w:r>
                          </w:p>
                        </w:tc>
                        <w:tc>
                          <w:tcPr>
                            <w:tcBorders/>
                            <w:shd w:val="clear" w:color="auto" w:fill="FFFFFF"/>
                            <w:vAlign w:val="center"/>
                          </w:tcPr>
                          <w:p>
                            <w:pPr>
                              <w:pStyle w:val="Style23"/>
                              <w:keepNext w:val="0"/>
                              <w:keepLines w:val="0"/>
                              <w:widowControl w:val="0"/>
                              <w:shd w:val="clear" w:color="auto" w:fill="auto"/>
                              <w:tabs>
                                <w:tab w:pos="750" w:val="left"/>
                              </w:tabs>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w:t>
                              <w:tab/>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出资设立</w:t>
                            </w:r>
                          </w:p>
                        </w:tc>
                      </w:tr>
                    </w:tbl>
                    <w:p>
                      <w:pPr>
                        <w:widowControl w:val="0"/>
                        <w:spacing w:line="1" w:lineRule="exact"/>
                      </w:pPr>
                    </w:p>
                  </w:txbxContent>
                </v:textbox>
                <w10:wrap type="topAndBottom" anchorx="page"/>
              </v:shape>
            </w:pict>
          </mc:Fallback>
        </mc:AlternateContent>
      </w:r>
    </w:p>
    <w:p>
      <w:pPr>
        <w:pStyle w:val="Style33"/>
        <w:keepNext w:val="0"/>
        <w:keepLines w:val="0"/>
        <w:widowControl w:val="0"/>
        <w:shd w:val="clear" w:color="auto" w:fill="auto"/>
        <w:tabs>
          <w:tab w:pos="719" w:val="left"/>
        </w:tabs>
        <w:bidi w:val="0"/>
        <w:spacing w:before="0" w:after="360" w:line="240" w:lineRule="auto"/>
        <w:ind w:left="0" w:right="0" w:firstLine="0"/>
        <w:jc w:val="left"/>
        <w:rPr>
          <w:sz w:val="22"/>
          <w:szCs w:val="22"/>
        </w:rPr>
      </w:pPr>
      <w:r>
        <w:rPr>
          <w:b w:val="0"/>
          <w:bCs w:val="0"/>
          <w:color w:val="000000"/>
          <w:spacing w:val="0"/>
          <w:w w:val="100"/>
          <w:position w:val="0"/>
          <w:sz w:val="22"/>
          <w:szCs w:val="22"/>
        </w:rPr>
        <w:t>⑴</w:t>
        <w:tab/>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月，泰森控股将该公司转让予安徽顺丰通讯服务有限公司。</w:t>
      </w:r>
    </w:p>
    <w:p>
      <w:pPr>
        <w:pStyle w:val="Style33"/>
        <w:keepNext w:val="0"/>
        <w:keepLines w:val="0"/>
        <w:widowControl w:val="0"/>
        <w:numPr>
          <w:ilvl w:val="0"/>
          <w:numId w:val="77"/>
        </w:numPr>
        <w:shd w:val="clear" w:color="auto" w:fill="auto"/>
        <w:tabs>
          <w:tab w:pos="719" w:val="left"/>
        </w:tabs>
        <w:bidi w:val="0"/>
        <w:spacing w:before="0" w:after="360" w:line="240" w:lineRule="auto"/>
        <w:ind w:left="0" w:right="0" w:firstLine="0"/>
        <w:jc w:val="left"/>
        <w:rPr>
          <w:sz w:val="22"/>
          <w:szCs w:val="22"/>
        </w:rPr>
      </w:pPr>
      <w:bookmarkStart w:id="923" w:name="bookmark923"/>
      <w:bookmarkEnd w:id="923"/>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b w:val="0"/>
          <w:bCs w:val="0"/>
          <w:i/>
          <w:iCs/>
          <w:color w:val="000000"/>
          <w:spacing w:val="0"/>
          <w:w w:val="100"/>
          <w:position w:val="0"/>
          <w:sz w:val="22"/>
          <w:szCs w:val="22"/>
        </w:rPr>
        <w:t>4</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22</w:t>
      </w:r>
      <w:r>
        <w:rPr>
          <w:b w:val="0"/>
          <w:bCs w:val="0"/>
          <w:color w:val="000000"/>
          <w:spacing w:val="0"/>
          <w:w w:val="100"/>
          <w:position w:val="0"/>
          <w:sz w:val="22"/>
          <w:szCs w:val="22"/>
        </w:rPr>
        <w:t>日，泰森控股设立深圳市顺丰创兴投资有限公司，认缴注册资本总额为</w:t>
      </w:r>
      <w:r>
        <w:rPr>
          <w:rFonts w:ascii="Arial" w:eastAsia="Arial" w:hAnsi="Arial" w:cs="Arial"/>
          <w:b w:val="0"/>
          <w:bCs w:val="0"/>
          <w:color w:val="000000"/>
          <w:spacing w:val="0"/>
          <w:w w:val="100"/>
          <w:position w:val="0"/>
          <w:sz w:val="24"/>
          <w:szCs w:val="24"/>
        </w:rPr>
        <w:t>5,000</w:t>
      </w:r>
      <w:r>
        <w:rPr>
          <w:b w:val="0"/>
          <w:bCs w:val="0"/>
          <w:color w:val="000000"/>
          <w:spacing w:val="0"/>
          <w:w w:val="100"/>
          <w:position w:val="0"/>
          <w:sz w:val="22"/>
          <w:szCs w:val="22"/>
        </w:rPr>
        <w:t>万元。</w:t>
      </w:r>
    </w:p>
    <w:p>
      <w:pPr>
        <w:pStyle w:val="Style33"/>
        <w:keepNext w:val="0"/>
        <w:keepLines w:val="0"/>
        <w:widowControl w:val="0"/>
        <w:numPr>
          <w:ilvl w:val="0"/>
          <w:numId w:val="77"/>
        </w:numPr>
        <w:shd w:val="clear" w:color="auto" w:fill="auto"/>
        <w:tabs>
          <w:tab w:pos="719" w:val="left"/>
        </w:tabs>
        <w:bidi w:val="0"/>
        <w:spacing w:before="0" w:after="360" w:line="240" w:lineRule="auto"/>
        <w:ind w:left="0" w:right="0" w:firstLine="0"/>
        <w:jc w:val="left"/>
        <w:rPr>
          <w:sz w:val="22"/>
          <w:szCs w:val="22"/>
        </w:rPr>
      </w:pPr>
      <w:bookmarkStart w:id="924" w:name="bookmark924"/>
      <w:bookmarkEnd w:id="924"/>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18</w:t>
      </w:r>
      <w:r>
        <w:rPr>
          <w:b w:val="0"/>
          <w:bCs w:val="0"/>
          <w:color w:val="000000"/>
          <w:spacing w:val="0"/>
          <w:w w:val="100"/>
          <w:position w:val="0"/>
          <w:sz w:val="22"/>
          <w:szCs w:val="22"/>
        </w:rPr>
        <w:t>日，泰森控股设立顺丰控股集团财务有限公司，认缴注册资本总额为</w:t>
      </w:r>
      <w:r>
        <w:rPr>
          <w:rFonts w:ascii="Arial" w:eastAsia="Arial" w:hAnsi="Arial" w:cs="Arial"/>
          <w:b w:val="0"/>
          <w:bCs w:val="0"/>
          <w:color w:val="000000"/>
          <w:spacing w:val="0"/>
          <w:w w:val="100"/>
          <w:position w:val="0"/>
          <w:sz w:val="24"/>
          <w:szCs w:val="24"/>
        </w:rPr>
        <w:t>100,000</w:t>
      </w:r>
      <w:r>
        <w:rPr>
          <w:b w:val="0"/>
          <w:bCs w:val="0"/>
          <w:color w:val="000000"/>
          <w:spacing w:val="0"/>
          <w:w w:val="100"/>
          <w:position w:val="0"/>
          <w:sz w:val="22"/>
          <w:szCs w:val="22"/>
        </w:rPr>
        <w:t>万元。</w:t>
      </w:r>
    </w:p>
    <w:p>
      <w:pPr>
        <w:pStyle w:val="Style33"/>
        <w:keepNext w:val="0"/>
        <w:keepLines w:val="0"/>
        <w:widowControl w:val="0"/>
        <w:numPr>
          <w:ilvl w:val="0"/>
          <w:numId w:val="77"/>
        </w:numPr>
        <w:shd w:val="clear" w:color="auto" w:fill="auto"/>
        <w:tabs>
          <w:tab w:pos="719" w:val="left"/>
        </w:tabs>
        <w:bidi w:val="0"/>
        <w:spacing w:before="0" w:after="360" w:line="240" w:lineRule="auto"/>
        <w:ind w:left="0" w:right="0" w:firstLine="0"/>
        <w:jc w:val="left"/>
        <w:rPr>
          <w:sz w:val="22"/>
          <w:szCs w:val="22"/>
        </w:rPr>
      </w:pPr>
      <w:bookmarkStart w:id="925" w:name="bookmark925"/>
      <w:bookmarkEnd w:id="925"/>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19</w:t>
      </w:r>
      <w:r>
        <w:rPr>
          <w:b w:val="0"/>
          <w:bCs w:val="0"/>
          <w:color w:val="000000"/>
          <w:spacing w:val="0"/>
          <w:w w:val="100"/>
          <w:position w:val="0"/>
          <w:sz w:val="22"/>
          <w:szCs w:val="22"/>
        </w:rPr>
        <w:t>日，泰森控股对顺丰航空进行增资，认缴注册资本由</w:t>
      </w:r>
      <w:r>
        <w:rPr>
          <w:rFonts w:ascii="Arial" w:eastAsia="Arial" w:hAnsi="Arial" w:cs="Arial"/>
          <w:b w:val="0"/>
          <w:bCs w:val="0"/>
          <w:color w:val="000000"/>
          <w:spacing w:val="0"/>
          <w:w w:val="100"/>
          <w:position w:val="0"/>
          <w:sz w:val="24"/>
          <w:szCs w:val="24"/>
        </w:rPr>
        <w:t>50,000</w:t>
      </w:r>
      <w:r>
        <w:rPr>
          <w:b w:val="0"/>
          <w:bCs w:val="0"/>
          <w:color w:val="000000"/>
          <w:spacing w:val="0"/>
          <w:w w:val="100"/>
          <w:position w:val="0"/>
          <w:sz w:val="22"/>
          <w:szCs w:val="22"/>
        </w:rPr>
        <w:t>万元增加至</w:t>
      </w:r>
      <w:r>
        <w:rPr>
          <w:rFonts w:ascii="Arial" w:eastAsia="Arial" w:hAnsi="Arial" w:cs="Arial"/>
          <w:b w:val="0"/>
          <w:bCs w:val="0"/>
          <w:color w:val="000000"/>
          <w:spacing w:val="0"/>
          <w:w w:val="100"/>
          <w:position w:val="0"/>
          <w:sz w:val="24"/>
          <w:szCs w:val="24"/>
        </w:rPr>
        <w:t>150,000</w:t>
      </w:r>
      <w:r>
        <w:rPr>
          <w:b w:val="0"/>
          <w:bCs w:val="0"/>
          <w:color w:val="000000"/>
          <w:spacing w:val="0"/>
          <w:w w:val="100"/>
          <w:position w:val="0"/>
          <w:sz w:val="22"/>
          <w:szCs w:val="22"/>
        </w:rPr>
        <w:t>万元。</w:t>
      </w:r>
    </w:p>
    <w:p>
      <w:pPr>
        <w:pStyle w:val="Style27"/>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r>
        <w:rPr>
          <w:color w:val="000000"/>
          <w:spacing w:val="0"/>
          <w:w w:val="100"/>
          <w:position w:val="0"/>
          <w:sz w:val="22"/>
          <w:szCs w:val="22"/>
        </w:rPr>
        <w:t>六在其他主体中的权益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26"/>
      <w:bookmarkEnd w:id="927"/>
      <w:bookmarkEnd w:id="928"/>
    </w:p>
    <w:p>
      <w:pPr>
        <w:pStyle w:val="Style27"/>
        <w:keepNext/>
        <w:keepLines/>
        <w:widowControl w:val="0"/>
        <w:shd w:val="clear" w:color="auto" w:fill="auto"/>
        <w:bidi w:val="0"/>
        <w:spacing w:before="0" w:line="240" w:lineRule="auto"/>
        <w:ind w:left="0" w:right="0" w:firstLine="0"/>
        <w:jc w:val="left"/>
        <w:rPr>
          <w:sz w:val="28"/>
          <w:szCs w:val="28"/>
        </w:rPr>
      </w:pPr>
      <w:bookmarkStart w:id="926" w:name="bookmark926"/>
      <w:bookmarkStart w:id="927" w:name="bookmark927"/>
      <w:bookmarkStart w:id="929" w:name="bookmark929"/>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在子公司中的权益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26"/>
      <w:bookmarkEnd w:id="927"/>
      <w:bookmarkEnd w:id="929"/>
    </w:p>
    <w:p>
      <w:pPr>
        <w:pStyle w:val="Style33"/>
        <w:keepNext w:val="0"/>
        <w:keepLines w:val="0"/>
        <w:widowControl w:val="0"/>
        <w:shd w:val="clear" w:color="auto" w:fill="auto"/>
        <w:bidi w:val="0"/>
        <w:spacing w:before="0" w:after="38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本集团存在重要少数股东权益的子公司</w:t>
      </w:r>
    </w:p>
    <w:tbl>
      <w:tblPr>
        <w:tblOverlap w:val="never"/>
        <w:jc w:val="center"/>
        <w:tblLayout w:type="fixed"/>
      </w:tblPr>
      <w:tblGrid>
        <w:gridCol w:w="1373"/>
        <w:gridCol w:w="2491"/>
        <w:gridCol w:w="2093"/>
        <w:gridCol w:w="2962"/>
        <w:gridCol w:w="2539"/>
        <w:gridCol w:w="2203"/>
      </w:tblGrid>
      <w:tr>
        <w:trPr>
          <w:trHeight w:val="77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子公司名称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少数股东的持股比例</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34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年度归属于</w:t>
            </w:r>
          </w:p>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少数股东的损益</w:t>
            </w:r>
          </w:p>
        </w:tc>
        <w:tc>
          <w:tcPr>
            <w:tcBorders/>
            <w:shd w:val="clear" w:color="auto" w:fill="FFFFFF"/>
            <w:vAlign w:val="top"/>
          </w:tcPr>
          <w:p>
            <w:pPr>
              <w:pStyle w:val="Style23"/>
              <w:keepNext w:val="0"/>
              <w:keepLines w:val="0"/>
              <w:widowControl w:val="0"/>
              <w:shd w:val="clear" w:color="auto" w:fill="auto"/>
              <w:bidi w:val="0"/>
              <w:spacing w:before="0" w:after="0" w:line="336" w:lineRule="exact"/>
              <w:ind w:left="0" w:right="480" w:firstLine="0"/>
              <w:jc w:val="righ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年度归属于 少数股东的其他综合收益</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98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年度向</w:t>
            </w:r>
          </w:p>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少数股东分派股利</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righ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少数股东权益</w:t>
            </w:r>
          </w:p>
        </w:tc>
      </w:tr>
      <w:tr>
        <w:trPr>
          <w:trHeight w:val="4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厦门锐特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30.00%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(5,218,313.40)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(57,964.61)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61,228,704.10</w:t>
            </w:r>
          </w:p>
        </w:tc>
      </w:tr>
      <w:tr>
        <w:trPr>
          <w:trHeight w:val="11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子公司名称</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少数股东的持股比例</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34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年度归属于</w:t>
            </w:r>
          </w:p>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少数股东的损益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480" w:firstLine="0"/>
              <w:jc w:val="righ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年度归属于 少数股东的其他综合收益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980"/>
              <w:jc w:val="lef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年度向</w:t>
            </w:r>
          </w:p>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少数股东分派股利</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少数股东权益</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厦门锐特</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30.00%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3,720,266.39</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00" w:right="0" w:firstLine="0"/>
              <w:jc w:val="lef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66,504,982.11</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1516" w:right="1196" w:bottom="3357" w:left="1970"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rPr>
          <w:sz w:val="22"/>
          <w:szCs w:val="22"/>
        </w:rPr>
      </w:pPr>
      <w:bookmarkStart w:id="930" w:name="bookmark930"/>
      <w:bookmarkStart w:id="931" w:name="bookmark931"/>
      <w:bookmarkStart w:id="932" w:name="bookmark932"/>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在子公司中的权益（续）</w:t>
      </w:r>
      <w:bookmarkEnd w:id="930"/>
      <w:bookmarkEnd w:id="931"/>
      <w:bookmarkEnd w:id="932"/>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本集团存在重要少数股东权益的子公司（续）</w:t>
      </w:r>
    </w:p>
    <w:p>
      <w:pPr>
        <w:pStyle w:val="Style33"/>
        <w:keepNext w:val="0"/>
        <w:keepLines w:val="0"/>
        <w:widowControl w:val="0"/>
        <w:shd w:val="clear" w:color="auto" w:fill="auto"/>
        <w:bidi w:val="0"/>
        <w:spacing w:before="0" w:after="460" w:line="240" w:lineRule="auto"/>
        <w:ind w:left="0" w:right="0" w:firstLine="0"/>
        <w:jc w:val="left"/>
        <w:rPr>
          <w:sz w:val="22"/>
          <w:szCs w:val="22"/>
        </w:rPr>
      </w:pPr>
      <w:r>
        <w:rPr>
          <w:b w:val="0"/>
          <w:bCs w:val="0"/>
          <w:color w:val="000000"/>
          <w:spacing w:val="0"/>
          <w:w w:val="100"/>
          <w:position w:val="0"/>
          <w:sz w:val="22"/>
          <w:szCs w:val="22"/>
        </w:rPr>
        <w:t>上述重要非全资子公司的主要财务信息列示如下:</w:t>
      </w:r>
    </w:p>
    <w:p>
      <w:pPr>
        <w:pStyle w:val="Style129"/>
        <w:keepNext w:val="0"/>
        <w:keepLines w:val="0"/>
        <w:widowControl w:val="0"/>
        <w:pBdr>
          <w:bottom w:val="single" w:sz="4" w:space="0" w:color="auto"/>
        </w:pBdr>
        <w:shd w:val="clear" w:color="auto" w:fill="auto"/>
        <w:bidi w:val="0"/>
        <w:spacing w:before="0" w:after="0" w:line="240" w:lineRule="auto"/>
        <w:ind w:left="0" w:right="520" w:firstLine="0"/>
        <w:jc w:val="right"/>
        <w:rPr>
          <w:sz w:val="13"/>
          <w:szCs w:val="13"/>
        </w:rPr>
        <w:sectPr>
          <w:headerReference w:type="default" r:id="rId137"/>
          <w:footerReference w:type="default" r:id="rId138"/>
          <w:headerReference w:type="even" r:id="rId139"/>
          <w:footerReference w:type="even" r:id="rId140"/>
          <w:footnotePr>
            <w:pos w:val="pageBottom"/>
            <w:numFmt w:val="decimal"/>
            <w:numRestart w:val="continuous"/>
          </w:footnotePr>
          <w:pgSz w:w="8400" w:h="11900"/>
          <w:pgMar w:top="2158" w:right="51" w:bottom="4300" w:left="1959" w:header="0" w:footer="3872" w:gutter="0"/>
          <w:pgNumType w:start="289"/>
          <w:cols w:space="720"/>
          <w:noEndnote/>
          <w:rtlGutter w:val="0"/>
          <w:docGrid w:linePitch="360"/>
        </w:sectPr>
      </w:pPr>
      <w:r>
        <w:rPr>
          <w:color w:val="000000"/>
          <w:spacing w:val="0"/>
          <w:w w:val="100"/>
          <w:position w:val="0"/>
          <w:sz w:val="14"/>
          <w:szCs w:val="14"/>
        </w:rPr>
        <w:t>2016</w:t>
      </w:r>
      <w:r>
        <w:rPr>
          <w:rFonts w:ascii="SimSun" w:eastAsia="SimSun" w:hAnsi="SimSun" w:cs="SimSun"/>
          <w:color w:val="000000"/>
          <w:spacing w:val="0"/>
          <w:w w:val="100"/>
          <w:position w:val="0"/>
          <w:sz w:val="13"/>
          <w:szCs w:val="13"/>
        </w:rPr>
        <w:t>年</w:t>
      </w:r>
      <w:r>
        <w:rPr>
          <w:color w:val="000000"/>
          <w:spacing w:val="0"/>
          <w:w w:val="100"/>
          <w:position w:val="0"/>
          <w:sz w:val="14"/>
          <w:szCs w:val="14"/>
        </w:rPr>
        <w:t>12</w:t>
      </w:r>
      <w:r>
        <w:rPr>
          <w:rFonts w:ascii="SimSun" w:eastAsia="SimSun" w:hAnsi="SimSun" w:cs="SimSun"/>
          <w:color w:val="000000"/>
          <w:spacing w:val="0"/>
          <w:w w:val="100"/>
          <w:position w:val="0"/>
          <w:sz w:val="13"/>
          <w:szCs w:val="13"/>
        </w:rPr>
        <w:t>月</w:t>
      </w:r>
      <w:r>
        <w:rPr>
          <w:color w:val="000000"/>
          <w:spacing w:val="0"/>
          <w:w w:val="100"/>
          <w:position w:val="0"/>
          <w:sz w:val="14"/>
          <w:szCs w:val="14"/>
        </w:rPr>
        <w:t>31</w:t>
      </w:r>
      <w:r>
        <w:rPr>
          <w:rFonts w:ascii="SimSun" w:eastAsia="SimSun" w:hAnsi="SimSun" w:cs="SimSun"/>
          <w:color w:val="000000"/>
          <w:spacing w:val="0"/>
          <w:w w:val="100"/>
          <w:position w:val="0"/>
          <w:sz w:val="13"/>
          <w:szCs w:val="13"/>
        </w:rPr>
        <w:t>日</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8400" w:h="11900"/>
          <w:pgMar w:top="1893" w:right="0" w:bottom="4299" w:left="0" w:header="0" w:footer="3" w:gutter="0"/>
          <w:cols w:space="720"/>
          <w:noEndnote/>
          <w:rtlGutter w:val="0"/>
          <w:docGrid w:linePitch="360"/>
        </w:sectPr>
      </w:pPr>
    </w:p>
    <w:p>
      <w:pPr>
        <w:pStyle w:val="Style23"/>
        <w:keepNext w:val="0"/>
        <w:keepLines w:val="0"/>
        <w:framePr w:w="600" w:h="192" w:wrap="none" w:vAnchor="text" w:hAnchor="page" w:x="4140"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流动资产</w:t>
      </w:r>
    </w:p>
    <w:p>
      <w:pPr>
        <w:pStyle w:val="Style23"/>
        <w:keepNext w:val="0"/>
        <w:keepLines w:val="0"/>
        <w:framePr w:w="734" w:h="192" w:wrap="none" w:vAnchor="text" w:hAnchor="page" w:x="5191"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非流动资产</w:t>
      </w:r>
    </w:p>
    <w:p>
      <w:pPr>
        <w:pStyle w:val="Style23"/>
        <w:keepNext w:val="0"/>
        <w:keepLines w:val="0"/>
        <w:framePr w:w="595" w:h="197" w:wrap="none" w:vAnchor="text" w:hAnchor="page" w:x="6559"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资产合计</w:t>
      </w:r>
    </w:p>
    <w:p>
      <w:pPr>
        <w:pStyle w:val="Style23"/>
        <w:keepNext w:val="0"/>
        <w:keepLines w:val="0"/>
        <w:framePr w:w="600" w:h="192" w:wrap="none" w:vAnchor="text" w:hAnchor="page" w:x="7744"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流动负债</w:t>
      </w:r>
    </w:p>
    <w:p>
      <w:pPr>
        <w:widowControl w:val="0"/>
        <w:spacing w:after="196" w:line="1" w:lineRule="exact"/>
      </w:pPr>
    </w:p>
    <w:p>
      <w:pPr>
        <w:widowControl w:val="0"/>
        <w:spacing w:line="1" w:lineRule="exact"/>
        <w:sectPr>
          <w:footnotePr>
            <w:pos w:val="pageBottom"/>
            <w:numFmt w:val="decimal"/>
            <w:numRestart w:val="continuous"/>
          </w:footnotePr>
          <w:type w:val="continuous"/>
          <w:pgSz w:w="8400" w:h="11900"/>
          <w:pgMar w:top="1893" w:right="52" w:bottom="4299" w:left="1014" w:header="0" w:footer="3" w:gutter="0"/>
          <w:cols w:space="720"/>
          <w:noEndnote/>
          <w:rtlGutter w:val="0"/>
          <w:docGrid w:linePitch="360"/>
        </w:sectPr>
      </w:pPr>
    </w:p>
    <w:p>
      <w:pPr>
        <w:widowControl w:val="0"/>
        <w:spacing w:line="172" w:lineRule="exact"/>
        <w:rPr>
          <w:sz w:val="14"/>
          <w:szCs w:val="14"/>
        </w:rPr>
      </w:pPr>
    </w:p>
    <w:p>
      <w:pPr>
        <w:widowControl w:val="0"/>
        <w:spacing w:line="1" w:lineRule="exact"/>
        <w:sectPr>
          <w:footnotePr>
            <w:pos w:val="pageBottom"/>
            <w:numFmt w:val="decimal"/>
            <w:numRestart w:val="continuous"/>
          </w:footnotePr>
          <w:type w:val="continuous"/>
          <w:pgSz w:w="8400" w:h="11900"/>
          <w:pgMar w:top="2158" w:right="0" w:bottom="2158" w:left="0" w:header="0" w:footer="3" w:gutter="0"/>
          <w:cols w:space="720"/>
          <w:noEndnote/>
          <w:rtlGutter w:val="0"/>
          <w:docGrid w:linePitch="360"/>
        </w:sectPr>
      </w:pPr>
    </w:p>
    <w:p>
      <w:pPr>
        <w:widowControl w:val="0"/>
        <w:spacing w:line="1" w:lineRule="exact"/>
      </w:pPr>
      <w:r>
        <mc:AlternateContent>
          <mc:Choice Requires="wps">
            <w:drawing>
              <wp:anchor distT="0" distB="1243330" distL="126365" distR="114300" simplePos="0" relativeHeight="125829561" behindDoc="0" locked="0" layoutInCell="1" allowOverlap="1">
                <wp:simplePos x="0" y="0"/>
                <wp:positionH relativeFrom="page">
                  <wp:posOffset>1250315</wp:posOffset>
                </wp:positionH>
                <wp:positionV relativeFrom="paragraph">
                  <wp:posOffset>12700</wp:posOffset>
                </wp:positionV>
                <wp:extent cx="368935" cy="121920"/>
                <wp:wrapSquare wrapText="right"/>
                <wp:docPr id="556" name="Shape 556"/>
                <a:graphic xmlns:a="http://schemas.openxmlformats.org/drawingml/2006/main">
                  <a:graphicData uri="http://schemas.microsoft.com/office/word/2010/wordprocessingShape">
                    <wps:wsp>
                      <wps:cNvSpPr txBox="1"/>
                      <wps:spPr>
                        <a:xfrm>
                          <a:ext cx="368935" cy="12192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厦门锐特</w:t>
                            </w:r>
                          </w:p>
                        </w:txbxContent>
                      </wps:txbx>
                      <wps:bodyPr wrap="none" lIns="0" tIns="0" rIns="0" bIns="0">
                        <a:noAutoFit/>
                      </wps:bodyPr>
                    </wps:wsp>
                  </a:graphicData>
                </a:graphic>
              </wp:anchor>
            </w:drawing>
          </mc:Choice>
          <mc:Fallback>
            <w:pict>
              <v:shape id="_x0000_s1582" type="#_x0000_t202" style="position:absolute;margin-left:98.450000000000003pt;margin-top:1.pt;width:29.050000000000001pt;height:9.5999999999999996pt;z-index:-125829192;mso-wrap-distance-left:9.9500000000000011pt;mso-wrap-distance-right:9.pt;mso-wrap-distance-bottom:97.900000000000006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厦门锐特</w:t>
                      </w:r>
                    </w:p>
                  </w:txbxContent>
                </v:textbox>
                <w10:wrap type="square" side="right" anchorx="page"/>
              </v:shape>
            </w:pict>
          </mc:Fallback>
        </mc:AlternateContent>
      </w:r>
      <w:r>
        <mc:AlternateContent>
          <mc:Choice Requires="wps">
            <w:drawing>
              <wp:anchor distT="1243330" distB="0" distL="114300" distR="114300" simplePos="0" relativeHeight="125829563" behindDoc="0" locked="0" layoutInCell="1" allowOverlap="1">
                <wp:simplePos x="0" y="0"/>
                <wp:positionH relativeFrom="page">
                  <wp:posOffset>1238250</wp:posOffset>
                </wp:positionH>
                <wp:positionV relativeFrom="paragraph">
                  <wp:posOffset>1256030</wp:posOffset>
                </wp:positionV>
                <wp:extent cx="381000" cy="121920"/>
                <wp:wrapSquare wrapText="right"/>
                <wp:docPr id="558" name="Shape 558"/>
                <a:graphic xmlns:a="http://schemas.openxmlformats.org/drawingml/2006/main">
                  <a:graphicData uri="http://schemas.microsoft.com/office/word/2010/wordprocessingShape">
                    <wps:wsp>
                      <wps:cNvSpPr txBox="1"/>
                      <wps:spPr>
                        <a:xfrm>
                          <a:ext cx="381000" cy="12192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厦门锐特</w:t>
                            </w:r>
                          </w:p>
                        </w:txbxContent>
                      </wps:txbx>
                      <wps:bodyPr wrap="none" lIns="0" tIns="0" rIns="0" bIns="0">
                        <a:noAutoFit/>
                      </wps:bodyPr>
                    </wps:wsp>
                  </a:graphicData>
                </a:graphic>
              </wp:anchor>
            </w:drawing>
          </mc:Choice>
          <mc:Fallback>
            <w:pict>
              <v:shape id="_x0000_s1584" type="#_x0000_t202" style="position:absolute;margin-left:97.5pt;margin-top:98.900000000000006pt;width:30.pt;height:9.5999999999999996pt;z-index:-125829190;mso-wrap-distance-left:9.pt;mso-wrap-distance-top:97.900000000000006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厦门锐特</w:t>
                      </w:r>
                    </w:p>
                  </w:txbxContent>
                </v:textbox>
                <w10:wrap type="square" side="right" anchorx="page"/>
              </v:shape>
            </w:pict>
          </mc:Fallback>
        </mc:AlternateContent>
      </w:r>
    </w:p>
    <w:p>
      <w:pPr>
        <w:pStyle w:val="Style129"/>
        <w:keepNext w:val="0"/>
        <w:keepLines w:val="0"/>
        <w:widowControl w:val="0"/>
        <w:shd w:val="clear" w:color="auto" w:fill="auto"/>
        <w:tabs>
          <w:tab w:pos="2275" w:val="left"/>
          <w:tab w:pos="3454" w:val="left"/>
          <w:tab w:pos="4677" w:val="left"/>
        </w:tabs>
        <w:bidi w:val="0"/>
        <w:spacing w:before="0" w:after="480" w:line="240" w:lineRule="auto"/>
        <w:ind w:left="0" w:right="0" w:firstLine="1000"/>
        <w:jc w:val="left"/>
      </w:pPr>
      <w:r>
        <w:rPr>
          <w:color w:val="000000"/>
          <w:spacing w:val="0"/>
          <w:w w:val="100"/>
          <w:position w:val="0"/>
        </w:rPr>
        <w:t>135,281,175.69</w:t>
        <w:tab/>
        <w:t>105,437,526.16</w:t>
        <w:tab/>
        <w:t>240,718,701.85</w:t>
        <w:tab/>
        <w:t>26,411,436.18</w:t>
      </w:r>
    </w:p>
    <w:p>
      <w:pPr>
        <w:pStyle w:val="Style129"/>
        <w:keepNext w:val="0"/>
        <w:keepLines w:val="0"/>
        <w:widowControl w:val="0"/>
        <w:pBdr>
          <w:bottom w:val="single" w:sz="4" w:space="0" w:color="auto"/>
        </w:pBdr>
        <w:shd w:val="clear" w:color="auto" w:fill="auto"/>
        <w:bidi w:val="0"/>
        <w:spacing w:before="0" w:after="480" w:line="240" w:lineRule="auto"/>
        <w:ind w:left="3880" w:right="0" w:firstLine="0"/>
        <w:jc w:val="left"/>
        <w:rPr>
          <w:sz w:val="13"/>
          <w:szCs w:val="13"/>
        </w:rPr>
      </w:pPr>
      <w:r>
        <w:rPr>
          <w:color w:val="000000"/>
          <w:spacing w:val="0"/>
          <w:w w:val="100"/>
          <w:position w:val="0"/>
          <w:sz w:val="14"/>
          <w:szCs w:val="14"/>
        </w:rPr>
        <w:t>2015</w:t>
      </w:r>
      <w:r>
        <w:rPr>
          <w:rFonts w:ascii="SimSun" w:eastAsia="SimSun" w:hAnsi="SimSun" w:cs="SimSun"/>
          <w:color w:val="000000"/>
          <w:spacing w:val="0"/>
          <w:w w:val="100"/>
          <w:position w:val="0"/>
          <w:sz w:val="13"/>
          <w:szCs w:val="13"/>
        </w:rPr>
        <w:t>年</w:t>
      </w:r>
      <w:r>
        <w:rPr>
          <w:color w:val="000000"/>
          <w:spacing w:val="0"/>
          <w:w w:val="100"/>
          <w:position w:val="0"/>
          <w:sz w:val="14"/>
          <w:szCs w:val="14"/>
        </w:rPr>
        <w:t>12</w:t>
      </w:r>
      <w:r>
        <w:rPr>
          <w:rFonts w:ascii="SimSun" w:eastAsia="SimSun" w:hAnsi="SimSun" w:cs="SimSun"/>
          <w:color w:val="000000"/>
          <w:spacing w:val="0"/>
          <w:w w:val="100"/>
          <w:position w:val="0"/>
          <w:sz w:val="13"/>
          <w:szCs w:val="13"/>
        </w:rPr>
        <w:t>月</w:t>
      </w:r>
      <w:r>
        <w:rPr>
          <w:color w:val="000000"/>
          <w:spacing w:val="0"/>
          <w:w w:val="100"/>
          <w:position w:val="0"/>
          <w:sz w:val="14"/>
          <w:szCs w:val="14"/>
        </w:rPr>
        <w:t>31</w:t>
      </w:r>
      <w:r>
        <w:rPr>
          <w:rFonts w:ascii="SimSun" w:eastAsia="SimSun" w:hAnsi="SimSun" w:cs="SimSun"/>
          <w:color w:val="000000"/>
          <w:spacing w:val="0"/>
          <w:w w:val="100"/>
          <w:position w:val="0"/>
          <w:sz w:val="13"/>
          <w:szCs w:val="13"/>
        </w:rPr>
        <w:t>日</w:t>
      </w:r>
    </w:p>
    <w:p>
      <w:pPr>
        <w:pStyle w:val="Style23"/>
        <w:keepNext w:val="0"/>
        <w:keepLines w:val="0"/>
        <w:widowControl w:val="0"/>
        <w:shd w:val="clear" w:color="auto" w:fill="auto"/>
        <w:tabs>
          <w:tab w:pos="1003" w:val="left"/>
          <w:tab w:pos="2275" w:val="left"/>
          <w:tab w:pos="3454" w:val="left"/>
        </w:tabs>
        <w:bidi w:val="0"/>
        <w:spacing w:before="0" w:after="480" w:line="240" w:lineRule="auto"/>
        <w:ind w:left="0" w:right="0" w:firstLine="0"/>
        <w:jc w:val="right"/>
        <w:rPr>
          <w:sz w:val="13"/>
          <w:szCs w:val="13"/>
        </w:rPr>
      </w:pPr>
      <w:r>
        <w:rPr>
          <w:color w:val="000000"/>
          <w:spacing w:val="0"/>
          <w:w w:val="100"/>
          <w:position w:val="0"/>
          <w:sz w:val="13"/>
          <w:szCs w:val="13"/>
        </w:rPr>
        <w:t>流动资产</w:t>
        <w:tab/>
        <w:t>非流动资产</w:t>
        <w:tab/>
        <w:t>资产合计</w:t>
        <w:tab/>
        <w:t>流动负债</w:t>
      </w:r>
    </w:p>
    <w:p>
      <w:pPr>
        <w:pStyle w:val="Style129"/>
        <w:keepNext w:val="0"/>
        <w:keepLines w:val="0"/>
        <w:widowControl w:val="0"/>
        <w:shd w:val="clear" w:color="auto" w:fill="auto"/>
        <w:tabs>
          <w:tab w:pos="2275" w:val="left"/>
          <w:tab w:pos="3454" w:val="left"/>
          <w:tab w:pos="4677" w:val="left"/>
        </w:tabs>
        <w:bidi w:val="0"/>
        <w:spacing w:before="0" w:after="0" w:line="240" w:lineRule="auto"/>
        <w:ind w:left="0" w:right="0" w:firstLine="1000"/>
        <w:jc w:val="left"/>
        <w:sectPr>
          <w:footnotePr>
            <w:pos w:val="pageBottom"/>
            <w:numFmt w:val="decimal"/>
            <w:numRestart w:val="continuous"/>
          </w:footnotePr>
          <w:type w:val="continuous"/>
          <w:pgSz w:w="8400" w:h="11900"/>
          <w:pgMar w:top="2158" w:right="52" w:bottom="2158" w:left="1014" w:header="0" w:footer="3" w:gutter="0"/>
          <w:cols w:space="720"/>
          <w:noEndnote/>
          <w:rtlGutter w:val="0"/>
          <w:docGrid w:linePitch="360"/>
        </w:sectPr>
      </w:pPr>
      <w:r>
        <w:rPr>
          <w:color w:val="000000"/>
          <w:spacing w:val="0"/>
          <w:w w:val="100"/>
          <w:position w:val="0"/>
        </w:rPr>
        <w:t>168,224,379.95</w:t>
        <w:tab/>
        <w:t>86,996,590.01</w:t>
        <w:tab/>
        <w:t>255,220,969.96</w:t>
        <w:tab/>
        <w:t>15,566,990.52</w:t>
      </w:r>
    </w:p>
    <w:p>
      <w:pPr>
        <w:pStyle w:val="Style29"/>
        <w:keepNext w:val="0"/>
        <w:keepLines w:val="0"/>
        <w:widowControl w:val="0"/>
        <w:shd w:val="clear" w:color="auto" w:fill="auto"/>
        <w:bidi w:val="0"/>
        <w:spacing w:before="0" w:after="0" w:line="240" w:lineRule="auto"/>
        <w:ind w:left="4560" w:right="0" w:firstLine="0"/>
        <w:jc w:val="lef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年度</w:t>
      </w:r>
    </w:p>
    <w:tbl>
      <w:tblPr>
        <w:tblOverlap w:val="never"/>
        <w:jc w:val="center"/>
        <w:tblLayout w:type="fixed"/>
      </w:tblPr>
      <w:tblGrid>
        <w:gridCol w:w="1262"/>
        <w:gridCol w:w="1195"/>
        <w:gridCol w:w="1224"/>
        <w:gridCol w:w="1234"/>
        <w:gridCol w:w="1325"/>
        <w:gridCol w:w="1094"/>
      </w:tblGrid>
      <w:tr>
        <w:trPr>
          <w:trHeight w:val="8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非流动负债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负债合计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营业收入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净亏损</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综合收益总额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400"/>
              <w:jc w:val="left"/>
              <w:rPr>
                <w:sz w:val="13"/>
                <w:szCs w:val="13"/>
              </w:rPr>
            </w:pPr>
            <w:r>
              <w:rPr>
                <w:color w:val="000000"/>
                <w:spacing w:val="0"/>
                <w:w w:val="100"/>
                <w:position w:val="0"/>
                <w:sz w:val="13"/>
                <w:szCs w:val="13"/>
              </w:rPr>
              <w:t>经营活动</w:t>
            </w:r>
          </w:p>
          <w:p>
            <w:pPr>
              <w:pStyle w:val="Style23"/>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现金流量</w:t>
            </w:r>
          </w:p>
        </w:tc>
      </w:tr>
      <w:tr>
        <w:trPr>
          <w:trHeight w:val="44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10,211,585.35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36,623,021.53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65,497,953.96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(17,394,378.00)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(17,587,593.37)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(44,577,106.39)</w:t>
            </w:r>
          </w:p>
        </w:tc>
      </w:tr>
      <w:tr>
        <w:trPr>
          <w:trHeight w:val="65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r>
              <w:rPr>
                <w:rFonts w:ascii="Arial" w:eastAsia="Arial" w:hAnsi="Arial" w:cs="Arial"/>
                <w:color w:val="000000"/>
                <w:spacing w:val="0"/>
                <w:w w:val="100"/>
                <w:position w:val="0"/>
                <w:sz w:val="14"/>
                <w:szCs w:val="14"/>
              </w:rPr>
              <w:t>2015</w:t>
            </w:r>
            <w:r>
              <w:rPr>
                <w:color w:val="000000"/>
                <w:spacing w:val="0"/>
                <w:w w:val="100"/>
                <w:position w:val="0"/>
                <w:sz w:val="13"/>
                <w:szCs w:val="13"/>
              </w:rPr>
              <w:t>年</w:t>
            </w:r>
            <w:r>
              <w:rPr>
                <w:rFonts w:ascii="Arial" w:eastAsia="Arial" w:hAnsi="Arial" w:cs="Arial"/>
                <w:color w:val="000000"/>
                <w:spacing w:val="0"/>
                <w:w w:val="100"/>
                <w:position w:val="0"/>
                <w:sz w:val="14"/>
                <w:szCs w:val="14"/>
              </w:rPr>
              <w:t>7</w:t>
            </w:r>
            <w:r>
              <w:rPr>
                <w:color w:val="000000"/>
                <w:spacing w:val="0"/>
                <w:w w:val="100"/>
                <w:position w:val="0"/>
                <w:sz w:val="13"/>
                <w:szCs w:val="13"/>
              </w:rPr>
              <w:t>月</w:t>
            </w:r>
            <w:r>
              <w:rPr>
                <w:rFonts w:ascii="Arial" w:eastAsia="Arial" w:hAnsi="Arial" w:cs="Arial"/>
                <w:color w:val="000000"/>
                <w:spacing w:val="0"/>
                <w:w w:val="100"/>
                <w:position w:val="0"/>
                <w:sz w:val="14"/>
                <w:szCs w:val="14"/>
              </w:rPr>
              <w:t>1</w:t>
            </w:r>
            <w:r>
              <w:rPr>
                <w:color w:val="000000"/>
                <w:spacing w:val="0"/>
                <w:w w:val="100"/>
                <w:position w:val="0"/>
                <w:sz w:val="13"/>
                <w:szCs w:val="13"/>
              </w:rPr>
              <w:t>日（“购买日”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rPr>
              <w:t>)至</w:t>
            </w:r>
            <w:r>
              <w:rPr>
                <w:rFonts w:ascii="Arial" w:eastAsia="Arial" w:hAnsi="Arial" w:cs="Arial"/>
                <w:color w:val="000000"/>
                <w:spacing w:val="0"/>
                <w:w w:val="100"/>
                <w:position w:val="0"/>
                <w:sz w:val="14"/>
                <w:szCs w:val="14"/>
              </w:rPr>
              <w:t>2015</w:t>
            </w:r>
            <w:r>
              <w:rPr>
                <w:color w:val="000000"/>
                <w:spacing w:val="0"/>
                <w:w w:val="100"/>
                <w:position w:val="0"/>
                <w:sz w:val="13"/>
                <w:szCs w:val="13"/>
              </w:rPr>
              <w:t>年</w:t>
            </w: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日止期间</w:t>
            </w:r>
          </w:p>
        </w:tc>
      </w:tr>
      <w:tr>
        <w:trPr>
          <w:trHeight w:val="85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非流动负债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负债合计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营业收入</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净利润</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综合收益总额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400"/>
              <w:jc w:val="left"/>
              <w:rPr>
                <w:sz w:val="13"/>
                <w:szCs w:val="13"/>
              </w:rPr>
            </w:pPr>
            <w:r>
              <w:rPr>
                <w:color w:val="000000"/>
                <w:spacing w:val="0"/>
                <w:w w:val="100"/>
                <w:position w:val="0"/>
                <w:sz w:val="13"/>
                <w:szCs w:val="13"/>
              </w:rPr>
              <w:t>经营活动</w:t>
            </w:r>
          </w:p>
          <w:p>
            <w:pPr>
              <w:pStyle w:val="Style23"/>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现金流量</w:t>
            </w:r>
          </w:p>
        </w:tc>
      </w:tr>
      <w:tr>
        <w:trPr>
          <w:trHeight w:val="461" w:hRule="exact"/>
        </w:trPr>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17,970,705.75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33,537,696.27</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59,592,640.38</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12,400,887.95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12,400,887.95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(17,408,279.26)</w:t>
            </w: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8400" w:h="11900"/>
          <w:pgMar w:top="4156" w:right="1066" w:bottom="4156" w:left="0" w:header="0" w:footer="3" w:gutter="0"/>
          <w:pgNumType w:start="287"/>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rPr>
          <w:sz w:val="22"/>
          <w:szCs w:val="22"/>
        </w:rPr>
      </w:pPr>
      <w:bookmarkStart w:id="933" w:name="bookmark933"/>
      <w:bookmarkStart w:id="934" w:name="bookmark934"/>
      <w:bookmarkStart w:id="935" w:name="bookmark935"/>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bookmarkEnd w:id="933"/>
      <w:bookmarkEnd w:id="934"/>
      <w:bookmarkEnd w:id="935"/>
    </w:p>
    <w:p>
      <w:pPr>
        <w:pStyle w:val="Style33"/>
        <w:keepNext w:val="0"/>
        <w:keepLines w:val="0"/>
        <w:widowControl w:val="0"/>
        <w:shd w:val="clear" w:color="auto" w:fill="auto"/>
        <w:bidi w:val="0"/>
        <w:spacing w:before="0" w:after="0" w:line="240" w:lineRule="auto"/>
        <w:ind w:left="0" w:right="0" w:firstLine="0"/>
        <w:jc w:val="left"/>
        <w:rPr>
          <w:sz w:val="22"/>
          <w:szCs w:val="22"/>
        </w:r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2161" w:right="5641" w:bottom="3827" w:left="1967" w:header="0" w:footer="3" w:gutter="0"/>
          <w:cols w:space="720"/>
          <w:noEndnote/>
          <w:rtlGutter w:val="0"/>
          <w:docGrid w:linePitch="360"/>
        </w:sect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重要合营企业和联营企业的基础信息</w:t>
      </w: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61" w:right="0" w:bottom="3827"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对集团活动</w:t>
      </w:r>
    </w:p>
    <w:p>
      <w:pPr>
        <w:widowControl w:val="0"/>
        <w:spacing w:line="1" w:lineRule="exact"/>
        <w:sectPr>
          <w:footnotePr>
            <w:pos w:val="pageBottom"/>
            <w:numFmt w:val="decimal"/>
            <w:numRestart w:val="continuous"/>
          </w:footnotePr>
          <w:type w:val="continuous"/>
          <w:pgSz w:w="11900" w:h="16840"/>
          <w:pgMar w:top="2161" w:right="1134" w:bottom="3827" w:left="1962" w:header="0" w:footer="3" w:gutter="0"/>
          <w:cols w:space="720"/>
          <w:noEndnote/>
          <w:rtlGutter w:val="0"/>
          <w:docGrid w:linePitch="360"/>
        </w:sectPr>
      </w:pPr>
      <w:r>
        <mc:AlternateContent>
          <mc:Choice Requires="wps">
            <w:drawing>
              <wp:anchor distT="0" distB="210185" distL="0" distR="0" simplePos="0" relativeHeight="125829565" behindDoc="0" locked="0" layoutInCell="1" allowOverlap="1">
                <wp:simplePos x="0" y="0"/>
                <wp:positionH relativeFrom="page">
                  <wp:posOffset>2569210</wp:posOffset>
                </wp:positionH>
                <wp:positionV relativeFrom="paragraph">
                  <wp:posOffset>0</wp:posOffset>
                </wp:positionV>
                <wp:extent cx="1078865" cy="137160"/>
                <wp:wrapTopAndBottom/>
                <wp:docPr id="584" name="Shape 584"/>
                <a:graphic xmlns:a="http://schemas.openxmlformats.org/drawingml/2006/main">
                  <a:graphicData uri="http://schemas.microsoft.com/office/word/2010/wordprocessingShape">
                    <wps:wsp>
                      <wps:cNvSpPr txBox="1"/>
                      <wps:spPr>
                        <a:xfrm>
                          <a:ext cx="1078865" cy="137160"/>
                        </a:xfrm>
                        <a:prstGeom prst="rect"/>
                        <a:noFill/>
                      </wps:spPr>
                      <wps:txbx>
                        <w:txbxContent>
                          <w:p>
                            <w:pPr>
                              <w:pStyle w:val="Style11"/>
                              <w:keepNext w:val="0"/>
                              <w:keepLines w:val="0"/>
                              <w:widowControl w:val="0"/>
                              <w:shd w:val="clear" w:color="auto" w:fill="auto"/>
                              <w:tabs>
                                <w:tab w:pos="1166" w:val="left"/>
                              </w:tabs>
                              <w:bidi w:val="0"/>
                              <w:spacing w:before="0" w:after="0" w:line="240" w:lineRule="auto"/>
                              <w:ind w:left="0" w:right="0" w:firstLine="0"/>
                              <w:jc w:val="left"/>
                              <w:rPr>
                                <w:sz w:val="16"/>
                                <w:szCs w:val="16"/>
                              </w:rPr>
                            </w:pPr>
                            <w:r>
                              <w:rPr>
                                <w:color w:val="000000"/>
                                <w:spacing w:val="0"/>
                                <w:w w:val="100"/>
                                <w:position w:val="0"/>
                                <w:sz w:val="16"/>
                                <w:szCs w:val="16"/>
                              </w:rPr>
                              <w:t>主要经营地</w:t>
                              <w:tab/>
                              <w:t>注册地</w:t>
                            </w:r>
                          </w:p>
                        </w:txbxContent>
                      </wps:txbx>
                      <wps:bodyPr wrap="none" lIns="0" tIns="0" rIns="0" bIns="0">
                        <a:noAutoFit/>
                      </wps:bodyPr>
                    </wps:wsp>
                  </a:graphicData>
                </a:graphic>
              </wp:anchor>
            </w:drawing>
          </mc:Choice>
          <mc:Fallback>
            <w:pict>
              <v:shape id="_x0000_s1610" type="#_x0000_t202" style="position:absolute;margin-left:202.30000000000001pt;margin-top:0;width:84.950000000000003pt;height:10.800000000000001pt;z-index:-125829188;mso-wrap-distance-left:0;mso-wrap-distance-right:0;mso-wrap-distance-bottom:16.550000000000001pt;mso-position-horizontal-relative:page" filled="f" stroked="f">
                <v:textbox inset="0,0,0,0">
                  <w:txbxContent>
                    <w:p>
                      <w:pPr>
                        <w:pStyle w:val="Style11"/>
                        <w:keepNext w:val="0"/>
                        <w:keepLines w:val="0"/>
                        <w:widowControl w:val="0"/>
                        <w:shd w:val="clear" w:color="auto" w:fill="auto"/>
                        <w:tabs>
                          <w:tab w:pos="1166" w:val="left"/>
                        </w:tabs>
                        <w:bidi w:val="0"/>
                        <w:spacing w:before="0" w:after="0" w:line="240" w:lineRule="auto"/>
                        <w:ind w:left="0" w:right="0" w:firstLine="0"/>
                        <w:jc w:val="left"/>
                        <w:rPr>
                          <w:sz w:val="16"/>
                          <w:szCs w:val="16"/>
                        </w:rPr>
                      </w:pPr>
                      <w:r>
                        <w:rPr>
                          <w:color w:val="000000"/>
                          <w:spacing w:val="0"/>
                          <w:w w:val="100"/>
                          <w:position w:val="0"/>
                          <w:sz w:val="16"/>
                          <w:szCs w:val="16"/>
                        </w:rPr>
                        <w:t>主要经营地</w:t>
                        <w:tab/>
                        <w:t>注册地</w:t>
                      </w:r>
                    </w:p>
                  </w:txbxContent>
                </v:textbox>
                <w10:wrap type="topAndBottom" anchorx="page"/>
              </v:shape>
            </w:pict>
          </mc:Fallback>
        </mc:AlternateContent>
      </w:r>
      <w:r>
        <mc:AlternateContent>
          <mc:Choice Requires="wps">
            <w:drawing>
              <wp:anchor distT="0" distB="0" distL="0" distR="0" simplePos="0" relativeHeight="125829567" behindDoc="0" locked="0" layoutInCell="1" allowOverlap="1">
                <wp:simplePos x="0" y="0"/>
                <wp:positionH relativeFrom="page">
                  <wp:posOffset>4495800</wp:posOffset>
                </wp:positionH>
                <wp:positionV relativeFrom="paragraph">
                  <wp:posOffset>0</wp:posOffset>
                </wp:positionV>
                <wp:extent cx="2340610" cy="347345"/>
                <wp:wrapTopAndBottom/>
                <wp:docPr id="586" name="Shape 586"/>
                <a:graphic xmlns:a="http://schemas.openxmlformats.org/drawingml/2006/main">
                  <a:graphicData uri="http://schemas.microsoft.com/office/word/2010/wordprocessingShape">
                    <wps:wsp>
                      <wps:cNvSpPr txBox="1"/>
                      <wps:spPr>
                        <a:xfrm>
                          <a:ext cx="2340610" cy="347345"/>
                        </a:xfrm>
                        <a:prstGeom prst="rect"/>
                        <a:noFill/>
                      </wps:spPr>
                      <wps:txbx>
                        <w:txbxContent>
                          <w:p>
                            <w:pPr>
                              <w:pStyle w:val="Style11"/>
                              <w:keepNext w:val="0"/>
                              <w:keepLines w:val="0"/>
                              <w:widowControl w:val="0"/>
                              <w:shd w:val="clear" w:color="auto" w:fill="auto"/>
                              <w:tabs>
                                <w:tab w:pos="2477" w:val="left"/>
                              </w:tabs>
                              <w:bidi w:val="0"/>
                              <w:spacing w:before="0" w:line="240" w:lineRule="auto"/>
                              <w:ind w:left="0" w:right="0" w:firstLine="0"/>
                              <w:jc w:val="left"/>
                              <w:rPr>
                                <w:sz w:val="16"/>
                                <w:szCs w:val="16"/>
                              </w:rPr>
                            </w:pPr>
                            <w:r>
                              <w:rPr>
                                <w:color w:val="000000"/>
                                <w:spacing w:val="0"/>
                                <w:w w:val="100"/>
                                <w:position w:val="0"/>
                                <w:sz w:val="16"/>
                                <w:szCs w:val="16"/>
                              </w:rPr>
                              <w:t>业务性质是否具有战略性</w:t>
                              <w:tab/>
                            </w:r>
                            <w:r>
                              <w:rPr>
                                <w:color w:val="000000"/>
                                <w:spacing w:val="0"/>
                                <w:w w:val="100"/>
                                <w:position w:val="0"/>
                                <w:sz w:val="16"/>
                                <w:szCs w:val="16"/>
                                <w:u w:val="single"/>
                              </w:rPr>
                              <w:t>持股比例</w:t>
                            </w:r>
                          </w:p>
                          <w:p>
                            <w:pPr>
                              <w:pStyle w:val="Style11"/>
                              <w:keepNext w:val="0"/>
                              <w:keepLines w:val="0"/>
                              <w:widowControl w:val="0"/>
                              <w:pBdr>
                                <w:top w:val="single" w:sz="4" w:space="0" w:color="auto"/>
                              </w:pBdr>
                              <w:shd w:val="clear" w:color="auto" w:fill="auto"/>
                              <w:tabs>
                                <w:tab w:pos="1085" w:val="left"/>
                              </w:tabs>
                              <w:bidi w:val="0"/>
                              <w:spacing w:before="0" w:after="0" w:line="240" w:lineRule="auto"/>
                              <w:ind w:left="0" w:right="0" w:firstLine="0"/>
                              <w:jc w:val="right"/>
                              <w:rPr>
                                <w:sz w:val="16"/>
                                <w:szCs w:val="16"/>
                              </w:rPr>
                            </w:pPr>
                            <w:r>
                              <w:rPr>
                                <w:color w:val="000000"/>
                                <w:spacing w:val="0"/>
                                <w:w w:val="100"/>
                                <w:position w:val="0"/>
                                <w:sz w:val="16"/>
                                <w:szCs w:val="16"/>
                              </w:rPr>
                              <w:t>直接</w:t>
                              <w:tab/>
                              <w:t>间接</w:t>
                            </w:r>
                          </w:p>
                        </w:txbxContent>
                      </wps:txbx>
                      <wps:bodyPr lIns="0" tIns="0" rIns="0" bIns="0">
                        <a:noAutoFit/>
                      </wps:bodyPr>
                    </wps:wsp>
                  </a:graphicData>
                </a:graphic>
              </wp:anchor>
            </w:drawing>
          </mc:Choice>
          <mc:Fallback>
            <w:pict>
              <v:shape id="_x0000_s1612" type="#_x0000_t202" style="position:absolute;margin-left:354.pt;margin-top:0;width:184.30000000000001pt;height:27.350000000000001pt;z-index:-125829186;mso-wrap-distance-left:0;mso-wrap-distance-right:0;mso-position-horizontal-relative:page" filled="f" stroked="f">
                <v:textbox inset="0,0,0,0">
                  <w:txbxContent>
                    <w:p>
                      <w:pPr>
                        <w:pStyle w:val="Style11"/>
                        <w:keepNext w:val="0"/>
                        <w:keepLines w:val="0"/>
                        <w:widowControl w:val="0"/>
                        <w:shd w:val="clear" w:color="auto" w:fill="auto"/>
                        <w:tabs>
                          <w:tab w:pos="2477" w:val="left"/>
                        </w:tabs>
                        <w:bidi w:val="0"/>
                        <w:spacing w:before="0" w:line="240" w:lineRule="auto"/>
                        <w:ind w:left="0" w:right="0" w:firstLine="0"/>
                        <w:jc w:val="left"/>
                        <w:rPr>
                          <w:sz w:val="16"/>
                          <w:szCs w:val="16"/>
                        </w:rPr>
                      </w:pPr>
                      <w:r>
                        <w:rPr>
                          <w:color w:val="000000"/>
                          <w:spacing w:val="0"/>
                          <w:w w:val="100"/>
                          <w:position w:val="0"/>
                          <w:sz w:val="16"/>
                          <w:szCs w:val="16"/>
                        </w:rPr>
                        <w:t>业务性质是否具有战略性</w:t>
                        <w:tab/>
                      </w:r>
                      <w:r>
                        <w:rPr>
                          <w:color w:val="000000"/>
                          <w:spacing w:val="0"/>
                          <w:w w:val="100"/>
                          <w:position w:val="0"/>
                          <w:sz w:val="16"/>
                          <w:szCs w:val="16"/>
                          <w:u w:val="single"/>
                        </w:rPr>
                        <w:t>持股比例</w:t>
                      </w:r>
                    </w:p>
                    <w:p>
                      <w:pPr>
                        <w:pStyle w:val="Style11"/>
                        <w:keepNext w:val="0"/>
                        <w:keepLines w:val="0"/>
                        <w:widowControl w:val="0"/>
                        <w:pBdr>
                          <w:top w:val="single" w:sz="4" w:space="0" w:color="auto"/>
                        </w:pBdr>
                        <w:shd w:val="clear" w:color="auto" w:fill="auto"/>
                        <w:tabs>
                          <w:tab w:pos="1085" w:val="left"/>
                        </w:tabs>
                        <w:bidi w:val="0"/>
                        <w:spacing w:before="0" w:after="0" w:line="240" w:lineRule="auto"/>
                        <w:ind w:left="0" w:right="0" w:firstLine="0"/>
                        <w:jc w:val="right"/>
                        <w:rPr>
                          <w:sz w:val="16"/>
                          <w:szCs w:val="16"/>
                        </w:rPr>
                      </w:pPr>
                      <w:r>
                        <w:rPr>
                          <w:color w:val="000000"/>
                          <w:spacing w:val="0"/>
                          <w:w w:val="100"/>
                          <w:position w:val="0"/>
                          <w:sz w:val="16"/>
                          <w:szCs w:val="16"/>
                        </w:rPr>
                        <w:t>直接</w:t>
                        <w:tab/>
                        <w:t>间接</w:t>
                      </w:r>
                    </w:p>
                  </w:txbxContent>
                </v:textbox>
                <w10:wrap type="topAndBottom" anchorx="page"/>
              </v:shape>
            </w:pict>
          </mc:Fallback>
        </mc:AlternateContent>
      </w: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13" w:right="0" w:bottom="3827" w:left="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5" w:right="0" w:firstLine="0"/>
        <w:jc w:val="left"/>
        <w:rPr>
          <w:sz w:val="16"/>
          <w:szCs w:val="16"/>
        </w:rPr>
      </w:pPr>
      <w:r>
        <w:rPr>
          <w:color w:val="000000"/>
          <w:spacing w:val="0"/>
          <w:w w:val="100"/>
          <w:position w:val="0"/>
          <w:sz w:val="16"/>
          <w:szCs w:val="16"/>
        </w:rPr>
        <w:t>合营企业</w:t>
      </w:r>
      <w:r>
        <w:rPr>
          <w:rFonts w:ascii="Arial" w:eastAsia="Arial" w:hAnsi="Arial" w:cs="Arial"/>
          <w:color w:val="000000"/>
          <w:spacing w:val="0"/>
          <w:w w:val="100"/>
          <w:position w:val="0"/>
          <w:sz w:val="16"/>
          <w:szCs w:val="16"/>
        </w:rPr>
        <w:t>-</w:t>
      </w:r>
    </w:p>
    <w:tbl>
      <w:tblPr>
        <w:tblOverlap w:val="never"/>
        <w:jc w:val="center"/>
        <w:tblLayout w:type="fixed"/>
      </w:tblPr>
      <w:tblGrid>
        <w:gridCol w:w="2170"/>
        <w:gridCol w:w="830"/>
        <w:gridCol w:w="883"/>
        <w:gridCol w:w="2395"/>
        <w:gridCol w:w="989"/>
        <w:gridCol w:w="634"/>
        <w:gridCol w:w="835"/>
      </w:tblGrid>
      <w:tr>
        <w:trPr>
          <w:trHeight w:val="26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商顺供应链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香港</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香港</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投资控股</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POST11 OU (i)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爱沙尼亚</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爱沙尼亚</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物流服务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42.00%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国际新城发展</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湖北</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湖北</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航空港建设、综合管理</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盛海信息</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6"/>
                <w:szCs w:val="16"/>
              </w:rPr>
            </w:pPr>
            <w:r>
              <w:rPr>
                <w:rFonts w:ascii="Arial" w:eastAsia="Arial" w:hAnsi="Arial" w:cs="Arial"/>
                <w:color w:val="000000"/>
                <w:spacing w:val="0"/>
                <w:w w:val="100"/>
                <w:position w:val="0"/>
                <w:sz w:val="16"/>
                <w:szCs w:val="16"/>
              </w:rPr>
              <w:t>IT</w:t>
            </w:r>
            <w:r>
              <w:rPr>
                <w:color w:val="000000"/>
                <w:spacing w:val="0"/>
                <w:w w:val="100"/>
                <w:position w:val="0"/>
                <w:sz w:val="16"/>
                <w:szCs w:val="16"/>
              </w:rPr>
              <w:t>运维服务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29.92%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格灵信息</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上海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上海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高尔夫球包配送服务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49.00%</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乐收网络</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ii)</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广州</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广州</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快递代收代寄服务</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25.00%</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丰巢科技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智能快递柜运营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38.25%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百米生活</w:t>
            </w:r>
            <w:r>
              <w:rPr>
                <w:rFonts w:ascii="Arial" w:eastAsia="Arial" w:hAnsi="Arial" w:cs="Arial"/>
                <w:color w:val="000000"/>
                <w:spacing w:val="0"/>
                <w:w w:val="100"/>
                <w:position w:val="0"/>
                <w:sz w:val="16"/>
                <w:szCs w:val="16"/>
              </w:rPr>
              <w:t>(iii)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商业</w:t>
            </w:r>
            <w:r>
              <w:rPr>
                <w:rFonts w:ascii="Arial" w:eastAsia="Arial" w:hAnsi="Arial" w:cs="Arial"/>
                <w:color w:val="000000"/>
                <w:spacing w:val="0"/>
                <w:w w:val="100"/>
                <w:position w:val="0"/>
                <w:sz w:val="16"/>
                <w:szCs w:val="16"/>
              </w:rPr>
              <w:t>WIFI</w:t>
            </w:r>
            <w:r>
              <w:rPr>
                <w:color w:val="000000"/>
                <w:spacing w:val="0"/>
                <w:w w:val="100"/>
                <w:position w:val="0"/>
                <w:sz w:val="16"/>
                <w:szCs w:val="16"/>
              </w:rPr>
              <w:t>运营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14.44%</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蜂网投资有限公司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杭州</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杭州</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实业投资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珠海随变</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珠海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珠海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C2M</w:t>
            </w:r>
            <w:r>
              <w:rPr>
                <w:color w:val="000000"/>
                <w:spacing w:val="0"/>
                <w:w w:val="100"/>
                <w:position w:val="0"/>
                <w:sz w:val="16"/>
                <w:szCs w:val="16"/>
              </w:rPr>
              <w:t>电子商务平台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小红帽发行股份有限公司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北京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北京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图书、报纸及期刊等派送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46.73%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深圳智航无人机有限公司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无人机研发与销售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27.87%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朗星无人机系统有限公司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成都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成都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无人机研发与销售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29.70%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深圳市顺捷丰达速运有限公司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落地配服务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35.81%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Collect </w:t>
            </w:r>
            <w:r>
              <w:rPr>
                <w:rFonts w:ascii="Arial" w:eastAsia="Arial" w:hAnsi="Arial" w:cs="Arial"/>
                <w:color w:val="000000"/>
                <w:spacing w:val="0"/>
                <w:w w:val="100"/>
                <w:position w:val="0"/>
                <w:sz w:val="16"/>
                <w:szCs w:val="16"/>
              </w:rPr>
              <w:t>&amp;</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Returnsinternational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Limited</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开曼群岛</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开曼群岛</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投资控股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25.11%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杭州午苇农作物开发有限公司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杭州</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杭州</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农产品电子商务平台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上海牵趣网络科技有限公司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上海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上海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跨境电子商务平台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48.93%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顺丰彩</w:t>
            </w:r>
            <w:r>
              <w:rPr>
                <w:rFonts w:ascii="Arial" w:eastAsia="Arial" w:hAnsi="Arial" w:cs="Arial"/>
                <w:color w:val="000000"/>
                <w:spacing w:val="0"/>
                <w:w w:val="100"/>
                <w:position w:val="0"/>
                <w:sz w:val="16"/>
                <w:szCs w:val="16"/>
              </w:rPr>
              <w:t>(iv)</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深圳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体育彩票销售及配送服务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50.00%</w:t>
            </w: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数字绿土 </w:t>
            </w:r>
            <w:r>
              <w:rPr>
                <w:rFonts w:ascii="Arial" w:eastAsia="Arial" w:hAnsi="Arial" w:cs="Arial"/>
                <w:color w:val="000000"/>
                <w:spacing w:val="0"/>
                <w:w w:val="100"/>
                <w:position w:val="0"/>
                <w:sz w:val="16"/>
                <w:szCs w:val="16"/>
              </w:rPr>
              <w:t>(iii)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北京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北京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无人机测量测绘服务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6.50%</w:t>
            </w:r>
          </w:p>
        </w:tc>
      </w:tr>
    </w:tbl>
    <w:p>
      <w:pPr>
        <w:widowControl w:val="0"/>
        <w:spacing w:after="359" w:line="1" w:lineRule="exact"/>
      </w:pPr>
    </w:p>
    <w:p>
      <w:pPr>
        <w:pStyle w:val="Style33"/>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本集团对上述股权投资均采用权益法核算。</w:t>
      </w:r>
    </w:p>
    <w:p>
      <w:pPr>
        <w:pStyle w:val="Style27"/>
        <w:keepNext/>
        <w:keepLines/>
        <w:widowControl w:val="0"/>
        <w:shd w:val="clear" w:color="auto" w:fill="auto"/>
        <w:bidi w:val="0"/>
        <w:spacing w:before="0" w:line="324" w:lineRule="exact"/>
        <w:ind w:left="0" w:right="0" w:firstLine="0"/>
        <w:jc w:val="left"/>
        <w:rPr>
          <w:sz w:val="28"/>
          <w:szCs w:val="28"/>
        </w:rPr>
      </w:pPr>
      <w:bookmarkStart w:id="936" w:name="bookmark936"/>
      <w:bookmarkStart w:id="937" w:name="bookmark937"/>
      <w:bookmarkStart w:id="938" w:name="bookmark938"/>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36"/>
      <w:bookmarkEnd w:id="937"/>
      <w:bookmarkEnd w:id="938"/>
    </w:p>
    <w:p>
      <w:pPr>
        <w:pStyle w:val="Style33"/>
        <w:keepNext w:val="0"/>
        <w:keepLines w:val="0"/>
        <w:widowControl w:val="0"/>
        <w:shd w:val="clear" w:color="auto" w:fill="auto"/>
        <w:bidi w:val="0"/>
        <w:spacing w:before="0" w:after="320" w:line="324" w:lineRule="exact"/>
        <w:ind w:left="0" w:right="0" w:firstLine="0"/>
        <w:jc w:val="left"/>
        <w:rPr>
          <w:sz w:val="28"/>
          <w:szCs w:val="28"/>
        </w:rPr>
      </w:pP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重要合营企业和联营企业的基础信息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tabs>
          <w:tab w:pos="714" w:val="left"/>
        </w:tabs>
        <w:bidi w:val="0"/>
        <w:spacing w:before="0" w:after="0" w:line="331" w:lineRule="exact"/>
        <w:ind w:left="0" w:right="0" w:firstLine="0"/>
        <w:jc w:val="left"/>
        <w:rPr>
          <w:sz w:val="22"/>
          <w:szCs w:val="22"/>
        </w:rPr>
      </w:pPr>
      <w:r>
        <w:rPr>
          <w:b w:val="0"/>
          <w:bCs w:val="0"/>
          <w:color w:val="000000"/>
          <w:spacing w:val="0"/>
          <w:w w:val="100"/>
          <w:position w:val="0"/>
          <w:sz w:val="22"/>
          <w:szCs w:val="22"/>
        </w:rPr>
        <w:t>⑴</w:t>
        <w:tab/>
        <w:t>本集团持股</w:t>
      </w:r>
      <w:r>
        <w:rPr>
          <w:rFonts w:ascii="Arial" w:eastAsia="Arial" w:hAnsi="Arial" w:cs="Arial"/>
          <w:b w:val="0"/>
          <w:bCs w:val="0"/>
          <w:color w:val="000000"/>
          <w:spacing w:val="0"/>
          <w:w w:val="100"/>
          <w:position w:val="0"/>
          <w:sz w:val="24"/>
          <w:szCs w:val="24"/>
        </w:rPr>
        <w:t>60%</w:t>
      </w:r>
      <w:r>
        <w:rPr>
          <w:b w:val="0"/>
          <w:bCs w:val="0"/>
          <w:color w:val="000000"/>
          <w:spacing w:val="0"/>
          <w:w w:val="100"/>
          <w:position w:val="0"/>
          <w:sz w:val="22"/>
          <w:szCs w:val="22"/>
        </w:rPr>
        <w:t>的一家子公司与合作方设立</w:t>
      </w:r>
      <w:r>
        <w:rPr>
          <w:rFonts w:ascii="Arial" w:eastAsia="Arial" w:hAnsi="Arial" w:cs="Arial"/>
          <w:b w:val="0"/>
          <w:bCs w:val="0"/>
          <w:color w:val="000000"/>
          <w:spacing w:val="0"/>
          <w:w w:val="100"/>
          <w:position w:val="0"/>
          <w:sz w:val="24"/>
          <w:szCs w:val="24"/>
        </w:rPr>
        <w:t>POST11 OU</w:t>
      </w:r>
      <w:r>
        <w:rPr>
          <w:b w:val="0"/>
          <w:bCs w:val="0"/>
          <w:color w:val="000000"/>
          <w:spacing w:val="0"/>
          <w:w w:val="100"/>
          <w:position w:val="0"/>
          <w:sz w:val="22"/>
          <w:szCs w:val="22"/>
        </w:rPr>
        <w:t>，</w:t>
      </w:r>
      <w:r>
        <w:rPr>
          <w:b w:val="0"/>
          <w:bCs w:val="0"/>
          <w:color w:val="000000"/>
          <w:spacing w:val="0"/>
          <w:w w:val="100"/>
          <w:position w:val="0"/>
          <w:sz w:val="22"/>
          <w:szCs w:val="22"/>
        </w:rPr>
        <w:t>本集团的子公司持</w:t>
      </w:r>
    </w:p>
    <w:p>
      <w:pPr>
        <w:pStyle w:val="Style33"/>
        <w:keepNext w:val="0"/>
        <w:keepLines w:val="0"/>
        <w:widowControl w:val="0"/>
        <w:shd w:val="clear" w:color="auto" w:fill="auto"/>
        <w:bidi w:val="0"/>
        <w:spacing w:before="0" w:after="320" w:line="331" w:lineRule="exact"/>
        <w:ind w:left="720" w:right="0" w:firstLine="0"/>
        <w:jc w:val="left"/>
        <w:rPr>
          <w:sz w:val="22"/>
          <w:szCs w:val="22"/>
        </w:rPr>
      </w:pPr>
      <w:r>
        <w:rPr>
          <w:b w:val="0"/>
          <w:bCs w:val="0"/>
          <w:color w:val="000000"/>
          <w:spacing w:val="0"/>
          <w:w w:val="100"/>
          <w:position w:val="0"/>
          <w:sz w:val="22"/>
          <w:szCs w:val="22"/>
        </w:rPr>
        <w:t>股</w:t>
      </w:r>
      <w:r>
        <w:rPr>
          <w:rFonts w:ascii="Arial" w:eastAsia="Arial" w:hAnsi="Arial" w:cs="Arial"/>
          <w:b w:val="0"/>
          <w:bCs w:val="0"/>
          <w:color w:val="000000"/>
          <w:spacing w:val="0"/>
          <w:w w:val="100"/>
          <w:position w:val="0"/>
          <w:sz w:val="24"/>
          <w:szCs w:val="24"/>
        </w:rPr>
        <w:t>70%</w:t>
      </w:r>
      <w:r>
        <w:rPr>
          <w:b w:val="0"/>
          <w:bCs w:val="0"/>
          <w:color w:val="000000"/>
          <w:spacing w:val="0"/>
          <w:w w:val="100"/>
          <w:position w:val="0"/>
          <w:sz w:val="22"/>
          <w:szCs w:val="22"/>
        </w:rPr>
        <w:t>，合作方持股</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；由于股东合作投资协议中规定重大的生产经营和 财务政策需双方共同决定，故将其作为合营企业核算。</w:t>
      </w:r>
    </w:p>
    <w:p>
      <w:pPr>
        <w:pStyle w:val="Style33"/>
        <w:keepNext w:val="0"/>
        <w:keepLines w:val="0"/>
        <w:widowControl w:val="0"/>
        <w:numPr>
          <w:ilvl w:val="0"/>
          <w:numId w:val="79"/>
        </w:numPr>
        <w:shd w:val="clear" w:color="auto" w:fill="auto"/>
        <w:tabs>
          <w:tab w:pos="714" w:val="left"/>
        </w:tabs>
        <w:bidi w:val="0"/>
        <w:spacing w:before="0" w:after="320" w:line="322" w:lineRule="exact"/>
        <w:ind w:left="720" w:right="0" w:hanging="720"/>
        <w:jc w:val="left"/>
        <w:rPr>
          <w:sz w:val="22"/>
          <w:szCs w:val="22"/>
        </w:rPr>
      </w:pPr>
      <w:bookmarkStart w:id="939" w:name="bookmark939"/>
      <w:bookmarkEnd w:id="939"/>
      <w:r>
        <w:rPr>
          <w:b w:val="0"/>
          <w:bCs w:val="0"/>
          <w:color w:val="000000"/>
          <w:spacing w:val="0"/>
          <w:w w:val="100"/>
          <w:position w:val="0"/>
          <w:sz w:val="22"/>
          <w:szCs w:val="22"/>
        </w:rPr>
        <w:t>本集团对国际新城发展、盛海信息、格灵信息以及乐收网络的持股比例虽然均 低于</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，但是上述四家公司的股东合作投资协议中均规定重大的生产经营 和财务决策均需经本集团同意方可通过，故将上述四家公司作为合营企业核算。</w:t>
      </w:r>
    </w:p>
    <w:p>
      <w:pPr>
        <w:pStyle w:val="Style33"/>
        <w:keepNext w:val="0"/>
        <w:keepLines w:val="0"/>
        <w:widowControl w:val="0"/>
        <w:numPr>
          <w:ilvl w:val="0"/>
          <w:numId w:val="79"/>
        </w:numPr>
        <w:shd w:val="clear" w:color="auto" w:fill="auto"/>
        <w:tabs>
          <w:tab w:pos="714" w:val="left"/>
        </w:tabs>
        <w:bidi w:val="0"/>
        <w:spacing w:before="0" w:after="320" w:line="324" w:lineRule="exact"/>
        <w:ind w:left="720" w:right="0" w:hanging="720"/>
        <w:jc w:val="left"/>
        <w:rPr>
          <w:sz w:val="22"/>
          <w:szCs w:val="22"/>
        </w:rPr>
      </w:pPr>
      <w:bookmarkStart w:id="940" w:name="bookmark940"/>
      <w:bookmarkEnd w:id="940"/>
      <w:r>
        <w:rPr>
          <w:b w:val="0"/>
          <w:bCs w:val="0"/>
          <w:color w:val="000000"/>
          <w:spacing w:val="0"/>
          <w:w w:val="100"/>
          <w:position w:val="0"/>
          <w:sz w:val="22"/>
          <w:szCs w:val="22"/>
        </w:rPr>
        <w:t>本集团对百米生活和数字绿土的持股比例虽然低于</w:t>
      </w:r>
      <w:r>
        <w:rPr>
          <w:rFonts w:ascii="Arial" w:eastAsia="Arial" w:hAnsi="Arial" w:cs="Arial"/>
          <w:b w:val="0"/>
          <w:bCs w:val="0"/>
          <w:color w:val="000000"/>
          <w:spacing w:val="0"/>
          <w:w w:val="100"/>
          <w:position w:val="0"/>
          <w:sz w:val="24"/>
          <w:szCs w:val="24"/>
        </w:rPr>
        <w:t>20%</w:t>
      </w:r>
      <w:r>
        <w:rPr>
          <w:b w:val="0"/>
          <w:bCs w:val="0"/>
          <w:color w:val="000000"/>
          <w:spacing w:val="0"/>
          <w:w w:val="100"/>
          <w:position w:val="0"/>
          <w:sz w:val="22"/>
          <w:szCs w:val="22"/>
        </w:rPr>
        <w:t>，但是百米生活和数 字绿土的董事会中均有</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名董事由本集团任命，并能够对其公司经营决策施加 重大影响，故将百米生活和数字绿土作为联营企业核算。</w:t>
      </w:r>
    </w:p>
    <w:p>
      <w:pPr>
        <w:pStyle w:val="Style33"/>
        <w:keepNext w:val="0"/>
        <w:keepLines w:val="0"/>
        <w:widowControl w:val="0"/>
        <w:numPr>
          <w:ilvl w:val="0"/>
          <w:numId w:val="79"/>
        </w:numPr>
        <w:shd w:val="clear" w:color="auto" w:fill="auto"/>
        <w:tabs>
          <w:tab w:pos="714" w:val="left"/>
        </w:tabs>
        <w:bidi w:val="0"/>
        <w:spacing w:before="0" w:after="320" w:line="322" w:lineRule="exact"/>
        <w:ind w:left="720" w:right="0" w:hanging="720"/>
        <w:jc w:val="left"/>
        <w:rPr>
          <w:sz w:val="22"/>
          <w:szCs w:val="22"/>
        </w:rPr>
        <w:sectPr>
          <w:footnotePr>
            <w:pos w:val="pageBottom"/>
            <w:numFmt w:val="decimal"/>
            <w:numRestart w:val="continuous"/>
          </w:footnotePr>
          <w:type w:val="continuous"/>
          <w:pgSz w:w="11900" w:h="16840"/>
          <w:pgMar w:top="2113" w:right="938" w:bottom="3827" w:left="1900" w:header="0" w:footer="3" w:gutter="0"/>
          <w:cols w:space="720"/>
          <w:noEndnote/>
          <w:rtlGutter w:val="0"/>
          <w:docGrid w:linePitch="360"/>
        </w:sectPr>
      </w:pPr>
      <w:bookmarkStart w:id="941" w:name="bookmark941"/>
      <w:bookmarkEnd w:id="941"/>
      <w:r>
        <w:rPr>
          <w:b w:val="0"/>
          <w:bCs w:val="0"/>
          <w:color w:val="000000"/>
          <w:spacing w:val="0"/>
          <w:w w:val="100"/>
          <w:position w:val="0"/>
          <w:sz w:val="22"/>
          <w:szCs w:val="22"/>
        </w:rPr>
        <w:t>本集团对顺丰彩的持股比例虽然等于</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，但是顺丰彩董事会的</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名董事中， 仅有</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名董事由本集团任命，故将其作为联营企业核算。</w:t>
      </w:r>
    </w:p>
    <w:p>
      <w:pPr>
        <w:pStyle w:val="Style33"/>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2"/>
          <w:szCs w:val="22"/>
        </w:rPr>
        <w:t>六在其他主体中的权益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7"/>
        <w:keepNext/>
        <w:keepLines/>
        <w:widowControl w:val="0"/>
        <w:shd w:val="clear" w:color="auto" w:fill="auto"/>
        <w:bidi w:val="0"/>
        <w:spacing w:before="0" w:after="340" w:line="240" w:lineRule="auto"/>
        <w:ind w:left="0" w:right="0" w:firstLine="0"/>
        <w:jc w:val="left"/>
      </w:pPr>
      <w:bookmarkStart w:id="942" w:name="bookmark942"/>
      <w:bookmarkStart w:id="943" w:name="bookmark943"/>
      <w:bookmarkStart w:id="944" w:name="bookmark944"/>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42"/>
      <w:bookmarkEnd w:id="943"/>
      <w:bookmarkEnd w:id="944"/>
    </w:p>
    <w:p>
      <w:pPr>
        <w:pStyle w:val="Style33"/>
        <w:keepNext w:val="0"/>
        <w:keepLines w:val="0"/>
        <w:widowControl w:val="0"/>
        <w:shd w:val="clear" w:color="auto" w:fill="auto"/>
        <w:bidi w:val="0"/>
        <w:spacing w:before="0" w:after="34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重要合营企业的主要财务信息</w:t>
      </w:r>
    </w:p>
    <w:tbl>
      <w:tblPr>
        <w:tblOverlap w:val="never"/>
        <w:jc w:val="left"/>
        <w:tblLayout w:type="fixed"/>
      </w:tblPr>
      <w:tblGrid>
        <w:gridCol w:w="3989"/>
        <w:gridCol w:w="2520"/>
        <w:gridCol w:w="2285"/>
      </w:tblGrid>
      <w:tr>
        <w:trPr>
          <w:trHeight w:val="307" w:hRule="exact"/>
        </w:trPr>
        <w:tc>
          <w:tcPr>
            <w:tcBorders/>
            <w:shd w:val="clear" w:color="auto" w:fill="FFFFFF"/>
            <w:vAlign w:val="top"/>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w:t>
            </w:r>
          </w:p>
        </w:tc>
        <w:tc>
          <w:tcPr>
            <w:tcBorders/>
            <w:shd w:val="clear" w:color="auto" w:fill="FFFFFF"/>
            <w:vAlign w:val="top"/>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48,260,210.65</w:t>
            </w:r>
          </w:p>
        </w:tc>
        <w:tc>
          <w:tcPr>
            <w:tcBorders/>
            <w:shd w:val="clear" w:color="auto" w:fill="FFFFFF"/>
            <w:vAlign w:val="top"/>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 xml:space="preserve">1 </w:t>
            </w:r>
            <w:r>
              <w:rPr>
                <w:rFonts w:ascii="Arial" w:eastAsia="Arial" w:hAnsi="Arial" w:cs="Arial"/>
                <w:color w:val="000000"/>
                <w:spacing w:val="0"/>
                <w:w w:val="100"/>
                <w:position w:val="0"/>
                <w:sz w:val="24"/>
                <w:szCs w:val="24"/>
              </w:rPr>
              <w:t>29,585,256.14</w:t>
            </w:r>
          </w:p>
        </w:tc>
      </w:tr>
      <w:tr>
        <w:trPr>
          <w:trHeight w:val="302"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shd w:val="clear" w:color="auto" w:fill="FFFFFF"/>
            <w:vAlign w:val="center"/>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 xml:space="preserve">4,1 </w:t>
            </w:r>
            <w:r>
              <w:rPr>
                <w:rFonts w:ascii="Arial" w:eastAsia="Arial" w:hAnsi="Arial" w:cs="Arial"/>
                <w:color w:val="000000"/>
                <w:spacing w:val="0"/>
                <w:w w:val="100"/>
                <w:position w:val="0"/>
                <w:sz w:val="24"/>
                <w:szCs w:val="24"/>
              </w:rPr>
              <w:t>79,951,535.63</w:t>
            </w:r>
          </w:p>
        </w:tc>
      </w:tr>
      <w:tr>
        <w:trPr>
          <w:trHeight w:val="341"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资产合计</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48,260,210.65</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4,3 09,536,791.77</w:t>
            </w:r>
          </w:p>
        </w:tc>
      </w:tr>
      <w:tr>
        <w:trPr>
          <w:trHeight w:val="677"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500"/>
              <w:jc w:val="both"/>
              <w:rPr>
                <w:sz w:val="24"/>
                <w:szCs w:val="24"/>
              </w:rPr>
            </w:pPr>
            <w:r>
              <w:rPr>
                <w:rFonts w:ascii="Arial" w:eastAsia="Arial" w:hAnsi="Arial" w:cs="Arial"/>
                <w:color w:val="000000"/>
                <w:spacing w:val="0"/>
                <w:w w:val="100"/>
                <w:position w:val="0"/>
                <w:sz w:val="24"/>
                <w:szCs w:val="24"/>
              </w:rPr>
              <w:t>3</w:t>
            </w:r>
            <w:r>
              <w:rPr>
                <w:rFonts w:ascii="Arial" w:eastAsia="Arial" w:hAnsi="Arial" w:cs="Arial"/>
                <w:color w:val="000000"/>
                <w:spacing w:val="0"/>
                <w:w w:val="100"/>
                <w:position w:val="0"/>
                <w:sz w:val="24"/>
                <w:szCs w:val="24"/>
              </w:rPr>
              <w:t>06,959,618.18</w:t>
            </w:r>
          </w:p>
        </w:tc>
      </w:tr>
      <w:tr>
        <w:trPr>
          <w:trHeight w:val="302"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shd w:val="clear" w:color="auto" w:fill="FFFFFF"/>
            <w:vAlign w:val="center"/>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1,9</w:t>
            </w:r>
            <w:r>
              <w:rPr>
                <w:rFonts w:ascii="Arial" w:eastAsia="Arial" w:hAnsi="Arial" w:cs="Arial"/>
                <w:color w:val="000000"/>
                <w:spacing w:val="0"/>
                <w:w w:val="100"/>
                <w:position w:val="0"/>
                <w:sz w:val="24"/>
                <w:szCs w:val="24"/>
              </w:rPr>
              <w:t>16,121,954.89</w:t>
            </w:r>
          </w:p>
        </w:tc>
      </w:tr>
      <w:tr>
        <w:trPr>
          <w:trHeight w:val="341"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负债合计</w:t>
            </w:r>
          </w:p>
        </w:tc>
        <w:tc>
          <w:tcPr>
            <w:tcBorders>
              <w:top w:val="single" w:sz="4"/>
            </w:tcBorders>
            <w:shd w:val="clear" w:color="auto" w:fill="FFFFFF"/>
            <w:vAlign w:val="center"/>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2,2</w:t>
            </w:r>
            <w:r>
              <w:rPr>
                <w:rFonts w:ascii="Arial" w:eastAsia="Arial" w:hAnsi="Arial" w:cs="Arial"/>
                <w:color w:val="000000"/>
                <w:spacing w:val="0"/>
                <w:w w:val="100"/>
                <w:position w:val="0"/>
                <w:sz w:val="24"/>
                <w:szCs w:val="24"/>
              </w:rPr>
              <w:t>23,081,573.07</w:t>
            </w:r>
          </w:p>
        </w:tc>
      </w:tr>
      <w:tr>
        <w:trPr>
          <w:trHeight w:val="677"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归属于母公司股东权益净资产</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48,260,210.65</w:t>
            </w:r>
          </w:p>
        </w:tc>
        <w:tc>
          <w:tcPr>
            <w:tcBorders>
              <w:top w:val="single" w:sz="4"/>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2,0</w:t>
            </w:r>
            <w:r>
              <w:rPr>
                <w:rFonts w:ascii="Arial" w:eastAsia="Arial" w:hAnsi="Arial" w:cs="Arial"/>
                <w:color w:val="000000"/>
                <w:spacing w:val="0"/>
                <w:w w:val="100"/>
                <w:position w:val="0"/>
                <w:sz w:val="24"/>
                <w:szCs w:val="24"/>
              </w:rPr>
              <w:t>86,455,218.70</w:t>
            </w:r>
          </w:p>
        </w:tc>
      </w:tr>
      <w:tr>
        <w:trPr>
          <w:trHeight w:val="317"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按持股比例计算的净资产份额</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24,130,105.33</w:t>
            </w:r>
          </w:p>
        </w:tc>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1,043,227,609.35</w:t>
            </w:r>
          </w:p>
        </w:tc>
      </w:tr>
      <w:tr>
        <w:trPr>
          <w:trHeight w:val="317" w:hRule="exact"/>
        </w:trPr>
        <w:tc>
          <w:tcPr>
            <w:tcBorders/>
            <w:shd w:val="clear" w:color="auto" w:fill="FFFFFF"/>
            <w:vAlign w:val="top"/>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调整事项：</w:t>
            </w:r>
          </w:p>
        </w:tc>
        <w:tc>
          <w:tcPr>
            <w:tcBorders/>
            <w:shd w:val="clear" w:color="auto" w:fill="FFFFFF"/>
            <w:vAlign w:val="top"/>
          </w:tcPr>
          <w:p>
            <w:pPr>
              <w:framePr w:w="8794" w:h="3902" w:vSpace="960" w:wrap="notBeside" w:vAnchor="text" w:hAnchor="text" w:x="3" w:y="961"/>
              <w:widowControl w:val="0"/>
              <w:rPr>
                <w:sz w:val="10"/>
                <w:szCs w:val="10"/>
              </w:rPr>
            </w:pPr>
          </w:p>
        </w:tc>
        <w:tc>
          <w:tcPr>
            <w:tcBorders/>
            <w:shd w:val="clear" w:color="auto" w:fill="FFFFFF"/>
            <w:vAlign w:val="top"/>
          </w:tcPr>
          <w:p>
            <w:pPr>
              <w:framePr w:w="8794" w:h="3902" w:vSpace="960" w:wrap="notBeside" w:vAnchor="text" w:hAnchor="text" w:x="3" w:y="961"/>
              <w:widowControl w:val="0"/>
              <w:rPr>
                <w:sz w:val="10"/>
                <w:szCs w:val="10"/>
              </w:rPr>
            </w:pPr>
          </w:p>
        </w:tc>
      </w:tr>
      <w:tr>
        <w:trPr>
          <w:trHeight w:val="322" w:hRule="exact"/>
        </w:trPr>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内部交易未实现利润</w:t>
            </w:r>
          </w:p>
        </w:tc>
        <w:tc>
          <w:tcPr>
            <w:tcBorders/>
            <w:shd w:val="clear" w:color="auto" w:fill="FFFFFF"/>
            <w:vAlign w:val="center"/>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794" w:h="3902" w:vSpace="960" w:wrap="notBeside" w:vAnchor="text" w:hAnchor="text" w:x="3" w:y="961"/>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(34,916,188.43)</w:t>
            </w:r>
          </w:p>
        </w:tc>
      </w:tr>
    </w:tbl>
    <w:p>
      <w:pPr>
        <w:pStyle w:val="Style29"/>
        <w:keepNext w:val="0"/>
        <w:keepLines w:val="0"/>
        <w:framePr w:w="2131" w:h="600" w:hSpace="2" w:wrap="notBeside" w:vAnchor="text" w:hAnchor="text" w:x="4107" w:y="1"/>
        <w:widowControl w:val="0"/>
        <w:shd w:val="clear" w:color="auto" w:fill="auto"/>
        <w:bidi w:val="0"/>
        <w:spacing w:before="0" w:after="40" w:line="240" w:lineRule="auto"/>
        <w:ind w:left="0" w:right="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2131" w:h="600" w:hSpace="2" w:wrap="notBeside" w:vAnchor="text" w:hAnchor="text" w:x="4107" w:y="1"/>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商顺供应链</w:t>
      </w:r>
    </w:p>
    <w:p>
      <w:pPr>
        <w:pStyle w:val="Style29"/>
        <w:keepNext w:val="0"/>
        <w:keepLines w:val="0"/>
        <w:framePr w:w="2131" w:h="595" w:hSpace="2" w:wrap="notBeside" w:vAnchor="text" w:hAnchor="text" w:x="6603" w:y="1"/>
        <w:widowControl w:val="0"/>
        <w:shd w:val="clear" w:color="auto" w:fill="auto"/>
        <w:bidi w:val="0"/>
        <w:spacing w:before="0" w:after="4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2131" w:h="595" w:hSpace="2" w:wrap="notBeside" w:vAnchor="text" w:hAnchor="text" w:x="6603" w:y="1"/>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商顺供应链</w:t>
      </w:r>
    </w:p>
    <w:p>
      <w:pPr>
        <w:widowControl w:val="0"/>
        <w:spacing w:line="1" w:lineRule="exact"/>
      </w:pPr>
    </w:p>
    <w:p>
      <w:pPr>
        <w:pStyle w:val="Style94"/>
        <w:keepNext w:val="0"/>
        <w:keepLines w:val="0"/>
        <w:widowControl w:val="0"/>
        <w:shd w:val="clear" w:color="auto" w:fill="auto"/>
        <w:tabs>
          <w:tab w:pos="4637" w:val="left"/>
          <w:tab w:pos="6782" w:val="left"/>
        </w:tabs>
        <w:bidi w:val="0"/>
        <w:spacing w:before="0" w:after="340" w:line="240" w:lineRule="auto"/>
        <w:ind w:left="0" w:right="0" w:firstLine="0"/>
        <w:jc w:val="left"/>
      </w:pPr>
      <w:r>
        <w:rPr>
          <w:rFonts w:ascii="SimSun" w:eastAsia="SimSun" w:hAnsi="SimSun" w:cs="SimSun"/>
          <w:color w:val="000000"/>
          <w:spacing w:val="0"/>
          <w:w w:val="100"/>
          <w:position w:val="0"/>
          <w:sz w:val="22"/>
          <w:szCs w:val="22"/>
        </w:rPr>
        <w:t>对合营企业投资的账面价值</w:t>
        <w:tab/>
      </w:r>
      <w:r>
        <w:rPr>
          <w:color w:val="000000"/>
          <w:spacing w:val="0"/>
          <w:w w:val="100"/>
          <w:position w:val="0"/>
          <w:sz w:val="24"/>
          <w:szCs w:val="24"/>
        </w:rPr>
        <w:t>24,130,105.33</w:t>
        <w:tab/>
      </w:r>
      <w:r>
        <w:rPr>
          <w:color w:val="000000"/>
          <w:spacing w:val="0"/>
          <w:w w:val="100"/>
          <w:position w:val="0"/>
          <w:sz w:val="24"/>
          <w:szCs w:val="24"/>
        </w:rPr>
        <w:t>1,0</w:t>
      </w:r>
      <w:r>
        <w:rPr>
          <w:color w:val="000000"/>
          <w:spacing w:val="0"/>
          <w:w w:val="100"/>
          <w:position w:val="0"/>
          <w:sz w:val="24"/>
          <w:szCs w:val="24"/>
        </w:rPr>
        <w:t>08,311,420.92</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年度，不存在公开报价的合营企业投资的公允价值。</w:t>
      </w:r>
    </w:p>
    <w:p>
      <w:pPr>
        <w:widowControl w:val="0"/>
        <w:spacing w:line="1" w:lineRule="exact"/>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1844" w:right="1154" w:bottom="3745" w:left="1948" w:header="0" w:footer="3" w:gutter="0"/>
          <w:cols w:space="720"/>
          <w:noEndnote/>
          <w:titlePg/>
          <w:rtlGutter w:val="0"/>
          <w:docGrid w:linePitch="360"/>
        </w:sectPr>
      </w:pPr>
      <w:r>
        <mc:AlternateContent>
          <mc:Choice Requires="wps">
            <w:drawing>
              <wp:anchor distT="152400" distB="0" distL="0" distR="0" simplePos="0" relativeHeight="125829569" behindDoc="0" locked="0" layoutInCell="1" allowOverlap="1">
                <wp:simplePos x="0" y="0"/>
                <wp:positionH relativeFrom="page">
                  <wp:posOffset>4425315</wp:posOffset>
                </wp:positionH>
                <wp:positionV relativeFrom="paragraph">
                  <wp:posOffset>152400</wp:posOffset>
                </wp:positionV>
                <wp:extent cx="783590" cy="377825"/>
                <wp:wrapTopAndBottom/>
                <wp:docPr id="607" name="Shape 607"/>
                <a:graphic xmlns:a="http://schemas.openxmlformats.org/drawingml/2006/main">
                  <a:graphicData uri="http://schemas.microsoft.com/office/word/2010/wordprocessingShape">
                    <wps:wsp>
                      <wps:cNvSpPr txBox="1"/>
                      <wps:spPr>
                        <a:xfrm>
                          <a:ext cx="783590" cy="377825"/>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val="0"/>
                                <w:bCs w:val="0"/>
                                <w:color w:val="000000"/>
                                <w:spacing w:val="0"/>
                                <w:w w:val="100"/>
                                <w:position w:val="0"/>
                                <w:sz w:val="22"/>
                                <w:szCs w:val="22"/>
                              </w:rPr>
                              <w:t>商顺供应链</w:t>
                            </w:r>
                          </w:p>
                        </w:txbxContent>
                      </wps:txbx>
                      <wps:bodyPr lIns="0" tIns="0" rIns="0" bIns="0">
                        <a:noAutoFit/>
                      </wps:bodyPr>
                    </wps:wsp>
                  </a:graphicData>
                </a:graphic>
              </wp:anchor>
            </w:drawing>
          </mc:Choice>
          <mc:Fallback>
            <w:pict>
              <v:shape id="_x0000_s1633" type="#_x0000_t202" style="position:absolute;margin-left:348.44999999999999pt;margin-top:12.pt;width:61.700000000000003pt;height:29.75pt;z-index:-125829184;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val="0"/>
                          <w:bCs w:val="0"/>
                          <w:color w:val="000000"/>
                          <w:spacing w:val="0"/>
                          <w:w w:val="100"/>
                          <w:position w:val="0"/>
                          <w:sz w:val="22"/>
                          <w:szCs w:val="22"/>
                        </w:rPr>
                        <w:t>商顺供应链</w:t>
                      </w:r>
                    </w:p>
                  </w:txbxContent>
                </v:textbox>
                <w10:wrap type="topAndBottom" anchorx="page"/>
              </v:shape>
            </w:pict>
          </mc:Fallback>
        </mc:AlternateContent>
      </w:r>
      <w:r>
        <mc:AlternateContent>
          <mc:Choice Requires="wps">
            <w:drawing>
              <wp:anchor distT="152400" distB="0" distL="0" distR="0" simplePos="0" relativeHeight="125829571" behindDoc="0" locked="0" layoutInCell="1" allowOverlap="1">
                <wp:simplePos x="0" y="0"/>
                <wp:positionH relativeFrom="page">
                  <wp:posOffset>6010275</wp:posOffset>
                </wp:positionH>
                <wp:positionV relativeFrom="paragraph">
                  <wp:posOffset>152400</wp:posOffset>
                </wp:positionV>
                <wp:extent cx="783590" cy="377825"/>
                <wp:wrapTopAndBottom/>
                <wp:docPr id="609" name="Shape 609"/>
                <a:graphic xmlns:a="http://schemas.openxmlformats.org/drawingml/2006/main">
                  <a:graphicData uri="http://schemas.microsoft.com/office/word/2010/wordprocessingShape">
                    <wps:wsp>
                      <wps:cNvSpPr txBox="1"/>
                      <wps:spPr>
                        <a:xfrm>
                          <a:ext cx="783590" cy="377825"/>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val="0"/>
                                <w:bCs w:val="0"/>
                                <w:color w:val="000000"/>
                                <w:spacing w:val="0"/>
                                <w:w w:val="100"/>
                                <w:position w:val="0"/>
                                <w:sz w:val="22"/>
                                <w:szCs w:val="22"/>
                              </w:rPr>
                              <w:t>商顺供应链</w:t>
                            </w:r>
                          </w:p>
                        </w:txbxContent>
                      </wps:txbx>
                      <wps:bodyPr lIns="0" tIns="0" rIns="0" bIns="0">
                        <a:noAutoFit/>
                      </wps:bodyPr>
                    </wps:wsp>
                  </a:graphicData>
                </a:graphic>
              </wp:anchor>
            </w:drawing>
          </mc:Choice>
          <mc:Fallback>
            <w:pict>
              <v:shape id="_x0000_s1635" type="#_x0000_t202" style="position:absolute;margin-left:473.25pt;margin-top:12.pt;width:61.700000000000003pt;height:29.75pt;z-index:-125829182;mso-wrap-distance-left:0;mso-wrap-distance-top:12.pt;mso-wrap-distance-right:0;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val="0"/>
                          <w:bCs w:val="0"/>
                          <w:color w:val="000000"/>
                          <w:spacing w:val="0"/>
                          <w:w w:val="100"/>
                          <w:position w:val="0"/>
                          <w:sz w:val="22"/>
                          <w:szCs w:val="22"/>
                        </w:rPr>
                        <w:t>商顺供应链</w:t>
                      </w:r>
                    </w:p>
                  </w:txbxContent>
                </v:textbox>
                <w10:wrap type="topAndBottom" anchorx="page"/>
              </v:shape>
            </w:pict>
          </mc:Fallback>
        </mc:AlternateContent>
      </w:r>
    </w:p>
    <w:p>
      <w:pPr>
        <w:widowControl w:val="0"/>
        <w:spacing w:line="175" w:lineRule="exact"/>
        <w:rPr>
          <w:sz w:val="14"/>
          <w:szCs w:val="14"/>
        </w:rPr>
      </w:pPr>
    </w:p>
    <w:p>
      <w:pPr>
        <w:widowControl w:val="0"/>
        <w:spacing w:line="1" w:lineRule="exact"/>
        <w:sectPr>
          <w:footnotePr>
            <w:pos w:val="pageBottom"/>
            <w:numFmt w:val="decimal"/>
            <w:numRestart w:val="continuous"/>
          </w:footnotePr>
          <w:type w:val="continuous"/>
          <w:pgSz w:w="11900" w:h="16840"/>
          <w:pgMar w:top="2040" w:right="0" w:bottom="2564" w:left="0" w:header="0" w:footer="3" w:gutter="0"/>
          <w:cols w:space="720"/>
          <w:noEndnote/>
          <w:rtlGutter w:val="0"/>
          <w:docGrid w:linePitch="360"/>
        </w:sectPr>
      </w:pPr>
    </w:p>
    <w:p>
      <w:pPr>
        <w:widowControl w:val="0"/>
        <w:spacing w:line="1" w:lineRule="exact"/>
      </w:pPr>
      <w:r>
        <mc:AlternateContent>
          <mc:Choice Requires="wps">
            <w:drawing>
              <wp:anchor distT="0" distB="0" distL="114300" distR="1751330" simplePos="0" relativeHeight="125829573" behindDoc="0" locked="0" layoutInCell="1" allowOverlap="1">
                <wp:simplePos x="0" y="0"/>
                <wp:positionH relativeFrom="page">
                  <wp:posOffset>4120515</wp:posOffset>
                </wp:positionH>
                <wp:positionV relativeFrom="paragraph">
                  <wp:posOffset>33655</wp:posOffset>
                </wp:positionV>
                <wp:extent cx="1075690" cy="798830"/>
                <wp:wrapSquare wrapText="left"/>
                <wp:docPr id="611" name="Shape 611"/>
                <a:graphic xmlns:a="http://schemas.openxmlformats.org/drawingml/2006/main">
                  <a:graphicData uri="http://schemas.microsoft.com/office/word/2010/wordprocessingShape">
                    <wps:wsp>
                      <wps:cNvSpPr txBox="1"/>
                      <wps:spPr>
                        <a:xfrm>
                          <a:ext cx="1075690" cy="79883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69,732,990.27</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82,461,687.90</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76,079,304.06</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158,540,991.96</w:t>
                            </w:r>
                          </w:p>
                        </w:txbxContent>
                      </wps:txbx>
                      <wps:bodyPr lIns="0" tIns="0" rIns="0" bIns="0">
                        <a:noAutoFit/>
                      </wps:bodyPr>
                    </wps:wsp>
                  </a:graphicData>
                </a:graphic>
              </wp:anchor>
            </w:drawing>
          </mc:Choice>
          <mc:Fallback>
            <w:pict>
              <v:shape id="_x0000_s1637" type="#_x0000_t202" style="position:absolute;margin-left:324.44999999999999pt;margin-top:2.6499999999999999pt;width:84.700000000000003pt;height:62.899999999999999pt;z-index:-125829180;mso-wrap-distance-left:9.pt;mso-wrap-distance-right:137.90000000000001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69,732,990.27</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82,461,687.90</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76,079,304.06</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158,540,991.96</w:t>
                      </w:r>
                    </w:p>
                  </w:txbxContent>
                </v:textbox>
                <w10:wrap type="square" side="left" anchorx="page"/>
              </v:shape>
            </w:pict>
          </mc:Fallback>
        </mc:AlternateContent>
      </w:r>
      <w:r>
        <mc:AlternateContent>
          <mc:Choice Requires="wps">
            <w:drawing>
              <wp:anchor distT="0" distB="0" distL="1699260" distR="114300" simplePos="0" relativeHeight="125829575" behindDoc="0" locked="0" layoutInCell="1" allowOverlap="1">
                <wp:simplePos x="0" y="0"/>
                <wp:positionH relativeFrom="page">
                  <wp:posOffset>5705475</wp:posOffset>
                </wp:positionH>
                <wp:positionV relativeFrom="paragraph">
                  <wp:posOffset>33655</wp:posOffset>
                </wp:positionV>
                <wp:extent cx="1127760" cy="798830"/>
                <wp:wrapSquare wrapText="left"/>
                <wp:docPr id="613" name="Shape 613"/>
                <a:graphic xmlns:a="http://schemas.openxmlformats.org/drawingml/2006/main">
                  <a:graphicData uri="http://schemas.microsoft.com/office/word/2010/wordprocessingShape">
                    <wps:wsp>
                      <wps:cNvSpPr txBox="1"/>
                      <wps:spPr>
                        <a:xfrm>
                          <a:ext cx="1127760" cy="798830"/>
                        </a:xfrm>
                        <a:prstGeom prst="rect"/>
                        <a:noFill/>
                      </wps:spPr>
                      <wps:txbx>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54,643,448.05</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(97,474,009.44)</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120,089,764.06</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22,615,754.62</w:t>
                            </w:r>
                          </w:p>
                        </w:txbxContent>
                      </wps:txbx>
                      <wps:bodyPr lIns="0" tIns="0" rIns="0" bIns="0">
                        <a:noAutoFit/>
                      </wps:bodyPr>
                    </wps:wsp>
                  </a:graphicData>
                </a:graphic>
              </wp:anchor>
            </w:drawing>
          </mc:Choice>
          <mc:Fallback>
            <w:pict>
              <v:shape id="_x0000_s1639" type="#_x0000_t202" style="position:absolute;margin-left:449.25pt;margin-top:2.6499999999999999pt;width:88.799999999999997pt;height:62.899999999999999pt;z-index:-125829178;mso-wrap-distance-left:133.80000000000001pt;mso-wrap-distance-right:9.pt;mso-position-horizontal-relative:page" filled="f" stroked="f">
                <v:textbox inset="0,0,0,0">
                  <w:txbxContent>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54,643,448.05</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(97,474,009.44)</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120,089,764.06</w: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22,615,754.62</w:t>
                      </w:r>
                    </w:p>
                  </w:txbxContent>
                </v:textbox>
                <w10:wrap type="square" side="left" anchorx="page"/>
              </v:shape>
            </w:pict>
          </mc:Fallback>
        </mc:AlternateConten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营业收入</w:t>
      </w:r>
    </w:p>
    <w:p>
      <w:pPr>
        <w:pStyle w:val="Style33"/>
        <w:keepNext w:val="0"/>
        <w:keepLines w:val="0"/>
        <w:widowControl w:val="0"/>
        <w:shd w:val="clear" w:color="auto" w:fill="auto"/>
        <w:bidi w:val="0"/>
        <w:spacing w:before="0" w:after="0" w:line="317" w:lineRule="exact"/>
        <w:ind w:left="0" w:right="0" w:firstLine="0"/>
        <w:jc w:val="left"/>
        <w:rPr>
          <w:sz w:val="28"/>
          <w:szCs w:val="28"/>
        </w:rPr>
      </w:pPr>
      <w:r>
        <w:rPr>
          <w:b w:val="0"/>
          <w:bCs w:val="0"/>
          <w:color w:val="000000"/>
          <w:spacing w:val="0"/>
          <w:w w:val="100"/>
          <w:position w:val="0"/>
          <w:sz w:val="22"/>
          <w:szCs w:val="22"/>
        </w:rPr>
        <w:t>净盈利</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亏损</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其他综合收益</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外币报表折算差额</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综合收益总额</w:t>
      </w:r>
    </w:p>
    <w:p>
      <w:pPr>
        <w:pStyle w:val="Style33"/>
        <w:keepNext w:val="0"/>
        <w:keepLines w:val="0"/>
        <w:widowControl w:val="0"/>
        <w:shd w:val="clear" w:color="auto" w:fill="auto"/>
        <w:bidi w:val="0"/>
        <w:spacing w:before="0" w:after="0" w:line="317" w:lineRule="exact"/>
        <w:ind w:left="280" w:right="0" w:hanging="280"/>
        <w:jc w:val="left"/>
        <w:rPr>
          <w:sz w:val="22"/>
          <w:szCs w:val="22"/>
        </w:rPr>
      </w:pPr>
      <w:r>
        <w:rPr>
          <w:b w:val="0"/>
          <w:bCs w:val="0"/>
          <w:color w:val="000000"/>
          <w:spacing w:val="0"/>
          <w:w w:val="100"/>
          <w:position w:val="0"/>
          <w:sz w:val="22"/>
          <w:szCs w:val="22"/>
        </w:rPr>
        <w:t>本集团本年度收到的来自合营企业的 股利</w:t>
      </w:r>
    </w:p>
    <w:p>
      <w:pPr>
        <w:pStyle w:val="Style27"/>
        <w:keepNext/>
        <w:keepLines/>
        <w:widowControl w:val="0"/>
        <w:shd w:val="clear" w:color="auto" w:fill="auto"/>
        <w:bidi w:val="0"/>
        <w:spacing w:before="0" w:line="319" w:lineRule="exact"/>
        <w:ind w:left="0" w:right="0" w:firstLine="0"/>
        <w:jc w:val="left"/>
        <w:rPr>
          <w:sz w:val="28"/>
          <w:szCs w:val="28"/>
        </w:rPr>
      </w:pPr>
      <w:bookmarkStart w:id="945" w:name="bookmark945"/>
      <w:bookmarkStart w:id="946" w:name="bookmark946"/>
      <w:bookmarkStart w:id="947" w:name="bookmark947"/>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45"/>
      <w:bookmarkEnd w:id="946"/>
      <w:bookmarkEnd w:id="947"/>
    </w:p>
    <w:p>
      <w:pPr>
        <w:pStyle w:val="Style33"/>
        <w:keepNext w:val="0"/>
        <w:keepLines w:val="0"/>
        <w:widowControl w:val="0"/>
        <w:numPr>
          <w:ilvl w:val="0"/>
          <w:numId w:val="81"/>
        </w:numPr>
        <w:shd w:val="clear" w:color="auto" w:fill="auto"/>
        <w:tabs>
          <w:tab w:pos="464" w:val="left"/>
        </w:tabs>
        <w:bidi w:val="0"/>
        <w:spacing w:before="0" w:after="320" w:line="319" w:lineRule="exact"/>
        <w:ind w:left="0" w:right="0" w:firstLine="0"/>
        <w:jc w:val="left"/>
        <w:rPr>
          <w:sz w:val="28"/>
          <w:szCs w:val="28"/>
        </w:rPr>
      </w:pPr>
      <w:bookmarkStart w:id="948" w:name="bookmark948"/>
      <w:bookmarkEnd w:id="948"/>
      <w:r>
        <w:rPr>
          <w:b w:val="0"/>
          <w:bCs w:val="0"/>
          <w:color w:val="000000"/>
          <w:spacing w:val="0"/>
          <w:w w:val="100"/>
          <w:position w:val="0"/>
          <w:sz w:val="22"/>
          <w:szCs w:val="22"/>
        </w:rPr>
        <w:t>重要合营企业的主要财务信息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20" w:line="319" w:lineRule="exact"/>
        <w:ind w:left="360" w:right="0" w:hanging="360"/>
        <w:jc w:val="left"/>
        <w:rPr>
          <w:sz w:val="22"/>
          <w:szCs w:val="22"/>
        </w:rPr>
      </w:pPr>
      <w:r>
        <w:rPr>
          <w:b w:val="0"/>
          <w:bCs w:val="0"/>
          <w:color w:val="000000"/>
          <w:spacing w:val="0"/>
          <w:w w:val="100"/>
          <w:position w:val="0"/>
          <w:sz w:val="22"/>
          <w:szCs w:val="22"/>
        </w:rPr>
        <w:t>⑴本集团以合营企业合并财务报表中归属于母公司的金额为基础，按持股比例计算 资产份额。合营企业合并财务报表中的金额考虑了取得投资时合营企业可辨认资 产和负债的公允价值以及统一会计政策的影响。</w:t>
      </w:r>
    </w:p>
    <w:p>
      <w:pPr>
        <w:pStyle w:val="Style33"/>
        <w:keepNext w:val="0"/>
        <w:keepLines w:val="0"/>
        <w:widowControl w:val="0"/>
        <w:numPr>
          <w:ilvl w:val="0"/>
          <w:numId w:val="81"/>
        </w:numPr>
        <w:shd w:val="clear" w:color="auto" w:fill="auto"/>
        <w:tabs>
          <w:tab w:pos="464" w:val="left"/>
        </w:tabs>
        <w:bidi w:val="0"/>
        <w:spacing w:before="0" w:after="380" w:line="319" w:lineRule="exact"/>
        <w:ind w:left="0" w:right="0" w:firstLine="0"/>
        <w:jc w:val="left"/>
        <w:rPr>
          <w:sz w:val="22"/>
          <w:szCs w:val="22"/>
        </w:rPr>
      </w:pPr>
      <w:bookmarkStart w:id="949" w:name="bookmark949"/>
      <w:bookmarkEnd w:id="949"/>
      <w:r>
        <w:rPr>
          <w:b w:val="0"/>
          <w:bCs w:val="0"/>
          <w:color w:val="000000"/>
          <w:spacing w:val="0"/>
          <w:w w:val="100"/>
          <w:position w:val="0"/>
          <w:sz w:val="22"/>
          <w:szCs w:val="22"/>
        </w:rPr>
        <w:t>重要联营企业的主要财务信息</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3024"/>
        <w:gridCol w:w="1886"/>
        <w:gridCol w:w="2170"/>
        <w:gridCol w:w="1776"/>
      </w:tblGrid>
      <w:tr>
        <w:trPr>
          <w:trHeight w:val="52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珠海随变</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360" w:firstLine="0"/>
              <w:jc w:val="right"/>
              <w:rPr>
                <w:sz w:val="19"/>
                <w:szCs w:val="19"/>
              </w:rPr>
            </w:pPr>
            <w:r>
              <w:rPr>
                <w:color w:val="000000"/>
                <w:spacing w:val="0"/>
                <w:w w:val="100"/>
                <w:position w:val="0"/>
                <w:sz w:val="19"/>
                <w:szCs w:val="19"/>
              </w:rPr>
              <w:t>丰巢科技</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百米生活</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182,424,318.89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221,347,580.25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18,456,335.26</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2,517,231.79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1,090,161,515.05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55,468,357.90</w:t>
            </w:r>
          </w:p>
        </w:tc>
      </w:tr>
      <w:tr>
        <w:trPr>
          <w:trHeight w:val="33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资产合计</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184,941,550.68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1,311,509,095.30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73,924,693.16</w:t>
            </w:r>
          </w:p>
        </w:tc>
      </w:tr>
      <w:tr>
        <w:trPr>
          <w:trHeight w:val="68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152,880,675.82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432,897,115.68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82,910,072.94</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102,559,780.14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2,459,259.33</w:t>
            </w:r>
          </w:p>
        </w:tc>
      </w:tr>
      <w:tr>
        <w:trPr>
          <w:trHeight w:val="33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152,880,675.82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535,456,895.82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85,369,332.27</w:t>
            </w:r>
          </w:p>
        </w:tc>
      </w:tr>
      <w:tr>
        <w:trPr>
          <w:trHeight w:val="68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(1,779,410.09)</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32,060,874.86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776,052,199.48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(9,665,229.02)</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按持股比例计算的净资产份额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12,824,349.94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296,839,966.30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(1,395,659.07)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商誉</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69,860,609.76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66,311,184.12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6,733,420.99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2,145,603.84</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对联营企业投资的账面价值</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89,418,380.69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296,839,966.30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67,061,128.89</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存在公开报价的联营企业投资的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公允价值</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不存在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60" w:firstLine="0"/>
              <w:jc w:val="right"/>
              <w:rPr>
                <w:sz w:val="19"/>
                <w:szCs w:val="19"/>
              </w:rPr>
            </w:pPr>
            <w:r>
              <w:rPr>
                <w:color w:val="000000"/>
                <w:spacing w:val="0"/>
                <w:w w:val="100"/>
                <w:position w:val="0"/>
                <w:sz w:val="19"/>
                <w:szCs w:val="19"/>
              </w:rPr>
              <w:t>不存在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不存在</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left"/>
      </w:pPr>
      <w:bookmarkStart w:id="950" w:name="bookmark950"/>
      <w:bookmarkStart w:id="951" w:name="bookmark951"/>
      <w:bookmarkStart w:id="952" w:name="bookmark952"/>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50"/>
      <w:bookmarkEnd w:id="951"/>
      <w:bookmarkEnd w:id="952"/>
    </w:p>
    <w:p>
      <w:pPr>
        <w:pStyle w:val="Style33"/>
        <w:keepNext w:val="0"/>
        <w:keepLines w:val="0"/>
        <w:widowControl w:val="0"/>
        <w:shd w:val="clear" w:color="auto" w:fill="auto"/>
        <w:bidi w:val="0"/>
        <w:spacing w:before="0" w:after="38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（c）</w:t>
      </w:r>
      <w:r>
        <w:rPr>
          <w:b w:val="0"/>
          <w:bCs w:val="0"/>
          <w:color w:val="000000"/>
          <w:spacing w:val="0"/>
          <w:w w:val="100"/>
          <w:position w:val="0"/>
          <w:sz w:val="22"/>
          <w:szCs w:val="22"/>
        </w:rPr>
        <w:t>重要联营企业的主要财务信息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bl>
      <w:tblPr>
        <w:tblOverlap w:val="never"/>
        <w:jc w:val="center"/>
        <w:tblLayout w:type="fixed"/>
      </w:tblPr>
      <w:tblGrid>
        <w:gridCol w:w="3000"/>
        <w:gridCol w:w="2006"/>
        <w:gridCol w:w="2030"/>
        <w:gridCol w:w="1810"/>
      </w:tblGrid>
      <w:tr>
        <w:trPr>
          <w:trHeight w:val="52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珠海随变</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920"/>
              <w:jc w:val="left"/>
              <w:rPr>
                <w:sz w:val="19"/>
                <w:szCs w:val="19"/>
              </w:rPr>
            </w:pPr>
            <w:r>
              <w:rPr>
                <w:color w:val="000000"/>
                <w:spacing w:val="0"/>
                <w:w w:val="100"/>
                <w:position w:val="0"/>
                <w:sz w:val="19"/>
                <w:szCs w:val="19"/>
              </w:rPr>
              <w:t>丰巢科技</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百米生活</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33,632,367.88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451,301,521.81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84,334,483.18</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1,905,853.12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33,042,126.42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48,692,539.77</w:t>
            </w:r>
          </w:p>
        </w:tc>
      </w:tr>
      <w:tr>
        <w:trPr>
          <w:trHeight w:val="32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资产合计</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35,538,221.00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484,343,648.23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133,027,022.95</w:t>
            </w:r>
          </w:p>
        </w:tc>
      </w:tr>
      <w:tr>
        <w:trPr>
          <w:trHeight w:val="68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10,158,724.27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12,807,699.00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24,067,255.69</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4,348,148.15</w:t>
            </w:r>
          </w:p>
        </w:tc>
      </w:tr>
      <w:tr>
        <w:trPr>
          <w:trHeight w:val="33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10,158,724.27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12,807,699.00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28,415,403.84</w:t>
            </w:r>
          </w:p>
        </w:tc>
      </w:tr>
      <w:tr>
        <w:trPr>
          <w:trHeight w:val="68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(797,055.24)</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25,379,496.73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471,535,949.23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105,408,674.35</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按持股比例计算的净资产份额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10,151,798.69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165,037,582.23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15,811,301.15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商誉</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37,860,609.76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66,311,184.12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对联营企业投资的账面价值</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48,012,408.45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165,037,582.23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82,122,485.27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存在公开报价的联营企业投资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的公允价值</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不存在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不存在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不存在</w:t>
            </w:r>
          </w:p>
        </w:tc>
      </w:tr>
    </w:tbl>
    <w:p>
      <w:pPr>
        <w:widowControl w:val="0"/>
        <w:spacing w:after="379" w:line="1" w:lineRule="exact"/>
      </w:pPr>
    </w:p>
    <w:p>
      <w:pPr>
        <w:pStyle w:val="Style33"/>
        <w:keepNext w:val="0"/>
        <w:keepLines w:val="0"/>
        <w:widowControl w:val="0"/>
        <w:shd w:val="clear" w:color="auto" w:fill="auto"/>
        <w:bidi w:val="0"/>
        <w:spacing w:before="0" w:after="380" w:line="240" w:lineRule="auto"/>
        <w:ind w:left="0" w:right="0" w:firstLine="0"/>
        <w:jc w:val="left"/>
        <w:rPr>
          <w:sz w:val="22"/>
          <w:szCs w:val="22"/>
        </w:rPr>
      </w:pPr>
      <w:r>
        <w:rPr>
          <w:b w:val="0"/>
          <w:bCs w:val="0"/>
          <w:color w:val="000000"/>
          <w:spacing w:val="0"/>
          <w:w w:val="100"/>
          <w:position w:val="0"/>
          <w:sz w:val="22"/>
          <w:szCs w:val="22"/>
        </w:rPr>
        <w:t>百米生活于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日在全国中小企业股转系统挂牌。</w:t>
      </w:r>
      <w:r>
        <w:br w:type="page"/>
      </w:r>
    </w:p>
    <w:p>
      <w:pPr>
        <w:pStyle w:val="Style27"/>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53"/>
      <w:bookmarkEnd w:id="954"/>
      <w:bookmarkEnd w:id="955"/>
    </w:p>
    <w:p>
      <w:pPr>
        <w:pStyle w:val="Style33"/>
        <w:keepNext w:val="0"/>
        <w:keepLines w:val="0"/>
        <w:widowControl w:val="0"/>
        <w:shd w:val="clear" w:color="auto" w:fill="auto"/>
        <w:bidi w:val="0"/>
        <w:spacing w:before="0" w:after="36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(c)</w:t>
      </w:r>
      <w:r>
        <w:rPr>
          <w:b w:val="0"/>
          <w:bCs w:val="0"/>
          <w:color w:val="000000"/>
          <w:spacing w:val="0"/>
          <w:w w:val="100"/>
          <w:position w:val="0"/>
          <w:sz w:val="22"/>
          <w:szCs w:val="22"/>
        </w:rPr>
        <w:t>重要联营企业的主要财务信息</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tbl>
      <w:tblPr>
        <w:tblOverlap w:val="never"/>
        <w:jc w:val="center"/>
        <w:tblLayout w:type="fixed"/>
      </w:tblPr>
      <w:tblGrid>
        <w:gridCol w:w="2165"/>
        <w:gridCol w:w="6792"/>
      </w:tblGrid>
      <w:tr>
        <w:trPr>
          <w:trHeight w:val="2395" w:hRule="exact"/>
        </w:trPr>
        <w:tc>
          <w:tcPr>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营业收入</w:t>
            </w:r>
          </w:p>
          <w:p>
            <w:pPr>
              <w:pStyle w:val="Style23"/>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净亏损</w:t>
            </w:r>
          </w:p>
          <w:p>
            <w:pPr>
              <w:pStyle w:val="Style23"/>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其他综合收益 综合收益总额</w:t>
            </w:r>
          </w:p>
        </w:tc>
        <w:tc>
          <w:tcPr>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center"/>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w:t>
            </w:r>
          </w:p>
          <w:p>
            <w:pPr>
              <w:pStyle w:val="Style23"/>
              <w:keepNext w:val="0"/>
              <w:keepLines w:val="0"/>
              <w:widowControl w:val="0"/>
              <w:shd w:val="clear" w:color="auto" w:fill="auto"/>
              <w:tabs>
                <w:tab w:pos="3546" w:val="left"/>
                <w:tab w:pos="5821" w:val="left"/>
              </w:tabs>
              <w:bidi w:val="0"/>
              <w:spacing w:before="0" w:after="400" w:line="240" w:lineRule="auto"/>
              <w:ind w:left="1280" w:right="0" w:firstLine="0"/>
              <w:jc w:val="left"/>
              <w:rPr>
                <w:sz w:val="19"/>
                <w:szCs w:val="19"/>
              </w:rPr>
            </w:pPr>
            <w:r>
              <w:rPr>
                <w:color w:val="000000"/>
                <w:spacing w:val="0"/>
                <w:w w:val="100"/>
                <w:position w:val="0"/>
                <w:sz w:val="19"/>
                <w:szCs w:val="19"/>
              </w:rPr>
              <w:t>珠海随变</w:t>
              <w:tab/>
              <w:t>丰巢科技</w:t>
              <w:tab/>
              <w:t>百米生活</w:t>
            </w:r>
          </w:p>
          <w:p>
            <w:pPr>
              <w:pStyle w:val="Style23"/>
              <w:keepNext w:val="0"/>
              <w:keepLines w:val="0"/>
              <w:widowControl w:val="0"/>
              <w:shd w:val="clear" w:color="auto" w:fill="auto"/>
              <w:tabs>
                <w:tab w:pos="3056" w:val="left"/>
                <w:tab w:pos="5322" w:val="left"/>
              </w:tabs>
              <w:bidi w:val="0"/>
              <w:spacing w:before="0" w:after="100" w:line="240" w:lineRule="auto"/>
              <w:ind w:left="0" w:right="0" w:firstLine="800"/>
              <w:jc w:val="left"/>
              <w:rPr>
                <w:sz w:val="20"/>
                <w:szCs w:val="20"/>
              </w:rPr>
            </w:pPr>
            <w:r>
              <w:rPr>
                <w:rFonts w:ascii="Arial" w:eastAsia="Arial" w:hAnsi="Arial" w:cs="Arial"/>
                <w:color w:val="000000"/>
                <w:spacing w:val="0"/>
                <w:w w:val="100"/>
                <w:position w:val="0"/>
                <w:sz w:val="20"/>
                <w:szCs w:val="20"/>
              </w:rPr>
              <w:t>40,698,912.67</w:t>
              <w:tab/>
              <w:t>21,739,718.66</w:t>
              <w:tab/>
              <w:t>52,201,403.30</w:t>
            </w:r>
          </w:p>
          <w:p>
            <w:pPr>
              <w:pStyle w:val="Style23"/>
              <w:keepNext w:val="0"/>
              <w:keepLines w:val="0"/>
              <w:widowControl w:val="0"/>
              <w:shd w:val="clear" w:color="auto" w:fill="auto"/>
              <w:tabs>
                <w:tab w:pos="2881" w:val="left"/>
                <w:tab w:pos="5146" w:val="left"/>
              </w:tabs>
              <w:bidi w:val="0"/>
              <w:spacing w:before="0" w:after="400" w:line="240" w:lineRule="auto"/>
              <w:ind w:left="0" w:right="0" w:firstLine="740"/>
              <w:jc w:val="left"/>
              <w:rPr>
                <w:sz w:val="20"/>
                <w:szCs w:val="20"/>
              </w:rPr>
            </w:pPr>
            <w:r>
              <w:rPr>
                <w:rFonts w:ascii="Arial" w:eastAsia="Arial" w:hAnsi="Arial" w:cs="Arial"/>
                <w:color w:val="000000"/>
                <w:spacing w:val="0"/>
                <w:w w:val="100"/>
                <w:position w:val="0"/>
                <w:sz w:val="20"/>
                <w:szCs w:val="20"/>
              </w:rPr>
              <w:t>(57,041,664.55)</w:t>
              <w:tab/>
              <w:t>(235,651,482.10)</w:t>
              <w:tab/>
              <w:t>(120,549,461.71)</w:t>
            </w:r>
          </w:p>
          <w:p>
            <w:pPr>
              <w:pStyle w:val="Style23"/>
              <w:keepNext w:val="0"/>
              <w:keepLines w:val="0"/>
              <w:widowControl w:val="0"/>
              <w:shd w:val="clear" w:color="auto" w:fill="auto"/>
              <w:tabs>
                <w:tab w:pos="2881" w:val="left"/>
                <w:tab w:pos="5146" w:val="left"/>
              </w:tabs>
              <w:bidi w:val="0"/>
              <w:spacing w:before="0" w:after="240" w:line="240" w:lineRule="auto"/>
              <w:ind w:left="0" w:right="0" w:firstLine="740"/>
              <w:jc w:val="left"/>
              <w:rPr>
                <w:sz w:val="20"/>
                <w:szCs w:val="20"/>
              </w:rPr>
            </w:pPr>
            <w:r>
              <w:rPr>
                <w:rFonts w:ascii="Arial" w:eastAsia="Arial" w:hAnsi="Arial" w:cs="Arial"/>
                <w:color w:val="000000"/>
                <w:spacing w:val="0"/>
                <w:w w:val="100"/>
                <w:position w:val="0"/>
                <w:sz w:val="20"/>
                <w:szCs w:val="20"/>
                <w:u w:val="single"/>
              </w:rPr>
              <w:t>(57,041,664.55)</w:t>
              <w:tab/>
              <w:t>(235,651,482.10)</w:t>
              <w:tab/>
              <w:t>(120,549,461.71)</w:t>
            </w:r>
          </w:p>
        </w:tc>
      </w:tr>
      <w:tr>
        <w:trPr>
          <w:trHeight w:val="1934" w:hRule="exact"/>
        </w:trPr>
        <w:tc>
          <w:tcPr>
            <w:tcBorders/>
            <w:shd w:val="clear" w:color="auto" w:fill="FFFFFF"/>
            <w:vAlign w:val="top"/>
          </w:tcPr>
          <w:p>
            <w:pPr>
              <w:pStyle w:val="Style23"/>
              <w:keepNext w:val="0"/>
              <w:keepLines w:val="0"/>
              <w:widowControl w:val="0"/>
              <w:shd w:val="clear" w:color="auto" w:fill="auto"/>
              <w:bidi w:val="0"/>
              <w:spacing w:before="220" w:after="80" w:line="240" w:lineRule="auto"/>
              <w:ind w:left="0" w:right="0" w:firstLine="0"/>
              <w:jc w:val="left"/>
              <w:rPr>
                <w:sz w:val="19"/>
                <w:szCs w:val="19"/>
              </w:rPr>
            </w:pPr>
            <w:r>
              <w:rPr>
                <w:color w:val="000000"/>
                <w:spacing w:val="0"/>
                <w:w w:val="100"/>
                <w:position w:val="0"/>
                <w:sz w:val="19"/>
                <w:szCs w:val="19"/>
              </w:rPr>
              <w:t>本集团本年收到的来自</w:t>
            </w:r>
          </w:p>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联营企业的股利</w:t>
            </w:r>
          </w:p>
        </w:tc>
        <w:tc>
          <w:tcPr>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年度</w:t>
            </w:r>
          </w:p>
          <w:p>
            <w:pPr>
              <w:pStyle w:val="Style23"/>
              <w:keepNext w:val="0"/>
              <w:keepLines w:val="0"/>
              <w:widowControl w:val="0"/>
              <w:shd w:val="clear" w:color="auto" w:fill="auto"/>
              <w:tabs>
                <w:tab w:pos="3541" w:val="left"/>
                <w:tab w:pos="5811" w:val="left"/>
              </w:tabs>
              <w:bidi w:val="0"/>
              <w:spacing w:before="0" w:after="0" w:line="240" w:lineRule="auto"/>
              <w:ind w:left="1280" w:right="0" w:firstLine="0"/>
              <w:jc w:val="left"/>
              <w:rPr>
                <w:sz w:val="19"/>
                <w:szCs w:val="19"/>
              </w:rPr>
            </w:pPr>
            <w:r>
              <w:rPr>
                <w:color w:val="000000"/>
                <w:spacing w:val="0"/>
                <w:w w:val="100"/>
                <w:position w:val="0"/>
                <w:sz w:val="19"/>
                <w:szCs w:val="19"/>
              </w:rPr>
              <w:t>珠海随变</w:t>
              <w:tab/>
              <w:t>丰巢科技</w:t>
              <w:tab/>
              <w:t>百米生活</w:t>
            </w:r>
          </w:p>
        </w:tc>
      </w:tr>
      <w:tr>
        <w:trPr>
          <w:trHeight w:val="1618" w:hRule="exact"/>
        </w:trPr>
        <w:tc>
          <w:tcPr>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left"/>
              <w:rPr>
                <w:sz w:val="19"/>
                <w:szCs w:val="19"/>
              </w:rPr>
            </w:pPr>
            <w:r>
              <w:rPr>
                <w:color w:val="000000"/>
                <w:spacing w:val="0"/>
                <w:w w:val="100"/>
                <w:position w:val="0"/>
                <w:sz w:val="19"/>
                <w:szCs w:val="19"/>
              </w:rPr>
              <w:t>营业收入 净亏损 其他综合收益 综合收益总额</w:t>
            </w:r>
          </w:p>
        </w:tc>
        <w:tc>
          <w:tcPr>
            <w:tcBorders/>
            <w:shd w:val="clear" w:color="auto" w:fill="FFFFFF"/>
            <w:vAlign w:val="center"/>
          </w:tcPr>
          <w:p>
            <w:pPr>
              <w:pStyle w:val="Style23"/>
              <w:keepNext w:val="0"/>
              <w:keepLines w:val="0"/>
              <w:widowControl w:val="0"/>
              <w:shd w:val="clear" w:color="auto" w:fill="auto"/>
              <w:tabs>
                <w:tab w:pos="2482" w:val="left"/>
                <w:tab w:pos="4262" w:val="left"/>
              </w:tabs>
              <w:bidi w:val="0"/>
              <w:spacing w:before="0" w:after="80" w:line="240" w:lineRule="auto"/>
              <w:ind w:left="0" w:right="160" w:firstLine="0"/>
              <w:jc w:val="right"/>
              <w:rPr>
                <w:sz w:val="20"/>
                <w:szCs w:val="20"/>
              </w:rPr>
            </w:pPr>
            <w:r>
              <w:rPr>
                <w:rFonts w:ascii="Arial" w:eastAsia="Arial" w:hAnsi="Arial" w:cs="Arial"/>
                <w:color w:val="000000"/>
                <w:spacing w:val="0"/>
                <w:w w:val="100"/>
                <w:position w:val="0"/>
                <w:sz w:val="20"/>
                <w:szCs w:val="20"/>
              </w:rPr>
              <w:t>988,446.84</w:t>
              <w:tab/>
              <w:t>1,700.80</w:t>
              <w:tab/>
              <w:t>12,314,394.92</w:t>
            </w:r>
          </w:p>
          <w:p>
            <w:pPr>
              <w:pStyle w:val="Style23"/>
              <w:keepNext w:val="0"/>
              <w:keepLines w:val="0"/>
              <w:widowControl w:val="0"/>
              <w:shd w:val="clear" w:color="auto" w:fill="auto"/>
              <w:tabs>
                <w:tab w:pos="2967" w:val="left"/>
                <w:tab w:pos="5257" w:val="left"/>
              </w:tabs>
              <w:bidi w:val="0"/>
              <w:spacing w:before="0" w:after="420" w:line="240" w:lineRule="auto"/>
              <w:ind w:left="0" w:right="0" w:firstLine="740"/>
              <w:jc w:val="left"/>
              <w:rPr>
                <w:sz w:val="20"/>
                <w:szCs w:val="20"/>
              </w:rPr>
            </w:pPr>
            <w:r>
              <w:rPr>
                <w:rFonts w:ascii="Arial" w:eastAsia="Arial" w:hAnsi="Arial" w:cs="Arial"/>
                <w:color w:val="000000"/>
                <w:spacing w:val="0"/>
                <w:w w:val="100"/>
                <w:position w:val="0"/>
                <w:sz w:val="20"/>
                <w:szCs w:val="20"/>
              </w:rPr>
              <w:t>(27,642,263.30)</w:t>
              <w:tab/>
              <w:t>(28,464,050.77)</w:t>
              <w:tab/>
              <w:t>(87,043,922.63)</w:t>
            </w:r>
          </w:p>
          <w:p>
            <w:pPr>
              <w:pStyle w:val="Style23"/>
              <w:keepNext w:val="0"/>
              <w:keepLines w:val="0"/>
              <w:widowControl w:val="0"/>
              <w:shd w:val="clear" w:color="auto" w:fill="auto"/>
              <w:tabs>
                <w:tab w:pos="2967" w:val="left"/>
                <w:tab w:leader="underscore" w:pos="5257" w:val="left"/>
              </w:tabs>
              <w:bidi w:val="0"/>
              <w:spacing w:before="0" w:after="240" w:line="240" w:lineRule="auto"/>
              <w:ind w:left="0" w:right="0" w:firstLine="740"/>
              <w:jc w:val="left"/>
              <w:rPr>
                <w:sz w:val="20"/>
                <w:szCs w:val="20"/>
              </w:rPr>
            </w:pPr>
            <w:r>
              <w:rPr>
                <w:rFonts w:ascii="Arial" w:eastAsia="Arial" w:hAnsi="Arial" w:cs="Arial"/>
                <w:color w:val="000000"/>
                <w:spacing w:val="0"/>
                <w:w w:val="100"/>
                <w:position w:val="0"/>
                <w:sz w:val="20"/>
                <w:szCs w:val="20"/>
                <w:u w:val="single"/>
              </w:rPr>
              <w:t>(27,642,263.30)</w:t>
              <w:tab/>
              <w:t>(28,464,050.77)</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(87,043,922.63)</w:t>
            </w:r>
          </w:p>
        </w:tc>
      </w:tr>
      <w:tr>
        <w:trPr>
          <w:trHeight w:val="758" w:hRule="exact"/>
        </w:trPr>
        <w:tc>
          <w:tcPr>
            <w:tcBorders/>
            <w:shd w:val="clear" w:color="auto" w:fill="FFFFFF"/>
            <w:vAlign w:val="bottom"/>
          </w:tcPr>
          <w:p>
            <w:pPr>
              <w:pStyle w:val="Style23"/>
              <w:keepNext w:val="0"/>
              <w:keepLines w:val="0"/>
              <w:widowControl w:val="0"/>
              <w:shd w:val="clear" w:color="auto" w:fill="auto"/>
              <w:bidi w:val="0"/>
              <w:spacing w:before="0" w:after="0" w:line="322" w:lineRule="exact"/>
              <w:ind w:left="320" w:right="0" w:hanging="320"/>
              <w:jc w:val="left"/>
              <w:rPr>
                <w:sz w:val="19"/>
                <w:szCs w:val="19"/>
              </w:rPr>
            </w:pPr>
            <w:r>
              <w:rPr>
                <w:color w:val="000000"/>
                <w:spacing w:val="0"/>
                <w:w w:val="100"/>
                <w:position w:val="0"/>
                <w:sz w:val="19"/>
                <w:szCs w:val="19"/>
              </w:rPr>
              <w:t>本集团本年收到的来自 联营企业的股利</w:t>
            </w:r>
          </w:p>
        </w:tc>
        <w:tc>
          <w:tcPr>
            <w:tcBorders/>
            <w:shd w:val="clear" w:color="auto" w:fill="FFFFFF"/>
            <w:vAlign w:val="top"/>
          </w:tcPr>
          <w:p>
            <w:pPr>
              <w:widowControl w:val="0"/>
              <w:rPr>
                <w:sz w:val="10"/>
                <w:szCs w:val="10"/>
              </w:rPr>
            </w:pPr>
          </w:p>
        </w:tc>
      </w:tr>
    </w:tbl>
    <w:p>
      <w:pPr>
        <w:widowControl w:val="0"/>
        <w:spacing w:after="279" w:line="1" w:lineRule="exact"/>
      </w:pPr>
    </w:p>
    <w:p>
      <w:pPr>
        <w:pStyle w:val="Style33"/>
        <w:keepNext w:val="0"/>
        <w:keepLines w:val="0"/>
        <w:widowControl w:val="0"/>
        <w:shd w:val="clear" w:color="auto" w:fill="auto"/>
        <w:bidi w:val="0"/>
        <w:spacing w:before="0" w:after="280" w:line="346" w:lineRule="exact"/>
        <w:ind w:left="0" w:right="0" w:firstLine="0"/>
        <w:jc w:val="left"/>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日，上述联营企业不存在公开报价的公允 价值。</w:t>
      </w:r>
    </w:p>
    <w:p>
      <w:pPr>
        <w:pStyle w:val="Style33"/>
        <w:keepNext w:val="0"/>
        <w:keepLines w:val="0"/>
        <w:widowControl w:val="0"/>
        <w:numPr>
          <w:ilvl w:val="0"/>
          <w:numId w:val="81"/>
        </w:numPr>
        <w:shd w:val="clear" w:color="auto" w:fill="auto"/>
        <w:bidi w:val="0"/>
        <w:spacing w:before="0" w:after="280" w:line="346" w:lineRule="exact"/>
        <w:ind w:left="0" w:right="0" w:firstLine="0"/>
        <w:jc w:val="left"/>
        <w:rPr>
          <w:sz w:val="22"/>
          <w:szCs w:val="22"/>
        </w:rPr>
      </w:pPr>
      <w:bookmarkStart w:id="956" w:name="bookmark956"/>
      <w:bookmarkEnd w:id="956"/>
      <w:r>
        <w:rPr>
          <w:b w:val="0"/>
          <w:bCs w:val="0"/>
          <w:color w:val="000000"/>
          <w:spacing w:val="0"/>
          <w:w w:val="100"/>
          <w:position w:val="0"/>
          <w:sz w:val="22"/>
          <w:szCs w:val="22"/>
        </w:rPr>
        <w:t>不重要合营企业的汇总信息</w:t>
      </w:r>
    </w:p>
    <w:p>
      <w:pPr>
        <w:pStyle w:val="Style94"/>
        <w:keepNext w:val="0"/>
        <w:keepLines w:val="0"/>
        <w:widowControl w:val="0"/>
        <w:shd w:val="clear" w:color="auto" w:fill="auto"/>
        <w:tabs>
          <w:tab w:pos="7691" w:val="left"/>
        </w:tabs>
        <w:bidi w:val="0"/>
        <w:spacing w:before="0" w:line="346" w:lineRule="exact"/>
        <w:ind w:left="520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20"/>
        <w:keepNext w:val="0"/>
        <w:keepLines w:val="0"/>
        <w:widowControl w:val="0"/>
        <w:shd w:val="clear" w:color="auto" w:fill="auto"/>
        <w:tabs>
          <w:tab w:pos="4616" w:val="left"/>
          <w:tab w:pos="8203" w:val="left"/>
        </w:tabs>
        <w:bidi w:val="0"/>
        <w:spacing w:before="0" w:after="40" w:line="346" w:lineRule="exact"/>
        <w:ind w:left="0" w:right="0" w:firstLine="0"/>
        <w:jc w:val="left"/>
        <w:rPr>
          <w:sz w:val="24"/>
          <w:szCs w:val="24"/>
        </w:rPr>
      </w:pPr>
      <w:r>
        <w:fldChar w:fldCharType="begin"/>
        <w:instrText xml:space="preserve"> TOC \o "1-5" \h \z </w:instrText>
        <w:fldChar w:fldCharType="separate"/>
      </w:r>
      <w:r>
        <w:rPr>
          <w:color w:val="000000"/>
          <w:spacing w:val="0"/>
          <w:w w:val="100"/>
          <w:position w:val="0"/>
          <w:sz w:val="22"/>
          <w:szCs w:val="22"/>
        </w:rPr>
        <w:t>投资账面价值合计</w:t>
        <w:tab/>
      </w:r>
      <w:r>
        <w:rPr>
          <w:rFonts w:ascii="Arial" w:eastAsia="Arial" w:hAnsi="Arial" w:cs="Arial"/>
          <w:color w:val="000000"/>
          <w:spacing w:val="0"/>
          <w:w w:val="100"/>
          <w:position w:val="0"/>
          <w:sz w:val="24"/>
          <w:szCs w:val="24"/>
        </w:rPr>
        <w:t>67,540,503.53</w:t>
        <w:tab/>
      </w:r>
      <w:r>
        <w:rPr>
          <w:rFonts w:ascii="Arial" w:eastAsia="Arial" w:hAnsi="Arial" w:cs="Arial"/>
          <w:color w:val="000000"/>
          <w:spacing w:val="0"/>
          <w:w w:val="100"/>
          <w:position w:val="0"/>
          <w:sz w:val="24"/>
          <w:szCs w:val="24"/>
        </w:rPr>
        <w:t>-</w:t>
      </w:r>
    </w:p>
    <w:p>
      <w:pPr>
        <w:pStyle w:val="Style20"/>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下列各项按持股比例计算的合计数：</w:t>
      </w:r>
    </w:p>
    <w:p>
      <w:pPr>
        <w:pStyle w:val="Style20"/>
        <w:keepNext w:val="0"/>
        <w:keepLines w:val="0"/>
        <w:widowControl w:val="0"/>
        <w:shd w:val="clear" w:color="auto" w:fill="auto"/>
        <w:tabs>
          <w:tab w:pos="4616" w:val="left"/>
          <w:tab w:pos="8203" w:val="left"/>
        </w:tabs>
        <w:bidi w:val="0"/>
        <w:spacing w:before="0" w:after="0" w:line="240" w:lineRule="auto"/>
        <w:ind w:left="0" w:right="0" w:firstLine="0"/>
        <w:jc w:val="left"/>
        <w:rPr>
          <w:sz w:val="24"/>
          <w:szCs w:val="24"/>
        </w:rPr>
      </w:pPr>
      <w:r>
        <w:rPr>
          <w:color w:val="000000"/>
          <w:spacing w:val="0"/>
          <w:w w:val="100"/>
          <w:position w:val="0"/>
          <w:sz w:val="22"/>
          <w:szCs w:val="22"/>
        </w:rPr>
        <w:t>净亏损</w:t>
        <w:tab/>
      </w:r>
      <w:r>
        <w:rPr>
          <w:rFonts w:ascii="Arial" w:eastAsia="Arial" w:hAnsi="Arial" w:cs="Arial"/>
          <w:color w:val="000000"/>
          <w:spacing w:val="0"/>
          <w:w w:val="100"/>
          <w:position w:val="0"/>
          <w:sz w:val="24"/>
          <w:szCs w:val="24"/>
        </w:rPr>
        <w:t>(2,461,752.89)</w:t>
        <w:tab/>
      </w:r>
      <w:r>
        <w:rPr>
          <w:rFonts w:ascii="Arial" w:eastAsia="Arial" w:hAnsi="Arial" w:cs="Arial"/>
          <w:color w:val="000000"/>
          <w:spacing w:val="0"/>
          <w:w w:val="100"/>
          <w:position w:val="0"/>
          <w:sz w:val="24"/>
          <w:szCs w:val="24"/>
        </w:rPr>
        <w:t>-</w:t>
      </w:r>
    </w:p>
    <w:p>
      <w:pPr>
        <w:pStyle w:val="Style20"/>
        <w:keepNext w:val="0"/>
        <w:keepLines w:val="0"/>
        <w:widowControl w:val="0"/>
        <w:shd w:val="clear" w:color="auto" w:fill="auto"/>
        <w:tabs>
          <w:tab w:pos="4032" w:val="left"/>
          <w:tab w:leader="underscore" w:pos="5088" w:val="left"/>
          <w:tab w:leader="underscore" w:pos="8203" w:val="left"/>
        </w:tabs>
        <w:bidi w:val="0"/>
        <w:spacing w:before="0" w:after="0" w:line="346" w:lineRule="exact"/>
        <w:ind w:left="0" w:right="0" w:firstLine="0"/>
        <w:jc w:val="left"/>
        <w:rPr>
          <w:sz w:val="24"/>
          <w:szCs w:val="24"/>
        </w:rPr>
      </w:pPr>
      <w:r>
        <w:rPr>
          <w:color w:val="000000"/>
          <w:spacing w:val="0"/>
          <w:w w:val="100"/>
          <w:position w:val="0"/>
          <w:sz w:val="22"/>
          <w:szCs w:val="22"/>
        </w:rPr>
        <w:t>其他综合收益</w:t>
        <w:tab/>
        <w:tab/>
      </w:r>
      <w:r>
        <w:rPr>
          <w:rFonts w:ascii="Arial" w:eastAsia="Arial" w:hAnsi="Arial" w:cs="Arial"/>
          <w:color w:val="000000"/>
          <w:spacing w:val="0"/>
          <w:w w:val="100"/>
          <w:position w:val="0"/>
          <w:sz w:val="24"/>
          <w:szCs w:val="24"/>
          <w:u w:val="single"/>
        </w:rPr>
        <w:t>63,761.84</w:t>
      </w:r>
      <w:r>
        <w:rPr>
          <w:rFonts w:ascii="Arial" w:eastAsia="Arial" w:hAnsi="Arial" w:cs="Arial"/>
          <w:color w:val="000000"/>
          <w:spacing w:val="0"/>
          <w:w w:val="100"/>
          <w:position w:val="0"/>
          <w:sz w:val="24"/>
          <w:szCs w:val="24"/>
        </w:rPr>
        <w:t xml:space="preserve"> </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p>
      <w:pPr>
        <w:pStyle w:val="Style20"/>
        <w:keepNext w:val="0"/>
        <w:keepLines w:val="0"/>
        <w:widowControl w:val="0"/>
        <w:shd w:val="clear" w:color="auto" w:fill="auto"/>
        <w:tabs>
          <w:tab w:pos="4616" w:val="left"/>
          <w:tab w:leader="underscore" w:pos="8203" w:val="left"/>
        </w:tabs>
        <w:bidi w:val="0"/>
        <w:spacing w:before="0" w:after="280" w:line="346" w:lineRule="exact"/>
        <w:ind w:left="0" w:right="0" w:firstLine="0"/>
        <w:jc w:val="left"/>
        <w:rPr>
          <w:sz w:val="24"/>
          <w:szCs w:val="24"/>
        </w:rPr>
      </w:pPr>
      <w:r>
        <w:rPr>
          <w:color w:val="000000"/>
          <w:spacing w:val="0"/>
          <w:w w:val="100"/>
          <w:position w:val="0"/>
          <w:sz w:val="22"/>
          <w:szCs w:val="22"/>
        </w:rPr>
        <w:t>综合收益总额</w:t>
        <w:tab/>
      </w:r>
      <w:r>
        <w:rPr>
          <w:rFonts w:ascii="Arial" w:eastAsia="Arial" w:hAnsi="Arial" w:cs="Arial"/>
          <w:color w:val="000000"/>
          <w:spacing w:val="0"/>
          <w:w w:val="100"/>
          <w:position w:val="0"/>
          <w:sz w:val="24"/>
          <w:szCs w:val="24"/>
          <w:u w:val="single"/>
        </w:rPr>
        <w:t>(2,397,991.05)</w:t>
      </w:r>
      <w:r>
        <w:rPr>
          <w:rFonts w:ascii="Arial" w:eastAsia="Arial" w:hAnsi="Arial" w:cs="Arial"/>
          <w:color w:val="000000"/>
          <w:spacing w:val="0"/>
          <w:w w:val="100"/>
          <w:position w:val="0"/>
          <w:sz w:val="24"/>
          <w:szCs w:val="24"/>
        </w:rPr>
        <w:t xml:space="preserve"> </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r>
        <w:br w:type="page"/>
      </w:r>
      <w:r>
        <w:fldChar w:fldCharType="end"/>
      </w:r>
    </w:p>
    <w:p>
      <w:pPr>
        <w:pStyle w:val="Style27"/>
        <w:keepNext/>
        <w:keepLines/>
        <w:widowControl w:val="0"/>
        <w:shd w:val="clear" w:color="auto" w:fill="auto"/>
        <w:bidi w:val="0"/>
        <w:spacing w:before="0" w:after="360" w:line="240" w:lineRule="auto"/>
        <w:ind w:left="0" w:right="0" w:firstLine="0"/>
        <w:jc w:val="left"/>
      </w:pPr>
      <w:bookmarkStart w:id="957" w:name="bookmark957"/>
      <w:bookmarkStart w:id="958" w:name="bookmark958"/>
      <w:bookmarkStart w:id="959" w:name="bookmark959"/>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在合营企业和联营企业中的权益</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57"/>
      <w:bookmarkEnd w:id="958"/>
      <w:bookmarkEnd w:id="959"/>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960" w:name="bookmark960"/>
      <w:r>
        <w:rPr>
          <w:rFonts w:ascii="Arial" w:eastAsia="Arial" w:hAnsi="Arial" w:cs="Arial"/>
          <w:b w:val="0"/>
          <w:bCs w:val="0"/>
          <w:color w:val="000000"/>
          <w:spacing w:val="0"/>
          <w:w w:val="100"/>
          <w:position w:val="0"/>
          <w:sz w:val="24"/>
          <w:szCs w:val="24"/>
        </w:rPr>
        <w:t>（</w:t>
      </w:r>
      <w:bookmarkEnd w:id="960"/>
      <w:r>
        <w:rPr>
          <w:rFonts w:ascii="Arial" w:eastAsia="Arial" w:hAnsi="Arial" w:cs="Arial"/>
          <w:b w:val="0"/>
          <w:bCs w:val="0"/>
          <w:color w:val="000000"/>
          <w:spacing w:val="0"/>
          <w:w w:val="100"/>
          <w:position w:val="0"/>
          <w:sz w:val="24"/>
          <w:szCs w:val="24"/>
        </w:rPr>
        <w:t>e）</w:t>
      </w:r>
      <w:r>
        <w:rPr>
          <w:b w:val="0"/>
          <w:bCs w:val="0"/>
          <w:color w:val="000000"/>
          <w:spacing w:val="0"/>
          <w:w w:val="100"/>
          <w:position w:val="0"/>
          <w:sz w:val="22"/>
          <w:szCs w:val="22"/>
        </w:rPr>
        <w:t>不重要联营企业的汇总信息</w:t>
      </w:r>
    </w:p>
    <w:p>
      <w:pPr>
        <w:widowControl w:val="0"/>
        <w:spacing w:line="1" w:lineRule="exact"/>
      </w:pPr>
      <w:r>
        <mc:AlternateContent>
          <mc:Choice Requires="wps">
            <w:drawing>
              <wp:anchor distT="139700" distB="0" distL="0" distR="0" simplePos="0" relativeHeight="125829577" behindDoc="0" locked="0" layoutInCell="1" allowOverlap="1">
                <wp:simplePos x="0" y="0"/>
                <wp:positionH relativeFrom="page">
                  <wp:posOffset>4477385</wp:posOffset>
                </wp:positionH>
                <wp:positionV relativeFrom="paragraph">
                  <wp:posOffset>139700</wp:posOffset>
                </wp:positionV>
                <wp:extent cx="709930" cy="189230"/>
                <wp:wrapTopAndBottom/>
                <wp:docPr id="615" name="Shape 615"/>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641" type="#_x0000_t202" style="position:absolute;margin-left:352.55000000000001pt;margin-top:11.pt;width:55.899999999999999pt;height:14.9pt;z-index:-125829176;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39700" distB="0" distL="0" distR="0" simplePos="0" relativeHeight="125829579" behindDoc="0" locked="0" layoutInCell="1" allowOverlap="1">
                <wp:simplePos x="0" y="0"/>
                <wp:positionH relativeFrom="page">
                  <wp:posOffset>6062345</wp:posOffset>
                </wp:positionH>
                <wp:positionV relativeFrom="paragraph">
                  <wp:posOffset>139700</wp:posOffset>
                </wp:positionV>
                <wp:extent cx="709930" cy="189230"/>
                <wp:wrapTopAndBottom/>
                <wp:docPr id="617" name="Shape 617"/>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643" type="#_x0000_t202" style="position:absolute;margin-left:477.35000000000002pt;margin-top:11.pt;width:55.899999999999999pt;height:14.9pt;z-index:-125829174;mso-wrap-distance-left:0;mso-wrap-distance-top:1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pPr>
      <w:r>
        <mc:AlternateContent>
          <mc:Choice Requires="wps">
            <w:drawing>
              <wp:anchor distT="215900" distB="9525" distL="0" distR="0" simplePos="0" relativeHeight="125829581" behindDoc="0" locked="0" layoutInCell="1" allowOverlap="1">
                <wp:simplePos x="0" y="0"/>
                <wp:positionH relativeFrom="page">
                  <wp:posOffset>1246505</wp:posOffset>
                </wp:positionH>
                <wp:positionV relativeFrom="paragraph">
                  <wp:posOffset>215900</wp:posOffset>
                </wp:positionV>
                <wp:extent cx="2459990" cy="1002665"/>
                <wp:wrapTopAndBottom/>
                <wp:docPr id="619" name="Shape 619"/>
                <a:graphic xmlns:a="http://schemas.openxmlformats.org/drawingml/2006/main">
                  <a:graphicData uri="http://schemas.microsoft.com/office/word/2010/wordprocessingShape">
                    <wps:wsp>
                      <wps:cNvSpPr txBox="1"/>
                      <wps:spPr>
                        <a:xfrm>
                          <a:ext cx="2459990" cy="1002665"/>
                        </a:xfrm>
                        <a:prstGeom prst="rect"/>
                        <a:noFill/>
                      </wps:spPr>
                      <wps:txbx>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投资账面价值合计</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下列各项按持股比例计算的合计数:</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净亏损</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其他综合收益</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综合收益总额</w:t>
                            </w:r>
                          </w:p>
                        </w:txbxContent>
                      </wps:txbx>
                      <wps:bodyPr lIns="0" tIns="0" rIns="0" bIns="0">
                        <a:noAutoFit/>
                      </wps:bodyPr>
                    </wps:wsp>
                  </a:graphicData>
                </a:graphic>
              </wp:anchor>
            </w:drawing>
          </mc:Choice>
          <mc:Fallback>
            <w:pict>
              <v:shape id="_x0000_s1645" type="#_x0000_t202" style="position:absolute;margin-left:98.150000000000006pt;margin-top:17.pt;width:193.70000000000002pt;height:78.950000000000003pt;z-index:-125829172;mso-wrap-distance-left:0;mso-wrap-distance-top:17.pt;mso-wrap-distance-right:0;mso-wrap-distance-bottom:0.75pt;mso-position-horizontal-relative:page" filled="f" stroked="f">
                <v:textbox inset="0,0,0,0">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投资账面价值合计</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下列各项按持股比例计算的合计数:</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净亏损</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其他综合收益</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综合收益总额</w:t>
                      </w:r>
                    </w:p>
                  </w:txbxContent>
                </v:textbox>
                <w10:wrap type="topAndBottom" anchorx="page"/>
              </v:shape>
            </w:pict>
          </mc:Fallback>
        </mc:AlternateContent>
      </w:r>
      <w:r>
        <mc:AlternateContent>
          <mc:Choice Requires="wps">
            <w:drawing>
              <wp:anchor distT="215900" distB="822960" distL="0" distR="0" simplePos="0" relativeHeight="125829583" behindDoc="0" locked="0" layoutInCell="1" allowOverlap="1">
                <wp:simplePos x="0" y="0"/>
                <wp:positionH relativeFrom="page">
                  <wp:posOffset>4096385</wp:posOffset>
                </wp:positionH>
                <wp:positionV relativeFrom="paragraph">
                  <wp:posOffset>215900</wp:posOffset>
                </wp:positionV>
                <wp:extent cx="1088390" cy="189230"/>
                <wp:wrapTopAndBottom/>
                <wp:docPr id="621" name="Shape 621"/>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224,708,678.77</w:t>
                            </w:r>
                          </w:p>
                        </w:txbxContent>
                      </wps:txbx>
                      <wps:bodyPr wrap="none" lIns="0" tIns="0" rIns="0" bIns="0">
                        <a:noAutoFit/>
                      </wps:bodyPr>
                    </wps:wsp>
                  </a:graphicData>
                </a:graphic>
              </wp:anchor>
            </w:drawing>
          </mc:Choice>
          <mc:Fallback>
            <w:pict>
              <v:shape id="_x0000_s1647" type="#_x0000_t202" style="position:absolute;margin-left:322.55000000000001pt;margin-top:17.pt;width:85.700000000000003pt;height:14.9pt;z-index:-125829170;mso-wrap-distance-left:0;mso-wrap-distance-top:17.pt;mso-wrap-distance-right:0;mso-wrap-distance-bottom:64.799999999999997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224,708,678.77</w:t>
                      </w:r>
                    </w:p>
                  </w:txbxContent>
                </v:textbox>
                <w10:wrap type="topAndBottom" anchorx="page"/>
              </v:shape>
            </w:pict>
          </mc:Fallback>
        </mc:AlternateContent>
      </w:r>
      <w:r>
        <mc:AlternateContent>
          <mc:Choice Requires="wps">
            <w:drawing>
              <wp:anchor distT="215900" distB="822960" distL="0" distR="0" simplePos="0" relativeHeight="125829585" behindDoc="0" locked="0" layoutInCell="1" allowOverlap="1">
                <wp:simplePos x="0" y="0"/>
                <wp:positionH relativeFrom="page">
                  <wp:posOffset>5681345</wp:posOffset>
                </wp:positionH>
                <wp:positionV relativeFrom="paragraph">
                  <wp:posOffset>215900</wp:posOffset>
                </wp:positionV>
                <wp:extent cx="1088390" cy="189230"/>
                <wp:wrapTopAndBottom/>
                <wp:docPr id="623" name="Shape 623"/>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226,200,903.05</w:t>
                            </w:r>
                          </w:p>
                        </w:txbxContent>
                      </wps:txbx>
                      <wps:bodyPr wrap="none" lIns="0" tIns="0" rIns="0" bIns="0">
                        <a:noAutoFit/>
                      </wps:bodyPr>
                    </wps:wsp>
                  </a:graphicData>
                </a:graphic>
              </wp:anchor>
            </w:drawing>
          </mc:Choice>
          <mc:Fallback>
            <w:pict>
              <v:shape id="_x0000_s1649" type="#_x0000_t202" style="position:absolute;margin-left:447.35000000000002pt;margin-top:17.pt;width:85.700000000000003pt;height:14.9pt;z-index:-125829168;mso-wrap-distance-left:0;mso-wrap-distance-top:17.pt;mso-wrap-distance-right:0;mso-wrap-distance-bottom:64.799999999999997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226,200,903.05</w:t>
                      </w:r>
                    </w:p>
                  </w:txbxContent>
                </v:textbox>
                <w10:wrap type="topAndBottom" anchorx="page"/>
              </v:shape>
            </w:pict>
          </mc:Fallback>
        </mc:AlternateContent>
      </w:r>
      <w:r>
        <mc:AlternateContent>
          <mc:Choice Requires="wps">
            <w:drawing>
              <wp:anchor distT="624205" distB="412115" distL="0" distR="0" simplePos="0" relativeHeight="125829587" behindDoc="0" locked="0" layoutInCell="1" allowOverlap="1">
                <wp:simplePos x="0" y="0"/>
                <wp:positionH relativeFrom="page">
                  <wp:posOffset>4135755</wp:posOffset>
                </wp:positionH>
                <wp:positionV relativeFrom="paragraph">
                  <wp:posOffset>624205</wp:posOffset>
                </wp:positionV>
                <wp:extent cx="1100455" cy="191770"/>
                <wp:wrapTopAndBottom/>
                <wp:docPr id="625" name="Shape 625"/>
                <a:graphic xmlns:a="http://schemas.openxmlformats.org/drawingml/2006/main">
                  <a:graphicData uri="http://schemas.microsoft.com/office/word/2010/wordprocessingShape">
                    <wps:wsp>
                      <wps:cNvSpPr txBox="1"/>
                      <wps:spPr>
                        <a:xfrm>
                          <a:ext cx="1100455" cy="1917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(24,550,151.49)</w:t>
                            </w:r>
                          </w:p>
                        </w:txbxContent>
                      </wps:txbx>
                      <wps:bodyPr wrap="none" lIns="0" tIns="0" rIns="0" bIns="0">
                        <a:noAutoFit/>
                      </wps:bodyPr>
                    </wps:wsp>
                  </a:graphicData>
                </a:graphic>
              </wp:anchor>
            </w:drawing>
          </mc:Choice>
          <mc:Fallback>
            <w:pict>
              <v:shape id="_x0000_s1651" type="#_x0000_t202" style="position:absolute;margin-left:325.65000000000003pt;margin-top:49.149999999999999pt;width:86.650000000000006pt;height:15.1pt;z-index:-125829166;mso-wrap-distance-left:0;mso-wrap-distance-top:49.149999999999999pt;mso-wrap-distance-right:0;mso-wrap-distance-bottom:32.450000000000003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(24,550,151.49)</w:t>
                      </w:r>
                    </w:p>
                  </w:txbxContent>
                </v:textbox>
                <w10:wrap type="topAndBottom" anchorx="page"/>
              </v:shape>
            </w:pict>
          </mc:Fallback>
        </mc:AlternateContent>
      </w:r>
      <w:r>
        <mc:AlternateContent>
          <mc:Choice Requires="wps">
            <w:drawing>
              <wp:anchor distT="624205" distB="412115" distL="0" distR="0" simplePos="0" relativeHeight="125829589" behindDoc="0" locked="0" layoutInCell="1" allowOverlap="1">
                <wp:simplePos x="0" y="0"/>
                <wp:positionH relativeFrom="page">
                  <wp:posOffset>5720715</wp:posOffset>
                </wp:positionH>
                <wp:positionV relativeFrom="paragraph">
                  <wp:posOffset>624205</wp:posOffset>
                </wp:positionV>
                <wp:extent cx="1100455" cy="191770"/>
                <wp:wrapTopAndBottom/>
                <wp:docPr id="627" name="Shape 627"/>
                <a:graphic xmlns:a="http://schemas.openxmlformats.org/drawingml/2006/main">
                  <a:graphicData uri="http://schemas.microsoft.com/office/word/2010/wordprocessingShape">
                    <wps:wsp>
                      <wps:cNvSpPr txBox="1"/>
                      <wps:spPr>
                        <a:xfrm>
                          <a:ext cx="1100455" cy="1917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(77,210,085.51)</w:t>
                            </w:r>
                          </w:p>
                        </w:txbxContent>
                      </wps:txbx>
                      <wps:bodyPr wrap="none" lIns="0" tIns="0" rIns="0" bIns="0">
                        <a:noAutoFit/>
                      </wps:bodyPr>
                    </wps:wsp>
                  </a:graphicData>
                </a:graphic>
              </wp:anchor>
            </w:drawing>
          </mc:Choice>
          <mc:Fallback>
            <w:pict>
              <v:shape id="_x0000_s1653" type="#_x0000_t202" style="position:absolute;margin-left:450.44999999999999pt;margin-top:49.149999999999999pt;width:86.650000000000006pt;height:15.1pt;z-index:-125829164;mso-wrap-distance-left:0;mso-wrap-distance-top:49.149999999999999pt;mso-wrap-distance-right:0;mso-wrap-distance-bottom:32.450000000000003pt;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(77,210,085.51)</w:t>
                      </w:r>
                    </w:p>
                  </w:txbxContent>
                </v:textbox>
                <w10:wrap type="topAndBottom" anchorx="page"/>
              </v:shape>
            </w:pict>
          </mc:Fallback>
        </mc:AlternateContent>
      </w:r>
      <w:r>
        <mc:AlternateContent>
          <mc:Choice Requires="wps">
            <w:drawing>
              <wp:anchor distT="825500" distB="213360" distL="0" distR="0" simplePos="0" relativeHeight="125829591" behindDoc="0" locked="0" layoutInCell="1" allowOverlap="1">
                <wp:simplePos x="0" y="0"/>
                <wp:positionH relativeFrom="page">
                  <wp:posOffset>4394835</wp:posOffset>
                </wp:positionH>
                <wp:positionV relativeFrom="paragraph">
                  <wp:posOffset>825500</wp:posOffset>
                </wp:positionV>
                <wp:extent cx="789305" cy="189230"/>
                <wp:wrapTopAndBottom/>
                <wp:docPr id="629" name="Shape 629"/>
                <a:graphic xmlns:a="http://schemas.openxmlformats.org/drawingml/2006/main">
                  <a:graphicData uri="http://schemas.microsoft.com/office/word/2010/wordprocessingShape">
                    <wps:wsp>
                      <wps:cNvSpPr txBox="1"/>
                      <wps:spPr>
                        <a:xfrm>
                          <a:ext cx="789305" cy="18923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664,418.58</w:t>
                            </w:r>
                          </w:p>
                        </w:txbxContent>
                      </wps:txbx>
                      <wps:bodyPr wrap="none" lIns="0" tIns="0" rIns="0" bIns="0">
                        <a:noAutoFit/>
                      </wps:bodyPr>
                    </wps:wsp>
                  </a:graphicData>
                </a:graphic>
              </wp:anchor>
            </w:drawing>
          </mc:Choice>
          <mc:Fallback>
            <w:pict>
              <v:shape id="_x0000_s1655" type="#_x0000_t202" style="position:absolute;margin-left:346.05000000000001pt;margin-top:65.pt;width:62.149999999999999pt;height:14.9pt;z-index:-125829162;mso-wrap-distance-left:0;mso-wrap-distance-top:65.pt;mso-wrap-distance-right:0;mso-wrap-distance-bottom:16.800000000000001pt;mso-position-horizontal-relative:page"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664,418.58</w:t>
                      </w:r>
                    </w:p>
                  </w:txbxContent>
                </v:textbox>
                <w10:wrap type="topAndBottom" anchorx="page"/>
              </v:shape>
            </w:pict>
          </mc:Fallback>
        </mc:AlternateContent>
      </w:r>
      <w:r>
        <mc:AlternateContent>
          <mc:Choice Requires="wps">
            <w:drawing>
              <wp:anchor distT="825500" distB="213360" distL="0" distR="0" simplePos="0" relativeHeight="125829593" behindDoc="0" locked="0" layoutInCell="1" allowOverlap="1">
                <wp:simplePos x="0" y="0"/>
                <wp:positionH relativeFrom="page">
                  <wp:posOffset>5982970</wp:posOffset>
                </wp:positionH>
                <wp:positionV relativeFrom="paragraph">
                  <wp:posOffset>825500</wp:posOffset>
                </wp:positionV>
                <wp:extent cx="789305" cy="189230"/>
                <wp:wrapTopAndBottom/>
                <wp:docPr id="631" name="Shape 631"/>
                <a:graphic xmlns:a="http://schemas.openxmlformats.org/drawingml/2006/main">
                  <a:graphicData uri="http://schemas.microsoft.com/office/word/2010/wordprocessingShape">
                    <wps:wsp>
                      <wps:cNvSpPr txBox="1"/>
                      <wps:spPr>
                        <a:xfrm>
                          <a:ext cx="789305" cy="18923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880,814.28</w:t>
                            </w:r>
                          </w:p>
                        </w:txbxContent>
                      </wps:txbx>
                      <wps:bodyPr wrap="none" lIns="0" tIns="0" rIns="0" bIns="0">
                        <a:noAutoFit/>
                      </wps:bodyPr>
                    </wps:wsp>
                  </a:graphicData>
                </a:graphic>
              </wp:anchor>
            </w:drawing>
          </mc:Choice>
          <mc:Fallback>
            <w:pict>
              <v:shape id="_x0000_s1657" type="#_x0000_t202" style="position:absolute;margin-left:471.10000000000002pt;margin-top:65.pt;width:62.149999999999999pt;height:14.9pt;z-index:-125829160;mso-wrap-distance-left:0;mso-wrap-distance-top:65.pt;mso-wrap-distance-right:0;mso-wrap-distance-bottom:16.800000000000001pt;mso-position-horizontal-relative:page"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880,814.28</w:t>
                      </w:r>
                    </w:p>
                  </w:txbxContent>
                </v:textbox>
                <w10:wrap type="topAndBottom" anchorx="page"/>
              </v:shape>
            </w:pict>
          </mc:Fallback>
        </mc:AlternateContent>
      </w:r>
      <w:r>
        <mc:AlternateContent>
          <mc:Choice Requires="wps">
            <w:drawing>
              <wp:anchor distT="1035685" distB="635" distL="0" distR="0" simplePos="0" relativeHeight="125829595" behindDoc="0" locked="0" layoutInCell="1" allowOverlap="1">
                <wp:simplePos x="0" y="0"/>
                <wp:positionH relativeFrom="page">
                  <wp:posOffset>4135755</wp:posOffset>
                </wp:positionH>
                <wp:positionV relativeFrom="paragraph">
                  <wp:posOffset>1035685</wp:posOffset>
                </wp:positionV>
                <wp:extent cx="1100455" cy="191770"/>
                <wp:wrapTopAndBottom/>
                <wp:docPr id="633" name="Shape 633"/>
                <a:graphic xmlns:a="http://schemas.openxmlformats.org/drawingml/2006/main">
                  <a:graphicData uri="http://schemas.microsoft.com/office/word/2010/wordprocessingShape">
                    <wps:wsp>
                      <wps:cNvSpPr txBox="1"/>
                      <wps:spPr>
                        <a:xfrm>
                          <a:ext cx="1100455" cy="19177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(23,885,732.91)</w:t>
                            </w:r>
                          </w:p>
                        </w:txbxContent>
                      </wps:txbx>
                      <wps:bodyPr wrap="none" lIns="0" tIns="0" rIns="0" bIns="0">
                        <a:noAutoFit/>
                      </wps:bodyPr>
                    </wps:wsp>
                  </a:graphicData>
                </a:graphic>
              </wp:anchor>
            </w:drawing>
          </mc:Choice>
          <mc:Fallback>
            <w:pict>
              <v:shape id="_x0000_s1659" type="#_x0000_t202" style="position:absolute;margin-left:325.65000000000003pt;margin-top:81.549999999999997pt;width:86.650000000000006pt;height:15.1pt;z-index:-125829158;mso-wrap-distance-left:0;mso-wrap-distance-top:81.549999999999997pt;mso-wrap-distance-right:0;mso-wrap-distance-bottom:5.0000000000000003e-002pt;mso-position-horizontal-relative:page"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(23,885,732.91)</w:t>
                      </w:r>
                    </w:p>
                  </w:txbxContent>
                </v:textbox>
                <w10:wrap type="topAndBottom" anchorx="page"/>
              </v:shape>
            </w:pict>
          </mc:Fallback>
        </mc:AlternateContent>
      </w:r>
      <w:r>
        <mc:AlternateContent>
          <mc:Choice Requires="wps">
            <w:drawing>
              <wp:anchor distT="1035685" distB="635" distL="0" distR="0" simplePos="0" relativeHeight="125829597" behindDoc="0" locked="0" layoutInCell="1" allowOverlap="1">
                <wp:simplePos x="0" y="0"/>
                <wp:positionH relativeFrom="page">
                  <wp:posOffset>5720715</wp:posOffset>
                </wp:positionH>
                <wp:positionV relativeFrom="paragraph">
                  <wp:posOffset>1035685</wp:posOffset>
                </wp:positionV>
                <wp:extent cx="1100455" cy="191770"/>
                <wp:wrapTopAndBottom/>
                <wp:docPr id="635" name="Shape 635"/>
                <a:graphic xmlns:a="http://schemas.openxmlformats.org/drawingml/2006/main">
                  <a:graphicData uri="http://schemas.microsoft.com/office/word/2010/wordprocessingShape">
                    <wps:wsp>
                      <wps:cNvSpPr txBox="1"/>
                      <wps:spPr>
                        <a:xfrm>
                          <a:ext cx="1100455" cy="19177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(76,329,271.23)</w:t>
                            </w:r>
                          </w:p>
                        </w:txbxContent>
                      </wps:txbx>
                      <wps:bodyPr wrap="none" lIns="0" tIns="0" rIns="0" bIns="0">
                        <a:noAutoFit/>
                      </wps:bodyPr>
                    </wps:wsp>
                  </a:graphicData>
                </a:graphic>
              </wp:anchor>
            </w:drawing>
          </mc:Choice>
          <mc:Fallback>
            <w:pict>
              <v:shape id="_x0000_s1661" type="#_x0000_t202" style="position:absolute;margin-left:450.44999999999999pt;margin-top:81.549999999999997pt;width:86.650000000000006pt;height:15.1pt;z-index:-125829156;mso-wrap-distance-left:0;mso-wrap-distance-top:81.549999999999997pt;mso-wrap-distance-right:0;mso-wrap-distance-bottom:5.0000000000000003e-002pt;mso-position-horizontal-relative:page"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(76,329,271.23)</w:t>
                      </w:r>
                    </w:p>
                  </w:txbxContent>
                </v:textbox>
                <w10:wrap type="topAndBottom" anchorx="page"/>
              </v:shape>
            </w:pict>
          </mc:Fallback>
        </mc:AlternateContent>
      </w:r>
    </w:p>
    <w:p>
      <w:pPr>
        <w:pStyle w:val="Style33"/>
        <w:keepNext w:val="0"/>
        <w:keepLines w:val="0"/>
        <w:widowControl w:val="0"/>
        <w:shd w:val="clear" w:color="auto" w:fill="auto"/>
        <w:tabs>
          <w:tab w:pos="696" w:val="left"/>
        </w:tabs>
        <w:bidi w:val="0"/>
        <w:spacing w:before="0" w:after="0" w:line="325" w:lineRule="exact"/>
        <w:ind w:left="0" w:right="0" w:firstLine="0"/>
        <w:jc w:val="both"/>
        <w:rPr>
          <w:sz w:val="22"/>
          <w:szCs w:val="22"/>
        </w:rPr>
      </w:pPr>
      <w:r>
        <w:rPr>
          <w:b w:val="0"/>
          <w:bCs w:val="0"/>
          <w:color w:val="000000"/>
          <w:spacing w:val="0"/>
          <w:w w:val="100"/>
          <w:position w:val="0"/>
          <w:sz w:val="22"/>
          <w:szCs w:val="22"/>
        </w:rPr>
        <w:t>⑴</w:t>
        <w:tab/>
        <w:t>本年财务报表中，因对被投资单位的长期股权投资账面价值减记至</w:t>
      </w:r>
      <w:r>
        <w:rPr>
          <w:rFonts w:ascii="Arial" w:eastAsia="Arial" w:hAnsi="Arial" w:cs="Arial"/>
          <w:b w:val="0"/>
          <w:bCs w:val="0"/>
          <w:color w:val="000000"/>
          <w:spacing w:val="0"/>
          <w:w w:val="100"/>
          <w:position w:val="0"/>
          <w:sz w:val="24"/>
          <w:szCs w:val="24"/>
        </w:rPr>
        <w:t>0</w:t>
      </w:r>
      <w:r>
        <w:rPr>
          <w:b w:val="0"/>
          <w:bCs w:val="0"/>
          <w:color w:val="000000"/>
          <w:spacing w:val="0"/>
          <w:w w:val="100"/>
          <w:position w:val="0"/>
          <w:sz w:val="22"/>
          <w:szCs w:val="22"/>
        </w:rPr>
        <w:t>元</w:t>
      </w:r>
      <w:r>
        <w:rPr>
          <w:b w:val="0"/>
          <w:bCs w:val="0"/>
          <w:color w:val="000000"/>
          <w:spacing w:val="0"/>
          <w:w w:val="100"/>
          <w:position w:val="0"/>
          <w:sz w:val="28"/>
          <w:szCs w:val="28"/>
        </w:rPr>
        <w:t>，</w:t>
      </w:r>
      <w:r>
        <w:rPr>
          <w:b w:val="0"/>
          <w:bCs w:val="0"/>
          <w:color w:val="000000"/>
          <w:spacing w:val="0"/>
          <w:w w:val="100"/>
          <w:position w:val="0"/>
          <w:sz w:val="22"/>
          <w:szCs w:val="22"/>
        </w:rPr>
        <w:t>未确</w:t>
      </w:r>
    </w:p>
    <w:p>
      <w:pPr>
        <w:pStyle w:val="Style94"/>
        <w:keepNext w:val="0"/>
        <w:keepLines w:val="0"/>
        <w:widowControl w:val="0"/>
        <w:shd w:val="clear" w:color="auto" w:fill="auto"/>
        <w:bidi w:val="0"/>
        <w:spacing w:before="0" w:after="300" w:line="325" w:lineRule="exact"/>
        <w:ind w:left="0" w:right="0" w:firstLine="720"/>
        <w:jc w:val="both"/>
        <w:rPr>
          <w:sz w:val="22"/>
          <w:szCs w:val="22"/>
        </w:rPr>
      </w:pPr>
      <w:r>
        <w:rPr>
          <w:rFonts w:ascii="SimSun" w:eastAsia="SimSun" w:hAnsi="SimSun" w:cs="SimSun"/>
          <w:color w:val="000000"/>
          <w:spacing w:val="0"/>
          <w:w w:val="100"/>
          <w:position w:val="0"/>
          <w:sz w:val="22"/>
          <w:szCs w:val="22"/>
        </w:rPr>
        <w:t xml:space="preserve">认的投资亏损 </w:t>
      </w:r>
      <w:r>
        <w:rPr>
          <w:color w:val="000000"/>
          <w:spacing w:val="0"/>
          <w:w w:val="100"/>
          <w:position w:val="0"/>
          <w:sz w:val="24"/>
          <w:szCs w:val="24"/>
        </w:rPr>
        <w:t xml:space="preserve">43,089,463.61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年度：</w:t>
      </w:r>
      <w:r>
        <w:rPr>
          <w:color w:val="000000"/>
          <w:spacing w:val="0"/>
          <w:w w:val="100"/>
          <w:position w:val="0"/>
          <w:sz w:val="24"/>
          <w:szCs w:val="24"/>
        </w:rPr>
        <w:t xml:space="preserve">27,955,677.24 </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w:t>
      </w:r>
    </w:p>
    <w:p>
      <w:pPr>
        <w:pStyle w:val="Style27"/>
        <w:keepNext/>
        <w:keepLines/>
        <w:widowControl w:val="0"/>
        <w:shd w:val="clear" w:color="auto" w:fill="auto"/>
        <w:bidi w:val="0"/>
        <w:spacing w:before="0" w:after="300" w:line="325" w:lineRule="exact"/>
        <w:ind w:left="0" w:right="0" w:firstLine="0"/>
        <w:jc w:val="both"/>
        <w:rPr>
          <w:sz w:val="22"/>
          <w:szCs w:val="22"/>
        </w:rPr>
      </w:pPr>
      <w:bookmarkStart w:id="961" w:name="bookmark961"/>
      <w:bookmarkStart w:id="962" w:name="bookmark962"/>
      <w:bookmarkStart w:id="963" w:name="bookmark963"/>
      <w:r>
        <w:rPr>
          <w:color w:val="000000"/>
          <w:spacing w:val="0"/>
          <w:w w:val="100"/>
          <w:position w:val="0"/>
          <w:sz w:val="22"/>
          <w:szCs w:val="22"/>
        </w:rPr>
        <w:t>七分部信息</w:t>
      </w:r>
      <w:bookmarkEnd w:id="961"/>
      <w:bookmarkEnd w:id="962"/>
      <w:bookmarkEnd w:id="963"/>
    </w:p>
    <w:p>
      <w:pPr>
        <w:pStyle w:val="Style33"/>
        <w:keepNext w:val="0"/>
        <w:keepLines w:val="0"/>
        <w:widowControl w:val="0"/>
        <w:shd w:val="clear" w:color="auto" w:fill="auto"/>
        <w:bidi w:val="0"/>
        <w:spacing w:before="0" w:after="300" w:line="324" w:lineRule="exact"/>
        <w:ind w:left="0" w:right="0" w:firstLine="0"/>
        <w:jc w:val="both"/>
        <w:rPr>
          <w:sz w:val="22"/>
          <w:szCs w:val="22"/>
        </w:rPr>
      </w:pPr>
      <w:r>
        <w:rPr>
          <w:b w:val="0"/>
          <w:bCs w:val="0"/>
          <w:color w:val="000000"/>
          <w:spacing w:val="0"/>
          <w:w w:val="100"/>
          <w:position w:val="0"/>
          <w:sz w:val="22"/>
          <w:szCs w:val="22"/>
        </w:rPr>
        <w:t>本集团的报告分部是提供不同服务的业务单元。由于各种业务需要不同的技术和市场 战略，因此，本集团独立管理报告分部的生产经营活动，并评价其经营成果，以决定 向其配置资源并评价其业绩。</w:t>
      </w:r>
    </w:p>
    <w:p>
      <w:pPr>
        <w:pStyle w:val="Style33"/>
        <w:keepNext w:val="0"/>
        <w:keepLines w:val="0"/>
        <w:widowControl w:val="0"/>
        <w:shd w:val="clear" w:color="auto" w:fill="auto"/>
        <w:bidi w:val="0"/>
        <w:spacing w:before="0" w:after="300" w:line="325" w:lineRule="exact"/>
        <w:ind w:left="0" w:right="0" w:firstLine="0"/>
        <w:jc w:val="both"/>
        <w:rPr>
          <w:sz w:val="22"/>
          <w:szCs w:val="22"/>
        </w:rPr>
        <w:sectPr>
          <w:footnotePr>
            <w:pos w:val="pageBottom"/>
            <w:numFmt w:val="decimal"/>
            <w:numRestart w:val="continuous"/>
          </w:footnotePr>
          <w:type w:val="continuous"/>
          <w:pgSz w:w="11900" w:h="16840"/>
          <w:pgMar w:top="2040" w:right="1050" w:bottom="2564" w:left="1894" w:header="0" w:footer="3" w:gutter="0"/>
          <w:cols w:space="720"/>
          <w:noEndnote/>
          <w:rtlGutter w:val="0"/>
          <w:docGrid w:linePitch="360"/>
        </w:sectPr>
      </w:pPr>
      <w:r>
        <w:rPr>
          <w:b w:val="0"/>
          <w:bCs w:val="0"/>
          <w:color w:val="000000"/>
          <w:spacing w:val="0"/>
          <w:w w:val="100"/>
          <w:position w:val="0"/>
          <w:sz w:val="22"/>
          <w:szCs w:val="22"/>
        </w:rPr>
        <w:t>如附注十所述，于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日，本集团将深圳市顺丰商业有限公司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以下简称 “顺丰商业”</w:t>
      </w:r>
      <w:r>
        <w:rPr>
          <w:b w:val="0"/>
          <w:bCs w:val="0"/>
          <w:color w:val="000000"/>
          <w:spacing w:val="0"/>
          <w:w w:val="100"/>
          <w:position w:val="0"/>
          <w:sz w:val="28"/>
          <w:szCs w:val="28"/>
        </w:rPr>
        <w:t>）</w:t>
      </w:r>
      <w:r>
        <w:rPr>
          <w:b w:val="0"/>
          <w:bCs w:val="0"/>
          <w:color w:val="000000"/>
          <w:spacing w:val="0"/>
          <w:w w:val="100"/>
          <w:position w:val="0"/>
          <w:sz w:val="22"/>
          <w:szCs w:val="22"/>
        </w:rPr>
        <w:t>和深圳市顺丰电子商务有限公司</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 xml:space="preserve">以下简称“顺丰电子商务” </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股 权全部转让予同受明德控股控制的关联方</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顺丰控股集团商贸有限公司。剥离顺丰商 业和顺丰电子商务后，本集团主要提供速运物流业务，故不再列示分部信息。</w:t>
      </w:r>
    </w:p>
    <w:p>
      <w:pPr>
        <w:pStyle w:val="Style27"/>
        <w:keepNext/>
        <w:keepLines/>
        <w:widowControl w:val="0"/>
        <w:shd w:val="clear" w:color="auto" w:fill="auto"/>
        <w:bidi w:val="0"/>
        <w:spacing w:before="0" w:after="0" w:line="240" w:lineRule="auto"/>
        <w:ind w:left="0" w:right="0" w:firstLine="0"/>
        <w:jc w:val="left"/>
        <w:rPr>
          <w:sz w:val="22"/>
          <w:szCs w:val="22"/>
        </w:rPr>
      </w:pPr>
      <w:bookmarkStart w:id="964" w:name="bookmark964"/>
      <w:bookmarkStart w:id="965" w:name="bookmark965"/>
      <w:bookmarkStart w:id="966" w:name="bookmark966"/>
      <w:r>
        <w:rPr>
          <w:color w:val="000000"/>
          <w:spacing w:val="0"/>
          <w:w w:val="100"/>
          <w:position w:val="0"/>
          <w:sz w:val="22"/>
          <w:szCs w:val="22"/>
        </w:rPr>
        <w:t>八关联方关系及其交易</w:t>
      </w:r>
      <w:bookmarkEnd w:id="964"/>
      <w:bookmarkEnd w:id="965"/>
      <w:bookmarkEnd w:id="966"/>
    </w:p>
    <w:p>
      <w:pPr>
        <w:pStyle w:val="Style27"/>
        <w:keepNext/>
        <w:keepLines/>
        <w:widowControl w:val="0"/>
        <w:shd w:val="clear" w:color="auto" w:fill="auto"/>
        <w:bidi w:val="0"/>
        <w:spacing w:before="0" w:after="0" w:line="638" w:lineRule="exact"/>
        <w:ind w:left="0" w:right="0" w:firstLine="0"/>
        <w:jc w:val="left"/>
        <w:rPr>
          <w:sz w:val="22"/>
          <w:szCs w:val="22"/>
        </w:rPr>
      </w:pPr>
      <w:bookmarkStart w:id="964" w:name="bookmark964"/>
      <w:bookmarkStart w:id="965" w:name="bookmark965"/>
      <w:bookmarkStart w:id="967" w:name="bookmark967"/>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控股股东和子公司基本情况</w:t>
      </w:r>
      <w:bookmarkEnd w:id="964"/>
      <w:bookmarkEnd w:id="965"/>
      <w:bookmarkEnd w:id="967"/>
    </w:p>
    <w:p>
      <w:pPr>
        <w:pStyle w:val="Style33"/>
        <w:keepNext w:val="0"/>
        <w:keepLines w:val="0"/>
        <w:widowControl w:val="0"/>
        <w:shd w:val="clear" w:color="auto" w:fill="auto"/>
        <w:bidi w:val="0"/>
        <w:spacing w:before="0" w:after="380" w:line="638" w:lineRule="exact"/>
        <w:ind w:left="0" w:right="0" w:firstLine="0"/>
        <w:jc w:val="left"/>
        <w:rPr>
          <w:sz w:val="22"/>
          <w:szCs w:val="22"/>
        </w:rPr>
      </w:pPr>
      <w:r>
        <w:rPr>
          <w:b w:val="0"/>
          <w:bCs w:val="0"/>
          <w:color w:val="000000"/>
          <w:spacing w:val="0"/>
          <w:w w:val="100"/>
          <w:position w:val="0"/>
          <w:sz w:val="22"/>
          <w:szCs w:val="22"/>
        </w:rPr>
        <w:t>子公司的基本情况及相关信息见附注六。</w:t>
      </w:r>
    </w:p>
    <w:p>
      <w:pPr>
        <w:pStyle w:val="Style33"/>
        <w:keepNext w:val="0"/>
        <w:keepLines w:val="0"/>
        <w:widowControl w:val="0"/>
        <w:numPr>
          <w:ilvl w:val="0"/>
          <w:numId w:val="83"/>
        </w:numPr>
        <w:shd w:val="clear" w:color="auto" w:fill="auto"/>
        <w:tabs>
          <w:tab w:pos="704" w:val="left"/>
        </w:tabs>
        <w:bidi w:val="0"/>
        <w:spacing w:before="0" w:after="0" w:line="554" w:lineRule="auto"/>
        <w:ind w:left="0" w:right="0" w:firstLine="0"/>
        <w:jc w:val="left"/>
        <w:rPr>
          <w:sz w:val="22"/>
          <w:szCs w:val="22"/>
        </w:rPr>
      </w:pPr>
      <w:bookmarkStart w:id="968" w:name="bookmark968"/>
      <w:bookmarkEnd w:id="968"/>
      <w:r>
        <w:rPr>
          <w:b w:val="0"/>
          <w:bCs w:val="0"/>
          <w:color w:val="000000"/>
          <w:spacing w:val="0"/>
          <w:w w:val="100"/>
          <w:position w:val="0"/>
          <w:sz w:val="22"/>
          <w:szCs w:val="22"/>
        </w:rPr>
        <w:t>控股股东基本情况</w:t>
      </w:r>
    </w:p>
    <w:p>
      <w:pPr>
        <w:pStyle w:val="Style33"/>
        <w:keepNext w:val="0"/>
        <w:keepLines w:val="0"/>
        <w:widowControl w:val="0"/>
        <w:shd w:val="clear" w:color="auto" w:fill="auto"/>
        <w:tabs>
          <w:tab w:pos="10330" w:val="left"/>
        </w:tabs>
        <w:bidi w:val="0"/>
        <w:spacing w:before="0" w:after="0" w:line="638" w:lineRule="exact"/>
        <w:ind w:left="5060" w:right="0" w:firstLine="0"/>
        <w:jc w:val="left"/>
        <w:rPr>
          <w:sz w:val="22"/>
          <w:szCs w:val="22"/>
        </w:rPr>
      </w:pPr>
      <w:r>
        <w:rPr>
          <w:b w:val="0"/>
          <w:bCs w:val="0"/>
          <w:color w:val="000000"/>
          <w:spacing w:val="0"/>
          <w:w w:val="100"/>
          <w:position w:val="0"/>
          <w:sz w:val="22"/>
          <w:szCs w:val="22"/>
          <w:shd w:val="clear" w:color="auto" w:fill="FFFFFF"/>
        </w:rPr>
        <w:t>注册地</w:t>
      </w:r>
    </w:p>
    <w:p>
      <w:pPr>
        <w:pStyle w:val="Style33"/>
        <w:keepNext w:val="0"/>
        <w:keepLines w:val="0"/>
        <w:widowControl w:val="0"/>
        <w:shd w:val="clear" w:color="auto" w:fill="auto"/>
        <w:tabs>
          <w:tab w:pos="5270" w:val="left"/>
        </w:tabs>
        <w:bidi w:val="0"/>
        <w:spacing w:before="0" w:after="0" w:line="638" w:lineRule="exact"/>
        <w:ind w:left="0" w:right="0" w:firstLine="0"/>
        <w:jc w:val="left"/>
        <w:rPr>
          <w:sz w:val="22"/>
          <w:szCs w:val="22"/>
        </w:rPr>
      </w:pPr>
      <w:r>
        <w:rPr>
          <w:b w:val="0"/>
          <w:bCs w:val="0"/>
          <w:color w:val="000000"/>
          <w:spacing w:val="0"/>
          <w:w w:val="100"/>
          <w:position w:val="0"/>
          <w:sz w:val="22"/>
          <w:szCs w:val="22"/>
        </w:rPr>
        <w:t>明德控股</w:t>
        <w:tab/>
        <w:t>深圳</w:t>
      </w:r>
    </w:p>
    <w:p>
      <w:pPr>
        <w:pStyle w:val="Style33"/>
        <w:keepNext w:val="0"/>
        <w:keepLines w:val="0"/>
        <w:widowControl w:val="0"/>
        <w:shd w:val="clear" w:color="auto" w:fill="auto"/>
        <w:bidi w:val="0"/>
        <w:spacing w:before="0" w:after="0" w:line="638" w:lineRule="exact"/>
        <w:ind w:left="0" w:right="0" w:firstLine="0"/>
        <w:jc w:val="left"/>
        <w:rPr>
          <w:sz w:val="22"/>
          <w:szCs w:val="22"/>
        </w:rPr>
      </w:pPr>
      <w:r>
        <w:rPr>
          <w:b w:val="0"/>
          <w:bCs w:val="0"/>
          <w:color w:val="000000"/>
          <w:spacing w:val="0"/>
          <w:w w:val="100"/>
          <w:position w:val="0"/>
          <w:sz w:val="22"/>
          <w:szCs w:val="22"/>
        </w:rPr>
        <w:t>本公司的最终控制方为明德控股。</w:t>
      </w:r>
    </w:p>
    <w:p>
      <w:pPr>
        <w:pStyle w:val="Style33"/>
        <w:keepNext w:val="0"/>
        <w:keepLines w:val="0"/>
        <w:widowControl w:val="0"/>
        <w:numPr>
          <w:ilvl w:val="0"/>
          <w:numId w:val="83"/>
        </w:numPr>
        <w:shd w:val="clear" w:color="auto" w:fill="auto"/>
        <w:tabs>
          <w:tab w:pos="704" w:val="left"/>
        </w:tabs>
        <w:bidi w:val="0"/>
        <w:spacing w:before="0" w:after="380" w:line="638" w:lineRule="exact"/>
        <w:ind w:left="0" w:right="0" w:firstLine="0"/>
        <w:jc w:val="left"/>
        <w:rPr>
          <w:sz w:val="22"/>
          <w:szCs w:val="22"/>
        </w:rPr>
      </w:pPr>
      <w:bookmarkStart w:id="969" w:name="bookmark969"/>
      <w:bookmarkEnd w:id="969"/>
      <w:r>
        <w:rPr>
          <w:b w:val="0"/>
          <w:bCs w:val="0"/>
          <w:color w:val="000000"/>
          <w:spacing w:val="0"/>
          <w:w w:val="100"/>
          <w:position w:val="0"/>
          <w:sz w:val="22"/>
          <w:szCs w:val="22"/>
        </w:rPr>
        <w:t>控股股东注册资本及其变化</w:t>
      </w:r>
    </w:p>
    <w:p>
      <w:pPr>
        <w:pStyle w:val="Style23"/>
        <w:keepNext w:val="0"/>
        <w:keepLines w:val="0"/>
        <w:widowControl w:val="0"/>
        <w:shd w:val="clear" w:color="auto" w:fill="auto"/>
        <w:bidi w:val="0"/>
        <w:spacing w:before="0" w:after="0" w:line="667" w:lineRule="auto"/>
        <w:ind w:left="2540" w:right="0" w:firstLine="0"/>
        <w:jc w:val="left"/>
        <w:rPr>
          <w:sz w:val="19"/>
          <w:szCs w:val="19"/>
        </w:rPr>
      </w:pPr>
      <w:r>
        <w:rPr>
          <w:rFonts w:ascii="Arial" w:eastAsia="Arial" w:hAnsi="Arial" w:cs="Arial"/>
          <w:color w:val="000000"/>
          <w:spacing w:val="0"/>
          <w:w w:val="100"/>
          <w:position w:val="0"/>
          <w:sz w:val="20"/>
          <w:szCs w:val="20"/>
        </w:rPr>
        <w:t xml:space="preserve">2015 </w:t>
      </w:r>
      <w:r>
        <w:rPr>
          <w:color w:val="000000"/>
          <w:spacing w:val="0"/>
          <w:w w:val="100"/>
          <w:position w:val="0"/>
          <w:sz w:val="19"/>
          <w:szCs w:val="19"/>
        </w:rPr>
        <w:t>年</w:t>
      </w:r>
    </w:p>
    <w:p>
      <w:pPr>
        <w:pStyle w:val="Style33"/>
        <w:keepNext w:val="0"/>
        <w:keepLines w:val="0"/>
        <w:widowControl w:val="0"/>
        <w:shd w:val="clear" w:color="auto" w:fill="auto"/>
        <w:tabs>
          <w:tab w:pos="2054" w:val="left"/>
        </w:tabs>
        <w:bidi w:val="0"/>
        <w:spacing w:before="0" w:after="0" w:line="240" w:lineRule="auto"/>
        <w:ind w:left="0" w:right="0" w:firstLine="0"/>
        <w:jc w:val="center"/>
        <w:rPr>
          <w:sz w:val="19"/>
          <w:szCs w:val="19"/>
        </w:rPr>
      </w:pP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w:t>
        <w:tab/>
        <w:t>本年增加</w:t>
      </w:r>
    </w:p>
    <w:p>
      <w:pPr>
        <w:pStyle w:val="Style23"/>
        <w:keepNext w:val="0"/>
        <w:keepLines w:val="0"/>
        <w:widowControl w:val="0"/>
        <w:shd w:val="clear" w:color="auto" w:fill="auto"/>
        <w:tabs>
          <w:tab w:pos="1670" w:val="left"/>
          <w:tab w:leader="underscore" w:pos="4728" w:val="left"/>
          <w:tab w:leader="underscore" w:pos="5770" w:val="left"/>
        </w:tabs>
        <w:bidi w:val="0"/>
        <w:spacing w:before="0" w:after="0" w:line="638" w:lineRule="exact"/>
        <w:ind w:left="0" w:right="0" w:firstLine="0"/>
        <w:jc w:val="left"/>
        <w:rPr>
          <w:sz w:val="20"/>
          <w:szCs w:val="20"/>
        </w:rPr>
      </w:pPr>
      <w:r>
        <w:rPr>
          <w:color w:val="000000"/>
          <w:spacing w:val="0"/>
          <w:w w:val="100"/>
          <w:position w:val="0"/>
          <w:sz w:val="19"/>
          <w:szCs w:val="19"/>
        </w:rPr>
        <w:t>明德控股</w:t>
        <w:tab/>
      </w:r>
      <w:r>
        <w:rPr>
          <w:rFonts w:ascii="Arial" w:eastAsia="Arial" w:hAnsi="Arial" w:cs="Arial"/>
          <w:color w:val="000000"/>
          <w:spacing w:val="0"/>
          <w:w w:val="100"/>
          <w:position w:val="0"/>
          <w:sz w:val="20"/>
          <w:szCs w:val="20"/>
          <w:u w:val="single"/>
        </w:rPr>
        <w:t>113,405,734.21</w:t>
      </w:r>
      <w:r>
        <w:rPr>
          <w:rFonts w:ascii="Arial" w:eastAsia="Arial" w:hAnsi="Arial" w:cs="Arial"/>
          <w:color w:val="000000"/>
          <w:spacing w:val="0"/>
          <w:w w:val="100"/>
          <w:position w:val="0"/>
          <w:sz w:val="20"/>
          <w:szCs w:val="20"/>
        </w:rPr>
        <w:tab/>
        <w:t>-</w:t>
        <w:tab/>
      </w:r>
    </w:p>
    <w:p>
      <w:pPr>
        <w:pStyle w:val="Style33"/>
        <w:keepNext w:val="0"/>
        <w:keepLines w:val="0"/>
        <w:widowControl w:val="0"/>
        <w:shd w:val="clear" w:color="auto" w:fill="auto"/>
        <w:tabs>
          <w:tab w:pos="704" w:val="left"/>
        </w:tabs>
        <w:bidi w:val="0"/>
        <w:spacing w:before="0" w:after="440" w:line="638" w:lineRule="exact"/>
        <w:ind w:left="0" w:right="0" w:firstLine="0"/>
        <w:jc w:val="left"/>
        <w:rPr>
          <w:sz w:val="22"/>
          <w:szCs w:val="22"/>
        </w:rPr>
      </w:pPr>
      <w:r>
        <w:rPr>
          <w:rFonts w:ascii="Arial" w:eastAsia="Arial" w:hAnsi="Arial" w:cs="Arial"/>
          <w:b w:val="0"/>
          <w:bCs w:val="0"/>
          <w:color w:val="000000"/>
          <w:spacing w:val="0"/>
          <w:w w:val="100"/>
          <w:position w:val="0"/>
          <w:sz w:val="24"/>
          <w:szCs w:val="24"/>
        </w:rPr>
        <w:t>(C)</w:t>
        <w:tab/>
      </w:r>
      <w:r>
        <w:rPr>
          <w:b w:val="0"/>
          <w:bCs w:val="0"/>
          <w:color w:val="000000"/>
          <w:spacing w:val="0"/>
          <w:w w:val="100"/>
          <w:position w:val="0"/>
          <w:sz w:val="22"/>
          <w:szCs w:val="22"/>
        </w:rPr>
        <w:t>控股股东对本公司的持股比例和表决权比例</w:t>
      </w:r>
    </w:p>
    <w:p>
      <w:pPr>
        <w:pStyle w:val="Style23"/>
        <w:keepNext w:val="0"/>
        <w:keepLines w:val="0"/>
        <w:widowControl w:val="0"/>
        <w:pBdr>
          <w:bottom w:val="single" w:sz="4" w:space="0" w:color="auto"/>
        </w:pBdr>
        <w:shd w:val="clear" w:color="auto" w:fill="auto"/>
        <w:bidi w:val="0"/>
        <w:spacing w:before="0" w:after="160" w:line="240" w:lineRule="auto"/>
        <w:ind w:left="0" w:right="0" w:firstLine="0"/>
        <w:jc w:val="center"/>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1"/>
        <w:keepNext w:val="0"/>
        <w:keepLines w:val="0"/>
        <w:widowControl w:val="0"/>
        <w:shd w:val="clear" w:color="auto" w:fill="auto"/>
        <w:tabs>
          <w:tab w:pos="1670" w:val="left"/>
        </w:tabs>
        <w:bidi w:val="0"/>
        <w:spacing w:before="0" w:after="0" w:line="240" w:lineRule="auto"/>
        <w:ind w:left="0" w:right="0" w:firstLine="0"/>
        <w:jc w:val="center"/>
        <w:rPr>
          <w:sz w:val="16"/>
          <w:szCs w:val="16"/>
        </w:rPr>
      </w:pPr>
      <w:r>
        <w:rPr>
          <w:color w:val="000000"/>
          <w:spacing w:val="0"/>
          <w:w w:val="100"/>
          <w:position w:val="0"/>
          <w:sz w:val="16"/>
          <w:szCs w:val="16"/>
        </w:rPr>
        <w:t>持股比例</w:t>
        <w:tab/>
        <w:t>表决权比例</w:t>
      </w:r>
    </w:p>
    <w:p>
      <w:pPr>
        <w:pStyle w:val="Style23"/>
        <w:keepNext w:val="0"/>
        <w:keepLines w:val="0"/>
        <w:widowControl w:val="0"/>
        <w:shd w:val="clear" w:color="auto" w:fill="auto"/>
        <w:tabs>
          <w:tab w:pos="3130" w:val="left"/>
          <w:tab w:pos="4987" w:val="left"/>
        </w:tabs>
        <w:bidi w:val="0"/>
        <w:spacing w:before="0" w:after="280" w:line="638" w:lineRule="exact"/>
        <w:ind w:left="0" w:right="0" w:firstLine="0"/>
        <w:jc w:val="left"/>
        <w:rPr>
          <w:sz w:val="20"/>
          <w:szCs w:val="20"/>
        </w:r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2040" w:right="1050" w:bottom="2564" w:left="1894" w:header="0" w:footer="3" w:gutter="0"/>
          <w:cols w:space="720"/>
          <w:noEndnote/>
          <w:rtlGutter w:val="0"/>
          <w:docGrid w:linePitch="360"/>
        </w:sectPr>
      </w:pPr>
      <w:r>
        <mc:AlternateContent>
          <mc:Choice Requires="wps">
            <w:drawing>
              <wp:anchor distT="0" distB="1405255" distL="76200" distR="100330" simplePos="0" relativeHeight="125829599" behindDoc="0" locked="0" layoutInCell="1" allowOverlap="1">
                <wp:simplePos x="0" y="0"/>
                <wp:positionH relativeFrom="page">
                  <wp:posOffset>5047615</wp:posOffset>
                </wp:positionH>
                <wp:positionV relativeFrom="margin">
                  <wp:posOffset>1469390</wp:posOffset>
                </wp:positionV>
                <wp:extent cx="1722120" cy="2651760"/>
                <wp:wrapSquare wrapText="left"/>
                <wp:docPr id="647" name="Shape 647"/>
                <a:graphic xmlns:a="http://schemas.openxmlformats.org/drawingml/2006/main">
                  <a:graphicData uri="http://schemas.microsoft.com/office/word/2010/wordprocessingShape">
                    <wps:wsp>
                      <wps:cNvSpPr txBox="1"/>
                      <wps:spPr>
                        <a:xfrm>
                          <a:ext cx="1722120" cy="2651760"/>
                        </a:xfrm>
                        <a:prstGeom prst="rect"/>
                        <a:noFill/>
                      </wps:spPr>
                      <wps:txbx>
                        <w:txbxContent>
                          <w:p>
                            <w:pPr>
                              <w:pStyle w:val="Style33"/>
                              <w:keepNext w:val="0"/>
                              <w:keepLines w:val="0"/>
                              <w:widowControl w:val="0"/>
                              <w:shd w:val="clear" w:color="auto" w:fill="auto"/>
                              <w:bidi w:val="0"/>
                              <w:spacing w:before="0" w:after="1680" w:line="643" w:lineRule="exact"/>
                              <w:ind w:left="1680" w:right="0" w:firstLine="0"/>
                              <w:jc w:val="right"/>
                              <w:rPr>
                                <w:sz w:val="22"/>
                                <w:szCs w:val="22"/>
                              </w:rPr>
                            </w:pPr>
                            <w:r>
                              <w:rPr>
                                <w:b w:val="0"/>
                                <w:bCs w:val="0"/>
                                <w:color w:val="000000"/>
                                <w:spacing w:val="0"/>
                                <w:w w:val="100"/>
                                <w:position w:val="0"/>
                                <w:sz w:val="22"/>
                                <w:szCs w:val="22"/>
                              </w:rPr>
                              <w:t>业务性质 投资类</w:t>
                            </w:r>
                          </w:p>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年</w:t>
                            </w:r>
                          </w:p>
                          <w:p>
                            <w:pPr>
                              <w:pStyle w:val="Style33"/>
                              <w:keepNext w:val="0"/>
                              <w:keepLines w:val="0"/>
                              <w:widowControl w:val="0"/>
                              <w:shd w:val="clear" w:color="auto" w:fill="auto"/>
                              <w:tabs>
                                <w:tab w:pos="1680" w:val="left"/>
                              </w:tabs>
                              <w:bidi w:val="0"/>
                              <w:spacing w:before="0" w:after="400" w:line="240" w:lineRule="auto"/>
                              <w:ind w:left="0" w:right="0" w:firstLine="0"/>
                              <w:jc w:val="right"/>
                              <w:rPr>
                                <w:sz w:val="19"/>
                                <w:szCs w:val="19"/>
                              </w:rPr>
                            </w:pPr>
                            <w:r>
                              <w:rPr>
                                <w:b w:val="0"/>
                                <w:bCs w:val="0"/>
                                <w:color w:val="000000"/>
                                <w:spacing w:val="0"/>
                                <w:w w:val="100"/>
                                <w:position w:val="0"/>
                                <w:sz w:val="19"/>
                                <w:szCs w:val="19"/>
                              </w:rPr>
                              <w:t>本年减少</w:t>
                              <w:tab/>
                            </w: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w:t>
                            </w:r>
                          </w:p>
                          <w:p>
                            <w:pPr>
                              <w:pStyle w:val="Style23"/>
                              <w:keepNext w:val="0"/>
                              <w:keepLines w:val="0"/>
                              <w:widowControl w:val="0"/>
                              <w:shd w:val="clear" w:color="auto" w:fill="auto"/>
                              <w:tabs>
                                <w:tab w:pos="686" w:val="left"/>
                              </w:tabs>
                              <w:bidi w:val="0"/>
                              <w:spacing w:before="0" w:after="400" w:line="240" w:lineRule="auto"/>
                              <w:ind w:left="0" w:right="0" w:firstLine="0"/>
                              <w:jc w:val="righ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113,405,734.21</w:t>
                            </w:r>
                          </w:p>
                        </w:txbxContent>
                      </wps:txbx>
                      <wps:bodyPr lIns="0" tIns="0" rIns="0" bIns="0">
                        <a:noAutoFit/>
                      </wps:bodyPr>
                    </wps:wsp>
                  </a:graphicData>
                </a:graphic>
              </wp:anchor>
            </w:drawing>
          </mc:Choice>
          <mc:Fallback>
            <w:pict>
              <v:shape id="_x0000_s1673" type="#_x0000_t202" style="position:absolute;margin-left:397.44999999999999pt;margin-top:115.7pt;width:135.59999999999999pt;height:208.80000000000001pt;z-index:-125829154;mso-wrap-distance-left:6.pt;mso-wrap-distance-right:7.9000000000000004pt;mso-wrap-distance-bottom:110.65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1680" w:line="643" w:lineRule="exact"/>
                        <w:ind w:left="1680" w:right="0" w:firstLine="0"/>
                        <w:jc w:val="right"/>
                        <w:rPr>
                          <w:sz w:val="22"/>
                          <w:szCs w:val="22"/>
                        </w:rPr>
                      </w:pPr>
                      <w:r>
                        <w:rPr>
                          <w:b w:val="0"/>
                          <w:bCs w:val="0"/>
                          <w:color w:val="000000"/>
                          <w:spacing w:val="0"/>
                          <w:w w:val="100"/>
                          <w:position w:val="0"/>
                          <w:sz w:val="22"/>
                          <w:szCs w:val="22"/>
                        </w:rPr>
                        <w:t>业务性质 投资类</w:t>
                      </w:r>
                    </w:p>
                    <w:p>
                      <w:pPr>
                        <w:pStyle w:val="Style23"/>
                        <w:keepNext w:val="0"/>
                        <w:keepLines w:val="0"/>
                        <w:widowControl w:val="0"/>
                        <w:shd w:val="clear" w:color="auto" w:fill="auto"/>
                        <w:bidi w:val="0"/>
                        <w:spacing w:before="0" w:after="8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2016 </w:t>
                      </w:r>
                      <w:r>
                        <w:rPr>
                          <w:color w:val="000000"/>
                          <w:spacing w:val="0"/>
                          <w:w w:val="100"/>
                          <w:position w:val="0"/>
                          <w:sz w:val="19"/>
                          <w:szCs w:val="19"/>
                        </w:rPr>
                        <w:t>年</w:t>
                      </w:r>
                    </w:p>
                    <w:p>
                      <w:pPr>
                        <w:pStyle w:val="Style33"/>
                        <w:keepNext w:val="0"/>
                        <w:keepLines w:val="0"/>
                        <w:widowControl w:val="0"/>
                        <w:shd w:val="clear" w:color="auto" w:fill="auto"/>
                        <w:tabs>
                          <w:tab w:pos="1680" w:val="left"/>
                        </w:tabs>
                        <w:bidi w:val="0"/>
                        <w:spacing w:before="0" w:after="400" w:line="240" w:lineRule="auto"/>
                        <w:ind w:left="0" w:right="0" w:firstLine="0"/>
                        <w:jc w:val="right"/>
                        <w:rPr>
                          <w:sz w:val="19"/>
                          <w:szCs w:val="19"/>
                        </w:rPr>
                      </w:pPr>
                      <w:r>
                        <w:rPr>
                          <w:b w:val="0"/>
                          <w:bCs w:val="0"/>
                          <w:color w:val="000000"/>
                          <w:spacing w:val="0"/>
                          <w:w w:val="100"/>
                          <w:position w:val="0"/>
                          <w:sz w:val="19"/>
                          <w:szCs w:val="19"/>
                        </w:rPr>
                        <w:t>本年减少</w:t>
                        <w:tab/>
                      </w: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w:t>
                      </w:r>
                    </w:p>
                    <w:p>
                      <w:pPr>
                        <w:pStyle w:val="Style23"/>
                        <w:keepNext w:val="0"/>
                        <w:keepLines w:val="0"/>
                        <w:widowControl w:val="0"/>
                        <w:shd w:val="clear" w:color="auto" w:fill="auto"/>
                        <w:tabs>
                          <w:tab w:pos="686" w:val="left"/>
                        </w:tabs>
                        <w:bidi w:val="0"/>
                        <w:spacing w:before="0" w:after="400" w:line="240" w:lineRule="auto"/>
                        <w:ind w:left="0" w:right="0" w:firstLine="0"/>
                        <w:jc w:val="righ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113,405,734.21</w:t>
                      </w:r>
                    </w:p>
                  </w:txbxContent>
                </v:textbox>
                <w10:wrap type="square" side="left" anchorx="page" anchory="margin"/>
              </v:shape>
            </w:pict>
          </mc:Fallback>
        </mc:AlternateContent>
      </w:r>
      <w:r>
        <mc:AlternateContent>
          <mc:Choice Requires="wps">
            <w:drawing>
              <wp:anchor distT="3298190" distB="0" distL="374650" distR="76200" simplePos="0" relativeHeight="125829601" behindDoc="0" locked="0" layoutInCell="1" allowOverlap="1">
                <wp:simplePos x="0" y="0"/>
                <wp:positionH relativeFrom="page">
                  <wp:posOffset>5346065</wp:posOffset>
                </wp:positionH>
                <wp:positionV relativeFrom="margin">
                  <wp:posOffset>4767580</wp:posOffset>
                </wp:positionV>
                <wp:extent cx="1447800" cy="758825"/>
                <wp:wrapSquare wrapText="left"/>
                <wp:docPr id="649" name="Shape 649"/>
                <a:graphic xmlns:a="http://schemas.openxmlformats.org/drawingml/2006/main">
                  <a:graphicData uri="http://schemas.microsoft.com/office/word/2010/wordprocessingShape">
                    <wps:wsp>
                      <wps:cNvSpPr txBox="1"/>
                      <wps:spPr>
                        <a:xfrm>
                          <a:ext cx="1447800" cy="758825"/>
                        </a:xfrm>
                        <a:prstGeom prst="rect"/>
                        <a:noFill/>
                      </wps:spPr>
                      <wps:txbx>
                        <w:txbxContent>
                          <w:p>
                            <w:pPr>
                              <w:pStyle w:val="Style23"/>
                              <w:keepNext w:val="0"/>
                              <w:keepLines w:val="0"/>
                              <w:widowControl w:val="0"/>
                              <w:shd w:val="clear" w:color="auto" w:fill="auto"/>
                              <w:bidi w:val="0"/>
                              <w:spacing w:before="0" w:line="240" w:lineRule="auto"/>
                              <w:ind w:left="0" w:right="0" w:firstLine="22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1"/>
                              <w:keepNext w:val="0"/>
                              <w:keepLines w:val="0"/>
                              <w:widowControl w:val="0"/>
                              <w:shd w:val="clear" w:color="auto" w:fill="auto"/>
                              <w:tabs>
                                <w:tab w:pos="1334" w:val="left"/>
                              </w:tabs>
                              <w:bidi w:val="0"/>
                              <w:spacing w:before="0" w:after="420" w:line="240" w:lineRule="auto"/>
                              <w:ind w:left="0" w:right="0" w:firstLine="0"/>
                              <w:jc w:val="left"/>
                              <w:rPr>
                                <w:sz w:val="16"/>
                                <w:szCs w:val="16"/>
                              </w:rPr>
                            </w:pPr>
                            <w:r>
                              <w:rPr>
                                <w:color w:val="000000"/>
                                <w:spacing w:val="0"/>
                                <w:w w:val="100"/>
                                <w:position w:val="0"/>
                                <w:sz w:val="16"/>
                                <w:szCs w:val="16"/>
                              </w:rPr>
                              <w:t>持股比例</w:t>
                              <w:tab/>
                              <w:t>表决权比例</w:t>
                            </w:r>
                          </w:p>
                          <w:p>
                            <w:pPr>
                              <w:pStyle w:val="Style23"/>
                              <w:keepNext w:val="0"/>
                              <w:keepLines w:val="0"/>
                              <w:widowControl w:val="0"/>
                              <w:shd w:val="clear" w:color="auto" w:fill="auto"/>
                              <w:tabs>
                                <w:tab w:pos="1502" w:val="left"/>
                              </w:tabs>
                              <w:bidi w:val="0"/>
                              <w:spacing w:before="0" w:after="280" w:line="240" w:lineRule="auto"/>
                              <w:ind w:left="0" w:right="0" w:firstLine="0"/>
                              <w:jc w:val="left"/>
                              <w:rPr>
                                <w:sz w:val="20"/>
                                <w:szCs w:val="20"/>
                              </w:rPr>
                            </w:pPr>
                            <w:r>
                              <w:rPr>
                                <w:rFonts w:ascii="Arial" w:eastAsia="Arial" w:hAnsi="Arial" w:cs="Arial"/>
                                <w:color w:val="000000"/>
                                <w:spacing w:val="0"/>
                                <w:w w:val="100"/>
                                <w:position w:val="0"/>
                                <w:sz w:val="20"/>
                                <w:szCs w:val="20"/>
                              </w:rPr>
                              <w:t>76.00%</w:t>
                              <w:tab/>
                              <w:t>76.00%</w:t>
                            </w:r>
                          </w:p>
                        </w:txbxContent>
                      </wps:txbx>
                      <wps:bodyPr lIns="0" tIns="0" rIns="0" bIns="0">
                        <a:noAutoFit/>
                      </wps:bodyPr>
                    </wps:wsp>
                  </a:graphicData>
                </a:graphic>
              </wp:anchor>
            </w:drawing>
          </mc:Choice>
          <mc:Fallback>
            <w:pict>
              <v:shape id="_x0000_s1675" type="#_x0000_t202" style="position:absolute;margin-left:420.94999999999999pt;margin-top:375.40000000000003pt;width:114.pt;height:59.75pt;z-index:-125829152;mso-wrap-distance-left:29.5pt;mso-wrap-distance-top:259.69999999999999pt;mso-wrap-distance-right:6.pt;mso-position-horizontal-relative:page;mso-position-vertical-relative:margin" filled="f" stroked="f">
                <v:textbox inset="0,0,0,0">
                  <w:txbxContent>
                    <w:p>
                      <w:pPr>
                        <w:pStyle w:val="Style23"/>
                        <w:keepNext w:val="0"/>
                        <w:keepLines w:val="0"/>
                        <w:widowControl w:val="0"/>
                        <w:shd w:val="clear" w:color="auto" w:fill="auto"/>
                        <w:bidi w:val="0"/>
                        <w:spacing w:before="0" w:line="240" w:lineRule="auto"/>
                        <w:ind w:left="0" w:right="0" w:firstLine="22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1"/>
                        <w:keepNext w:val="0"/>
                        <w:keepLines w:val="0"/>
                        <w:widowControl w:val="0"/>
                        <w:shd w:val="clear" w:color="auto" w:fill="auto"/>
                        <w:tabs>
                          <w:tab w:pos="1334" w:val="left"/>
                        </w:tabs>
                        <w:bidi w:val="0"/>
                        <w:spacing w:before="0" w:after="420" w:line="240" w:lineRule="auto"/>
                        <w:ind w:left="0" w:right="0" w:firstLine="0"/>
                        <w:jc w:val="left"/>
                        <w:rPr>
                          <w:sz w:val="16"/>
                          <w:szCs w:val="16"/>
                        </w:rPr>
                      </w:pPr>
                      <w:r>
                        <w:rPr>
                          <w:color w:val="000000"/>
                          <w:spacing w:val="0"/>
                          <w:w w:val="100"/>
                          <w:position w:val="0"/>
                          <w:sz w:val="16"/>
                          <w:szCs w:val="16"/>
                        </w:rPr>
                        <w:t>持股比例</w:t>
                        <w:tab/>
                        <w:t>表决权比例</w:t>
                      </w:r>
                    </w:p>
                    <w:p>
                      <w:pPr>
                        <w:pStyle w:val="Style23"/>
                        <w:keepNext w:val="0"/>
                        <w:keepLines w:val="0"/>
                        <w:widowControl w:val="0"/>
                        <w:shd w:val="clear" w:color="auto" w:fill="auto"/>
                        <w:tabs>
                          <w:tab w:pos="1502" w:val="left"/>
                        </w:tabs>
                        <w:bidi w:val="0"/>
                        <w:spacing w:before="0" w:after="280" w:line="240" w:lineRule="auto"/>
                        <w:ind w:left="0" w:right="0" w:firstLine="0"/>
                        <w:jc w:val="left"/>
                        <w:rPr>
                          <w:sz w:val="20"/>
                          <w:szCs w:val="20"/>
                        </w:rPr>
                      </w:pPr>
                      <w:r>
                        <w:rPr>
                          <w:rFonts w:ascii="Arial" w:eastAsia="Arial" w:hAnsi="Arial" w:cs="Arial"/>
                          <w:color w:val="000000"/>
                          <w:spacing w:val="0"/>
                          <w:w w:val="100"/>
                          <w:position w:val="0"/>
                          <w:sz w:val="20"/>
                          <w:szCs w:val="20"/>
                        </w:rPr>
                        <w:t>76.00%</w:t>
                        <w:tab/>
                        <w:t>76.00%</w:t>
                      </w:r>
                    </w:p>
                  </w:txbxContent>
                </v:textbox>
                <w10:wrap type="square" side="left" anchorx="page" anchory="margin"/>
              </v:shape>
            </w:pict>
          </mc:Fallback>
        </mc:AlternateContent>
      </w:r>
      <w:r>
        <w:rPr>
          <w:color w:val="000000"/>
          <w:spacing w:val="0"/>
          <w:w w:val="100"/>
          <w:position w:val="0"/>
          <w:sz w:val="19"/>
          <w:szCs w:val="19"/>
        </w:rPr>
        <w:t>明德控股</w:t>
        <w:tab/>
      </w:r>
      <w:r>
        <w:rPr>
          <w:rFonts w:ascii="Arial" w:eastAsia="Arial" w:hAnsi="Arial" w:cs="Arial"/>
          <w:color w:val="000000"/>
          <w:spacing w:val="0"/>
          <w:w w:val="100"/>
          <w:position w:val="0"/>
          <w:sz w:val="20"/>
          <w:szCs w:val="20"/>
        </w:rPr>
        <w:t>64.58%</w:t>
        <w:tab/>
        <w:t>64.58%</w:t>
      </w:r>
    </w:p>
    <w:p>
      <w:pPr>
        <w:pStyle w:val="Style27"/>
        <w:keepNext/>
        <w:keepLines/>
        <w:widowControl w:val="0"/>
        <w:shd w:val="clear" w:color="auto" w:fill="auto"/>
        <w:bidi w:val="0"/>
        <w:spacing w:before="0" w:after="340" w:line="240" w:lineRule="auto"/>
        <w:ind w:left="0" w:right="0" w:firstLine="0"/>
        <w:jc w:val="left"/>
      </w:pPr>
      <w:bookmarkStart w:id="970" w:name="bookmark970"/>
      <w:bookmarkStart w:id="971" w:name="bookmark971"/>
      <w:bookmarkStart w:id="972" w:name="bookmark972"/>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70"/>
      <w:bookmarkEnd w:id="971"/>
      <w:bookmarkEnd w:id="972"/>
    </w:p>
    <w:p>
      <w:pPr>
        <w:pStyle w:val="Style33"/>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1758" w:right="1206" w:bottom="5516" w:left="1962" w:header="0" w:footer="3" w:gutter="0"/>
          <w:cols w:space="720"/>
          <w:noEndnote/>
          <w:rtlGutter w:val="0"/>
          <w:docGrid w:linePitch="360"/>
        </w:sectPr>
      </w:pP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不存在控制关系的关联方的性质</w:t>
      </w:r>
    </w:p>
    <w:p>
      <w:pPr>
        <w:widowControl w:val="0"/>
        <w:spacing w:line="167" w:lineRule="exact"/>
        <w:rPr>
          <w:sz w:val="13"/>
          <w:szCs w:val="13"/>
        </w:rPr>
      </w:pPr>
    </w:p>
    <w:p>
      <w:pPr>
        <w:widowControl w:val="0"/>
        <w:spacing w:line="1" w:lineRule="exact"/>
        <w:sectPr>
          <w:footnotePr>
            <w:pos w:val="pageBottom"/>
            <w:numFmt w:val="decimal"/>
            <w:numRestart w:val="continuous"/>
          </w:footnotePr>
          <w:type w:val="continuous"/>
          <w:pgSz w:w="11900" w:h="16840"/>
          <w:pgMar w:top="1758" w:right="0" w:bottom="1758" w:left="0" w:header="0" w:footer="3" w:gutter="0"/>
          <w:cols w:space="720"/>
          <w:noEndnote/>
          <w:rtlGutter w:val="0"/>
          <w:docGrid w:linePitch="360"/>
        </w:sectPr>
      </w:pPr>
    </w:p>
    <w:p>
      <w:pPr>
        <w:pStyle w:val="Style33"/>
        <w:keepNext w:val="0"/>
        <w:keepLines w:val="0"/>
        <w:widowControl w:val="0"/>
        <w:shd w:val="clear" w:color="auto" w:fill="auto"/>
        <w:bidi w:val="0"/>
        <w:spacing w:before="0" w:after="300" w:line="321" w:lineRule="exact"/>
        <w:ind w:left="0" w:right="0" w:firstLine="0"/>
        <w:jc w:val="left"/>
      </w:pPr>
      <w:r>
        <w:rPr>
          <w:b w:val="0"/>
          <w:bCs w:val="0"/>
          <w:color w:val="000000"/>
          <w:spacing w:val="0"/>
          <w:w w:val="100"/>
          <w:position w:val="0"/>
        </w:rPr>
        <w:t>招广投资</w:t>
      </w:r>
    </w:p>
    <w:p>
      <w:pPr>
        <w:pStyle w:val="Style33"/>
        <w:keepNext w:val="0"/>
        <w:keepLines w:val="0"/>
        <w:widowControl w:val="0"/>
        <w:shd w:val="clear" w:color="auto" w:fill="auto"/>
        <w:bidi w:val="0"/>
        <w:spacing w:before="0" w:after="0" w:line="321" w:lineRule="exact"/>
        <w:ind w:left="0" w:right="0" w:firstLine="0"/>
        <w:jc w:val="left"/>
        <w:rPr>
          <w:sz w:val="14"/>
          <w:szCs w:val="14"/>
        </w:rPr>
      </w:pPr>
      <w:r>
        <w:rPr>
          <w:b w:val="0"/>
          <w:bCs w:val="0"/>
          <w:color w:val="000000"/>
          <w:spacing w:val="0"/>
          <w:w w:val="100"/>
          <w:position w:val="0"/>
          <w:sz w:val="20"/>
          <w:szCs w:val="20"/>
        </w:rPr>
        <w:t>台湾顺丰速运股份有限公司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1</w:t>
      </w:r>
    </w:p>
    <w:p>
      <w:pPr>
        <w:pStyle w:val="Style33"/>
        <w:keepNext w:val="0"/>
        <w:keepLines w:val="0"/>
        <w:widowControl w:val="0"/>
        <w:shd w:val="clear" w:color="auto" w:fill="auto"/>
        <w:bidi w:val="0"/>
        <w:spacing w:before="0" w:after="0" w:line="321" w:lineRule="exact"/>
        <w:ind w:left="0" w:right="0" w:firstLine="0"/>
        <w:jc w:val="left"/>
      </w:pPr>
      <w:r>
        <w:rPr>
          <w:b w:val="0"/>
          <w:bCs w:val="0"/>
          <w:color w:val="000000"/>
          <w:spacing w:val="0"/>
          <w:w w:val="100"/>
          <w:position w:val="0"/>
        </w:rPr>
        <w:t>巧顺投资有限公司</w:t>
      </w:r>
    </w:p>
    <w:p>
      <w:pPr>
        <w:pStyle w:val="Style33"/>
        <w:keepNext w:val="0"/>
        <w:keepLines w:val="0"/>
        <w:widowControl w:val="0"/>
        <w:shd w:val="clear" w:color="auto" w:fill="auto"/>
        <w:bidi w:val="0"/>
        <w:spacing w:before="0" w:after="300" w:line="321" w:lineRule="exact"/>
        <w:ind w:left="0" w:right="0" w:firstLine="0"/>
        <w:jc w:val="left"/>
      </w:pPr>
      <w:r>
        <w:rPr>
          <w:b w:val="0"/>
          <w:bCs w:val="0"/>
          <w:color w:val="000000"/>
          <w:spacing w:val="0"/>
          <w:w w:val="100"/>
          <w:position w:val="0"/>
        </w:rPr>
        <w:t>商顺供应链</w:t>
      </w:r>
    </w:p>
    <w:p>
      <w:pPr>
        <w:pStyle w:val="Style33"/>
        <w:keepNext w:val="0"/>
        <w:keepLines w:val="0"/>
        <w:widowControl w:val="0"/>
        <w:shd w:val="clear" w:color="auto" w:fill="auto"/>
        <w:bidi w:val="0"/>
        <w:spacing w:before="0" w:after="300" w:line="321" w:lineRule="exact"/>
        <w:ind w:left="0" w:right="0" w:firstLine="0"/>
        <w:jc w:val="left"/>
        <w:rPr>
          <w:sz w:val="14"/>
          <w:szCs w:val="14"/>
        </w:rPr>
      </w:pPr>
      <w:r>
        <w:rPr>
          <w:b w:val="0"/>
          <w:bCs w:val="0"/>
          <w:color w:val="000000"/>
          <w:spacing w:val="0"/>
          <w:w w:val="100"/>
          <w:position w:val="0"/>
          <w:sz w:val="20"/>
          <w:szCs w:val="20"/>
        </w:rPr>
        <w:t>翠玉控股有限公司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5</w:t>
      </w:r>
    </w:p>
    <w:p>
      <w:pPr>
        <w:pStyle w:val="Style33"/>
        <w:keepNext w:val="0"/>
        <w:keepLines w:val="0"/>
        <w:widowControl w:val="0"/>
        <w:shd w:val="clear" w:color="auto" w:fill="auto"/>
        <w:bidi w:val="0"/>
        <w:spacing w:before="0" w:after="0" w:line="321" w:lineRule="exact"/>
        <w:ind w:left="0" w:right="0" w:firstLine="0"/>
        <w:jc w:val="left"/>
        <w:rPr>
          <w:sz w:val="14"/>
          <w:szCs w:val="14"/>
        </w:rPr>
      </w:pPr>
      <w:r>
        <w:rPr>
          <w:b w:val="0"/>
          <w:bCs w:val="0"/>
          <w:color w:val="000000"/>
          <w:spacing w:val="0"/>
          <w:w w:val="100"/>
          <w:position w:val="0"/>
          <w:sz w:val="20"/>
          <w:szCs w:val="20"/>
        </w:rPr>
        <w:t>固特发展有限公司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5</w:t>
      </w:r>
    </w:p>
    <w:p>
      <w:pPr>
        <w:pStyle w:val="Style23"/>
        <w:keepNext w:val="0"/>
        <w:keepLines w:val="0"/>
        <w:widowControl w:val="0"/>
        <w:shd w:val="clear" w:color="auto" w:fill="auto"/>
        <w:bidi w:val="0"/>
        <w:spacing w:before="0" w:after="0" w:line="321" w:lineRule="exact"/>
        <w:ind w:left="0" w:right="0" w:firstLine="0"/>
        <w:jc w:val="left"/>
        <w:rPr>
          <w:sz w:val="20"/>
          <w:szCs w:val="20"/>
        </w:rPr>
      </w:pPr>
      <w:r>
        <w:rPr>
          <w:rFonts w:ascii="Arial" w:eastAsia="Arial" w:hAnsi="Arial" w:cs="Arial"/>
          <w:color w:val="000000"/>
          <w:spacing w:val="0"/>
          <w:w w:val="100"/>
          <w:position w:val="0"/>
          <w:sz w:val="22"/>
          <w:szCs w:val="22"/>
        </w:rPr>
        <w:t xml:space="preserve">Collect&amp;Returns International Limited </w:t>
      </w:r>
      <w:r>
        <w:rPr>
          <w:color w:val="000000"/>
          <w:spacing w:val="0"/>
          <w:w w:val="100"/>
          <w:position w:val="0"/>
          <w:sz w:val="20"/>
          <w:szCs w:val="20"/>
        </w:rPr>
        <w:t>丰巢科技</w:t>
      </w:r>
    </w:p>
    <w:p>
      <w:pPr>
        <w:pStyle w:val="Style33"/>
        <w:keepNext w:val="0"/>
        <w:keepLines w:val="0"/>
        <w:widowControl w:val="0"/>
        <w:shd w:val="clear" w:color="auto" w:fill="auto"/>
        <w:bidi w:val="0"/>
        <w:spacing w:before="0" w:after="300" w:line="321" w:lineRule="exact"/>
        <w:ind w:left="0" w:right="0" w:firstLine="0"/>
        <w:jc w:val="left"/>
        <w:rPr>
          <w:sz w:val="14"/>
          <w:szCs w:val="14"/>
        </w:rPr>
      </w:pPr>
      <w:r>
        <w:rPr>
          <w:b w:val="0"/>
          <w:bCs w:val="0"/>
          <w:color w:val="000000"/>
          <w:spacing w:val="0"/>
          <w:w w:val="100"/>
          <w:position w:val="0"/>
          <w:sz w:val="20"/>
          <w:szCs w:val="20"/>
        </w:rPr>
        <w:t>深圳市顺捷丰达速运有限公司 深圳中顺易金融服务有限公司 珠海随变 小红帽发行股份有限公司 杭州午苇农作物开发有限公司 上海牵趣网络科技有限公司 牵趣进出口有限公司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2 </w:t>
      </w:r>
      <w:r>
        <w:rPr>
          <w:b w:val="0"/>
          <w:bCs w:val="0"/>
          <w:color w:val="000000"/>
          <w:spacing w:val="0"/>
          <w:w w:val="100"/>
          <w:position w:val="0"/>
          <w:sz w:val="20"/>
          <w:szCs w:val="20"/>
        </w:rPr>
        <w:t>时丰企业有限公司 顺丰控股集团商贸有限公司 顺丰商业</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广东顺啸丰商贸有限公司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佛山市顺啸丰商贸有限公司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梅州市顺丰商业有限公司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3</w:t>
      </w:r>
    </w:p>
    <w:p>
      <w:pPr>
        <w:pStyle w:val="Style33"/>
        <w:keepNext w:val="0"/>
        <w:keepLines w:val="0"/>
        <w:widowControl w:val="0"/>
        <w:shd w:val="clear" w:color="auto" w:fill="auto"/>
        <w:bidi w:val="0"/>
        <w:spacing w:before="0" w:after="300" w:line="320" w:lineRule="exact"/>
        <w:ind w:left="0" w:right="0" w:firstLine="0"/>
        <w:jc w:val="right"/>
      </w:pPr>
      <w:r>
        <w:rPr>
          <w:b w:val="0"/>
          <w:bCs w:val="0"/>
          <w:color w:val="000000"/>
          <w:spacing w:val="0"/>
          <w:w w:val="100"/>
          <w:position w:val="0"/>
        </w:rPr>
        <w:t>与本公司的关系</w:t>
      </w:r>
    </w:p>
    <w:p>
      <w:pPr>
        <w:pStyle w:val="Style33"/>
        <w:keepNext w:val="0"/>
        <w:keepLines w:val="0"/>
        <w:widowControl w:val="0"/>
        <w:shd w:val="clear" w:color="auto" w:fill="auto"/>
        <w:bidi w:val="0"/>
        <w:spacing w:before="0" w:after="0" w:line="320" w:lineRule="exact"/>
        <w:ind w:left="0" w:right="0" w:firstLine="0"/>
        <w:jc w:val="right"/>
      </w:pPr>
      <w:r>
        <w:rPr>
          <w:b w:val="0"/>
          <w:bCs w:val="0"/>
          <w:color w:val="000000"/>
          <w:spacing w:val="0"/>
          <w:w w:val="100"/>
          <w:position w:val="0"/>
        </w:rPr>
        <w:t>本公司股东之一</w:t>
      </w:r>
    </w:p>
    <w:p>
      <w:pPr>
        <w:pStyle w:val="Style33"/>
        <w:keepNext w:val="0"/>
        <w:keepLines w:val="0"/>
        <w:widowControl w:val="0"/>
        <w:shd w:val="clear" w:color="auto" w:fill="auto"/>
        <w:bidi w:val="0"/>
        <w:spacing w:before="0" w:after="0" w:line="320" w:lineRule="exact"/>
        <w:ind w:left="0" w:right="0" w:firstLine="0"/>
        <w:jc w:val="right"/>
        <w:sectPr>
          <w:footnotePr>
            <w:pos w:val="pageBottom"/>
            <w:numFmt w:val="decimal"/>
            <w:numRestart w:val="continuous"/>
          </w:footnotePr>
          <w:type w:val="continuous"/>
          <w:pgSz w:w="11900" w:h="16840"/>
          <w:pgMar w:top="1758" w:right="1206" w:bottom="1758" w:left="1962" w:header="0" w:footer="3" w:gutter="0"/>
          <w:cols w:num="2" w:space="720" w:equalWidth="0">
            <w:col w:w="3667" w:space="806"/>
            <w:col w:w="4258"/>
          </w:cols>
          <w:noEndnote/>
          <w:rtlGutter w:val="0"/>
          <w:docGrid w:linePitch="360"/>
        </w:sectPr>
      </w:pPr>
      <w:r>
        <w:rPr>
          <w:b w:val="0"/>
          <w:bCs w:val="0"/>
          <w:color w:val="000000"/>
          <w:spacing w:val="0"/>
          <w:w w:val="100"/>
          <w:position w:val="0"/>
        </w:rPr>
        <w:t>在过去</w:t>
      </w:r>
      <w:r>
        <w:rPr>
          <w:rFonts w:ascii="Arial" w:eastAsia="Arial" w:hAnsi="Arial" w:cs="Arial"/>
          <w:b w:val="0"/>
          <w:bCs w:val="0"/>
          <w:color w:val="000000"/>
          <w:spacing w:val="0"/>
          <w:w w:val="100"/>
          <w:position w:val="0"/>
          <w:sz w:val="22"/>
          <w:szCs w:val="22"/>
        </w:rPr>
        <w:t>12</w:t>
      </w:r>
      <w:r>
        <w:rPr>
          <w:b w:val="0"/>
          <w:bCs w:val="0"/>
          <w:color w:val="000000"/>
          <w:spacing w:val="0"/>
          <w:w w:val="100"/>
          <w:position w:val="0"/>
        </w:rPr>
        <w:t xml:space="preserve">个月内受最终控制人关系密切的 家庭成员控制的法人 受最终控制人关系密切的家庭成员控制 本集团之合营公司 </w:t>
      </w:r>
      <w:r>
        <w:rPr>
          <w:rFonts w:ascii="Arial" w:eastAsia="Arial" w:hAnsi="Arial" w:cs="Arial"/>
          <w:b w:val="0"/>
          <w:bCs w:val="0"/>
          <w:color w:val="000000"/>
          <w:spacing w:val="0"/>
          <w:w w:val="100"/>
          <w:position w:val="0"/>
          <w:sz w:val="22"/>
          <w:szCs w:val="22"/>
        </w:rPr>
        <w:t>2016</w:t>
      </w:r>
      <w:r>
        <w:rPr>
          <w:b w:val="0"/>
          <w:bCs w:val="0"/>
          <w:color w:val="000000"/>
          <w:spacing w:val="0"/>
          <w:w w:val="100"/>
          <w:position w:val="0"/>
        </w:rPr>
        <w:t>年</w:t>
      </w:r>
      <w:r>
        <w:rPr>
          <w:rFonts w:ascii="Arial" w:eastAsia="Arial" w:hAnsi="Arial" w:cs="Arial"/>
          <w:b w:val="0"/>
          <w:bCs w:val="0"/>
          <w:color w:val="000000"/>
          <w:spacing w:val="0"/>
          <w:w w:val="100"/>
          <w:position w:val="0"/>
          <w:sz w:val="22"/>
          <w:szCs w:val="22"/>
        </w:rPr>
        <w:t>7</w:t>
      </w:r>
      <w:r>
        <w:rPr>
          <w:b w:val="0"/>
          <w:bCs w:val="0"/>
          <w:color w:val="000000"/>
          <w:spacing w:val="0"/>
          <w:w w:val="100"/>
          <w:position w:val="0"/>
        </w:rPr>
        <w:t>月</w:t>
      </w:r>
      <w:r>
        <w:rPr>
          <w:rFonts w:ascii="Arial" w:eastAsia="Arial" w:hAnsi="Arial" w:cs="Arial"/>
          <w:b w:val="0"/>
          <w:bCs w:val="0"/>
          <w:color w:val="000000"/>
          <w:spacing w:val="0"/>
          <w:w w:val="100"/>
          <w:position w:val="0"/>
          <w:sz w:val="22"/>
          <w:szCs w:val="22"/>
        </w:rPr>
        <w:t>31</w:t>
      </w:r>
      <w:r>
        <w:rPr>
          <w:b w:val="0"/>
          <w:bCs w:val="0"/>
          <w:color w:val="000000"/>
          <w:spacing w:val="0"/>
          <w:w w:val="100"/>
          <w:position w:val="0"/>
        </w:rPr>
        <w:t xml:space="preserve">日之前为本集团合营公司之 下属子公司 </w:t>
      </w:r>
      <w:r>
        <w:rPr>
          <w:rFonts w:ascii="Arial" w:eastAsia="Arial" w:hAnsi="Arial" w:cs="Arial"/>
          <w:b w:val="0"/>
          <w:bCs w:val="0"/>
          <w:color w:val="000000"/>
          <w:spacing w:val="0"/>
          <w:w w:val="100"/>
          <w:position w:val="0"/>
          <w:sz w:val="22"/>
          <w:szCs w:val="22"/>
        </w:rPr>
        <w:t>2016</w:t>
      </w:r>
      <w:r>
        <w:rPr>
          <w:b w:val="0"/>
          <w:bCs w:val="0"/>
          <w:color w:val="000000"/>
          <w:spacing w:val="0"/>
          <w:w w:val="100"/>
          <w:position w:val="0"/>
        </w:rPr>
        <w:t>年</w:t>
      </w:r>
      <w:r>
        <w:rPr>
          <w:rFonts w:ascii="Arial" w:eastAsia="Arial" w:hAnsi="Arial" w:cs="Arial"/>
          <w:b w:val="0"/>
          <w:bCs w:val="0"/>
          <w:color w:val="000000"/>
          <w:spacing w:val="0"/>
          <w:w w:val="100"/>
          <w:position w:val="0"/>
          <w:sz w:val="22"/>
          <w:szCs w:val="22"/>
        </w:rPr>
        <w:t>7</w:t>
      </w:r>
      <w:r>
        <w:rPr>
          <w:b w:val="0"/>
          <w:bCs w:val="0"/>
          <w:color w:val="000000"/>
          <w:spacing w:val="0"/>
          <w:w w:val="100"/>
          <w:position w:val="0"/>
        </w:rPr>
        <w:t>月</w:t>
      </w:r>
      <w:r>
        <w:rPr>
          <w:rFonts w:ascii="Arial" w:eastAsia="Arial" w:hAnsi="Arial" w:cs="Arial"/>
          <w:b w:val="0"/>
          <w:bCs w:val="0"/>
          <w:color w:val="000000"/>
          <w:spacing w:val="0"/>
          <w:w w:val="100"/>
          <w:position w:val="0"/>
          <w:sz w:val="22"/>
          <w:szCs w:val="22"/>
        </w:rPr>
        <w:t>31</w:t>
      </w:r>
      <w:r>
        <w:rPr>
          <w:b w:val="0"/>
          <w:bCs w:val="0"/>
          <w:color w:val="000000"/>
          <w:spacing w:val="0"/>
          <w:w w:val="100"/>
          <w:position w:val="0"/>
        </w:rPr>
        <w:t>日之前为本集团合营公司之 下属子公司 本集团之联营公司 本集团之联营公司 本集团之联营公司 在过去</w:t>
      </w:r>
      <w:r>
        <w:rPr>
          <w:rFonts w:ascii="Arial" w:eastAsia="Arial" w:hAnsi="Arial" w:cs="Arial"/>
          <w:b w:val="0"/>
          <w:bCs w:val="0"/>
          <w:color w:val="000000"/>
          <w:spacing w:val="0"/>
          <w:w w:val="100"/>
          <w:position w:val="0"/>
          <w:sz w:val="22"/>
          <w:szCs w:val="22"/>
        </w:rPr>
        <w:t>12</w:t>
      </w:r>
      <w:r>
        <w:rPr>
          <w:b w:val="0"/>
          <w:bCs w:val="0"/>
          <w:color w:val="000000"/>
          <w:spacing w:val="0"/>
          <w:w w:val="100"/>
          <w:position w:val="0"/>
        </w:rPr>
        <w:t>个月内为本集团之联营公司 本集团之联营公司 本集团之联营公司 本集团之联营公司 本集团之联营公司 本集团联营公司之下属子公司 同受最终控制人控制 同受最终控制人控制 同受最终控制人控制 同受最终控制人控制 同受最终控制人控制 同受最终控制人控制</w:t>
      </w:r>
    </w:p>
    <w:p>
      <w:pPr>
        <w:pStyle w:val="Style27"/>
        <w:keepNext/>
        <w:keepLines/>
        <w:widowControl w:val="0"/>
        <w:shd w:val="clear" w:color="auto" w:fill="auto"/>
        <w:bidi w:val="0"/>
        <w:spacing w:before="0" w:after="340" w:line="240" w:lineRule="auto"/>
        <w:ind w:left="0" w:right="0" w:firstLine="0"/>
        <w:jc w:val="left"/>
      </w:pPr>
      <w:bookmarkStart w:id="973" w:name="bookmark973"/>
      <w:bookmarkStart w:id="974" w:name="bookmark974"/>
      <w:bookmarkStart w:id="975" w:name="bookmark975"/>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73"/>
      <w:bookmarkEnd w:id="974"/>
      <w:bookmarkEnd w:id="975"/>
    </w:p>
    <w:p>
      <w:pPr>
        <w:pStyle w:val="Style29"/>
        <w:keepNext w:val="0"/>
        <w:keepLines w:val="0"/>
        <w:widowControl w:val="0"/>
        <w:shd w:val="clear" w:color="auto" w:fill="auto"/>
        <w:bidi w:val="0"/>
        <w:spacing w:before="0" w:after="0" w:line="240" w:lineRule="auto"/>
        <w:ind w:left="10" w:right="0" w:firstLine="0"/>
        <w:jc w:val="left"/>
        <w:rPr>
          <w:sz w:val="24"/>
          <w:szCs w:val="24"/>
        </w:rPr>
      </w:pPr>
      <w:r>
        <w:rPr>
          <w:rFonts w:ascii="Arial" w:eastAsia="Arial" w:hAnsi="Arial" w:cs="Arial"/>
          <w:color w:val="000000"/>
          <w:spacing w:val="0"/>
          <w:w w:val="100"/>
          <w:position w:val="0"/>
          <w:sz w:val="24"/>
          <w:szCs w:val="24"/>
        </w:rPr>
        <w:t>（2）</w:t>
      </w:r>
      <w:r>
        <w:rPr>
          <w:color w:val="000000"/>
          <w:spacing w:val="0"/>
          <w:w w:val="100"/>
          <w:position w:val="0"/>
          <w:sz w:val="22"/>
          <w:szCs w:val="22"/>
        </w:rPr>
        <w:t>不存在控制关系的关联方的性质</w:t>
      </w:r>
      <w:r>
        <w:rPr>
          <w:rFonts w:ascii="Arial" w:eastAsia="Arial" w:hAnsi="Arial" w:cs="Arial"/>
          <w:color w:val="000000"/>
          <w:spacing w:val="0"/>
          <w:w w:val="100"/>
          <w:position w:val="0"/>
          <w:sz w:val="24"/>
          <w:szCs w:val="24"/>
        </w:rPr>
        <w:t>（</w:t>
      </w:r>
      <w:r>
        <w:rPr>
          <w:color w:val="000000"/>
          <w:spacing w:val="0"/>
          <w:w w:val="100"/>
          <w:position w:val="0"/>
          <w:sz w:val="22"/>
          <w:szCs w:val="22"/>
        </w:rPr>
        <w:t>续</w:t>
      </w:r>
      <w:r>
        <w:rPr>
          <w:rFonts w:ascii="Arial" w:eastAsia="Arial" w:hAnsi="Arial" w:cs="Arial"/>
          <w:color w:val="000000"/>
          <w:spacing w:val="0"/>
          <w:w w:val="100"/>
          <w:position w:val="0"/>
          <w:sz w:val="24"/>
          <w:szCs w:val="24"/>
        </w:rPr>
        <w:t>）</w:t>
      </w:r>
    </w:p>
    <w:tbl>
      <w:tblPr>
        <w:tblOverlap w:val="never"/>
        <w:jc w:val="center"/>
        <w:tblLayout w:type="fixed"/>
      </w:tblPr>
      <w:tblGrid>
        <w:gridCol w:w="5539"/>
        <w:gridCol w:w="3187"/>
      </w:tblGrid>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与本公司的关系</w:t>
            </w:r>
          </w:p>
        </w:tc>
      </w:tr>
      <w:tr>
        <w:trPr>
          <w:trHeight w:val="10373" w:hRule="exact"/>
        </w:trPr>
        <w:tc>
          <w:tcPr>
            <w:tcBorders/>
            <w:shd w:val="clear" w:color="auto" w:fill="FFFFFF"/>
            <w:vAlign w:val="bottom"/>
          </w:tcPr>
          <w:p>
            <w:pPr>
              <w:pStyle w:val="Style23"/>
              <w:keepNext w:val="0"/>
              <w:keepLines w:val="0"/>
              <w:widowControl w:val="0"/>
              <w:shd w:val="clear" w:color="auto" w:fill="auto"/>
              <w:bidi w:val="0"/>
              <w:spacing w:before="0" w:after="0" w:line="320" w:lineRule="exact"/>
              <w:ind w:left="0" w:right="0" w:firstLine="0"/>
              <w:jc w:val="both"/>
              <w:rPr>
                <w:sz w:val="14"/>
                <w:szCs w:val="14"/>
              </w:rPr>
            </w:pPr>
            <w:r>
              <w:rPr>
                <w:color w:val="000000"/>
                <w:spacing w:val="0"/>
                <w:w w:val="100"/>
                <w:position w:val="0"/>
                <w:sz w:val="20"/>
                <w:szCs w:val="20"/>
              </w:rPr>
              <w:t>珠海市顺啸丰商业有限公司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中山市顺啸丰商贸有限公司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惠州市顺丰商业有限公司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清远市顺啸丰商贸有限公司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茂名市顺意丰商业有限公司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阳江市顺丰商贸有公司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河源市顺丰商业有限公司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常州市顺啸丰商贸有限公司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湛江市顺啸丰商贸有限公司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汕头市顺丰商业有限公司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江门市顺意丰商业有限公司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揭阳市顺丰商业有限公司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潮州市顺丰商贸有限公司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韶关市顺意丰商贸有限公司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江苏顺啸丰商贸有限公司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苏州工业园区顺衡顺商贸有限公司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连云港顺啸丰商贸有限公司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镇江市顺丰商贸有限公司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徐州顺啸丰商贸有限公司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宿迁顺啸丰商贸有限公司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淮安顺啸丰商贸有限公司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扬州市顺衡商贸有限公司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泰州市顺捷丰商贸有限公司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青海顺啸丰商贸有限公司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无锡市顺丰顺商贸有限公司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盐城市顺啸丰商贸有限公司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浙江顺丰商贸有限公司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温州市顺丰商业有限公司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台州顺啸丰商贸有限公司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绍兴顺啸丰商贸有限公司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舟山顺啸丰商贸有限公司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 xml:space="preserve">3 </w:t>
            </w:r>
            <w:r>
              <w:rPr>
                <w:color w:val="000000"/>
                <w:spacing w:val="0"/>
                <w:w w:val="100"/>
                <w:position w:val="0"/>
                <w:sz w:val="20"/>
                <w:szCs w:val="20"/>
              </w:rPr>
              <w:t>宁波市顺啸丰商贸有限公司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319" w:lineRule="exact"/>
              <w:ind w:left="1180" w:right="0" w:firstLine="0"/>
              <w:jc w:val="both"/>
              <w:rPr>
                <w:sz w:val="20"/>
                <w:szCs w:val="20"/>
              </w:rPr>
            </w:pPr>
            <w:r>
              <w:rPr>
                <w:color w:val="000000"/>
                <w:spacing w:val="0"/>
                <w:w w:val="100"/>
                <w:position w:val="0"/>
                <w:sz w:val="20"/>
                <w:szCs w:val="20"/>
              </w:rPr>
              <w:t>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pPr>
      <w:bookmarkStart w:id="976" w:name="bookmark976"/>
      <w:bookmarkStart w:id="977" w:name="bookmark977"/>
      <w:bookmarkStart w:id="978" w:name="bookmark978"/>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76"/>
      <w:bookmarkEnd w:id="977"/>
      <w:bookmarkEnd w:id="978"/>
    </w:p>
    <w:p>
      <w:pPr>
        <w:pStyle w:val="Style33"/>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不存在控制关系的关联方的性质</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与本公司的关系</w:t>
      </w:r>
    </w:p>
    <w:tbl>
      <w:tblPr>
        <w:tblOverlap w:val="never"/>
        <w:jc w:val="center"/>
        <w:tblLayout w:type="fixed"/>
      </w:tblPr>
      <w:tblGrid>
        <w:gridCol w:w="3960"/>
        <w:gridCol w:w="4747"/>
      </w:tblGrid>
      <w:tr>
        <w:trPr>
          <w:trHeight w:val="30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湖州顺啸商贸有限公司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嘉兴市顺啸商贸有限公司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金华市顺丰商业有限公司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衢州市顺意丰商贸有限公司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丽水市顺丰商业有限公司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在过去</w:t>
            </w:r>
            <w:r>
              <w:rPr>
                <w:rFonts w:ascii="Arial" w:eastAsia="Arial" w:hAnsi="Arial" w:cs="Arial"/>
                <w:color w:val="000000"/>
                <w:spacing w:val="0"/>
                <w:w w:val="100"/>
                <w:position w:val="0"/>
                <w:sz w:val="22"/>
                <w:szCs w:val="22"/>
              </w:rPr>
              <w:t>12</w:t>
            </w:r>
            <w:r>
              <w:rPr>
                <w:color w:val="000000"/>
                <w:spacing w:val="0"/>
                <w:w w:val="100"/>
                <w:position w:val="0"/>
                <w:sz w:val="20"/>
                <w:szCs w:val="20"/>
              </w:rPr>
              <w:t>个月内同受最终控制人控制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辽宁顺意丰商业有限公司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大连顺意丰商贸有限公司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山东顺啸丰商贸有限公司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青岛顺意丰商业有限公司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北京市顺啸丰商业有限公司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上海顺丰实业有限公司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佛山市顺意丰商业有限公司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在过去</w:t>
            </w:r>
            <w:r>
              <w:rPr>
                <w:rFonts w:ascii="Arial" w:eastAsia="Arial" w:hAnsi="Arial" w:cs="Arial"/>
                <w:color w:val="000000"/>
                <w:spacing w:val="0"/>
                <w:w w:val="100"/>
                <w:position w:val="0"/>
                <w:sz w:val="22"/>
                <w:szCs w:val="22"/>
              </w:rPr>
              <w:t>12</w:t>
            </w:r>
            <w:r>
              <w:rPr>
                <w:color w:val="000000"/>
                <w:spacing w:val="0"/>
                <w:w w:val="100"/>
                <w:position w:val="0"/>
                <w:sz w:val="20"/>
                <w:szCs w:val="20"/>
              </w:rPr>
              <w:t>个月内同受最终控制人控制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厦门市顺丰商贸有限公司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重庆市顺啸丰商贸有限公司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江西省顺啸丰商贸有限公司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天津顺丰顺商贸有限公司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内蒙古顺丰商贸有限公司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山西顺啸丰商贸有限公司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吉林省顺丰商贸有限公司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新疆顺意丰商贸有限公司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广西顺意丰商贸有限公司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海南省顺丰商业有限公司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陕西顺意丰商贸有限公司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宁夏顺意丰商业有限公司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湖南省顺意丰商业有限公司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湖北省顺意丰商业有限公司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安徽顺啸丰商贸有限公司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河南省顺意丰商贸有限公司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贵州顺意丰商贸有限公司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甘肃顺丰商业有限公司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河北顺啸丰商贸有限公司</w:t>
            </w:r>
            <w:r>
              <w:rPr>
                <w:color w:val="000000"/>
                <w:spacing w:val="0"/>
                <w:w w:val="100"/>
                <w:position w:val="0"/>
                <w:sz w:val="11"/>
                <w:szCs w:val="11"/>
              </w:rPr>
              <w:t>注</w:t>
            </w:r>
            <w:r>
              <w:rPr>
                <w:rFonts w:ascii="Arial" w:eastAsia="Arial" w:hAnsi="Arial" w:cs="Arial"/>
                <w:color w:val="000000"/>
                <w:spacing w:val="0"/>
                <w:w w:val="100"/>
                <w:position w:val="0"/>
                <w:sz w:val="14"/>
                <w:szCs w:val="14"/>
                <w:vertAlign w:val="superscript"/>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同受最终控制人控制</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rPr>
          <w:sz w:val="28"/>
          <w:szCs w:val="28"/>
        </w:rPr>
      </w:pPr>
      <w:bookmarkStart w:id="979" w:name="bookmark979"/>
      <w:bookmarkStart w:id="980" w:name="bookmark980"/>
      <w:bookmarkStart w:id="981" w:name="bookmark981"/>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79"/>
      <w:bookmarkEnd w:id="980"/>
      <w:bookmarkEnd w:id="981"/>
    </w:p>
    <w:p>
      <w:pPr>
        <w:pStyle w:val="Style33"/>
        <w:keepNext w:val="0"/>
        <w:keepLines w:val="0"/>
        <w:widowControl w:val="0"/>
        <w:shd w:val="clear" w:color="auto" w:fill="auto"/>
        <w:bidi w:val="0"/>
        <w:spacing w:before="0" w:after="38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不存在控制关系的关联方的性质</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360" w:line="240" w:lineRule="auto"/>
        <w:ind w:left="0" w:right="0" w:firstLine="0"/>
        <w:jc w:val="right"/>
      </w:pPr>
      <w:r>
        <w:rPr>
          <w:b w:val="0"/>
          <w:bCs w:val="0"/>
          <w:color w:val="000000"/>
          <w:spacing w:val="0"/>
          <w:w w:val="100"/>
          <w:position w:val="0"/>
        </w:rPr>
        <w:t>与本公司的关系</w:t>
      </w:r>
    </w:p>
    <w:p>
      <w:pPr>
        <w:widowControl w:val="0"/>
        <w:spacing w:line="1" w:lineRule="exact"/>
      </w:pPr>
      <w:r>
        <mc:AlternateContent>
          <mc:Choice Requires="wps">
            <w:drawing>
              <wp:anchor distT="133350" distB="0" distL="0" distR="0" simplePos="0" relativeHeight="125829603" behindDoc="0" locked="0" layoutInCell="1" allowOverlap="1">
                <wp:simplePos x="0" y="0"/>
                <wp:positionH relativeFrom="page">
                  <wp:posOffset>1244600</wp:posOffset>
                </wp:positionH>
                <wp:positionV relativeFrom="paragraph">
                  <wp:posOffset>133350</wp:posOffset>
                </wp:positionV>
                <wp:extent cx="2691130" cy="6309360"/>
                <wp:wrapTopAndBottom/>
                <wp:docPr id="651" name="Shape 651"/>
                <a:graphic xmlns:a="http://schemas.openxmlformats.org/drawingml/2006/main">
                  <a:graphicData uri="http://schemas.microsoft.com/office/word/2010/wordprocessingShape">
                    <wps:wsp>
                      <wps:cNvSpPr txBox="1"/>
                      <wps:spPr>
                        <a:xfrm>
                          <a:ext cx="2691130" cy="6309360"/>
                        </a:xfrm>
                        <a:prstGeom prst="rect"/>
                        <a:noFill/>
                      </wps:spPr>
                      <wps:txbx>
                        <w:txbxContent>
                          <w:p>
                            <w:pPr>
                              <w:pStyle w:val="Style33"/>
                              <w:keepNext w:val="0"/>
                              <w:keepLines w:val="0"/>
                              <w:widowControl w:val="0"/>
                              <w:shd w:val="clear" w:color="auto" w:fill="auto"/>
                              <w:bidi w:val="0"/>
                              <w:spacing w:before="0" w:after="0" w:line="314" w:lineRule="exact"/>
                              <w:ind w:left="0" w:right="0" w:firstLine="0"/>
                              <w:jc w:val="left"/>
                              <w:rPr>
                                <w:sz w:val="14"/>
                                <w:szCs w:val="14"/>
                              </w:rPr>
                            </w:pPr>
                            <w:r>
                              <w:rPr>
                                <w:b w:val="0"/>
                                <w:bCs w:val="0"/>
                                <w:color w:val="000000"/>
                                <w:spacing w:val="0"/>
                                <w:w w:val="100"/>
                                <w:position w:val="0"/>
                                <w:sz w:val="20"/>
                                <w:szCs w:val="20"/>
                              </w:rPr>
                              <w:t>福建省顺意丰商业有限公司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四川省顺意丰商贸有限公司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黑龙江省顺意丰商贸有限公司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云南顺意衡商贸有限公司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东莞市顺啸丰商贸有限公司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肇庆市顺意丰商贸有限公司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东莞市顺丰商业有限公司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中山市顺丰商业有限公司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顺丰电子商务</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3</w:t>
                            </w:r>
                          </w:p>
                          <w:p>
                            <w:pPr>
                              <w:pStyle w:val="Style33"/>
                              <w:keepNext w:val="0"/>
                              <w:keepLines w:val="0"/>
                              <w:widowControl w:val="0"/>
                              <w:shd w:val="clear" w:color="auto" w:fill="auto"/>
                              <w:bidi w:val="0"/>
                              <w:spacing w:before="0" w:after="0" w:line="318" w:lineRule="exact"/>
                              <w:ind w:left="0" w:right="0" w:firstLine="0"/>
                              <w:jc w:val="left"/>
                            </w:pPr>
                            <w:r>
                              <w:rPr>
                                <w:b w:val="0"/>
                                <w:bCs w:val="0"/>
                                <w:color w:val="000000"/>
                                <w:spacing w:val="0"/>
                                <w:w w:val="100"/>
                                <w:position w:val="0"/>
                              </w:rPr>
                              <w:t>北京顺丰电子商务有限公司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顺丰优选国际有限公司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深圳市顺商投资有限公司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无锡市顺衡商贸有限公司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苏州工业园区顺啸丰商贸有限公司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置业企业</w:t>
                            </w:r>
                          </w:p>
                          <w:p>
                            <w:pPr>
                              <w:pStyle w:val="Style33"/>
                              <w:keepNext w:val="0"/>
                              <w:keepLines w:val="0"/>
                              <w:widowControl w:val="0"/>
                              <w:shd w:val="clear" w:color="auto" w:fill="auto"/>
                              <w:bidi w:val="0"/>
                              <w:spacing w:before="0" w:after="0" w:line="274" w:lineRule="exact"/>
                              <w:ind w:left="0" w:right="0" w:firstLine="0"/>
                              <w:jc w:val="left"/>
                              <w:rPr>
                                <w:sz w:val="14"/>
                                <w:szCs w:val="14"/>
                              </w:rPr>
                            </w:pPr>
                            <w:r>
                              <w:rPr>
                                <w:b w:val="0"/>
                                <w:bCs w:val="0"/>
                                <w:color w:val="000000"/>
                                <w:spacing w:val="0"/>
                                <w:w w:val="100"/>
                                <w:position w:val="0"/>
                                <w:sz w:val="20"/>
                                <w:szCs w:val="20"/>
                              </w:rPr>
                              <w:t>马鞍山市顺泰稀土新材料有限公司 乐丰保理</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6</w:t>
                            </w:r>
                          </w:p>
                          <w:p>
                            <w:pPr>
                              <w:pStyle w:val="Style33"/>
                              <w:keepNext w:val="0"/>
                              <w:keepLines w:val="0"/>
                              <w:widowControl w:val="0"/>
                              <w:shd w:val="clear" w:color="auto" w:fill="auto"/>
                              <w:bidi w:val="0"/>
                              <w:spacing w:before="0" w:after="0" w:line="318" w:lineRule="exact"/>
                              <w:ind w:left="0" w:right="0" w:firstLine="0"/>
                              <w:jc w:val="left"/>
                              <w:rPr>
                                <w:sz w:val="14"/>
                                <w:szCs w:val="14"/>
                              </w:rPr>
                            </w:pPr>
                            <w:r>
                              <w:rPr>
                                <w:b w:val="0"/>
                                <w:bCs w:val="0"/>
                                <w:color w:val="000000"/>
                                <w:spacing w:val="0"/>
                                <w:w w:val="100"/>
                                <w:position w:val="0"/>
                                <w:sz w:val="20"/>
                                <w:szCs w:val="20"/>
                              </w:rPr>
                              <w:t>合丰小额贷款</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6</w:t>
                            </w:r>
                          </w:p>
                          <w:p>
                            <w:pPr>
                              <w:pStyle w:val="Style33"/>
                              <w:keepNext w:val="0"/>
                              <w:keepLines w:val="0"/>
                              <w:widowControl w:val="0"/>
                              <w:shd w:val="clear" w:color="auto" w:fill="auto"/>
                              <w:bidi w:val="0"/>
                              <w:spacing w:before="0" w:after="0" w:line="321" w:lineRule="exact"/>
                              <w:ind w:left="0" w:right="0" w:firstLine="0"/>
                              <w:jc w:val="left"/>
                              <w:rPr>
                                <w:sz w:val="14"/>
                                <w:szCs w:val="14"/>
                              </w:rPr>
                            </w:pPr>
                            <w:r>
                              <w:rPr>
                                <w:b w:val="0"/>
                                <w:bCs w:val="0"/>
                                <w:color w:val="000000"/>
                                <w:spacing w:val="0"/>
                                <w:w w:val="100"/>
                                <w:position w:val="0"/>
                                <w:sz w:val="20"/>
                                <w:szCs w:val="20"/>
                              </w:rPr>
                              <w:t>顺诚融资租赁</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6</w:t>
                            </w:r>
                          </w:p>
                          <w:p>
                            <w:pPr>
                              <w:pStyle w:val="Style33"/>
                              <w:keepNext w:val="0"/>
                              <w:keepLines w:val="0"/>
                              <w:widowControl w:val="0"/>
                              <w:shd w:val="clear" w:color="auto" w:fill="auto"/>
                              <w:bidi w:val="0"/>
                              <w:spacing w:before="0" w:after="0" w:line="321" w:lineRule="exact"/>
                              <w:ind w:left="0" w:right="0" w:firstLine="0"/>
                              <w:jc w:val="left"/>
                            </w:pPr>
                            <w:r>
                              <w:rPr>
                                <w:b w:val="0"/>
                                <w:bCs w:val="0"/>
                                <w:color w:val="000000"/>
                                <w:spacing w:val="0"/>
                                <w:w w:val="100"/>
                                <w:position w:val="0"/>
                              </w:rPr>
                              <w:t>顺诚前海一号融资租赁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顺诚前海二号融资租赁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顺诚前海三号融资租赁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顺诚前海四号融资租赁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顺诚前海五号融资租赁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顺诚一号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顺诚二号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顺诚三号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顺恒融资租赁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顺诚四号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顺诚五号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大庆三维软件有限责任公司</w:t>
                            </w:r>
                          </w:p>
                        </w:txbxContent>
                      </wps:txbx>
                      <wps:bodyPr lIns="0" tIns="0" rIns="0" bIns="0">
                        <a:noAutoFit/>
                      </wps:bodyPr>
                    </wps:wsp>
                  </a:graphicData>
                </a:graphic>
              </wp:anchor>
            </w:drawing>
          </mc:Choice>
          <mc:Fallback>
            <w:pict>
              <v:shape id="_x0000_s1677" type="#_x0000_t202" style="position:absolute;margin-left:98.pt;margin-top:10.5pt;width:211.90000000000001pt;height:496.80000000000001pt;z-index:-125829150;mso-wrap-distance-left:0;mso-wrap-distance-top:10.5pt;mso-wrap-distance-right:0;mso-position-horizontal-relative:page" filled="f" stroked="f">
                <v:textbox inset="0,0,0,0">
                  <w:txbxContent>
                    <w:p>
                      <w:pPr>
                        <w:pStyle w:val="Style33"/>
                        <w:keepNext w:val="0"/>
                        <w:keepLines w:val="0"/>
                        <w:widowControl w:val="0"/>
                        <w:shd w:val="clear" w:color="auto" w:fill="auto"/>
                        <w:bidi w:val="0"/>
                        <w:spacing w:before="0" w:after="0" w:line="314" w:lineRule="exact"/>
                        <w:ind w:left="0" w:right="0" w:firstLine="0"/>
                        <w:jc w:val="left"/>
                        <w:rPr>
                          <w:sz w:val="14"/>
                          <w:szCs w:val="14"/>
                        </w:rPr>
                      </w:pPr>
                      <w:r>
                        <w:rPr>
                          <w:b w:val="0"/>
                          <w:bCs w:val="0"/>
                          <w:color w:val="000000"/>
                          <w:spacing w:val="0"/>
                          <w:w w:val="100"/>
                          <w:position w:val="0"/>
                          <w:sz w:val="20"/>
                          <w:szCs w:val="20"/>
                        </w:rPr>
                        <w:t>福建省顺意丰商业有限公司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四川省顺意丰商贸有限公司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黑龙江省顺意丰商贸有限公司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云南顺意衡商贸有限公司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东莞市顺啸丰商贸有限公司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肇庆市顺意丰商贸有限公司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东莞市顺丰商业有限公司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中山市顺丰商业有限公司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sz w:val="20"/>
                          <w:szCs w:val="20"/>
                        </w:rPr>
                        <w:t>顺丰电子商务</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3</w:t>
                      </w:r>
                    </w:p>
                    <w:p>
                      <w:pPr>
                        <w:pStyle w:val="Style33"/>
                        <w:keepNext w:val="0"/>
                        <w:keepLines w:val="0"/>
                        <w:widowControl w:val="0"/>
                        <w:shd w:val="clear" w:color="auto" w:fill="auto"/>
                        <w:bidi w:val="0"/>
                        <w:spacing w:before="0" w:after="0" w:line="318" w:lineRule="exact"/>
                        <w:ind w:left="0" w:right="0" w:firstLine="0"/>
                        <w:jc w:val="left"/>
                      </w:pPr>
                      <w:r>
                        <w:rPr>
                          <w:b w:val="0"/>
                          <w:bCs w:val="0"/>
                          <w:color w:val="000000"/>
                          <w:spacing w:val="0"/>
                          <w:w w:val="100"/>
                          <w:position w:val="0"/>
                        </w:rPr>
                        <w:t>北京顺丰电子商务有限公司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顺丰优选国际有限公司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深圳市顺商投资有限公司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无锡市顺衡商贸有限公司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苏州工业园区顺啸丰商贸有限公司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3 </w:t>
                      </w:r>
                      <w:r>
                        <w:rPr>
                          <w:b w:val="0"/>
                          <w:bCs w:val="0"/>
                          <w:color w:val="000000"/>
                          <w:spacing w:val="0"/>
                          <w:w w:val="100"/>
                          <w:position w:val="0"/>
                        </w:rPr>
                        <w:t>置业企业</w:t>
                      </w:r>
                    </w:p>
                    <w:p>
                      <w:pPr>
                        <w:pStyle w:val="Style33"/>
                        <w:keepNext w:val="0"/>
                        <w:keepLines w:val="0"/>
                        <w:widowControl w:val="0"/>
                        <w:shd w:val="clear" w:color="auto" w:fill="auto"/>
                        <w:bidi w:val="0"/>
                        <w:spacing w:before="0" w:after="0" w:line="274" w:lineRule="exact"/>
                        <w:ind w:left="0" w:right="0" w:firstLine="0"/>
                        <w:jc w:val="left"/>
                        <w:rPr>
                          <w:sz w:val="14"/>
                          <w:szCs w:val="14"/>
                        </w:rPr>
                      </w:pPr>
                      <w:r>
                        <w:rPr>
                          <w:b w:val="0"/>
                          <w:bCs w:val="0"/>
                          <w:color w:val="000000"/>
                          <w:spacing w:val="0"/>
                          <w:w w:val="100"/>
                          <w:position w:val="0"/>
                          <w:sz w:val="20"/>
                          <w:szCs w:val="20"/>
                        </w:rPr>
                        <w:t>马鞍山市顺泰稀土新材料有限公司 乐丰保理</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6</w:t>
                      </w:r>
                    </w:p>
                    <w:p>
                      <w:pPr>
                        <w:pStyle w:val="Style33"/>
                        <w:keepNext w:val="0"/>
                        <w:keepLines w:val="0"/>
                        <w:widowControl w:val="0"/>
                        <w:shd w:val="clear" w:color="auto" w:fill="auto"/>
                        <w:bidi w:val="0"/>
                        <w:spacing w:before="0" w:after="0" w:line="318" w:lineRule="exact"/>
                        <w:ind w:left="0" w:right="0" w:firstLine="0"/>
                        <w:jc w:val="left"/>
                        <w:rPr>
                          <w:sz w:val="14"/>
                          <w:szCs w:val="14"/>
                        </w:rPr>
                      </w:pPr>
                      <w:r>
                        <w:rPr>
                          <w:b w:val="0"/>
                          <w:bCs w:val="0"/>
                          <w:color w:val="000000"/>
                          <w:spacing w:val="0"/>
                          <w:w w:val="100"/>
                          <w:position w:val="0"/>
                          <w:sz w:val="20"/>
                          <w:szCs w:val="20"/>
                        </w:rPr>
                        <w:t>合丰小额贷款</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6</w:t>
                      </w:r>
                    </w:p>
                    <w:p>
                      <w:pPr>
                        <w:pStyle w:val="Style33"/>
                        <w:keepNext w:val="0"/>
                        <w:keepLines w:val="0"/>
                        <w:widowControl w:val="0"/>
                        <w:shd w:val="clear" w:color="auto" w:fill="auto"/>
                        <w:bidi w:val="0"/>
                        <w:spacing w:before="0" w:after="0" w:line="321" w:lineRule="exact"/>
                        <w:ind w:left="0" w:right="0" w:firstLine="0"/>
                        <w:jc w:val="left"/>
                        <w:rPr>
                          <w:sz w:val="14"/>
                          <w:szCs w:val="14"/>
                        </w:rPr>
                      </w:pPr>
                      <w:r>
                        <w:rPr>
                          <w:b w:val="0"/>
                          <w:bCs w:val="0"/>
                          <w:color w:val="000000"/>
                          <w:spacing w:val="0"/>
                          <w:w w:val="100"/>
                          <w:position w:val="0"/>
                          <w:sz w:val="20"/>
                          <w:szCs w:val="20"/>
                        </w:rPr>
                        <w:t>顺诚融资租赁</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6</w:t>
                      </w:r>
                    </w:p>
                    <w:p>
                      <w:pPr>
                        <w:pStyle w:val="Style33"/>
                        <w:keepNext w:val="0"/>
                        <w:keepLines w:val="0"/>
                        <w:widowControl w:val="0"/>
                        <w:shd w:val="clear" w:color="auto" w:fill="auto"/>
                        <w:bidi w:val="0"/>
                        <w:spacing w:before="0" w:after="0" w:line="321" w:lineRule="exact"/>
                        <w:ind w:left="0" w:right="0" w:firstLine="0"/>
                        <w:jc w:val="left"/>
                      </w:pPr>
                      <w:r>
                        <w:rPr>
                          <w:b w:val="0"/>
                          <w:bCs w:val="0"/>
                          <w:color w:val="000000"/>
                          <w:spacing w:val="0"/>
                          <w:w w:val="100"/>
                          <w:position w:val="0"/>
                        </w:rPr>
                        <w:t>顺诚前海一号融资租赁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顺诚前海二号融资租赁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顺诚前海三号融资租赁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顺诚前海四号融资租赁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顺诚前海五号融资租赁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深圳</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顺诚一号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顺诚二号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顺诚三号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顺恒融资租赁</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顺诚四号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顺诚五号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天津</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融资租赁有限公司</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4</w:t>
                      </w:r>
                      <w:r>
                        <w:rPr>
                          <w:rFonts w:ascii="Arial" w:eastAsia="Arial" w:hAnsi="Arial" w:cs="Arial"/>
                          <w:b w:val="0"/>
                          <w:bCs w:val="0"/>
                          <w:color w:val="000000"/>
                          <w:spacing w:val="0"/>
                          <w:w w:val="100"/>
                          <w:position w:val="0"/>
                          <w:sz w:val="14"/>
                          <w:szCs w:val="14"/>
                        </w:rPr>
                        <w:t>&amp;</w:t>
                      </w:r>
                      <w:r>
                        <w:rPr>
                          <w:b w:val="0"/>
                          <w:bCs w:val="0"/>
                          <w:color w:val="000000"/>
                          <w:spacing w:val="0"/>
                          <w:w w:val="100"/>
                          <w:position w:val="0"/>
                          <w:sz w:val="11"/>
                          <w:szCs w:val="11"/>
                        </w:rPr>
                        <w:t>注</w:t>
                      </w:r>
                      <w:r>
                        <w:rPr>
                          <w:rFonts w:ascii="Arial" w:eastAsia="Arial" w:hAnsi="Arial" w:cs="Arial"/>
                          <w:b w:val="0"/>
                          <w:bCs w:val="0"/>
                          <w:color w:val="000000"/>
                          <w:spacing w:val="0"/>
                          <w:w w:val="100"/>
                          <w:position w:val="0"/>
                          <w:sz w:val="14"/>
                          <w:szCs w:val="14"/>
                          <w:vertAlign w:val="superscript"/>
                        </w:rPr>
                        <w:t xml:space="preserve">6 </w:t>
                      </w:r>
                      <w:r>
                        <w:rPr>
                          <w:b w:val="0"/>
                          <w:bCs w:val="0"/>
                          <w:color w:val="000000"/>
                          <w:spacing w:val="0"/>
                          <w:w w:val="100"/>
                          <w:position w:val="0"/>
                        </w:rPr>
                        <w:t>大庆三维软件有限责任公司</w:t>
                      </w:r>
                    </w:p>
                  </w:txbxContent>
                </v:textbox>
                <w10:wrap type="topAndBottom" anchorx="page"/>
              </v:shape>
            </w:pict>
          </mc:Fallback>
        </mc:AlternateContent>
      </w:r>
      <w:r>
        <mc:AlternateContent>
          <mc:Choice Requires="wps">
            <w:drawing>
              <wp:anchor distT="127000" distB="3175" distL="0" distR="0" simplePos="0" relativeHeight="125829605" behindDoc="0" locked="0" layoutInCell="1" allowOverlap="1">
                <wp:simplePos x="0" y="0"/>
                <wp:positionH relativeFrom="page">
                  <wp:posOffset>3990975</wp:posOffset>
                </wp:positionH>
                <wp:positionV relativeFrom="paragraph">
                  <wp:posOffset>127000</wp:posOffset>
                </wp:positionV>
                <wp:extent cx="2819400" cy="6312535"/>
                <wp:wrapTopAndBottom/>
                <wp:docPr id="653" name="Shape 653"/>
                <a:graphic xmlns:a="http://schemas.openxmlformats.org/drawingml/2006/main">
                  <a:graphicData uri="http://schemas.microsoft.com/office/word/2010/wordprocessingShape">
                    <wps:wsp>
                      <wps:cNvSpPr txBox="1"/>
                      <wps:spPr>
                        <a:xfrm>
                          <a:ext cx="2819400" cy="6312535"/>
                        </a:xfrm>
                        <a:prstGeom prst="rect"/>
                        <a:noFill/>
                      </wps:spPr>
                      <wps:txbx>
                        <w:txbxContent>
                          <w:p>
                            <w:pPr>
                              <w:pStyle w:val="Style33"/>
                              <w:keepNext w:val="0"/>
                              <w:keepLines w:val="0"/>
                              <w:widowControl w:val="0"/>
                              <w:shd w:val="clear" w:color="auto" w:fill="auto"/>
                              <w:bidi w:val="0"/>
                              <w:spacing w:before="0" w:after="0" w:line="320" w:lineRule="exact"/>
                              <w:ind w:left="0" w:right="0" w:firstLine="2420"/>
                              <w:jc w:val="both"/>
                            </w:pPr>
                            <w:r>
                              <w:rPr>
                                <w:b w:val="0"/>
                                <w:bCs w:val="0"/>
                                <w:color w:val="000000"/>
                                <w:spacing w:val="0"/>
                                <w:w w:val="100"/>
                                <w:position w:val="0"/>
                              </w:rPr>
                              <w:t>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在过去</w:t>
                            </w:r>
                            <w:r>
                              <w:rPr>
                                <w:rFonts w:ascii="Arial" w:eastAsia="Arial" w:hAnsi="Arial" w:cs="Arial"/>
                                <w:b w:val="0"/>
                                <w:bCs w:val="0"/>
                                <w:color w:val="000000"/>
                                <w:spacing w:val="0"/>
                                <w:w w:val="100"/>
                                <w:position w:val="0"/>
                                <w:sz w:val="22"/>
                                <w:szCs w:val="22"/>
                              </w:rPr>
                              <w:t>12</w:t>
                            </w:r>
                            <w:r>
                              <w:rPr>
                                <w:b w:val="0"/>
                                <w:bCs w:val="0"/>
                                <w:color w:val="000000"/>
                                <w:spacing w:val="0"/>
                                <w:w w:val="100"/>
                                <w:position w:val="0"/>
                              </w:rPr>
                              <w:t>个月内同受最终控制人控制 在过去</w:t>
                            </w:r>
                            <w:r>
                              <w:rPr>
                                <w:rFonts w:ascii="Arial" w:eastAsia="Arial" w:hAnsi="Arial" w:cs="Arial"/>
                                <w:b w:val="0"/>
                                <w:bCs w:val="0"/>
                                <w:color w:val="000000"/>
                                <w:spacing w:val="0"/>
                                <w:w w:val="100"/>
                                <w:position w:val="0"/>
                                <w:sz w:val="22"/>
                                <w:szCs w:val="22"/>
                              </w:rPr>
                              <w:t>12</w:t>
                            </w:r>
                            <w:r>
                              <w:rPr>
                                <w:b w:val="0"/>
                                <w:bCs w:val="0"/>
                                <w:color w:val="000000"/>
                                <w:spacing w:val="0"/>
                                <w:w w:val="100"/>
                                <w:position w:val="0"/>
                              </w:rPr>
                              <w:t>个月内同受最终控制人控制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本公司关键管理人员施加重要影响的其他公司</w:t>
                            </w:r>
                          </w:p>
                        </w:txbxContent>
                      </wps:txbx>
                      <wps:bodyPr lIns="0" tIns="0" rIns="0" bIns="0">
                        <a:noAutoFit/>
                      </wps:bodyPr>
                    </wps:wsp>
                  </a:graphicData>
                </a:graphic>
              </wp:anchor>
            </w:drawing>
          </mc:Choice>
          <mc:Fallback>
            <w:pict>
              <v:shape id="_x0000_s1679" type="#_x0000_t202" style="position:absolute;margin-left:314.25pt;margin-top:10.pt;width:222.pt;height:497.05000000000001pt;z-index:-125829148;mso-wrap-distance-left:0;mso-wrap-distance-top:10.pt;mso-wrap-distance-right:0;mso-wrap-distance-bottom:0.25pt;mso-position-horizontal-relative:page" filled="f" stroked="f">
                <v:textbox inset="0,0,0,0">
                  <w:txbxContent>
                    <w:p>
                      <w:pPr>
                        <w:pStyle w:val="Style33"/>
                        <w:keepNext w:val="0"/>
                        <w:keepLines w:val="0"/>
                        <w:widowControl w:val="0"/>
                        <w:shd w:val="clear" w:color="auto" w:fill="auto"/>
                        <w:bidi w:val="0"/>
                        <w:spacing w:before="0" w:after="0" w:line="320" w:lineRule="exact"/>
                        <w:ind w:left="0" w:right="0" w:firstLine="2420"/>
                        <w:jc w:val="both"/>
                      </w:pPr>
                      <w:r>
                        <w:rPr>
                          <w:b w:val="0"/>
                          <w:bCs w:val="0"/>
                          <w:color w:val="000000"/>
                          <w:spacing w:val="0"/>
                          <w:w w:val="100"/>
                          <w:position w:val="0"/>
                        </w:rPr>
                        <w:t>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在过去</w:t>
                      </w:r>
                      <w:r>
                        <w:rPr>
                          <w:rFonts w:ascii="Arial" w:eastAsia="Arial" w:hAnsi="Arial" w:cs="Arial"/>
                          <w:b w:val="0"/>
                          <w:bCs w:val="0"/>
                          <w:color w:val="000000"/>
                          <w:spacing w:val="0"/>
                          <w:w w:val="100"/>
                          <w:position w:val="0"/>
                          <w:sz w:val="22"/>
                          <w:szCs w:val="22"/>
                        </w:rPr>
                        <w:t>12</w:t>
                      </w:r>
                      <w:r>
                        <w:rPr>
                          <w:b w:val="0"/>
                          <w:bCs w:val="0"/>
                          <w:color w:val="000000"/>
                          <w:spacing w:val="0"/>
                          <w:w w:val="100"/>
                          <w:position w:val="0"/>
                        </w:rPr>
                        <w:t>个月内同受最终控制人控制 在过去</w:t>
                      </w:r>
                      <w:r>
                        <w:rPr>
                          <w:rFonts w:ascii="Arial" w:eastAsia="Arial" w:hAnsi="Arial" w:cs="Arial"/>
                          <w:b w:val="0"/>
                          <w:bCs w:val="0"/>
                          <w:color w:val="000000"/>
                          <w:spacing w:val="0"/>
                          <w:w w:val="100"/>
                          <w:position w:val="0"/>
                          <w:sz w:val="22"/>
                          <w:szCs w:val="22"/>
                        </w:rPr>
                        <w:t>12</w:t>
                      </w:r>
                      <w:r>
                        <w:rPr>
                          <w:b w:val="0"/>
                          <w:bCs w:val="0"/>
                          <w:color w:val="000000"/>
                          <w:spacing w:val="0"/>
                          <w:w w:val="100"/>
                          <w:position w:val="0"/>
                        </w:rPr>
                        <w:t>个月内同受最终控制人控制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同受最终控制人控制 本公司关键管理人员施加重要影响的其他公司</w:t>
                      </w:r>
                    </w:p>
                  </w:txbxContent>
                </v:textbox>
                <w10:wrap type="topAndBottom" anchorx="page"/>
              </v:shape>
            </w:pict>
          </mc:Fallback>
        </mc:AlternateContent>
      </w:r>
      <w:r>
        <w:br w:type="page"/>
      </w:r>
    </w:p>
    <w:p>
      <w:pPr>
        <w:pStyle w:val="Style27"/>
        <w:keepNext/>
        <w:keepLines/>
        <w:widowControl w:val="0"/>
        <w:shd w:val="clear" w:color="auto" w:fill="auto"/>
        <w:bidi w:val="0"/>
        <w:spacing w:before="0" w:after="340" w:line="240" w:lineRule="auto"/>
        <w:ind w:left="0" w:right="0" w:firstLine="0"/>
        <w:jc w:val="left"/>
        <w:rPr>
          <w:sz w:val="28"/>
          <w:szCs w:val="28"/>
        </w:rPr>
      </w:pPr>
      <w:bookmarkStart w:id="982" w:name="bookmark982"/>
      <w:bookmarkStart w:id="983" w:name="bookmark983"/>
      <w:bookmarkStart w:id="984" w:name="bookmark984"/>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982"/>
      <w:bookmarkEnd w:id="983"/>
      <w:bookmarkEnd w:id="984"/>
    </w:p>
    <w:p>
      <w:pPr>
        <w:pStyle w:val="Style33"/>
        <w:keepNext w:val="0"/>
        <w:keepLines w:val="0"/>
        <w:widowControl w:val="0"/>
        <w:shd w:val="clear" w:color="auto" w:fill="auto"/>
        <w:bidi w:val="0"/>
        <w:spacing w:before="0" w:after="380" w:line="240" w:lineRule="auto"/>
        <w:ind w:left="0" w:right="0" w:firstLine="0"/>
        <w:jc w:val="left"/>
        <w:rPr>
          <w:sz w:val="28"/>
          <w:szCs w:val="28"/>
        </w:rPr>
      </w:pP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不存在控制关系的关联方的性质</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续</w:t>
      </w:r>
      <w:r>
        <w:rPr>
          <w:b w:val="0"/>
          <w:bCs w:val="0"/>
          <w:color w:val="000000"/>
          <w:spacing w:val="0"/>
          <w:w w:val="100"/>
          <w:position w:val="0"/>
          <w:sz w:val="28"/>
          <w:szCs w:val="28"/>
        </w:rPr>
        <w:t>）</w:t>
      </w:r>
    </w:p>
    <w:p>
      <w:pPr>
        <w:pStyle w:val="Style33"/>
        <w:keepNext w:val="0"/>
        <w:keepLines w:val="0"/>
        <w:widowControl w:val="0"/>
        <w:shd w:val="clear" w:color="auto" w:fill="auto"/>
        <w:bidi w:val="0"/>
        <w:spacing w:before="0" w:after="0" w:line="240" w:lineRule="auto"/>
        <w:ind w:left="0" w:right="200" w:firstLine="0"/>
        <w:jc w:val="right"/>
      </w:pPr>
      <w:r>
        <w:rPr>
          <w:b w:val="0"/>
          <w:bCs w:val="0"/>
          <w:color w:val="000000"/>
          <w:spacing w:val="0"/>
          <w:w w:val="100"/>
          <w:position w:val="0"/>
        </w:rPr>
        <w:t>与本公司</w:t>
      </w:r>
    </w:p>
    <w:p>
      <w:pPr>
        <w:widowControl w:val="0"/>
        <w:spacing w:line="1" w:lineRule="exact"/>
      </w:pPr>
      <w:r>
        <mc:AlternateContent>
          <mc:Choice Requires="wps">
            <w:drawing>
              <wp:anchor distT="130175" distB="0" distL="0" distR="0" simplePos="0" relativeHeight="125829607" behindDoc="0" locked="0" layoutInCell="1" allowOverlap="1">
                <wp:simplePos x="0" y="0"/>
                <wp:positionH relativeFrom="page">
                  <wp:posOffset>1218565</wp:posOffset>
                </wp:positionH>
                <wp:positionV relativeFrom="paragraph">
                  <wp:posOffset>130175</wp:posOffset>
                </wp:positionV>
                <wp:extent cx="2566670" cy="3264535"/>
                <wp:wrapTopAndBottom/>
                <wp:docPr id="655" name="Shape 655"/>
                <a:graphic xmlns:a="http://schemas.openxmlformats.org/drawingml/2006/main">
                  <a:graphicData uri="http://schemas.microsoft.com/office/word/2010/wordprocessingShape">
                    <wps:wsp>
                      <wps:cNvSpPr txBox="1"/>
                      <wps:spPr>
                        <a:xfrm>
                          <a:ext cx="2566670" cy="3264535"/>
                        </a:xfrm>
                        <a:prstGeom prst="rect"/>
                        <a:noFill/>
                      </wps:spPr>
                      <wps:txbx>
                        <w:txbxContent>
                          <w:p>
                            <w:pPr>
                              <w:pStyle w:val="Style33"/>
                              <w:keepNext w:val="0"/>
                              <w:keepLines w:val="0"/>
                              <w:widowControl w:val="0"/>
                              <w:shd w:val="clear" w:color="auto" w:fill="auto"/>
                              <w:bidi w:val="0"/>
                              <w:spacing w:before="0" w:after="0" w:line="314" w:lineRule="exact"/>
                              <w:ind w:left="0" w:right="0" w:firstLine="0"/>
                              <w:jc w:val="both"/>
                            </w:pPr>
                            <w:r>
                              <w:rPr>
                                <w:b w:val="0"/>
                                <w:bCs w:val="0"/>
                                <w:color w:val="000000"/>
                                <w:spacing w:val="0"/>
                                <w:w w:val="100"/>
                                <w:position w:val="0"/>
                              </w:rPr>
                              <w:t>苏州元禾控股股份有限公司</w:t>
                            </w:r>
                          </w:p>
                          <w:p>
                            <w:pPr>
                              <w:pStyle w:val="Style33"/>
                              <w:keepNext w:val="0"/>
                              <w:keepLines w:val="0"/>
                              <w:widowControl w:val="0"/>
                              <w:shd w:val="clear" w:color="auto" w:fill="auto"/>
                              <w:bidi w:val="0"/>
                              <w:spacing w:before="0" w:after="0" w:line="314" w:lineRule="exact"/>
                              <w:ind w:left="220" w:right="0" w:hanging="220"/>
                              <w:jc w:val="left"/>
                              <w:rPr>
                                <w:sz w:val="26"/>
                                <w:szCs w:val="26"/>
                              </w:rPr>
                            </w:pPr>
                            <w:r>
                              <w:rPr>
                                <w:b w:val="0"/>
                                <w:bCs w:val="0"/>
                                <w:color w:val="000000"/>
                                <w:spacing w:val="0"/>
                                <w:w w:val="100"/>
                                <w:position w:val="0"/>
                                <w:sz w:val="20"/>
                                <w:szCs w:val="20"/>
                              </w:rPr>
                              <w:t>苏州工业园区元禾辰坤股权投资基金管理 中心</w:t>
                            </w:r>
                            <w:r>
                              <w:rPr>
                                <w:rFonts w:ascii="Arial" w:eastAsia="Arial" w:hAnsi="Arial" w:cs="Arial"/>
                                <w:b w:val="0"/>
                                <w:bCs w:val="0"/>
                                <w:color w:val="000000"/>
                                <w:spacing w:val="0"/>
                                <w:w w:val="100"/>
                                <w:position w:val="0"/>
                                <w:sz w:val="22"/>
                                <w:szCs w:val="22"/>
                              </w:rPr>
                              <w:t>（</w:t>
                            </w:r>
                            <w:r>
                              <w:rPr>
                                <w:b w:val="0"/>
                                <w:bCs w:val="0"/>
                                <w:color w:val="000000"/>
                                <w:spacing w:val="0"/>
                                <w:w w:val="100"/>
                                <w:position w:val="0"/>
                                <w:sz w:val="20"/>
                                <w:szCs w:val="20"/>
                              </w:rPr>
                              <w:t>有限合伙</w:t>
                            </w:r>
                            <w:r>
                              <w:rPr>
                                <w:b w:val="0"/>
                                <w:bCs w:val="0"/>
                                <w:color w:val="000000"/>
                                <w:spacing w:val="0"/>
                                <w:w w:val="100"/>
                                <w:position w:val="0"/>
                                <w:sz w:val="26"/>
                                <w:szCs w:val="26"/>
                              </w:rPr>
                              <w:t>）</w:t>
                            </w:r>
                          </w:p>
                          <w:p>
                            <w:pPr>
                              <w:pStyle w:val="Style33"/>
                              <w:keepNext w:val="0"/>
                              <w:keepLines w:val="0"/>
                              <w:widowControl w:val="0"/>
                              <w:shd w:val="clear" w:color="auto" w:fill="auto"/>
                              <w:bidi w:val="0"/>
                              <w:spacing w:before="0" w:after="0" w:line="314" w:lineRule="exact"/>
                              <w:ind w:left="0" w:right="0" w:firstLine="0"/>
                              <w:jc w:val="left"/>
                            </w:pPr>
                            <w:r>
                              <w:rPr>
                                <w:b w:val="0"/>
                                <w:bCs w:val="0"/>
                                <w:color w:val="000000"/>
                                <w:spacing w:val="0"/>
                                <w:w w:val="100"/>
                                <w:position w:val="0"/>
                              </w:rPr>
                              <w:t>苏州工业园区沙湖金融服务有限公司 苏州工业园区元禾原点创业投资管理有限 公司</w:t>
                            </w:r>
                          </w:p>
                          <w:p>
                            <w:pPr>
                              <w:pStyle w:val="Style33"/>
                              <w:keepNext w:val="0"/>
                              <w:keepLines w:val="0"/>
                              <w:widowControl w:val="0"/>
                              <w:shd w:val="clear" w:color="auto" w:fill="auto"/>
                              <w:bidi w:val="0"/>
                              <w:spacing w:before="0" w:after="0" w:line="314" w:lineRule="exact"/>
                              <w:ind w:left="220" w:right="0" w:hanging="220"/>
                              <w:jc w:val="left"/>
                            </w:pPr>
                            <w:r>
                              <w:rPr>
                                <w:b w:val="0"/>
                                <w:bCs w:val="0"/>
                                <w:color w:val="000000"/>
                                <w:spacing w:val="0"/>
                                <w:w w:val="100"/>
                                <w:position w:val="0"/>
                              </w:rPr>
                              <w:t>苏州工业园区元禾重元股权投资基金管理 有限公司</w:t>
                            </w:r>
                          </w:p>
                          <w:p>
                            <w:pPr>
                              <w:pStyle w:val="Style33"/>
                              <w:keepNext w:val="0"/>
                              <w:keepLines w:val="0"/>
                              <w:widowControl w:val="0"/>
                              <w:shd w:val="clear" w:color="auto" w:fill="auto"/>
                              <w:bidi w:val="0"/>
                              <w:spacing w:before="0" w:after="0" w:line="322" w:lineRule="exact"/>
                              <w:ind w:left="0" w:right="0" w:firstLine="0"/>
                              <w:jc w:val="both"/>
                            </w:pPr>
                            <w:r>
                              <w:rPr>
                                <w:b w:val="0"/>
                                <w:bCs w:val="0"/>
                                <w:color w:val="000000"/>
                                <w:spacing w:val="0"/>
                                <w:w w:val="100"/>
                                <w:position w:val="0"/>
                              </w:rPr>
                              <w:t>招商局物流集团有限公司</w:t>
                            </w:r>
                          </w:p>
                          <w:p>
                            <w:pPr>
                              <w:pStyle w:val="Style33"/>
                              <w:keepNext w:val="0"/>
                              <w:keepLines w:val="0"/>
                              <w:widowControl w:val="0"/>
                              <w:shd w:val="clear" w:color="auto" w:fill="auto"/>
                              <w:bidi w:val="0"/>
                              <w:spacing w:before="0" w:after="0" w:line="322" w:lineRule="exact"/>
                              <w:ind w:left="0" w:right="0" w:firstLine="0"/>
                              <w:jc w:val="both"/>
                            </w:pPr>
                            <w:r>
                              <w:rPr>
                                <w:b w:val="0"/>
                                <w:bCs w:val="0"/>
                                <w:color w:val="000000"/>
                                <w:spacing w:val="0"/>
                                <w:w w:val="100"/>
                                <w:position w:val="0"/>
                              </w:rPr>
                              <w:t>嘉强</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上海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咨询有限公司</w:t>
                            </w:r>
                          </w:p>
                          <w:p>
                            <w:pPr>
                              <w:pStyle w:val="Style33"/>
                              <w:keepNext w:val="0"/>
                              <w:keepLines w:val="0"/>
                              <w:widowControl w:val="0"/>
                              <w:shd w:val="clear" w:color="auto" w:fill="auto"/>
                              <w:bidi w:val="0"/>
                              <w:spacing w:before="0" w:after="320" w:line="322" w:lineRule="exact"/>
                              <w:ind w:left="220" w:right="0" w:hanging="220"/>
                              <w:jc w:val="left"/>
                            </w:pPr>
                            <w:r>
                              <w:rPr>
                                <w:b w:val="0"/>
                                <w:bCs w:val="0"/>
                                <w:color w:val="000000"/>
                                <w:spacing w:val="0"/>
                                <w:w w:val="100"/>
                                <w:position w:val="0"/>
                              </w:rPr>
                              <w:t>苏州瑞璜股权投资管理合伙企业（有限合 伙）（以下简称“苏州瑞璜”）</w:t>
                            </w:r>
                          </w:p>
                          <w:p>
                            <w:pPr>
                              <w:pStyle w:val="Style33"/>
                              <w:keepNext w:val="0"/>
                              <w:keepLines w:val="0"/>
                              <w:widowControl w:val="0"/>
                              <w:shd w:val="clear" w:color="auto" w:fill="auto"/>
                              <w:bidi w:val="0"/>
                              <w:spacing w:before="0" w:after="320" w:line="314" w:lineRule="exact"/>
                              <w:ind w:left="0" w:right="0" w:firstLine="0"/>
                              <w:jc w:val="both"/>
                            </w:pPr>
                            <w:r>
                              <w:rPr>
                                <w:b w:val="0"/>
                                <w:bCs w:val="0"/>
                                <w:color w:val="000000"/>
                                <w:spacing w:val="0"/>
                                <w:w w:val="100"/>
                                <w:position w:val="0"/>
                              </w:rPr>
                              <w:t>顺丰公益基金会</w:t>
                            </w:r>
                          </w:p>
                          <w:p>
                            <w:pPr>
                              <w:pStyle w:val="Style33"/>
                              <w:keepNext w:val="0"/>
                              <w:keepLines w:val="0"/>
                              <w:widowControl w:val="0"/>
                              <w:shd w:val="clear" w:color="auto" w:fill="auto"/>
                              <w:bidi w:val="0"/>
                              <w:spacing w:before="0" w:after="160" w:line="314" w:lineRule="exact"/>
                              <w:ind w:left="0" w:right="0" w:firstLine="0"/>
                              <w:jc w:val="both"/>
                            </w:pPr>
                            <w:r>
                              <w:rPr>
                                <w:b w:val="0"/>
                                <w:bCs w:val="0"/>
                                <w:color w:val="000000"/>
                                <w:spacing w:val="0"/>
                                <w:w w:val="100"/>
                                <w:position w:val="0"/>
                              </w:rPr>
                              <w:t>广东省顺丰慈善基金会</w:t>
                            </w:r>
                          </w:p>
                        </w:txbxContent>
                      </wps:txbx>
                      <wps:bodyPr lIns="0" tIns="0" rIns="0" bIns="0">
                        <a:noAutoFit/>
                      </wps:bodyPr>
                    </wps:wsp>
                  </a:graphicData>
                </a:graphic>
              </wp:anchor>
            </w:drawing>
          </mc:Choice>
          <mc:Fallback>
            <w:pict>
              <v:shape id="_x0000_s1681" type="#_x0000_t202" style="position:absolute;margin-left:95.950000000000003pt;margin-top:10.25pt;width:202.09999999999999pt;height:257.05000000000001pt;z-index:-125829146;mso-wrap-distance-left:0;mso-wrap-distance-top:10.25pt;mso-wrap-distance-right:0;mso-position-horizontal-relative:page" filled="f" stroked="f">
                <v:textbox inset="0,0,0,0">
                  <w:txbxContent>
                    <w:p>
                      <w:pPr>
                        <w:pStyle w:val="Style33"/>
                        <w:keepNext w:val="0"/>
                        <w:keepLines w:val="0"/>
                        <w:widowControl w:val="0"/>
                        <w:shd w:val="clear" w:color="auto" w:fill="auto"/>
                        <w:bidi w:val="0"/>
                        <w:spacing w:before="0" w:after="0" w:line="314" w:lineRule="exact"/>
                        <w:ind w:left="0" w:right="0" w:firstLine="0"/>
                        <w:jc w:val="both"/>
                      </w:pPr>
                      <w:r>
                        <w:rPr>
                          <w:b w:val="0"/>
                          <w:bCs w:val="0"/>
                          <w:color w:val="000000"/>
                          <w:spacing w:val="0"/>
                          <w:w w:val="100"/>
                          <w:position w:val="0"/>
                        </w:rPr>
                        <w:t>苏州元禾控股股份有限公司</w:t>
                      </w:r>
                    </w:p>
                    <w:p>
                      <w:pPr>
                        <w:pStyle w:val="Style33"/>
                        <w:keepNext w:val="0"/>
                        <w:keepLines w:val="0"/>
                        <w:widowControl w:val="0"/>
                        <w:shd w:val="clear" w:color="auto" w:fill="auto"/>
                        <w:bidi w:val="0"/>
                        <w:spacing w:before="0" w:after="0" w:line="314" w:lineRule="exact"/>
                        <w:ind w:left="220" w:right="0" w:hanging="220"/>
                        <w:jc w:val="left"/>
                        <w:rPr>
                          <w:sz w:val="26"/>
                          <w:szCs w:val="26"/>
                        </w:rPr>
                      </w:pPr>
                      <w:r>
                        <w:rPr>
                          <w:b w:val="0"/>
                          <w:bCs w:val="0"/>
                          <w:color w:val="000000"/>
                          <w:spacing w:val="0"/>
                          <w:w w:val="100"/>
                          <w:position w:val="0"/>
                          <w:sz w:val="20"/>
                          <w:szCs w:val="20"/>
                        </w:rPr>
                        <w:t>苏州工业园区元禾辰坤股权投资基金管理 中心</w:t>
                      </w:r>
                      <w:r>
                        <w:rPr>
                          <w:rFonts w:ascii="Arial" w:eastAsia="Arial" w:hAnsi="Arial" w:cs="Arial"/>
                          <w:b w:val="0"/>
                          <w:bCs w:val="0"/>
                          <w:color w:val="000000"/>
                          <w:spacing w:val="0"/>
                          <w:w w:val="100"/>
                          <w:position w:val="0"/>
                          <w:sz w:val="22"/>
                          <w:szCs w:val="22"/>
                        </w:rPr>
                        <w:t>（</w:t>
                      </w:r>
                      <w:r>
                        <w:rPr>
                          <w:b w:val="0"/>
                          <w:bCs w:val="0"/>
                          <w:color w:val="000000"/>
                          <w:spacing w:val="0"/>
                          <w:w w:val="100"/>
                          <w:position w:val="0"/>
                          <w:sz w:val="20"/>
                          <w:szCs w:val="20"/>
                        </w:rPr>
                        <w:t>有限合伙</w:t>
                      </w:r>
                      <w:r>
                        <w:rPr>
                          <w:b w:val="0"/>
                          <w:bCs w:val="0"/>
                          <w:color w:val="000000"/>
                          <w:spacing w:val="0"/>
                          <w:w w:val="100"/>
                          <w:position w:val="0"/>
                          <w:sz w:val="26"/>
                          <w:szCs w:val="26"/>
                        </w:rPr>
                        <w:t>）</w:t>
                      </w:r>
                    </w:p>
                    <w:p>
                      <w:pPr>
                        <w:pStyle w:val="Style33"/>
                        <w:keepNext w:val="0"/>
                        <w:keepLines w:val="0"/>
                        <w:widowControl w:val="0"/>
                        <w:shd w:val="clear" w:color="auto" w:fill="auto"/>
                        <w:bidi w:val="0"/>
                        <w:spacing w:before="0" w:after="0" w:line="314" w:lineRule="exact"/>
                        <w:ind w:left="0" w:right="0" w:firstLine="0"/>
                        <w:jc w:val="left"/>
                      </w:pPr>
                      <w:r>
                        <w:rPr>
                          <w:b w:val="0"/>
                          <w:bCs w:val="0"/>
                          <w:color w:val="000000"/>
                          <w:spacing w:val="0"/>
                          <w:w w:val="100"/>
                          <w:position w:val="0"/>
                        </w:rPr>
                        <w:t>苏州工业园区沙湖金融服务有限公司 苏州工业园区元禾原点创业投资管理有限 公司</w:t>
                      </w:r>
                    </w:p>
                    <w:p>
                      <w:pPr>
                        <w:pStyle w:val="Style33"/>
                        <w:keepNext w:val="0"/>
                        <w:keepLines w:val="0"/>
                        <w:widowControl w:val="0"/>
                        <w:shd w:val="clear" w:color="auto" w:fill="auto"/>
                        <w:bidi w:val="0"/>
                        <w:spacing w:before="0" w:after="0" w:line="314" w:lineRule="exact"/>
                        <w:ind w:left="220" w:right="0" w:hanging="220"/>
                        <w:jc w:val="left"/>
                      </w:pPr>
                      <w:r>
                        <w:rPr>
                          <w:b w:val="0"/>
                          <w:bCs w:val="0"/>
                          <w:color w:val="000000"/>
                          <w:spacing w:val="0"/>
                          <w:w w:val="100"/>
                          <w:position w:val="0"/>
                        </w:rPr>
                        <w:t>苏州工业园区元禾重元股权投资基金管理 有限公司</w:t>
                      </w:r>
                    </w:p>
                    <w:p>
                      <w:pPr>
                        <w:pStyle w:val="Style33"/>
                        <w:keepNext w:val="0"/>
                        <w:keepLines w:val="0"/>
                        <w:widowControl w:val="0"/>
                        <w:shd w:val="clear" w:color="auto" w:fill="auto"/>
                        <w:bidi w:val="0"/>
                        <w:spacing w:before="0" w:after="0" w:line="322" w:lineRule="exact"/>
                        <w:ind w:left="0" w:right="0" w:firstLine="0"/>
                        <w:jc w:val="both"/>
                      </w:pPr>
                      <w:r>
                        <w:rPr>
                          <w:b w:val="0"/>
                          <w:bCs w:val="0"/>
                          <w:color w:val="000000"/>
                          <w:spacing w:val="0"/>
                          <w:w w:val="100"/>
                          <w:position w:val="0"/>
                        </w:rPr>
                        <w:t>招商局物流集团有限公司</w:t>
                      </w:r>
                    </w:p>
                    <w:p>
                      <w:pPr>
                        <w:pStyle w:val="Style33"/>
                        <w:keepNext w:val="0"/>
                        <w:keepLines w:val="0"/>
                        <w:widowControl w:val="0"/>
                        <w:shd w:val="clear" w:color="auto" w:fill="auto"/>
                        <w:bidi w:val="0"/>
                        <w:spacing w:before="0" w:after="0" w:line="322" w:lineRule="exact"/>
                        <w:ind w:left="0" w:right="0" w:firstLine="0"/>
                        <w:jc w:val="both"/>
                      </w:pPr>
                      <w:r>
                        <w:rPr>
                          <w:b w:val="0"/>
                          <w:bCs w:val="0"/>
                          <w:color w:val="000000"/>
                          <w:spacing w:val="0"/>
                          <w:w w:val="100"/>
                          <w:position w:val="0"/>
                        </w:rPr>
                        <w:t>嘉强</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上海</w:t>
                      </w:r>
                      <w:r>
                        <w:rPr>
                          <w:rFonts w:ascii="Arial" w:eastAsia="Arial" w:hAnsi="Arial" w:cs="Arial"/>
                          <w:b w:val="0"/>
                          <w:bCs w:val="0"/>
                          <w:color w:val="000000"/>
                          <w:spacing w:val="0"/>
                          <w:w w:val="100"/>
                          <w:position w:val="0"/>
                          <w:sz w:val="22"/>
                          <w:szCs w:val="22"/>
                        </w:rPr>
                        <w:t>）</w:t>
                      </w:r>
                      <w:r>
                        <w:rPr>
                          <w:b w:val="0"/>
                          <w:bCs w:val="0"/>
                          <w:color w:val="000000"/>
                          <w:spacing w:val="0"/>
                          <w:w w:val="100"/>
                          <w:position w:val="0"/>
                        </w:rPr>
                        <w:t>咨询有限公司</w:t>
                      </w:r>
                    </w:p>
                    <w:p>
                      <w:pPr>
                        <w:pStyle w:val="Style33"/>
                        <w:keepNext w:val="0"/>
                        <w:keepLines w:val="0"/>
                        <w:widowControl w:val="0"/>
                        <w:shd w:val="clear" w:color="auto" w:fill="auto"/>
                        <w:bidi w:val="0"/>
                        <w:spacing w:before="0" w:after="320" w:line="322" w:lineRule="exact"/>
                        <w:ind w:left="220" w:right="0" w:hanging="220"/>
                        <w:jc w:val="left"/>
                      </w:pPr>
                      <w:r>
                        <w:rPr>
                          <w:b w:val="0"/>
                          <w:bCs w:val="0"/>
                          <w:color w:val="000000"/>
                          <w:spacing w:val="0"/>
                          <w:w w:val="100"/>
                          <w:position w:val="0"/>
                        </w:rPr>
                        <w:t>苏州瑞璜股权投资管理合伙企业（有限合 伙）（以下简称“苏州瑞璜”）</w:t>
                      </w:r>
                    </w:p>
                    <w:p>
                      <w:pPr>
                        <w:pStyle w:val="Style33"/>
                        <w:keepNext w:val="0"/>
                        <w:keepLines w:val="0"/>
                        <w:widowControl w:val="0"/>
                        <w:shd w:val="clear" w:color="auto" w:fill="auto"/>
                        <w:bidi w:val="0"/>
                        <w:spacing w:before="0" w:after="320" w:line="314" w:lineRule="exact"/>
                        <w:ind w:left="0" w:right="0" w:firstLine="0"/>
                        <w:jc w:val="both"/>
                      </w:pPr>
                      <w:r>
                        <w:rPr>
                          <w:b w:val="0"/>
                          <w:bCs w:val="0"/>
                          <w:color w:val="000000"/>
                          <w:spacing w:val="0"/>
                          <w:w w:val="100"/>
                          <w:position w:val="0"/>
                        </w:rPr>
                        <w:t>顺丰公益基金会</w:t>
                      </w:r>
                    </w:p>
                    <w:p>
                      <w:pPr>
                        <w:pStyle w:val="Style33"/>
                        <w:keepNext w:val="0"/>
                        <w:keepLines w:val="0"/>
                        <w:widowControl w:val="0"/>
                        <w:shd w:val="clear" w:color="auto" w:fill="auto"/>
                        <w:bidi w:val="0"/>
                        <w:spacing w:before="0" w:after="160" w:line="314" w:lineRule="exact"/>
                        <w:ind w:left="0" w:right="0" w:firstLine="0"/>
                        <w:jc w:val="both"/>
                      </w:pPr>
                      <w:r>
                        <w:rPr>
                          <w:b w:val="0"/>
                          <w:bCs w:val="0"/>
                          <w:color w:val="000000"/>
                          <w:spacing w:val="0"/>
                          <w:w w:val="100"/>
                          <w:position w:val="0"/>
                        </w:rPr>
                        <w:t>广东省顺丰慈善基金会</w:t>
                      </w:r>
                    </w:p>
                  </w:txbxContent>
                </v:textbox>
                <w10:wrap type="topAndBottom" anchorx="page"/>
              </v:shape>
            </w:pict>
          </mc:Fallback>
        </mc:AlternateContent>
      </w:r>
      <w:r>
        <mc:AlternateContent>
          <mc:Choice Requires="wps">
            <w:drawing>
              <wp:anchor distT="127000" distB="3175" distL="0" distR="0" simplePos="0" relativeHeight="125829609" behindDoc="0" locked="0" layoutInCell="1" allowOverlap="1">
                <wp:simplePos x="0" y="0"/>
                <wp:positionH relativeFrom="page">
                  <wp:posOffset>3943350</wp:posOffset>
                </wp:positionH>
                <wp:positionV relativeFrom="paragraph">
                  <wp:posOffset>127000</wp:posOffset>
                </wp:positionV>
                <wp:extent cx="2819400" cy="3264535"/>
                <wp:wrapTopAndBottom/>
                <wp:docPr id="657" name="Shape 657"/>
                <a:graphic xmlns:a="http://schemas.openxmlformats.org/drawingml/2006/main">
                  <a:graphicData uri="http://schemas.microsoft.com/office/word/2010/wordprocessingShape">
                    <wps:wsp>
                      <wps:cNvSpPr txBox="1"/>
                      <wps:spPr>
                        <a:xfrm>
                          <a:ext cx="2819400" cy="3264535"/>
                        </a:xfrm>
                        <a:prstGeom prst="rect"/>
                        <a:noFill/>
                      </wps:spPr>
                      <wps:txbx>
                        <w:txbxContent>
                          <w:p>
                            <w:pPr>
                              <w:pStyle w:val="Style33"/>
                              <w:keepNext w:val="0"/>
                              <w:keepLines w:val="0"/>
                              <w:widowControl w:val="0"/>
                              <w:shd w:val="clear" w:color="auto" w:fill="auto"/>
                              <w:bidi w:val="0"/>
                              <w:spacing w:before="0" w:after="320" w:line="319" w:lineRule="exact"/>
                              <w:ind w:left="0" w:right="0" w:firstLine="0"/>
                              <w:jc w:val="both"/>
                            </w:pPr>
                            <w:r>
                              <w:rPr>
                                <w:b w:val="0"/>
                                <w:bCs w:val="0"/>
                                <w:color w:val="000000"/>
                                <w:spacing w:val="0"/>
                                <w:w w:val="100"/>
                                <w:position w:val="0"/>
                              </w:rPr>
                              <w:t>本公司关键管理人员施加重要影响的其他公司</w:t>
                            </w:r>
                          </w:p>
                          <w:p>
                            <w:pPr>
                              <w:pStyle w:val="Style33"/>
                              <w:keepNext w:val="0"/>
                              <w:keepLines w:val="0"/>
                              <w:widowControl w:val="0"/>
                              <w:shd w:val="clear" w:color="auto" w:fill="auto"/>
                              <w:bidi w:val="0"/>
                              <w:spacing w:before="0" w:after="320" w:line="322" w:lineRule="exact"/>
                              <w:ind w:left="0" w:right="0" w:firstLine="0"/>
                              <w:jc w:val="both"/>
                            </w:pPr>
                            <w:r>
                              <w:rPr>
                                <w:b w:val="0"/>
                                <w:bCs w:val="0"/>
                                <w:color w:val="000000"/>
                                <w:spacing w:val="0"/>
                                <w:w w:val="100"/>
                                <w:position w:val="0"/>
                              </w:rPr>
                              <w:t>本公司关键管理人员施加重要影响的其他公司 本公司关键管理人员施加重要影响的其他公司</w:t>
                            </w:r>
                          </w:p>
                          <w:p>
                            <w:pPr>
                              <w:pStyle w:val="Style33"/>
                              <w:keepNext w:val="0"/>
                              <w:keepLines w:val="0"/>
                              <w:widowControl w:val="0"/>
                              <w:shd w:val="clear" w:color="auto" w:fill="auto"/>
                              <w:bidi w:val="0"/>
                              <w:spacing w:before="0" w:after="320" w:line="319" w:lineRule="exact"/>
                              <w:ind w:left="0" w:right="0" w:firstLine="0"/>
                              <w:jc w:val="both"/>
                            </w:pPr>
                            <w:r>
                              <w:rPr>
                                <w:b w:val="0"/>
                                <w:bCs w:val="0"/>
                                <w:color w:val="000000"/>
                                <w:spacing w:val="0"/>
                                <w:w w:val="100"/>
                                <w:position w:val="0"/>
                              </w:rPr>
                              <w:t>本公司关键管理人员施加重要影响的其他公司</w:t>
                            </w:r>
                          </w:p>
                          <w:p>
                            <w:pPr>
                              <w:pStyle w:val="Style33"/>
                              <w:keepNext w:val="0"/>
                              <w:keepLines w:val="0"/>
                              <w:widowControl w:val="0"/>
                              <w:shd w:val="clear" w:color="auto" w:fill="auto"/>
                              <w:bidi w:val="0"/>
                              <w:spacing w:before="0" w:after="320" w:line="314" w:lineRule="exact"/>
                              <w:ind w:left="0" w:right="0" w:firstLine="0"/>
                              <w:jc w:val="both"/>
                            </w:pPr>
                            <w:r>
                              <w:rPr>
                                <w:b w:val="0"/>
                                <w:bCs w:val="0"/>
                                <w:color w:val="000000"/>
                                <w:spacing w:val="0"/>
                                <w:w w:val="100"/>
                                <w:position w:val="0"/>
                              </w:rPr>
                              <w:t>本公司关键管理人员施加重要影响的其他公司 本公司关键管理人员施加重要影响的其他公司 本公司关键管理人员施加重要影响的其他公司</w:t>
                            </w:r>
                          </w:p>
                          <w:p>
                            <w:pPr>
                              <w:pStyle w:val="Style33"/>
                              <w:keepNext w:val="0"/>
                              <w:keepLines w:val="0"/>
                              <w:widowControl w:val="0"/>
                              <w:shd w:val="clear" w:color="auto" w:fill="auto"/>
                              <w:bidi w:val="0"/>
                              <w:spacing w:before="0" w:after="320" w:line="319" w:lineRule="exact"/>
                              <w:ind w:left="0" w:right="0" w:firstLine="0"/>
                              <w:jc w:val="right"/>
                            </w:pPr>
                            <w:r>
                              <w:rPr>
                                <w:b w:val="0"/>
                                <w:bCs w:val="0"/>
                                <w:color w:val="000000"/>
                                <w:spacing w:val="0"/>
                                <w:w w:val="100"/>
                                <w:position w:val="0"/>
                              </w:rPr>
                              <w:t>本公司董事担任执行事务合伙人的其他公司 控股股东以及顺丰控股子公司发起设立， 且公司董事、监事担任理事会理事的组织 控股股东发起设立，且公司监事 担任法定代表人的组织</w:t>
                            </w:r>
                          </w:p>
                        </w:txbxContent>
                      </wps:txbx>
                      <wps:bodyPr lIns="0" tIns="0" rIns="0" bIns="0">
                        <a:noAutoFit/>
                      </wps:bodyPr>
                    </wps:wsp>
                  </a:graphicData>
                </a:graphic>
              </wp:anchor>
            </w:drawing>
          </mc:Choice>
          <mc:Fallback>
            <w:pict>
              <v:shape id="_x0000_s1683" type="#_x0000_t202" style="position:absolute;margin-left:310.5pt;margin-top:10.pt;width:222.pt;height:257.05000000000001pt;z-index:-125829144;mso-wrap-distance-left:0;mso-wrap-distance-top:10.pt;mso-wrap-distance-right:0;mso-wrap-distance-bottom:0.25pt;mso-position-horizontal-relative:page" filled="f" stroked="f">
                <v:textbox inset="0,0,0,0">
                  <w:txbxContent>
                    <w:p>
                      <w:pPr>
                        <w:pStyle w:val="Style33"/>
                        <w:keepNext w:val="0"/>
                        <w:keepLines w:val="0"/>
                        <w:widowControl w:val="0"/>
                        <w:shd w:val="clear" w:color="auto" w:fill="auto"/>
                        <w:bidi w:val="0"/>
                        <w:spacing w:before="0" w:after="320" w:line="319" w:lineRule="exact"/>
                        <w:ind w:left="0" w:right="0" w:firstLine="0"/>
                        <w:jc w:val="both"/>
                      </w:pPr>
                      <w:r>
                        <w:rPr>
                          <w:b w:val="0"/>
                          <w:bCs w:val="0"/>
                          <w:color w:val="000000"/>
                          <w:spacing w:val="0"/>
                          <w:w w:val="100"/>
                          <w:position w:val="0"/>
                        </w:rPr>
                        <w:t>本公司关键管理人员施加重要影响的其他公司</w:t>
                      </w:r>
                    </w:p>
                    <w:p>
                      <w:pPr>
                        <w:pStyle w:val="Style33"/>
                        <w:keepNext w:val="0"/>
                        <w:keepLines w:val="0"/>
                        <w:widowControl w:val="0"/>
                        <w:shd w:val="clear" w:color="auto" w:fill="auto"/>
                        <w:bidi w:val="0"/>
                        <w:spacing w:before="0" w:after="320" w:line="322" w:lineRule="exact"/>
                        <w:ind w:left="0" w:right="0" w:firstLine="0"/>
                        <w:jc w:val="both"/>
                      </w:pPr>
                      <w:r>
                        <w:rPr>
                          <w:b w:val="0"/>
                          <w:bCs w:val="0"/>
                          <w:color w:val="000000"/>
                          <w:spacing w:val="0"/>
                          <w:w w:val="100"/>
                          <w:position w:val="0"/>
                        </w:rPr>
                        <w:t>本公司关键管理人员施加重要影响的其他公司 本公司关键管理人员施加重要影响的其他公司</w:t>
                      </w:r>
                    </w:p>
                    <w:p>
                      <w:pPr>
                        <w:pStyle w:val="Style33"/>
                        <w:keepNext w:val="0"/>
                        <w:keepLines w:val="0"/>
                        <w:widowControl w:val="0"/>
                        <w:shd w:val="clear" w:color="auto" w:fill="auto"/>
                        <w:bidi w:val="0"/>
                        <w:spacing w:before="0" w:after="320" w:line="319" w:lineRule="exact"/>
                        <w:ind w:left="0" w:right="0" w:firstLine="0"/>
                        <w:jc w:val="both"/>
                      </w:pPr>
                      <w:r>
                        <w:rPr>
                          <w:b w:val="0"/>
                          <w:bCs w:val="0"/>
                          <w:color w:val="000000"/>
                          <w:spacing w:val="0"/>
                          <w:w w:val="100"/>
                          <w:position w:val="0"/>
                        </w:rPr>
                        <w:t>本公司关键管理人员施加重要影响的其他公司</w:t>
                      </w:r>
                    </w:p>
                    <w:p>
                      <w:pPr>
                        <w:pStyle w:val="Style33"/>
                        <w:keepNext w:val="0"/>
                        <w:keepLines w:val="0"/>
                        <w:widowControl w:val="0"/>
                        <w:shd w:val="clear" w:color="auto" w:fill="auto"/>
                        <w:bidi w:val="0"/>
                        <w:spacing w:before="0" w:after="320" w:line="314" w:lineRule="exact"/>
                        <w:ind w:left="0" w:right="0" w:firstLine="0"/>
                        <w:jc w:val="both"/>
                      </w:pPr>
                      <w:r>
                        <w:rPr>
                          <w:b w:val="0"/>
                          <w:bCs w:val="0"/>
                          <w:color w:val="000000"/>
                          <w:spacing w:val="0"/>
                          <w:w w:val="100"/>
                          <w:position w:val="0"/>
                        </w:rPr>
                        <w:t>本公司关键管理人员施加重要影响的其他公司 本公司关键管理人员施加重要影响的其他公司 本公司关键管理人员施加重要影响的其他公司</w:t>
                      </w:r>
                    </w:p>
                    <w:p>
                      <w:pPr>
                        <w:pStyle w:val="Style33"/>
                        <w:keepNext w:val="0"/>
                        <w:keepLines w:val="0"/>
                        <w:widowControl w:val="0"/>
                        <w:shd w:val="clear" w:color="auto" w:fill="auto"/>
                        <w:bidi w:val="0"/>
                        <w:spacing w:before="0" w:after="320" w:line="319" w:lineRule="exact"/>
                        <w:ind w:left="0" w:right="0" w:firstLine="0"/>
                        <w:jc w:val="right"/>
                      </w:pPr>
                      <w:r>
                        <w:rPr>
                          <w:b w:val="0"/>
                          <w:bCs w:val="0"/>
                          <w:color w:val="000000"/>
                          <w:spacing w:val="0"/>
                          <w:w w:val="100"/>
                          <w:position w:val="0"/>
                        </w:rPr>
                        <w:t>本公司董事担任执行事务合伙人的其他公司 控股股东以及顺丰控股子公司发起设立， 且公司董事、监事担任理事会理事的组织 控股股东发起设立，且公司监事 担任法定代表人的组织</w:t>
                      </w:r>
                    </w:p>
                  </w:txbxContent>
                </v:textbox>
                <w10:wrap type="topAndBottom" anchorx="page"/>
              </v:shape>
            </w:pict>
          </mc:Fallback>
        </mc:AlternateContent>
      </w:r>
    </w:p>
    <w:p>
      <w:pPr>
        <w:pStyle w:val="Style33"/>
        <w:keepNext w:val="0"/>
        <w:keepLines w:val="0"/>
        <w:widowControl w:val="0"/>
        <w:shd w:val="clear" w:color="auto" w:fill="auto"/>
        <w:bidi w:val="0"/>
        <w:spacing w:before="0" w:after="0" w:line="322" w:lineRule="exact"/>
        <w:ind w:left="0" w:right="0" w:firstLine="0"/>
        <w:jc w:val="both"/>
        <w:rPr>
          <w:sz w:val="19"/>
          <w:szCs w:val="19"/>
        </w:rPr>
      </w:pPr>
      <w:r>
        <w:rPr>
          <w:b w:val="0"/>
          <w:bCs w:val="0"/>
          <w:color w:val="000000"/>
          <w:spacing w:val="0"/>
          <w:w w:val="100"/>
          <w:position w:val="0"/>
          <w:sz w:val="19"/>
          <w:szCs w:val="19"/>
        </w:rPr>
        <w:t>注</w:t>
      </w:r>
      <w:r>
        <w:rPr>
          <w:rFonts w:ascii="Arial" w:eastAsia="Arial" w:hAnsi="Arial" w:cs="Arial"/>
          <w:b w:val="0"/>
          <w:bCs w:val="0"/>
          <w:color w:val="000000"/>
          <w:spacing w:val="0"/>
          <w:w w:val="100"/>
          <w:position w:val="0"/>
          <w:sz w:val="20"/>
          <w:szCs w:val="20"/>
        </w:rPr>
        <w:t>1</w:t>
      </w:r>
      <w:r>
        <w:rPr>
          <w:b w:val="0"/>
          <w:bCs w:val="0"/>
          <w:color w:val="000000"/>
          <w:spacing w:val="0"/>
          <w:w w:val="100"/>
          <w:position w:val="0"/>
          <w:sz w:val="19"/>
          <w:szCs w:val="19"/>
        </w:rPr>
        <w:t>：于</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3</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日，巧顺投资有限公司将台湾顺丰速运股份有限公司转让给独立第三方； 注</w:t>
      </w:r>
      <w:r>
        <w:rPr>
          <w:rFonts w:ascii="Arial" w:eastAsia="Arial" w:hAnsi="Arial" w:cs="Arial"/>
          <w:b w:val="0"/>
          <w:bCs w:val="0"/>
          <w:color w:val="000000"/>
          <w:spacing w:val="0"/>
          <w:w w:val="100"/>
          <w:position w:val="0"/>
          <w:sz w:val="20"/>
          <w:szCs w:val="20"/>
        </w:rPr>
        <w:t>2</w:t>
      </w:r>
      <w:r>
        <w:rPr>
          <w:b w:val="0"/>
          <w:bCs w:val="0"/>
          <w:color w:val="000000"/>
          <w:spacing w:val="0"/>
          <w:w w:val="100"/>
          <w:position w:val="0"/>
          <w:sz w:val="19"/>
          <w:szCs w:val="19"/>
        </w:rPr>
        <w:t>：以上为上海牵趣网络科技有限公司之子公司；</w:t>
      </w:r>
    </w:p>
    <w:p>
      <w:pPr>
        <w:pStyle w:val="Style33"/>
        <w:keepNext w:val="0"/>
        <w:keepLines w:val="0"/>
        <w:widowControl w:val="0"/>
        <w:shd w:val="clear" w:color="auto" w:fill="auto"/>
        <w:bidi w:val="0"/>
        <w:spacing w:before="0" w:after="0" w:line="322" w:lineRule="exact"/>
        <w:ind w:left="720" w:right="0" w:hanging="720"/>
        <w:jc w:val="both"/>
        <w:rPr>
          <w:sz w:val="19"/>
          <w:szCs w:val="19"/>
        </w:rPr>
      </w:pPr>
      <w:r>
        <w:rPr>
          <w:b w:val="0"/>
          <w:bCs w:val="0"/>
          <w:color w:val="000000"/>
          <w:spacing w:val="0"/>
          <w:w w:val="100"/>
          <w:position w:val="0"/>
          <w:sz w:val="19"/>
          <w:szCs w:val="19"/>
        </w:rPr>
        <w:t>注</w:t>
      </w:r>
      <w:r>
        <w:rPr>
          <w:rFonts w:ascii="Arial" w:eastAsia="Arial" w:hAnsi="Arial" w:cs="Arial"/>
          <w:b w:val="0"/>
          <w:bCs w:val="0"/>
          <w:color w:val="000000"/>
          <w:spacing w:val="0"/>
          <w:w w:val="100"/>
          <w:position w:val="0"/>
          <w:sz w:val="20"/>
          <w:szCs w:val="20"/>
        </w:rPr>
        <w:t>3</w:t>
      </w:r>
      <w:r>
        <w:rPr>
          <w:b w:val="0"/>
          <w:bCs w:val="0"/>
          <w:color w:val="000000"/>
          <w:spacing w:val="0"/>
          <w:w w:val="100"/>
          <w:position w:val="0"/>
          <w:sz w:val="19"/>
          <w:szCs w:val="19"/>
        </w:rPr>
        <w:t>：以上均为顺丰控股集团商贸有限公司之子公司。如附注十一所述，本集团从</w:t>
      </w:r>
      <w:r>
        <w:rPr>
          <w:rFonts w:ascii="Arial" w:eastAsia="Arial" w:hAnsi="Arial" w:cs="Arial"/>
          <w:b w:val="0"/>
          <w:bCs w:val="0"/>
          <w:color w:val="000000"/>
          <w:spacing w:val="0"/>
          <w:w w:val="100"/>
          <w:position w:val="0"/>
          <w:sz w:val="20"/>
          <w:szCs w:val="20"/>
        </w:rPr>
        <w:t>2015</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10</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 xml:space="preserve">1 </w:t>
      </w:r>
      <w:r>
        <w:rPr>
          <w:b w:val="0"/>
          <w:bCs w:val="0"/>
          <w:color w:val="000000"/>
          <w:spacing w:val="0"/>
          <w:w w:val="100"/>
          <w:position w:val="0"/>
          <w:sz w:val="19"/>
          <w:szCs w:val="19"/>
        </w:rPr>
        <w:t>日起丧失对顺丰商业和顺丰电子商务的实际控制权并停止将其纳入合并范围，本财务报表披 露的与商贸控股及其子公司的关联交易指</w:t>
      </w:r>
      <w:r>
        <w:rPr>
          <w:rFonts w:ascii="Arial" w:eastAsia="Arial" w:hAnsi="Arial" w:cs="Arial"/>
          <w:b w:val="0"/>
          <w:bCs w:val="0"/>
          <w:color w:val="000000"/>
          <w:spacing w:val="0"/>
          <w:w w:val="100"/>
          <w:position w:val="0"/>
          <w:sz w:val="20"/>
          <w:szCs w:val="20"/>
        </w:rPr>
        <w:t>2015</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10</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1</w:t>
      </w:r>
      <w:r>
        <w:rPr>
          <w:b w:val="0"/>
          <w:bCs w:val="0"/>
          <w:color w:val="000000"/>
          <w:spacing w:val="0"/>
          <w:w w:val="100"/>
          <w:position w:val="0"/>
          <w:sz w:val="19"/>
          <w:szCs w:val="19"/>
        </w:rPr>
        <w:t>日后至</w:t>
      </w:r>
      <w:r>
        <w:rPr>
          <w:rFonts w:ascii="Arial" w:eastAsia="Arial" w:hAnsi="Arial" w:cs="Arial"/>
          <w:b w:val="0"/>
          <w:bCs w:val="0"/>
          <w:color w:val="000000"/>
          <w:spacing w:val="0"/>
          <w:w w:val="100"/>
          <w:position w:val="0"/>
          <w:sz w:val="20"/>
          <w:szCs w:val="20"/>
        </w:rPr>
        <w:t>12</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 xml:space="preserve">日的交易额以及 </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年度的交易额；</w:t>
      </w:r>
    </w:p>
    <w:p>
      <w:pPr>
        <w:pStyle w:val="Style33"/>
        <w:keepNext w:val="0"/>
        <w:keepLines w:val="0"/>
        <w:widowControl w:val="0"/>
        <w:shd w:val="clear" w:color="auto" w:fill="auto"/>
        <w:bidi w:val="0"/>
        <w:spacing w:before="0" w:after="0" w:line="322" w:lineRule="exact"/>
        <w:ind w:left="0" w:right="0" w:firstLine="0"/>
        <w:jc w:val="both"/>
        <w:rPr>
          <w:sz w:val="19"/>
          <w:szCs w:val="19"/>
        </w:rPr>
      </w:pPr>
      <w:r>
        <w:rPr>
          <w:b w:val="0"/>
          <w:bCs w:val="0"/>
          <w:color w:val="000000"/>
          <w:spacing w:val="0"/>
          <w:w w:val="100"/>
          <w:position w:val="0"/>
          <w:sz w:val="19"/>
          <w:szCs w:val="19"/>
        </w:rPr>
        <w:t>注</w:t>
      </w:r>
      <w:r>
        <w:rPr>
          <w:rFonts w:ascii="Arial" w:eastAsia="Arial" w:hAnsi="Arial" w:cs="Arial"/>
          <w:b w:val="0"/>
          <w:bCs w:val="0"/>
          <w:color w:val="000000"/>
          <w:spacing w:val="0"/>
          <w:w w:val="100"/>
          <w:position w:val="0"/>
          <w:sz w:val="20"/>
          <w:szCs w:val="20"/>
        </w:rPr>
        <w:t>4</w:t>
      </w:r>
      <w:r>
        <w:rPr>
          <w:b w:val="0"/>
          <w:bCs w:val="0"/>
          <w:color w:val="000000"/>
          <w:spacing w:val="0"/>
          <w:w w:val="100"/>
          <w:position w:val="0"/>
          <w:sz w:val="19"/>
          <w:szCs w:val="19"/>
        </w:rPr>
        <w:t>：以上均为顺诚融资租赁之子公司；</w:t>
      </w:r>
    </w:p>
    <w:p>
      <w:pPr>
        <w:pStyle w:val="Style33"/>
        <w:keepNext w:val="0"/>
        <w:keepLines w:val="0"/>
        <w:widowControl w:val="0"/>
        <w:shd w:val="clear" w:color="auto" w:fill="auto"/>
        <w:bidi w:val="0"/>
        <w:spacing w:before="0" w:after="0" w:line="322" w:lineRule="exact"/>
        <w:ind w:left="720" w:right="0" w:hanging="720"/>
        <w:jc w:val="both"/>
        <w:rPr>
          <w:sz w:val="19"/>
          <w:szCs w:val="19"/>
        </w:rPr>
      </w:pPr>
      <w:r>
        <w:rPr>
          <w:b w:val="0"/>
          <w:bCs w:val="0"/>
          <w:color w:val="000000"/>
          <w:spacing w:val="0"/>
          <w:w w:val="100"/>
          <w:position w:val="0"/>
          <w:sz w:val="19"/>
          <w:szCs w:val="19"/>
        </w:rPr>
        <w:t>注</w:t>
      </w:r>
      <w:r>
        <w:rPr>
          <w:rFonts w:ascii="Arial" w:eastAsia="Arial" w:hAnsi="Arial" w:cs="Arial"/>
          <w:b w:val="0"/>
          <w:bCs w:val="0"/>
          <w:color w:val="000000"/>
          <w:spacing w:val="0"/>
          <w:w w:val="100"/>
          <w:position w:val="0"/>
          <w:sz w:val="20"/>
          <w:szCs w:val="20"/>
        </w:rPr>
        <w:t>5</w:t>
      </w:r>
      <w:r>
        <w:rPr>
          <w:b w:val="0"/>
          <w:bCs w:val="0"/>
          <w:color w:val="000000"/>
          <w:spacing w:val="0"/>
          <w:w w:val="100"/>
          <w:position w:val="0"/>
          <w:sz w:val="19"/>
          <w:szCs w:val="19"/>
        </w:rPr>
        <w:t>：以上曾均为本集团合营公司商顺供应链的下属子公司。如附注五</w:t>
      </w:r>
      <w:r>
        <w:rPr>
          <w:rFonts w:ascii="Arial" w:eastAsia="Arial" w:hAnsi="Arial" w:cs="Arial"/>
          <w:b w:val="0"/>
          <w:bCs w:val="0"/>
          <w:color w:val="000000"/>
          <w:spacing w:val="0"/>
          <w:w w:val="100"/>
          <w:position w:val="0"/>
          <w:sz w:val="20"/>
          <w:szCs w:val="20"/>
        </w:rPr>
        <w:t>（2）</w:t>
      </w:r>
      <w:r>
        <w:rPr>
          <w:b w:val="0"/>
          <w:bCs w:val="0"/>
          <w:color w:val="000000"/>
          <w:spacing w:val="0"/>
          <w:w w:val="100"/>
          <w:position w:val="0"/>
          <w:sz w:val="19"/>
          <w:szCs w:val="19"/>
        </w:rPr>
        <w:t>所述，本集团从</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 xml:space="preserve">7 </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日起持有翠玉控股有限公司和固特发展有限公司</w:t>
      </w:r>
      <w:r>
        <w:rPr>
          <w:rFonts w:ascii="Arial" w:eastAsia="Arial" w:hAnsi="Arial" w:cs="Arial"/>
          <w:b w:val="0"/>
          <w:bCs w:val="0"/>
          <w:color w:val="000000"/>
          <w:spacing w:val="0"/>
          <w:w w:val="100"/>
          <w:position w:val="0"/>
          <w:sz w:val="20"/>
          <w:szCs w:val="20"/>
        </w:rPr>
        <w:t>100%</w:t>
      </w:r>
      <w:r>
        <w:rPr>
          <w:b w:val="0"/>
          <w:bCs w:val="0"/>
          <w:color w:val="000000"/>
          <w:spacing w:val="0"/>
          <w:w w:val="100"/>
          <w:position w:val="0"/>
          <w:sz w:val="19"/>
          <w:szCs w:val="19"/>
        </w:rPr>
        <w:t>的股权并将其纳入合并范围，本 财务报表披露的与翠玉控股有限公司和固特发展有限公司的本年度关联交易指期初资产负债 表日至</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7</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日的交易额；</w:t>
      </w:r>
    </w:p>
    <w:p>
      <w:pPr>
        <w:pStyle w:val="Style33"/>
        <w:keepNext w:val="0"/>
        <w:keepLines w:val="0"/>
        <w:widowControl w:val="0"/>
        <w:shd w:val="clear" w:color="auto" w:fill="auto"/>
        <w:bidi w:val="0"/>
        <w:spacing w:before="0" w:after="0" w:line="322" w:lineRule="exact"/>
        <w:ind w:left="720" w:right="0" w:hanging="720"/>
        <w:jc w:val="both"/>
        <w:rPr>
          <w:sz w:val="19"/>
          <w:szCs w:val="19"/>
        </w:rPr>
        <w:sectPr>
          <w:footnotePr>
            <w:pos w:val="pageBottom"/>
            <w:numFmt w:val="decimal"/>
            <w:numRestart w:val="continuous"/>
          </w:footnotePr>
          <w:pgSz w:w="11900" w:h="16840"/>
          <w:pgMar w:top="1742" w:right="1068" w:bottom="2300" w:left="1919" w:header="0" w:footer="3" w:gutter="0"/>
          <w:cols w:space="720"/>
          <w:noEndnote/>
          <w:rtlGutter w:val="0"/>
          <w:docGrid w:linePitch="360"/>
        </w:sectPr>
      </w:pPr>
      <w:r>
        <w:rPr>
          <w:b w:val="0"/>
          <w:bCs w:val="0"/>
          <w:color w:val="000000"/>
          <w:spacing w:val="0"/>
          <w:w w:val="100"/>
          <w:position w:val="0"/>
          <w:sz w:val="19"/>
          <w:szCs w:val="19"/>
        </w:rPr>
        <w:t>注</w:t>
      </w:r>
      <w:r>
        <w:rPr>
          <w:rFonts w:ascii="Arial" w:eastAsia="Arial" w:hAnsi="Arial" w:cs="Arial"/>
          <w:b w:val="0"/>
          <w:bCs w:val="0"/>
          <w:color w:val="000000"/>
          <w:spacing w:val="0"/>
          <w:w w:val="100"/>
          <w:position w:val="0"/>
          <w:sz w:val="20"/>
          <w:szCs w:val="20"/>
        </w:rPr>
        <w:t>6</w:t>
      </w:r>
      <w:r>
        <w:rPr>
          <w:b w:val="0"/>
          <w:bCs w:val="0"/>
          <w:color w:val="000000"/>
          <w:spacing w:val="0"/>
          <w:w w:val="100"/>
          <w:position w:val="0"/>
          <w:sz w:val="19"/>
          <w:szCs w:val="19"/>
        </w:rPr>
        <w:t>：以上曾均为本集团的子公司。如附注五</w:t>
      </w:r>
      <w:r>
        <w:rPr>
          <w:rFonts w:ascii="Arial" w:eastAsia="Arial" w:hAnsi="Arial" w:cs="Arial"/>
          <w:b w:val="0"/>
          <w:bCs w:val="0"/>
          <w:color w:val="000000"/>
          <w:spacing w:val="0"/>
          <w:w w:val="100"/>
          <w:position w:val="0"/>
          <w:sz w:val="20"/>
          <w:szCs w:val="20"/>
        </w:rPr>
        <w:t>（3）</w:t>
      </w:r>
      <w:r>
        <w:rPr>
          <w:b w:val="0"/>
          <w:bCs w:val="0"/>
          <w:color w:val="000000"/>
          <w:spacing w:val="0"/>
          <w:w w:val="100"/>
          <w:position w:val="0"/>
          <w:sz w:val="19"/>
          <w:szCs w:val="19"/>
        </w:rPr>
        <w:t>所述，本集团从</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7</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日起丧失对乐丰保 理、顺诚融资租赁及其子公司的实际控制权并停止将其纳入合并范围，本财务报表披露的与 乐丰保理、顺诚融资租赁及其子公司的关联交易指</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7</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日后至本年资产负债表日 的交易额；本集团从</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8</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日起丧失对合丰小额贷款的实际控制权并停止将其纳入 合并范围，本财务报表披露的与合丰小额贷款的关联交易指</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w:t>
      </w:r>
      <w:r>
        <w:rPr>
          <w:rFonts w:ascii="Arial" w:eastAsia="Arial" w:hAnsi="Arial" w:cs="Arial"/>
          <w:b w:val="0"/>
          <w:bCs w:val="0"/>
          <w:color w:val="000000"/>
          <w:spacing w:val="0"/>
          <w:w w:val="100"/>
          <w:position w:val="0"/>
          <w:sz w:val="20"/>
          <w:szCs w:val="20"/>
        </w:rPr>
        <w:t>8</w:t>
      </w:r>
      <w:r>
        <w:rPr>
          <w:b w:val="0"/>
          <w:bCs w:val="0"/>
          <w:color w:val="000000"/>
          <w:spacing w:val="0"/>
          <w:w w:val="100"/>
          <w:position w:val="0"/>
          <w:sz w:val="19"/>
          <w:szCs w:val="19"/>
        </w:rPr>
        <w:t>月</w:t>
      </w:r>
      <w:r>
        <w:rPr>
          <w:rFonts w:ascii="Arial" w:eastAsia="Arial" w:hAnsi="Arial" w:cs="Arial"/>
          <w:b w:val="0"/>
          <w:bCs w:val="0"/>
          <w:color w:val="000000"/>
          <w:spacing w:val="0"/>
          <w:w w:val="100"/>
          <w:position w:val="0"/>
          <w:sz w:val="20"/>
          <w:szCs w:val="20"/>
        </w:rPr>
        <w:t>31</w:t>
      </w:r>
      <w:r>
        <w:rPr>
          <w:b w:val="0"/>
          <w:bCs w:val="0"/>
          <w:color w:val="000000"/>
          <w:spacing w:val="0"/>
          <w:w w:val="100"/>
          <w:position w:val="0"/>
          <w:sz w:val="19"/>
          <w:szCs w:val="19"/>
        </w:rPr>
        <w:t>日后至本年资产 负债表日的交易额。</w:t>
      </w:r>
    </w:p>
    <w:p>
      <w:pPr>
        <w:pStyle w:val="Style33"/>
        <w:keepNext w:val="0"/>
        <w:keepLines w:val="0"/>
        <w:widowControl w:val="0"/>
        <w:shd w:val="clear" w:color="auto" w:fill="auto"/>
        <w:bidi w:val="0"/>
        <w:spacing w:before="0" w:after="340" w:line="276" w:lineRule="auto"/>
        <w:ind w:left="0" w:right="0" w:firstLine="0"/>
        <w:jc w:val="both"/>
        <w:rPr>
          <w:sz w:val="22"/>
          <w:szCs w:val="22"/>
        </w:rPr>
      </w:pPr>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关联交易</w:t>
      </w:r>
    </w:p>
    <w:p>
      <w:pPr>
        <w:pStyle w:val="Style33"/>
        <w:keepNext w:val="0"/>
        <w:keepLines w:val="0"/>
        <w:widowControl w:val="0"/>
        <w:numPr>
          <w:ilvl w:val="0"/>
          <w:numId w:val="85"/>
        </w:numPr>
        <w:shd w:val="clear" w:color="auto" w:fill="auto"/>
        <w:tabs>
          <w:tab w:pos="718" w:val="left"/>
        </w:tabs>
        <w:bidi w:val="0"/>
        <w:spacing w:before="0" w:after="260" w:line="276" w:lineRule="auto"/>
        <w:ind w:left="0" w:right="0" w:firstLine="0"/>
        <w:jc w:val="both"/>
        <w:rPr>
          <w:sz w:val="22"/>
          <w:szCs w:val="22"/>
        </w:rPr>
      </w:pPr>
      <w:bookmarkStart w:id="985" w:name="bookmark985"/>
      <w:bookmarkEnd w:id="985"/>
      <w:r>
        <w:rPr>
          <w:b w:val="0"/>
          <w:bCs w:val="0"/>
          <w:color w:val="000000"/>
          <w:spacing w:val="0"/>
          <w:w w:val="100"/>
          <w:position w:val="0"/>
          <w:sz w:val="22"/>
          <w:szCs w:val="22"/>
        </w:rPr>
        <w:t>定价政策</w:t>
      </w:r>
    </w:p>
    <w:p>
      <w:pPr>
        <w:pStyle w:val="Style33"/>
        <w:keepNext w:val="0"/>
        <w:keepLines w:val="0"/>
        <w:widowControl w:val="0"/>
        <w:shd w:val="clear" w:color="auto" w:fill="auto"/>
        <w:bidi w:val="0"/>
        <w:spacing w:before="0" w:after="340" w:line="317" w:lineRule="exact"/>
        <w:ind w:left="0" w:right="0" w:firstLine="0"/>
        <w:jc w:val="both"/>
        <w:rPr>
          <w:sz w:val="22"/>
          <w:szCs w:val="22"/>
        </w:rPr>
      </w:pPr>
      <w:r>
        <w:rPr>
          <w:b w:val="0"/>
          <w:bCs w:val="0"/>
          <w:color w:val="000000"/>
          <w:spacing w:val="0"/>
          <w:w w:val="100"/>
          <w:position w:val="0"/>
          <w:sz w:val="22"/>
          <w:szCs w:val="22"/>
        </w:rPr>
        <w:t>本公司与关联方之间交易的计价方式及交易价格在遵循独立交易原则下参照市场价 格厘定或按照双方协商价格确定。</w:t>
      </w:r>
    </w:p>
    <w:p>
      <w:pPr>
        <w:pStyle w:val="Style33"/>
        <w:keepNext w:val="0"/>
        <w:keepLines w:val="0"/>
        <w:widowControl w:val="0"/>
        <w:numPr>
          <w:ilvl w:val="0"/>
          <w:numId w:val="85"/>
        </w:numPr>
        <w:shd w:val="clear" w:color="auto" w:fill="auto"/>
        <w:tabs>
          <w:tab w:pos="718" w:val="left"/>
        </w:tabs>
        <w:bidi w:val="0"/>
        <w:spacing w:before="0" w:after="340" w:line="317" w:lineRule="exact"/>
        <w:ind w:left="0" w:right="0" w:firstLine="0"/>
        <w:jc w:val="both"/>
        <w:rPr>
          <w:sz w:val="22"/>
          <w:szCs w:val="22"/>
        </w:rPr>
      </w:pPr>
      <w:bookmarkStart w:id="986" w:name="bookmark986"/>
      <w:bookmarkEnd w:id="986"/>
      <w:r>
        <w:rPr>
          <w:b w:val="0"/>
          <w:bCs w:val="0"/>
          <w:color w:val="000000"/>
          <w:spacing w:val="0"/>
          <w:w w:val="100"/>
          <w:position w:val="0"/>
          <w:sz w:val="22"/>
          <w:szCs w:val="22"/>
        </w:rPr>
        <w:t>航空运费收入</w:t>
      </w:r>
    </w:p>
    <w:p>
      <w:pPr>
        <w:pStyle w:val="Style94"/>
        <w:keepNext w:val="0"/>
        <w:keepLines w:val="0"/>
        <w:widowControl w:val="0"/>
        <w:shd w:val="clear" w:color="auto" w:fill="auto"/>
        <w:tabs>
          <w:tab w:pos="7591" w:val="left"/>
        </w:tabs>
        <w:bidi w:val="0"/>
        <w:spacing w:before="0" w:after="340" w:line="240" w:lineRule="auto"/>
        <w:ind w:left="510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29"/>
        <w:keepNext w:val="0"/>
        <w:keepLines w:val="0"/>
        <w:widowControl w:val="0"/>
        <w:shd w:val="clear" w:color="auto" w:fill="auto"/>
        <w:tabs>
          <w:tab w:pos="4589" w:val="left"/>
          <w:tab w:leader="underscore" w:pos="7080" w:val="left"/>
        </w:tabs>
        <w:bidi w:val="0"/>
        <w:spacing w:before="0" w:after="0" w:line="240" w:lineRule="auto"/>
        <w:ind w:left="19" w:right="0" w:firstLine="0"/>
        <w:jc w:val="left"/>
        <w:rPr>
          <w:sz w:val="24"/>
          <w:szCs w:val="24"/>
        </w:rPr>
      </w:pPr>
      <w:r>
        <w:rPr>
          <w:color w:val="000000"/>
          <w:spacing w:val="0"/>
          <w:w w:val="100"/>
          <w:position w:val="0"/>
          <w:sz w:val="22"/>
          <w:szCs w:val="22"/>
        </w:rPr>
        <w:t>台湾顺丰速运股份有限公司</w:t>
        <w:tab/>
      </w:r>
      <w:r>
        <w:rPr>
          <w:rFonts w:ascii="Arial" w:eastAsia="Arial" w:hAnsi="Arial" w:cs="Arial"/>
          <w:color w:val="000000"/>
          <w:spacing w:val="0"/>
          <w:w w:val="100"/>
          <w:position w:val="0"/>
          <w:sz w:val="24"/>
          <w:szCs w:val="24"/>
          <w:u w:val="single"/>
        </w:rPr>
        <w:t>37,753,482.37</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43,590,411.14</w:t>
      </w:r>
    </w:p>
    <w:tbl>
      <w:tblPr>
        <w:tblOverlap w:val="never"/>
        <w:jc w:val="center"/>
        <w:tblLayout w:type="fixed"/>
      </w:tblPr>
      <w:tblGrid>
        <w:gridCol w:w="4166"/>
        <w:gridCol w:w="2400"/>
        <w:gridCol w:w="2299"/>
      </w:tblGrid>
      <w:tr>
        <w:trPr>
          <w:trHeight w:val="840" w:hRule="exact"/>
        </w:trPr>
        <w:tc>
          <w:tcPr>
            <w:tcBorders>
              <w:top w:val="single" w:sz="4"/>
            </w:tcBorders>
            <w:shd w:val="clear" w:color="auto" w:fill="FFFFFF"/>
            <w:vAlign w:val="bottom"/>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(c)</w:t>
              <w:tab/>
            </w:r>
            <w:r>
              <w:rPr>
                <w:color w:val="000000"/>
                <w:spacing w:val="0"/>
                <w:w w:val="100"/>
                <w:position w:val="0"/>
                <w:sz w:val="22"/>
                <w:szCs w:val="22"/>
              </w:rPr>
              <w:t>联运及货代相关业务收入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台湾顺丰速运股份有限公司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320,518,403.76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274,338,588.08</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164,478,182.95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49,923,022.57</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牵趣网络及其子公司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12,886,518.03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 xml:space="preserve">41 </w:t>
            </w:r>
            <w:r>
              <w:rPr>
                <w:rFonts w:ascii="Arial" w:eastAsia="Arial" w:hAnsi="Arial" w:cs="Arial"/>
                <w:color w:val="000000"/>
                <w:spacing w:val="0"/>
                <w:w w:val="100"/>
                <w:position w:val="0"/>
                <w:sz w:val="24"/>
                <w:szCs w:val="24"/>
              </w:rPr>
              <w:t>,003,448.45</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招商局物流集团有限公司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75,199.53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69,432.60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顺丰公益基金会</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89,761.44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40,424.00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深圳中顺易金融服务有限公司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35,224.52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2,364.00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深圳市顺捷丰达速运有限公司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32,003.76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2,543.00</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珠海随变</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32,811.59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14,635.00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小红帽发行股份有限公司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19,188.67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16,935.00</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苏州工业园区元禾原点创业投资管理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18,737.75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13,697.00</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苏州工业园区元禾辰坤股权投资基金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8"/>
                <w:szCs w:val="28"/>
              </w:rPr>
            </w:pPr>
            <w:r>
              <w:rPr>
                <w:color w:val="000000"/>
                <w:spacing w:val="0"/>
                <w:w w:val="100"/>
                <w:position w:val="0"/>
                <w:sz w:val="22"/>
                <w:szCs w:val="22"/>
              </w:rPr>
              <w:t>管理中心</w:t>
            </w:r>
            <w:r>
              <w:rPr>
                <w:rFonts w:ascii="Arial" w:eastAsia="Arial" w:hAnsi="Arial" w:cs="Arial"/>
                <w:color w:val="000000"/>
                <w:spacing w:val="0"/>
                <w:w w:val="100"/>
                <w:position w:val="0"/>
                <w:sz w:val="24"/>
                <w:szCs w:val="24"/>
              </w:rPr>
              <w:t>(</w:t>
            </w:r>
            <w:r>
              <w:rPr>
                <w:color w:val="000000"/>
                <w:spacing w:val="0"/>
                <w:w w:val="100"/>
                <w:position w:val="0"/>
                <w:sz w:val="22"/>
                <w:szCs w:val="22"/>
              </w:rPr>
              <w:t>有限合伙</w:t>
            </w:r>
            <w:r>
              <w:rPr>
                <w:color w:val="000000"/>
                <w:spacing w:val="0"/>
                <w:w w:val="100"/>
                <w:position w:val="0"/>
                <w:sz w:val="28"/>
                <w:szCs w:val="2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8,333.95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6,828.00</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苏州工业园区沙湖金融服务有限公司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13,548.09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9,169.00</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苏州工业园区元禾重元股权投资基金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管理有限公司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5,711.31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4,013.00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苏州元禾控股有限公司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7,118.86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7,502.00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大庆三维软件有限责任公司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4,781.13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3,416.00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杭州午苇农作物开发有限公司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20,996.00</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嘉强</w:t>
            </w:r>
            <w:r>
              <w:rPr>
                <w:rFonts w:ascii="Arial" w:eastAsia="Arial" w:hAnsi="Arial" w:cs="Arial"/>
                <w:color w:val="000000"/>
                <w:spacing w:val="0"/>
                <w:w w:val="100"/>
                <w:position w:val="0"/>
                <w:sz w:val="24"/>
                <w:szCs w:val="24"/>
              </w:rPr>
              <w:t>(</w:t>
            </w:r>
            <w:r>
              <w:rPr>
                <w:color w:val="000000"/>
                <w:spacing w:val="0"/>
                <w:w w:val="100"/>
                <w:position w:val="0"/>
                <w:sz w:val="22"/>
                <w:szCs w:val="22"/>
              </w:rPr>
              <w:t>上海</w:t>
            </w:r>
            <w:r>
              <w:rPr>
                <w:rFonts w:ascii="Arial" w:eastAsia="Arial" w:hAnsi="Arial" w:cs="Arial"/>
                <w:color w:val="000000"/>
                <w:spacing w:val="0"/>
                <w:w w:val="100"/>
                <w:position w:val="0"/>
                <w:sz w:val="24"/>
                <w:szCs w:val="24"/>
              </w:rPr>
              <w:t>)</w:t>
            </w:r>
            <w:r>
              <w:rPr>
                <w:color w:val="000000"/>
                <w:spacing w:val="0"/>
                <w:w w:val="100"/>
                <w:position w:val="0"/>
                <w:sz w:val="22"/>
                <w:szCs w:val="22"/>
              </w:rPr>
              <w:t>咨询有限公司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23,595.26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15,876.00</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498,249,120.60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365,492,889.70</w:t>
            </w: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742" w:right="1068" w:bottom="2300" w:left="1919" w:header="0" w:footer="3" w:gutter="0"/>
          <w:cols w:space="720"/>
          <w:noEndnote/>
          <w:rtlGutter w:val="0"/>
          <w:docGrid w:linePitch="360"/>
        </w:sectPr>
      </w:pPr>
    </w:p>
    <w:tbl>
      <w:tblPr>
        <w:tblOverlap w:val="never"/>
        <w:jc w:val="center"/>
        <w:tblLayout w:type="fixed"/>
      </w:tblPr>
      <w:tblGrid>
        <w:gridCol w:w="3768"/>
        <w:gridCol w:w="5141"/>
      </w:tblGrid>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bl>
    <w:p>
      <w:pPr>
        <w:pStyle w:val="Style29"/>
        <w:keepNext w:val="0"/>
        <w:keepLines w:val="0"/>
        <w:widowControl w:val="0"/>
        <w:shd w:val="clear" w:color="auto" w:fill="auto"/>
        <w:bidi w:val="0"/>
        <w:spacing w:before="0" w:after="0" w:line="240" w:lineRule="auto"/>
        <w:ind w:left="43"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p>
      <w:pPr>
        <w:widowControl w:val="0"/>
        <w:spacing w:after="359" w:line="1" w:lineRule="exact"/>
      </w:pPr>
    </w:p>
    <w:p>
      <w:pPr>
        <w:pStyle w:val="Style94"/>
        <w:keepNext w:val="0"/>
        <w:keepLines w:val="0"/>
        <w:widowControl w:val="0"/>
        <w:shd w:val="clear" w:color="auto" w:fill="auto"/>
        <w:bidi w:val="0"/>
        <w:spacing w:before="0" w:after="140" w:line="240" w:lineRule="auto"/>
        <w:ind w:left="0" w:right="0" w:firstLine="0"/>
        <w:jc w:val="left"/>
        <w:rPr>
          <w:sz w:val="28"/>
          <w:szCs w:val="28"/>
        </w:rPr>
      </w:pPr>
      <w:r>
        <w:rPr>
          <w:color w:val="000000"/>
          <w:spacing w:val="0"/>
          <w:w w:val="100"/>
          <w:position w:val="0"/>
          <w:sz w:val="24"/>
          <w:szCs w:val="24"/>
        </w:rPr>
        <w:t>(3)</w:t>
      </w:r>
      <w:r>
        <w:rPr>
          <w:rFonts w:ascii="SimSun" w:eastAsia="SimSun" w:hAnsi="SimSun" w:cs="SimSun"/>
          <w:b/>
          <w:bCs/>
          <w:color w:val="000000"/>
          <w:spacing w:val="0"/>
          <w:w w:val="100"/>
          <w:position w:val="0"/>
          <w:sz w:val="22"/>
          <w:szCs w:val="22"/>
        </w:rPr>
        <w:t>关联交易</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tbl>
      <w:tblPr>
        <w:tblOverlap w:val="never"/>
        <w:jc w:val="center"/>
        <w:tblLayout w:type="fixed"/>
      </w:tblPr>
      <w:tblGrid>
        <w:gridCol w:w="3768"/>
        <w:gridCol w:w="5141"/>
      </w:tblGrid>
      <w:tr>
        <w:trPr>
          <w:trHeight w:val="1301" w:hRule="exact"/>
        </w:trPr>
        <w:tc>
          <w:tcPr>
            <w:tcBorders/>
            <w:shd w:val="clear" w:color="auto" w:fill="FFFFFF"/>
            <w:vAlign w:val="top"/>
          </w:tcPr>
          <w:p>
            <w:pPr>
              <w:pStyle w:val="Style23"/>
              <w:keepNext w:val="0"/>
              <w:keepLines w:val="0"/>
              <w:widowControl w:val="0"/>
              <w:shd w:val="clear" w:color="auto" w:fill="auto"/>
              <w:tabs>
                <w:tab w:pos="725" w:val="left"/>
              </w:tabs>
              <w:bidi w:val="0"/>
              <w:spacing w:before="200" w:after="0" w:line="240" w:lineRule="auto"/>
              <w:ind w:left="0" w:right="0" w:firstLine="0"/>
              <w:jc w:val="left"/>
              <w:rPr>
                <w:sz w:val="22"/>
                <w:szCs w:val="22"/>
              </w:rPr>
            </w:pPr>
            <w:r>
              <w:rPr>
                <w:rFonts w:ascii="Arial" w:eastAsia="Arial" w:hAnsi="Arial" w:cs="Arial"/>
                <w:color w:val="000000"/>
                <w:spacing w:val="0"/>
                <w:w w:val="100"/>
                <w:position w:val="0"/>
                <w:sz w:val="24"/>
                <w:szCs w:val="24"/>
              </w:rPr>
              <w:t>(d)</w:t>
              <w:tab/>
              <w:t>IT</w:t>
            </w:r>
            <w:r>
              <w:rPr>
                <w:color w:val="000000"/>
                <w:spacing w:val="0"/>
                <w:w w:val="100"/>
                <w:position w:val="0"/>
                <w:sz w:val="22"/>
                <w:szCs w:val="22"/>
              </w:rPr>
              <w:t>系统及商标使用费收入</w:t>
            </w:r>
          </w:p>
        </w:tc>
        <w:tc>
          <w:tcPr>
            <w:tcBorders/>
            <w:shd w:val="clear" w:color="auto" w:fill="FFFFFF"/>
            <w:vAlign w:val="bottom"/>
          </w:tcPr>
          <w:p>
            <w:pPr>
              <w:pStyle w:val="Style23"/>
              <w:keepNext w:val="0"/>
              <w:keepLines w:val="0"/>
              <w:widowControl w:val="0"/>
              <w:shd w:val="clear" w:color="auto" w:fill="auto"/>
              <w:tabs>
                <w:tab w:pos="3831" w:val="left"/>
              </w:tabs>
              <w:bidi w:val="0"/>
              <w:spacing w:before="0" w:after="0" w:line="240" w:lineRule="auto"/>
              <w:ind w:left="134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65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台湾顺丰速运股份有限公司</w:t>
            </w:r>
          </w:p>
        </w:tc>
        <w:tc>
          <w:tcPr>
            <w:tcBorders/>
            <w:shd w:val="clear" w:color="auto" w:fill="FFFFFF"/>
            <w:vAlign w:val="center"/>
          </w:tcPr>
          <w:p>
            <w:pPr>
              <w:pStyle w:val="Style23"/>
              <w:keepNext w:val="0"/>
              <w:keepLines w:val="0"/>
              <w:widowControl w:val="0"/>
              <w:shd w:val="clear" w:color="auto" w:fill="auto"/>
              <w:tabs>
                <w:tab w:pos="2805" w:val="left"/>
                <w:tab w:leader="underscore" w:pos="4494" w:val="left"/>
              </w:tabs>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u w:val="single"/>
              </w:rPr>
              <w:t>39,261,680.31</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tc>
      </w:tr>
      <w:tr>
        <w:trPr>
          <w:trHeight w:val="1296" w:hRule="exact"/>
        </w:trPr>
        <w:tc>
          <w:tcPr>
            <w:tcBorders/>
            <w:shd w:val="clear" w:color="auto" w:fill="FFFFFF"/>
            <w:vAlign w:val="top"/>
          </w:tcPr>
          <w:p>
            <w:pPr>
              <w:pStyle w:val="Style23"/>
              <w:keepNext w:val="0"/>
              <w:keepLines w:val="0"/>
              <w:widowControl w:val="0"/>
              <w:shd w:val="clear" w:color="auto" w:fill="auto"/>
              <w:tabs>
                <w:tab w:pos="710" w:val="left"/>
              </w:tabs>
              <w:bidi w:val="0"/>
              <w:spacing w:before="180" w:after="0" w:line="240" w:lineRule="auto"/>
              <w:ind w:left="0" w:right="0" w:firstLine="0"/>
              <w:jc w:val="left"/>
              <w:rPr>
                <w:sz w:val="22"/>
                <w:szCs w:val="22"/>
              </w:rPr>
            </w:pPr>
            <w:r>
              <w:rPr>
                <w:rFonts w:ascii="Arial" w:eastAsia="Arial" w:hAnsi="Arial" w:cs="Arial"/>
                <w:color w:val="000000"/>
                <w:spacing w:val="0"/>
                <w:w w:val="100"/>
                <w:position w:val="0"/>
                <w:sz w:val="24"/>
                <w:szCs w:val="24"/>
              </w:rPr>
              <w:t>(e)</w:t>
              <w:tab/>
            </w:r>
            <w:r>
              <w:rPr>
                <w:color w:val="000000"/>
                <w:spacing w:val="0"/>
                <w:w w:val="100"/>
                <w:position w:val="0"/>
                <w:sz w:val="22"/>
                <w:szCs w:val="22"/>
              </w:rPr>
              <w:t>通讯收入</w:t>
            </w:r>
          </w:p>
        </w:tc>
        <w:tc>
          <w:tcPr>
            <w:tcBorders/>
            <w:shd w:val="clear" w:color="auto" w:fill="FFFFFF"/>
            <w:vAlign w:val="bottom"/>
          </w:tcPr>
          <w:p>
            <w:pPr>
              <w:pStyle w:val="Style23"/>
              <w:keepNext w:val="0"/>
              <w:keepLines w:val="0"/>
              <w:widowControl w:val="0"/>
              <w:shd w:val="clear" w:color="auto" w:fill="auto"/>
              <w:tabs>
                <w:tab w:pos="3831" w:val="left"/>
              </w:tabs>
              <w:bidi w:val="0"/>
              <w:spacing w:before="0" w:after="0" w:line="240" w:lineRule="auto"/>
              <w:ind w:left="134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632" w:hRule="exact"/>
        </w:trPr>
        <w:tc>
          <w:tcPr>
            <w:tcBorders/>
            <w:shd w:val="clear" w:color="auto" w:fill="FFFFFF"/>
            <w:vAlign w:val="top"/>
          </w:tcPr>
          <w:p>
            <w:pPr>
              <w:pStyle w:val="Style23"/>
              <w:keepNext w:val="0"/>
              <w:keepLines w:val="0"/>
              <w:widowControl w:val="0"/>
              <w:shd w:val="clear" w:color="auto" w:fill="auto"/>
              <w:bidi w:val="0"/>
              <w:spacing w:before="100" w:after="0" w:line="331" w:lineRule="exact"/>
              <w:ind w:left="0" w:right="0" w:firstLine="0"/>
              <w:jc w:val="left"/>
              <w:rPr>
                <w:sz w:val="22"/>
                <w:szCs w:val="22"/>
              </w:rPr>
            </w:pPr>
            <w:r>
              <w:rPr>
                <w:color w:val="000000"/>
                <w:spacing w:val="0"/>
                <w:w w:val="100"/>
                <w:position w:val="0"/>
                <w:sz w:val="22"/>
                <w:szCs w:val="22"/>
              </w:rPr>
              <w:t>台湾顺丰速运股份有限公司 商贸控股及其子公司 丰巢科技</w:t>
            </w:r>
          </w:p>
        </w:tc>
        <w:tc>
          <w:tcPr>
            <w:tcBorders/>
            <w:shd w:val="clear" w:color="auto" w:fill="FFFFFF"/>
            <w:vAlign w:val="center"/>
          </w:tcPr>
          <w:p>
            <w:pPr>
              <w:pStyle w:val="Style23"/>
              <w:keepNext w:val="0"/>
              <w:keepLines w:val="0"/>
              <w:widowControl w:val="0"/>
              <w:shd w:val="clear" w:color="auto" w:fill="auto"/>
              <w:tabs>
                <w:tab w:pos="4475" w:val="left"/>
              </w:tabs>
              <w:bidi w:val="0"/>
              <w:spacing w:before="0" w:after="40" w:line="240" w:lineRule="auto"/>
              <w:ind w:left="0" w:right="0" w:firstLine="880"/>
              <w:jc w:val="left"/>
              <w:rPr>
                <w:sz w:val="24"/>
                <w:szCs w:val="24"/>
              </w:rPr>
            </w:pPr>
            <w:r>
              <w:rPr>
                <w:rFonts w:ascii="Arial" w:eastAsia="Arial" w:hAnsi="Arial" w:cs="Arial"/>
                <w:color w:val="000000"/>
                <w:spacing w:val="0"/>
                <w:w w:val="100"/>
                <w:position w:val="0"/>
                <w:sz w:val="24"/>
                <w:szCs w:val="24"/>
              </w:rPr>
              <w:t>10,837,786.37</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878" w:val="right"/>
              </w:tabs>
              <w:bidi w:val="0"/>
              <w:spacing w:before="0" w:after="40" w:line="240" w:lineRule="auto"/>
              <w:ind w:left="0" w:right="0" w:firstLine="1000"/>
              <w:jc w:val="both"/>
              <w:rPr>
                <w:sz w:val="24"/>
                <w:szCs w:val="24"/>
              </w:rPr>
            </w:pPr>
            <w:r>
              <w:rPr>
                <w:rFonts w:ascii="Arial" w:eastAsia="Arial" w:hAnsi="Arial" w:cs="Arial"/>
                <w:color w:val="000000"/>
                <w:spacing w:val="0"/>
                <w:w w:val="100"/>
                <w:position w:val="0"/>
                <w:sz w:val="24"/>
                <w:szCs w:val="24"/>
              </w:rPr>
              <w:t>7,202,935.69</w:t>
              <w:tab/>
              <w:t>3,524,847.36</w:t>
            </w:r>
          </w:p>
          <w:p>
            <w:pPr>
              <w:pStyle w:val="Style23"/>
              <w:keepNext w:val="0"/>
              <w:keepLines w:val="0"/>
              <w:widowControl w:val="0"/>
              <w:shd w:val="clear" w:color="auto" w:fill="auto"/>
              <w:tabs>
                <w:tab w:pos="4878" w:val="right"/>
              </w:tabs>
              <w:bidi w:val="0"/>
              <w:spacing w:before="0" w:after="40" w:line="240" w:lineRule="auto"/>
              <w:ind w:left="0" w:right="0" w:firstLine="1000"/>
              <w:jc w:val="both"/>
              <w:rPr>
                <w:sz w:val="24"/>
                <w:szCs w:val="24"/>
              </w:rPr>
            </w:pPr>
            <w:r>
              <w:rPr>
                <w:rFonts w:ascii="Arial" w:eastAsia="Arial" w:hAnsi="Arial" w:cs="Arial"/>
                <w:color w:val="000000"/>
                <w:spacing w:val="0"/>
                <w:w w:val="100"/>
                <w:position w:val="0"/>
                <w:sz w:val="24"/>
                <w:szCs w:val="24"/>
                <w:u w:val="single"/>
              </w:rPr>
              <w:t>8,313,865.62</w:t>
              <w:tab/>
              <w:t>1,021,422.00</w:t>
            </w:r>
          </w:p>
          <w:p>
            <w:pPr>
              <w:pStyle w:val="Style23"/>
              <w:keepNext w:val="0"/>
              <w:keepLines w:val="0"/>
              <w:widowControl w:val="0"/>
              <w:shd w:val="clear" w:color="auto" w:fill="auto"/>
              <w:tabs>
                <w:tab w:pos="4893" w:val="right"/>
              </w:tabs>
              <w:bidi w:val="0"/>
              <w:spacing w:before="0" w:after="40" w:line="240" w:lineRule="auto"/>
              <w:ind w:left="0" w:right="0" w:firstLine="880"/>
              <w:jc w:val="both"/>
              <w:rPr>
                <w:sz w:val="24"/>
                <w:szCs w:val="24"/>
              </w:rPr>
            </w:pPr>
            <w:r>
              <w:rPr>
                <w:rFonts w:ascii="Arial" w:eastAsia="Arial" w:hAnsi="Arial" w:cs="Arial"/>
                <w:color w:val="000000"/>
                <w:spacing w:val="0"/>
                <w:w w:val="100"/>
                <w:position w:val="0"/>
                <w:sz w:val="24"/>
                <w:szCs w:val="24"/>
                <w:u w:val="single"/>
              </w:rPr>
              <w:t>26,354,587.68</w:t>
              <w:tab/>
              <w:t>4,546,269.36</w:t>
            </w:r>
          </w:p>
        </w:tc>
      </w:tr>
      <w:tr>
        <w:trPr>
          <w:trHeight w:val="1291" w:hRule="exact"/>
        </w:trPr>
        <w:tc>
          <w:tcPr>
            <w:tcBorders/>
            <w:shd w:val="clear" w:color="auto" w:fill="FFFFFF"/>
            <w:vAlign w:val="top"/>
          </w:tcPr>
          <w:p>
            <w:pPr>
              <w:pStyle w:val="Style23"/>
              <w:keepNext w:val="0"/>
              <w:keepLines w:val="0"/>
              <w:widowControl w:val="0"/>
              <w:shd w:val="clear" w:color="auto" w:fill="auto"/>
              <w:tabs>
                <w:tab w:pos="710" w:val="left"/>
              </w:tabs>
              <w:bidi w:val="0"/>
              <w:spacing w:before="200" w:after="0" w:line="240" w:lineRule="auto"/>
              <w:ind w:left="0" w:right="0" w:firstLine="0"/>
              <w:jc w:val="left"/>
              <w:rPr>
                <w:sz w:val="22"/>
                <w:szCs w:val="22"/>
              </w:rPr>
            </w:pPr>
            <w:r>
              <w:rPr>
                <w:rFonts w:ascii="Arial" w:eastAsia="Arial" w:hAnsi="Arial" w:cs="Arial"/>
                <w:color w:val="000000"/>
                <w:spacing w:val="0"/>
                <w:w w:val="100"/>
                <w:position w:val="0"/>
                <w:sz w:val="24"/>
                <w:szCs w:val="24"/>
              </w:rPr>
              <w:t>(f)</w:t>
              <w:tab/>
            </w:r>
            <w:r>
              <w:rPr>
                <w:color w:val="000000"/>
                <w:spacing w:val="0"/>
                <w:w w:val="100"/>
                <w:position w:val="0"/>
                <w:sz w:val="22"/>
                <w:szCs w:val="22"/>
              </w:rPr>
              <w:t>代收结算手续费收入</w:t>
            </w:r>
          </w:p>
        </w:tc>
        <w:tc>
          <w:tcPr>
            <w:tcBorders/>
            <w:shd w:val="clear" w:color="auto" w:fill="FFFFFF"/>
            <w:vAlign w:val="bottom"/>
          </w:tcPr>
          <w:p>
            <w:pPr>
              <w:pStyle w:val="Style23"/>
              <w:keepNext w:val="0"/>
              <w:keepLines w:val="0"/>
              <w:widowControl w:val="0"/>
              <w:shd w:val="clear" w:color="auto" w:fill="auto"/>
              <w:tabs>
                <w:tab w:pos="3831" w:val="left"/>
              </w:tabs>
              <w:bidi w:val="0"/>
              <w:spacing w:before="0" w:after="0" w:line="240" w:lineRule="auto"/>
              <w:ind w:left="134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65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shd w:val="clear" w:color="auto" w:fill="FFFFFF"/>
            <w:vAlign w:val="center"/>
          </w:tcPr>
          <w:p>
            <w:pPr>
              <w:pStyle w:val="Style23"/>
              <w:keepNext w:val="0"/>
              <w:keepLines w:val="0"/>
              <w:widowControl w:val="0"/>
              <w:shd w:val="clear" w:color="auto" w:fill="auto"/>
              <w:tabs>
                <w:tab w:pos="2800" w:val="left"/>
                <w:tab w:leader="underscore" w:pos="4490" w:val="left"/>
              </w:tabs>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u w:val="single"/>
              </w:rPr>
              <w:t>2,636,402.17</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tc>
      </w:tr>
      <w:tr>
        <w:trPr>
          <w:trHeight w:val="1296" w:hRule="exact"/>
        </w:trPr>
        <w:tc>
          <w:tcPr>
            <w:tcBorders/>
            <w:shd w:val="clear" w:color="auto" w:fill="FFFFFF"/>
            <w:vAlign w:val="top"/>
          </w:tcPr>
          <w:p>
            <w:pPr>
              <w:pStyle w:val="Style23"/>
              <w:keepNext w:val="0"/>
              <w:keepLines w:val="0"/>
              <w:widowControl w:val="0"/>
              <w:shd w:val="clear" w:color="auto" w:fill="auto"/>
              <w:tabs>
                <w:tab w:pos="710" w:val="left"/>
              </w:tabs>
              <w:bidi w:val="0"/>
              <w:spacing w:before="200" w:after="0" w:line="240" w:lineRule="auto"/>
              <w:ind w:left="0" w:right="0" w:firstLine="0"/>
              <w:jc w:val="left"/>
              <w:rPr>
                <w:sz w:val="22"/>
                <w:szCs w:val="22"/>
              </w:rPr>
            </w:pPr>
            <w:r>
              <w:rPr>
                <w:rFonts w:ascii="Arial" w:eastAsia="Arial" w:hAnsi="Arial" w:cs="Arial"/>
                <w:color w:val="000000"/>
                <w:spacing w:val="0"/>
                <w:w w:val="100"/>
                <w:position w:val="0"/>
                <w:sz w:val="24"/>
                <w:szCs w:val="24"/>
              </w:rPr>
              <w:t>(g)</w:t>
              <w:tab/>
            </w:r>
            <w:r>
              <w:rPr>
                <w:color w:val="000000"/>
                <w:spacing w:val="0"/>
                <w:w w:val="100"/>
                <w:position w:val="0"/>
                <w:sz w:val="22"/>
                <w:szCs w:val="22"/>
              </w:rPr>
              <w:t>服务费收入</w:t>
            </w:r>
          </w:p>
        </w:tc>
        <w:tc>
          <w:tcPr>
            <w:tcBorders/>
            <w:shd w:val="clear" w:color="auto" w:fill="FFFFFF"/>
            <w:vAlign w:val="bottom"/>
          </w:tcPr>
          <w:p>
            <w:pPr>
              <w:pStyle w:val="Style23"/>
              <w:keepNext w:val="0"/>
              <w:keepLines w:val="0"/>
              <w:widowControl w:val="0"/>
              <w:shd w:val="clear" w:color="auto" w:fill="auto"/>
              <w:tabs>
                <w:tab w:pos="3831" w:val="left"/>
              </w:tabs>
              <w:bidi w:val="0"/>
              <w:spacing w:before="0" w:after="0" w:line="240" w:lineRule="auto"/>
              <w:ind w:left="134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627" w:hRule="exact"/>
        </w:trPr>
        <w:tc>
          <w:tcPr>
            <w:tcBorders/>
            <w:shd w:val="clear" w:color="auto" w:fill="FFFFFF"/>
            <w:vAlign w:val="top"/>
          </w:tcPr>
          <w:p>
            <w:pPr>
              <w:pStyle w:val="Style23"/>
              <w:keepNext w:val="0"/>
              <w:keepLines w:val="0"/>
              <w:widowControl w:val="0"/>
              <w:shd w:val="clear" w:color="auto" w:fill="auto"/>
              <w:bidi w:val="0"/>
              <w:spacing w:before="180" w:after="60" w:line="240" w:lineRule="auto"/>
              <w:ind w:left="0" w:right="0" w:firstLine="0"/>
              <w:jc w:val="left"/>
              <w:rPr>
                <w:sz w:val="22"/>
                <w:szCs w:val="22"/>
              </w:rPr>
            </w:pPr>
            <w:r>
              <w:rPr>
                <w:color w:val="000000"/>
                <w:spacing w:val="0"/>
                <w:w w:val="100"/>
                <w:position w:val="0"/>
                <w:sz w:val="22"/>
                <w:szCs w:val="22"/>
              </w:rPr>
              <w:t>乐丰保理</w:t>
            </w:r>
          </w:p>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合丰小额贷款</w:t>
            </w:r>
          </w:p>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顺诚融资租赁及其子公司</w:t>
            </w:r>
          </w:p>
        </w:tc>
        <w:tc>
          <w:tcPr>
            <w:tcBorders/>
            <w:shd w:val="clear" w:color="auto" w:fill="FFFFFF"/>
            <w:vAlign w:val="center"/>
          </w:tcPr>
          <w:p>
            <w:pPr>
              <w:pStyle w:val="Style23"/>
              <w:keepNext w:val="0"/>
              <w:keepLines w:val="0"/>
              <w:widowControl w:val="0"/>
              <w:shd w:val="clear" w:color="auto" w:fill="auto"/>
              <w:tabs>
                <w:tab w:pos="4552" w:val="right"/>
              </w:tabs>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5,388,452.84</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542" w:val="right"/>
              </w:tabs>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13,452.89</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538" w:val="right"/>
              </w:tabs>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u w:val="single"/>
              </w:rPr>
              <w:t>1,931,261.13</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 xml:space="preserve"> </w:t>
            </w:r>
            <w:r>
              <w:rPr>
                <w:rFonts w:ascii="Arial" w:eastAsia="Arial" w:hAnsi="Arial" w:cs="Arial"/>
                <w:color w:val="000000"/>
                <w:spacing w:val="0"/>
                <w:w w:val="100"/>
                <w:position w:val="0"/>
                <w:sz w:val="24"/>
                <w:szCs w:val="24"/>
                <w:u w:val="single"/>
              </w:rPr>
              <w:t>-</w:t>
            </w:r>
          </w:p>
          <w:p>
            <w:pPr>
              <w:pStyle w:val="Style23"/>
              <w:keepNext w:val="0"/>
              <w:keepLines w:val="0"/>
              <w:widowControl w:val="0"/>
              <w:shd w:val="clear" w:color="auto" w:fill="auto"/>
              <w:tabs>
                <w:tab w:pos="4552" w:val="right"/>
              </w:tabs>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u w:val="single"/>
              </w:rPr>
              <w:t>7,333,166.86</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 xml:space="preserve"> </w:t>
            </w:r>
            <w:r>
              <w:rPr>
                <w:rFonts w:ascii="Arial" w:eastAsia="Arial" w:hAnsi="Arial" w:cs="Arial"/>
                <w:color w:val="000000"/>
                <w:spacing w:val="0"/>
                <w:w w:val="100"/>
                <w:position w:val="0"/>
                <w:sz w:val="24"/>
                <w:szCs w:val="24"/>
                <w:u w:val="single"/>
              </w:rPr>
              <w:t>-</w:t>
            </w:r>
          </w:p>
        </w:tc>
      </w:tr>
      <w:tr>
        <w:trPr>
          <w:trHeight w:val="1296" w:hRule="exact"/>
        </w:trPr>
        <w:tc>
          <w:tcPr>
            <w:tcBorders/>
            <w:shd w:val="clear" w:color="auto" w:fill="FFFFFF"/>
            <w:vAlign w:val="top"/>
          </w:tcPr>
          <w:p>
            <w:pPr>
              <w:pStyle w:val="Style23"/>
              <w:keepNext w:val="0"/>
              <w:keepLines w:val="0"/>
              <w:widowControl w:val="0"/>
              <w:shd w:val="clear" w:color="auto" w:fill="auto"/>
              <w:tabs>
                <w:tab w:pos="710" w:val="left"/>
              </w:tabs>
              <w:bidi w:val="0"/>
              <w:spacing w:before="180" w:after="0" w:line="240" w:lineRule="auto"/>
              <w:ind w:left="0" w:right="0" w:firstLine="0"/>
              <w:jc w:val="left"/>
              <w:rPr>
                <w:sz w:val="22"/>
                <w:szCs w:val="22"/>
              </w:rPr>
            </w:pPr>
            <w:r>
              <w:rPr>
                <w:rFonts w:ascii="Arial" w:eastAsia="Arial" w:hAnsi="Arial" w:cs="Arial"/>
                <w:color w:val="000000"/>
                <w:spacing w:val="0"/>
                <w:w w:val="100"/>
                <w:position w:val="0"/>
                <w:sz w:val="24"/>
                <w:szCs w:val="24"/>
              </w:rPr>
              <w:t>(h)</w:t>
              <w:tab/>
            </w:r>
            <w:r>
              <w:rPr>
                <w:color w:val="000000"/>
                <w:spacing w:val="0"/>
                <w:w w:val="100"/>
                <w:position w:val="0"/>
                <w:sz w:val="22"/>
                <w:szCs w:val="22"/>
              </w:rPr>
              <w:t>科技开发服务费收入</w:t>
            </w:r>
          </w:p>
        </w:tc>
        <w:tc>
          <w:tcPr>
            <w:tcBorders/>
            <w:shd w:val="clear" w:color="auto" w:fill="FFFFFF"/>
            <w:vAlign w:val="bottom"/>
          </w:tcPr>
          <w:p>
            <w:pPr>
              <w:pStyle w:val="Style23"/>
              <w:keepNext w:val="0"/>
              <w:keepLines w:val="0"/>
              <w:widowControl w:val="0"/>
              <w:shd w:val="clear" w:color="auto" w:fill="auto"/>
              <w:tabs>
                <w:tab w:pos="3831" w:val="left"/>
              </w:tabs>
              <w:bidi w:val="0"/>
              <w:spacing w:before="0" w:after="0" w:line="240" w:lineRule="auto"/>
              <w:ind w:left="134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118" w:hRule="exact"/>
        </w:trPr>
        <w:tc>
          <w:tcPr>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丰巢科技 商贸控股及其子公司</w:t>
            </w:r>
          </w:p>
        </w:tc>
        <w:tc>
          <w:tcPr>
            <w:tcBorders>
              <w:bottom w:val="single" w:sz="4"/>
            </w:tcBorders>
            <w:shd w:val="clear" w:color="auto" w:fill="FFFFFF"/>
            <w:vAlign w:val="bottom"/>
          </w:tcPr>
          <w:p>
            <w:pPr>
              <w:pStyle w:val="Style23"/>
              <w:keepNext w:val="0"/>
              <w:keepLines w:val="0"/>
              <w:widowControl w:val="0"/>
              <w:shd w:val="clear" w:color="auto" w:fill="auto"/>
              <w:tabs>
                <w:tab w:pos="3506" w:val="left"/>
              </w:tabs>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3,626,168.14</w:t>
              <w:tab/>
              <w:t>1,064,843.64</w:t>
            </w:r>
          </w:p>
          <w:p>
            <w:pPr>
              <w:pStyle w:val="Style23"/>
              <w:keepNext w:val="0"/>
              <w:keepLines w:val="0"/>
              <w:widowControl w:val="0"/>
              <w:shd w:val="clear" w:color="auto" w:fill="auto"/>
              <w:tabs>
                <w:tab w:leader="underscore" w:pos="1675" w:val="left"/>
                <w:tab w:pos="3034" w:val="left"/>
              </w:tabs>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tab/>
            </w:r>
            <w:r>
              <w:rPr>
                <w:rFonts w:ascii="Arial" w:eastAsia="Arial" w:hAnsi="Arial" w:cs="Arial"/>
                <w:color w:val="000000"/>
                <w:spacing w:val="0"/>
                <w:w w:val="100"/>
                <w:position w:val="0"/>
                <w:sz w:val="24"/>
                <w:szCs w:val="24"/>
                <w:u w:val="single"/>
              </w:rPr>
              <w:t>24,448,596.15</w:t>
            </w:r>
          </w:p>
          <w:p>
            <w:pPr>
              <w:pStyle w:val="Style23"/>
              <w:keepNext w:val="0"/>
              <w:keepLines w:val="0"/>
              <w:widowControl w:val="0"/>
              <w:shd w:val="clear" w:color="auto" w:fill="auto"/>
              <w:tabs>
                <w:tab w:pos="3328" w:val="left"/>
              </w:tabs>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3,626,168.14</w:t>
              <w:tab/>
              <w:t>25,513,439.79</w:t>
            </w:r>
          </w:p>
        </w:tc>
      </w:tr>
    </w:tbl>
    <w:p>
      <w:pPr>
        <w:sectPr>
          <w:footnotePr>
            <w:pos w:val="pageBottom"/>
            <w:numFmt w:val="decimal"/>
            <w:numRestart w:val="continuous"/>
          </w:footnotePr>
          <w:pgSz w:w="11900" w:h="16840"/>
          <w:pgMar w:top="1138" w:right="1072" w:bottom="1138" w:left="1919" w:header="0" w:footer="3" w:gutter="0"/>
          <w:cols w:space="720"/>
          <w:noEndnote/>
          <w:rtlGutter w:val="0"/>
          <w:docGrid w:linePitch="360"/>
        </w:sectPr>
      </w:pPr>
    </w:p>
    <w:p>
      <w:pPr>
        <w:pStyle w:val="Style94"/>
        <w:keepNext w:val="0"/>
        <w:keepLines w:val="0"/>
        <w:widowControl w:val="0"/>
        <w:shd w:val="clear" w:color="auto" w:fill="auto"/>
        <w:bidi w:val="0"/>
        <w:spacing w:before="200" w:after="380" w:line="240" w:lineRule="auto"/>
        <w:ind w:left="0" w:right="0" w:firstLine="0"/>
        <w:jc w:val="left"/>
        <w:rPr>
          <w:sz w:val="28"/>
          <w:szCs w:val="28"/>
        </w:rPr>
      </w:pPr>
      <w:r>
        <w:rPr>
          <w:color w:val="000000"/>
          <w:spacing w:val="0"/>
          <w:w w:val="100"/>
          <w:position w:val="0"/>
          <w:sz w:val="24"/>
          <w:szCs w:val="24"/>
        </w:rPr>
        <w:t>(3)</w:t>
      </w:r>
      <w:r>
        <w:rPr>
          <w:rFonts w:ascii="SimSun" w:eastAsia="SimSun" w:hAnsi="SimSun" w:cs="SimSun"/>
          <w:b/>
          <w:bCs/>
          <w:color w:val="000000"/>
          <w:spacing w:val="0"/>
          <w:w w:val="100"/>
          <w:position w:val="0"/>
          <w:sz w:val="22"/>
          <w:szCs w:val="22"/>
        </w:rPr>
        <w:t>关联交易</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29"/>
        <w:keepNext w:val="0"/>
        <w:keepLines w:val="0"/>
        <w:widowControl w:val="0"/>
        <w:shd w:val="clear" w:color="auto" w:fill="auto"/>
        <w:tabs>
          <w:tab w:pos="720" w:val="left"/>
        </w:tabs>
        <w:bidi w:val="0"/>
        <w:spacing w:before="0" w:after="0" w:line="240" w:lineRule="auto"/>
        <w:ind w:left="5" w:right="0" w:firstLine="0"/>
        <w:jc w:val="left"/>
        <w:rPr>
          <w:sz w:val="22"/>
          <w:szCs w:val="22"/>
        </w:rPr>
      </w:pPr>
      <w:r>
        <w:rPr>
          <w:color w:val="000000"/>
          <w:spacing w:val="0"/>
          <w:w w:val="100"/>
          <w:position w:val="0"/>
          <w:sz w:val="22"/>
          <w:szCs w:val="22"/>
        </w:rPr>
        <w:t>⑴</w:t>
        <w:tab/>
        <w:t>发放贷款和委托贷款</w:t>
      </w:r>
    </w:p>
    <w:tbl>
      <w:tblPr>
        <w:tblOverlap w:val="never"/>
        <w:jc w:val="center"/>
        <w:tblLayout w:type="fixed"/>
      </w:tblPr>
      <w:tblGrid>
        <w:gridCol w:w="3470"/>
        <w:gridCol w:w="5395"/>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4111" w:val="left"/>
              </w:tabs>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65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牵趣网络及其子公司</w:t>
            </w:r>
          </w:p>
        </w:tc>
        <w:tc>
          <w:tcPr>
            <w:tcBorders/>
            <w:shd w:val="clear" w:color="auto" w:fill="FFFFFF"/>
            <w:vAlign w:val="center"/>
          </w:tcPr>
          <w:p>
            <w:pPr>
              <w:pStyle w:val="Style23"/>
              <w:keepNext w:val="0"/>
              <w:keepLines w:val="0"/>
              <w:widowControl w:val="0"/>
              <w:shd w:val="clear" w:color="auto" w:fill="auto"/>
              <w:tabs>
                <w:tab w:leader="underscore" w:pos="2270" w:val="left"/>
                <w:tab w:pos="3628" w:val="left"/>
              </w:tabs>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tab/>
            </w:r>
            <w:r>
              <w:rPr>
                <w:rFonts w:ascii="Arial" w:eastAsia="Arial" w:hAnsi="Arial" w:cs="Arial"/>
                <w:color w:val="000000"/>
                <w:spacing w:val="0"/>
                <w:w w:val="100"/>
                <w:position w:val="0"/>
                <w:sz w:val="24"/>
                <w:szCs w:val="24"/>
                <w:u w:val="single"/>
              </w:rPr>
              <w:t>20,000,000.00</w:t>
            </w:r>
          </w:p>
        </w:tc>
      </w:tr>
      <w:tr>
        <w:trPr>
          <w:trHeight w:val="1296" w:hRule="exact"/>
        </w:trPr>
        <w:tc>
          <w:tcPr>
            <w:tcBorders/>
            <w:shd w:val="clear" w:color="auto" w:fill="FFFFFF"/>
            <w:vAlign w:val="top"/>
          </w:tcPr>
          <w:p>
            <w:pPr>
              <w:pStyle w:val="Style23"/>
              <w:keepNext w:val="0"/>
              <w:keepLines w:val="0"/>
              <w:widowControl w:val="0"/>
              <w:shd w:val="clear" w:color="auto" w:fill="auto"/>
              <w:tabs>
                <w:tab w:pos="710" w:val="left"/>
              </w:tabs>
              <w:bidi w:val="0"/>
              <w:spacing w:before="200" w:after="0" w:line="240" w:lineRule="auto"/>
              <w:ind w:left="0" w:right="0" w:firstLine="0"/>
              <w:jc w:val="left"/>
              <w:rPr>
                <w:sz w:val="22"/>
                <w:szCs w:val="22"/>
              </w:rPr>
            </w:pPr>
            <w:r>
              <w:rPr>
                <w:rFonts w:ascii="Arial" w:eastAsia="Arial" w:hAnsi="Arial" w:cs="Arial"/>
                <w:color w:val="000000"/>
                <w:spacing w:val="0"/>
                <w:w w:val="100"/>
                <w:position w:val="0"/>
                <w:sz w:val="24"/>
                <w:szCs w:val="24"/>
              </w:rPr>
              <w:t>(j)</w:t>
              <w:tab/>
            </w:r>
            <w:r>
              <w:rPr>
                <w:color w:val="000000"/>
                <w:spacing w:val="0"/>
                <w:w w:val="100"/>
                <w:position w:val="0"/>
                <w:sz w:val="22"/>
                <w:szCs w:val="22"/>
              </w:rPr>
              <w:t>利息收入</w:t>
            </w:r>
          </w:p>
        </w:tc>
        <w:tc>
          <w:tcPr>
            <w:tcBorders/>
            <w:shd w:val="clear" w:color="auto" w:fill="FFFFFF"/>
            <w:vAlign w:val="bottom"/>
          </w:tcPr>
          <w:p>
            <w:pPr>
              <w:pStyle w:val="Style23"/>
              <w:keepNext w:val="0"/>
              <w:keepLines w:val="0"/>
              <w:widowControl w:val="0"/>
              <w:shd w:val="clear" w:color="auto" w:fill="auto"/>
              <w:tabs>
                <w:tab w:pos="4111" w:val="left"/>
              </w:tabs>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627" w:hRule="exact"/>
        </w:trPr>
        <w:tc>
          <w:tcPr>
            <w:tcBorders/>
            <w:shd w:val="clear" w:color="auto" w:fill="FFFFFF"/>
            <w:vAlign w:val="top"/>
          </w:tcPr>
          <w:p>
            <w:pPr>
              <w:pStyle w:val="Style23"/>
              <w:keepNext w:val="0"/>
              <w:keepLines w:val="0"/>
              <w:widowControl w:val="0"/>
              <w:shd w:val="clear" w:color="auto" w:fill="auto"/>
              <w:bidi w:val="0"/>
              <w:spacing w:before="140" w:after="0" w:line="302" w:lineRule="exact"/>
              <w:ind w:left="0" w:right="0" w:firstLine="0"/>
              <w:jc w:val="left"/>
              <w:rPr>
                <w:sz w:val="22"/>
                <w:szCs w:val="22"/>
              </w:rPr>
            </w:pPr>
            <w:r>
              <w:rPr>
                <w:color w:val="000000"/>
                <w:spacing w:val="0"/>
                <w:w w:val="100"/>
                <w:position w:val="0"/>
                <w:sz w:val="22"/>
                <w:szCs w:val="22"/>
              </w:rPr>
              <w:t>乐丰保理</w:t>
            </w:r>
          </w:p>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顺诚融资租赁及其子公司 牵趣网络及其子公司</w:t>
            </w:r>
          </w:p>
        </w:tc>
        <w:tc>
          <w:tcPr>
            <w:tcBorders/>
            <w:shd w:val="clear" w:color="auto" w:fill="FFFFFF"/>
            <w:vAlign w:val="center"/>
          </w:tcPr>
          <w:p>
            <w:pPr>
              <w:pStyle w:val="Style23"/>
              <w:keepNext w:val="0"/>
              <w:keepLines w:val="0"/>
              <w:widowControl w:val="0"/>
              <w:shd w:val="clear" w:color="auto" w:fill="auto"/>
              <w:tabs>
                <w:tab w:pos="3245" w:val="left"/>
              </w:tabs>
              <w:bidi w:val="0"/>
              <w:spacing w:before="0" w:after="0" w:line="240" w:lineRule="auto"/>
              <w:ind w:left="0" w:right="540" w:firstLine="0"/>
              <w:jc w:val="right"/>
              <w:rPr>
                <w:sz w:val="24"/>
                <w:szCs w:val="24"/>
              </w:rPr>
            </w:pPr>
            <w:r>
              <w:rPr>
                <w:rFonts w:ascii="Arial" w:eastAsia="Arial" w:hAnsi="Arial" w:cs="Arial"/>
                <w:color w:val="000000"/>
                <w:spacing w:val="0"/>
                <w:w w:val="100"/>
                <w:position w:val="0"/>
                <w:sz w:val="24"/>
                <w:szCs w:val="24"/>
              </w:rPr>
              <w:t>744,717.93</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711" w:val="left"/>
              </w:tabs>
              <w:bidi w:val="0"/>
              <w:spacing w:before="0" w:after="0" w:line="240" w:lineRule="auto"/>
              <w:ind w:left="1260" w:right="0" w:firstLine="0"/>
              <w:jc w:val="left"/>
              <w:rPr>
                <w:sz w:val="24"/>
                <w:szCs w:val="24"/>
              </w:rPr>
            </w:pPr>
            <w:r>
              <w:rPr>
                <w:rFonts w:ascii="Arial" w:eastAsia="Arial" w:hAnsi="Arial" w:cs="Arial"/>
                <w:color w:val="000000"/>
                <w:spacing w:val="0"/>
                <w:w w:val="100"/>
                <w:position w:val="0"/>
                <w:sz w:val="24"/>
                <w:szCs w:val="24"/>
              </w:rPr>
              <w:t>2,811,104.25</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leader="underscore" w:pos="1463" w:val="left"/>
                <w:tab w:pos="3071" w:val="left"/>
                <w:tab w:leader="underscore" w:pos="3954" w:val="left"/>
              </w:tabs>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738,356.17</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437,500.02</w:t>
            </w:r>
          </w:p>
          <w:p>
            <w:pPr>
              <w:pStyle w:val="Style23"/>
              <w:keepNext w:val="0"/>
              <w:keepLines w:val="0"/>
              <w:widowControl w:val="0"/>
              <w:shd w:val="clear" w:color="auto" w:fill="auto"/>
              <w:tabs>
                <w:tab w:pos="3060" w:val="left"/>
                <w:tab w:leader="underscore" w:pos="3958" w:val="left"/>
              </w:tabs>
              <w:bidi w:val="0"/>
              <w:spacing w:before="0" w:after="0" w:line="240" w:lineRule="auto"/>
              <w:ind w:left="1260" w:right="0" w:firstLine="0"/>
              <w:jc w:val="left"/>
              <w:rPr>
                <w:sz w:val="24"/>
                <w:szCs w:val="24"/>
              </w:rPr>
            </w:pPr>
            <w:r>
              <w:rPr>
                <w:rFonts w:ascii="Arial" w:eastAsia="Arial" w:hAnsi="Arial" w:cs="Arial"/>
                <w:color w:val="000000"/>
                <w:spacing w:val="0"/>
                <w:w w:val="100"/>
                <w:position w:val="0"/>
                <w:sz w:val="24"/>
                <w:szCs w:val="24"/>
                <w:u w:val="single"/>
              </w:rPr>
              <w:t>4,294,178.35</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437,500.02</w:t>
            </w:r>
          </w:p>
        </w:tc>
      </w:tr>
      <w:tr>
        <w:trPr>
          <w:trHeight w:val="1291" w:hRule="exact"/>
        </w:trPr>
        <w:tc>
          <w:tcPr>
            <w:tcBorders/>
            <w:shd w:val="clear" w:color="auto" w:fill="FFFFFF"/>
            <w:vAlign w:val="top"/>
          </w:tcPr>
          <w:p>
            <w:pPr>
              <w:pStyle w:val="Style23"/>
              <w:keepNext w:val="0"/>
              <w:keepLines w:val="0"/>
              <w:widowControl w:val="0"/>
              <w:shd w:val="clear" w:color="auto" w:fill="auto"/>
              <w:tabs>
                <w:tab w:pos="715" w:val="left"/>
              </w:tabs>
              <w:bidi w:val="0"/>
              <w:spacing w:before="180" w:after="0" w:line="240" w:lineRule="auto"/>
              <w:ind w:left="0" w:right="0" w:firstLine="0"/>
              <w:jc w:val="left"/>
              <w:rPr>
                <w:sz w:val="22"/>
                <w:szCs w:val="22"/>
              </w:rPr>
            </w:pPr>
            <w:r>
              <w:rPr>
                <w:rFonts w:ascii="Arial" w:eastAsia="Arial" w:hAnsi="Arial" w:cs="Arial"/>
                <w:color w:val="000000"/>
                <w:spacing w:val="0"/>
                <w:w w:val="100"/>
                <w:position w:val="0"/>
                <w:sz w:val="24"/>
                <w:szCs w:val="24"/>
              </w:rPr>
              <w:t>(k)</w:t>
              <w:tab/>
            </w:r>
            <w:r>
              <w:rPr>
                <w:color w:val="000000"/>
                <w:spacing w:val="0"/>
                <w:w w:val="100"/>
                <w:position w:val="0"/>
                <w:sz w:val="22"/>
                <w:szCs w:val="22"/>
              </w:rPr>
              <w:t>处理物资收入</w:t>
            </w:r>
          </w:p>
        </w:tc>
        <w:tc>
          <w:tcPr>
            <w:tcBorders/>
            <w:shd w:val="clear" w:color="auto" w:fill="FFFFFF"/>
            <w:vAlign w:val="bottom"/>
          </w:tcPr>
          <w:p>
            <w:pPr>
              <w:pStyle w:val="Style23"/>
              <w:keepNext w:val="0"/>
              <w:keepLines w:val="0"/>
              <w:widowControl w:val="0"/>
              <w:shd w:val="clear" w:color="auto" w:fill="auto"/>
              <w:tabs>
                <w:tab w:pos="4111" w:val="left"/>
              </w:tabs>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7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bottom w:val="single" w:sz="4"/>
            </w:tcBorders>
            <w:shd w:val="clear" w:color="auto" w:fill="FFFFFF"/>
            <w:vAlign w:val="bottom"/>
          </w:tcPr>
          <w:p>
            <w:pPr>
              <w:pStyle w:val="Style23"/>
              <w:keepNext w:val="0"/>
              <w:keepLines w:val="0"/>
              <w:widowControl w:val="0"/>
              <w:shd w:val="clear" w:color="auto" w:fill="auto"/>
              <w:tabs>
                <w:tab w:pos="2040" w:val="left"/>
              </w:tabs>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788.32</w:t>
              <w:tab/>
              <w:t>194,602.15</w:t>
            </w:r>
          </w:p>
        </w:tc>
      </w:tr>
    </w:tbl>
    <w:p>
      <w:pPr>
        <w:sectPr>
          <w:footnotePr>
            <w:pos w:val="pageBottom"/>
            <w:numFmt w:val="decimal"/>
            <w:numRestart w:val="continuous"/>
          </w:footnotePr>
          <w:pgSz w:w="11900" w:h="16840"/>
          <w:pgMar w:top="1705" w:right="1122" w:bottom="6381" w:left="1913" w:header="0" w:footer="3" w:gutter="0"/>
          <w:cols w:space="720"/>
          <w:noEndnote/>
          <w:rtlGutter w:val="0"/>
          <w:docGrid w:linePitch="360"/>
        </w:sectPr>
      </w:pPr>
    </w:p>
    <w:p>
      <w:pPr>
        <w:pStyle w:val="Style27"/>
        <w:keepNext/>
        <w:keepLines/>
        <w:widowControl w:val="0"/>
        <w:shd w:val="clear" w:color="auto" w:fill="auto"/>
        <w:bidi w:val="0"/>
        <w:spacing w:before="0" w:after="340" w:line="240" w:lineRule="auto"/>
        <w:ind w:left="0" w:right="0" w:firstLine="0"/>
        <w:jc w:val="left"/>
      </w:pPr>
      <w:bookmarkStart w:id="987" w:name="bookmark987"/>
      <w:bookmarkStart w:id="988" w:name="bookmark988"/>
      <w:bookmarkStart w:id="989" w:name="bookmark989"/>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87"/>
      <w:bookmarkEnd w:id="988"/>
      <w:bookmarkEnd w:id="989"/>
    </w:p>
    <w:p>
      <w:pPr>
        <w:pStyle w:val="Style27"/>
        <w:keepNext/>
        <w:keepLines/>
        <w:widowControl w:val="0"/>
        <w:shd w:val="clear" w:color="auto" w:fill="auto"/>
        <w:bidi w:val="0"/>
        <w:spacing w:before="0" w:after="340" w:line="240" w:lineRule="auto"/>
        <w:ind w:left="0" w:right="0" w:firstLine="0"/>
        <w:jc w:val="left"/>
      </w:pPr>
      <w:bookmarkStart w:id="987" w:name="bookmark987"/>
      <w:bookmarkStart w:id="988" w:name="bookmark988"/>
      <w:bookmarkStart w:id="990" w:name="bookmark990"/>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关联交易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87"/>
      <w:bookmarkEnd w:id="988"/>
      <w:bookmarkEnd w:id="990"/>
    </w:p>
    <w:p>
      <w:pPr>
        <w:pStyle w:val="Style33"/>
        <w:keepNext w:val="0"/>
        <w:keepLines w:val="0"/>
        <w:widowControl w:val="0"/>
        <w:shd w:val="clear" w:color="auto" w:fill="auto"/>
        <w:tabs>
          <w:tab w:pos="682" w:val="left"/>
        </w:tabs>
        <w:bidi w:val="0"/>
        <w:spacing w:before="0" w:after="34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(l)</w:t>
        <w:tab/>
      </w:r>
      <w:r>
        <w:rPr>
          <w:b w:val="0"/>
          <w:bCs w:val="0"/>
          <w:color w:val="000000"/>
          <w:spacing w:val="0"/>
          <w:w w:val="100"/>
          <w:position w:val="0"/>
          <w:sz w:val="22"/>
          <w:szCs w:val="22"/>
        </w:rPr>
        <w:t>股权及应收款转让对价</w:t>
      </w:r>
    </w:p>
    <w:tbl>
      <w:tblPr>
        <w:tblOverlap w:val="never"/>
        <w:jc w:val="left"/>
        <w:tblLayout w:type="fixed"/>
      </w:tblPr>
      <w:tblGrid>
        <w:gridCol w:w="4253"/>
        <w:gridCol w:w="2304"/>
        <w:gridCol w:w="2112"/>
      </w:tblGrid>
      <w:tr>
        <w:trPr>
          <w:trHeight w:val="298" w:hRule="exact"/>
        </w:trPr>
        <w:tc>
          <w:tcPr>
            <w:gridSpan w:val="3"/>
            <w:tcBorders/>
            <w:shd w:val="clear" w:color="auto" w:fill="FFFFFF"/>
            <w:vAlign w:val="top"/>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明德控股</w:t>
            </w:r>
          </w:p>
        </w:tc>
      </w:tr>
      <w:tr>
        <w:trPr>
          <w:trHeight w:val="648" w:hRule="exact"/>
        </w:trPr>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杭州丰泰电商产业园管理有限公司</w:t>
            </w:r>
          </w:p>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4"/>
                <w:szCs w:val="24"/>
              </w:rPr>
              <w:t>100%</w:t>
            </w:r>
            <w:r>
              <w:rPr>
                <w:color w:val="000000"/>
                <w:spacing w:val="0"/>
                <w:w w:val="100"/>
                <w:position w:val="0"/>
                <w:sz w:val="22"/>
                <w:szCs w:val="22"/>
              </w:rPr>
              <w:t>股权</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250,000,000.00</w:t>
            </w:r>
          </w:p>
        </w:tc>
      </w:tr>
      <w:tr>
        <w:trPr>
          <w:trHeight w:val="317" w:hRule="exact"/>
        </w:trPr>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深圳中顺易金融服务有限公司</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28,430,980.73</w:t>
            </w:r>
          </w:p>
        </w:tc>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643" w:hRule="exact"/>
        </w:trPr>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98" w:lineRule="exact"/>
              <w:ind w:left="620" w:right="0" w:hanging="38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深圳市物流产业共赢基金股份有限 公司</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680"/>
              <w:jc w:val="left"/>
              <w:rPr>
                <w:sz w:val="24"/>
                <w:szCs w:val="24"/>
              </w:rPr>
            </w:pPr>
            <w:r>
              <w:rPr>
                <w:rFonts w:ascii="Arial" w:eastAsia="Arial" w:hAnsi="Arial" w:cs="Arial"/>
                <w:color w:val="000000"/>
                <w:spacing w:val="0"/>
                <w:w w:val="100"/>
                <w:position w:val="0"/>
                <w:sz w:val="24"/>
                <w:szCs w:val="24"/>
              </w:rPr>
              <w:t>897,644.56</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合丰小额贷款</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302,304,386.02</w:t>
            </w:r>
          </w:p>
        </w:tc>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乐丰保理</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54,705,787.80</w:t>
            </w:r>
          </w:p>
        </w:tc>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643" w:hRule="exact"/>
        </w:trPr>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置业企业</w:t>
            </w:r>
          </w:p>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顺诚融资租赁及其子公司</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377,577,600.00</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950" w:hRule="exact"/>
        </w:trPr>
        <w:tc>
          <w:tcPr>
            <w:tcBorders/>
            <w:shd w:val="clear" w:color="auto" w:fill="FFFFFF"/>
            <w:vAlign w:val="top"/>
          </w:tcPr>
          <w:p>
            <w:pPr>
              <w:pStyle w:val="Style23"/>
              <w:keepNext w:val="0"/>
              <w:keepLines w:val="0"/>
              <w:framePr w:w="8669" w:h="6091" w:hSpace="24" w:vSpace="638" w:wrap="notBeside" w:vAnchor="text" w:hAnchor="text" w:x="87" w:y="639"/>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明德控股及其他四名股东</w:t>
            </w:r>
          </w:p>
          <w:p>
            <w:pPr>
              <w:pStyle w:val="Style23"/>
              <w:keepNext w:val="0"/>
              <w:keepLines w:val="0"/>
              <w:framePr w:w="8669" w:h="6091" w:hSpace="24" w:vSpace="638" w:wrap="notBeside" w:vAnchor="text" w:hAnchor="text" w:x="87" w:y="639"/>
              <w:widowControl w:val="0"/>
              <w:shd w:val="clear" w:color="auto" w:fill="auto"/>
              <w:bidi w:val="0"/>
              <w:spacing w:before="0" w:after="0" w:line="307" w:lineRule="exact"/>
              <w:ind w:left="620" w:right="0" w:hanging="38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顺丰控股集团商贸有限公司</w:t>
            </w:r>
            <w:r>
              <w:rPr>
                <w:rFonts w:ascii="Arial" w:eastAsia="Arial" w:hAnsi="Arial" w:cs="Arial"/>
                <w:color w:val="000000"/>
                <w:spacing w:val="0"/>
                <w:w w:val="100"/>
                <w:position w:val="0"/>
                <w:sz w:val="24"/>
                <w:szCs w:val="24"/>
              </w:rPr>
              <w:t xml:space="preserve">100% </w:t>
            </w:r>
            <w:r>
              <w:rPr>
                <w:color w:val="000000"/>
                <w:spacing w:val="0"/>
                <w:w w:val="100"/>
                <w:position w:val="0"/>
                <w:sz w:val="22"/>
                <w:szCs w:val="22"/>
              </w:rPr>
              <w:t>股权</w:t>
            </w:r>
          </w:p>
        </w:tc>
        <w:tc>
          <w:tcPr>
            <w:tcBorders/>
            <w:shd w:val="clear" w:color="auto" w:fill="FFFFFF"/>
            <w:vAlign w:val="top"/>
          </w:tcPr>
          <w:p>
            <w:pPr>
              <w:framePr w:w="8669" w:h="6091" w:hSpace="24" w:vSpace="638" w:wrap="notBeside" w:vAnchor="text" w:hAnchor="text" w:x="87" w:y="639"/>
              <w:widowControl w:val="0"/>
              <w:rPr>
                <w:sz w:val="10"/>
                <w:szCs w:val="10"/>
              </w:rPr>
            </w:pP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10.00</w:t>
            </w:r>
          </w:p>
        </w:tc>
      </w:tr>
      <w:tr>
        <w:trPr>
          <w:trHeight w:val="643" w:hRule="exact"/>
        </w:trPr>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顺丰控股集团商贸有限公司</w:t>
            </w:r>
          </w:p>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顺丰商业</w:t>
            </w:r>
            <w:r>
              <w:rPr>
                <w:rFonts w:ascii="Arial" w:eastAsia="Arial" w:hAnsi="Arial" w:cs="Arial"/>
                <w:color w:val="000000"/>
                <w:spacing w:val="0"/>
                <w:w w:val="100"/>
                <w:position w:val="0"/>
                <w:sz w:val="24"/>
                <w:szCs w:val="24"/>
              </w:rPr>
              <w:t>100%</w:t>
            </w:r>
            <w:r>
              <w:rPr>
                <w:color w:val="000000"/>
                <w:spacing w:val="0"/>
                <w:w w:val="100"/>
                <w:position w:val="0"/>
                <w:sz w:val="22"/>
                <w:szCs w:val="22"/>
              </w:rPr>
              <w:t>股权</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00" w:right="0" w:firstLine="0"/>
              <w:jc w:val="left"/>
              <w:rPr>
                <w:sz w:val="24"/>
                <w:szCs w:val="24"/>
              </w:rPr>
            </w:pPr>
            <w:r>
              <w:rPr>
                <w:rFonts w:ascii="Arial" w:eastAsia="Arial" w:hAnsi="Arial" w:cs="Arial"/>
                <w:color w:val="000000"/>
                <w:spacing w:val="0"/>
                <w:w w:val="100"/>
                <w:position w:val="0"/>
                <w:sz w:val="24"/>
                <w:szCs w:val="24"/>
              </w:rPr>
              <w:t>1.00</w:t>
            </w:r>
          </w:p>
        </w:tc>
      </w:tr>
      <w:tr>
        <w:trPr>
          <w:trHeight w:val="322" w:hRule="exact"/>
        </w:trPr>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顺丰电子商务</w:t>
            </w:r>
            <w:r>
              <w:rPr>
                <w:rFonts w:ascii="Arial" w:eastAsia="Arial" w:hAnsi="Arial" w:cs="Arial"/>
                <w:color w:val="000000"/>
                <w:spacing w:val="0"/>
                <w:w w:val="100"/>
                <w:position w:val="0"/>
                <w:sz w:val="24"/>
                <w:szCs w:val="24"/>
              </w:rPr>
              <w:t>100%</w:t>
            </w:r>
            <w:r>
              <w:rPr>
                <w:color w:val="000000"/>
                <w:spacing w:val="0"/>
                <w:w w:val="100"/>
                <w:position w:val="0"/>
                <w:sz w:val="22"/>
                <w:szCs w:val="22"/>
              </w:rPr>
              <w:t>股权</w:t>
            </w:r>
          </w:p>
        </w:tc>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00" w:right="0" w:firstLine="0"/>
              <w:jc w:val="left"/>
              <w:rPr>
                <w:sz w:val="24"/>
                <w:szCs w:val="24"/>
              </w:rPr>
            </w:pPr>
            <w:r>
              <w:rPr>
                <w:rFonts w:ascii="Arial" w:eastAsia="Arial" w:hAnsi="Arial" w:cs="Arial"/>
                <w:color w:val="000000"/>
                <w:spacing w:val="0"/>
                <w:w w:val="100"/>
                <w:position w:val="0"/>
                <w:sz w:val="24"/>
                <w:szCs w:val="24"/>
              </w:rPr>
              <w:t>1.00</w:t>
            </w:r>
          </w:p>
        </w:tc>
      </w:tr>
      <w:tr>
        <w:trPr>
          <w:trHeight w:val="634" w:hRule="exact"/>
        </w:trPr>
        <w:tc>
          <w:tcPr>
            <w:tcBorders/>
            <w:shd w:val="clear" w:color="auto" w:fill="FFFFFF"/>
            <w:vAlign w:val="center"/>
          </w:tcPr>
          <w:p>
            <w:pPr>
              <w:pStyle w:val="Style23"/>
              <w:keepNext w:val="0"/>
              <w:keepLines w:val="0"/>
              <w:framePr w:w="8669" w:h="6091" w:hSpace="24" w:vSpace="638" w:wrap="notBeside" w:vAnchor="text" w:hAnchor="text" w:x="87" w:y="639"/>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顺丰电子商务</w:t>
            </w:r>
          </w:p>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顺丰优选国际有限公司</w:t>
            </w:r>
            <w:r>
              <w:rPr>
                <w:rFonts w:ascii="Arial" w:eastAsia="Arial" w:hAnsi="Arial" w:cs="Arial"/>
                <w:color w:val="000000"/>
                <w:spacing w:val="0"/>
                <w:w w:val="100"/>
                <w:position w:val="0"/>
                <w:sz w:val="24"/>
                <w:szCs w:val="24"/>
              </w:rPr>
              <w:t>100%</w:t>
            </w:r>
            <w:r>
              <w:rPr>
                <w:color w:val="000000"/>
                <w:spacing w:val="0"/>
                <w:w w:val="100"/>
                <w:position w:val="0"/>
                <w:sz w:val="22"/>
                <w:szCs w:val="22"/>
              </w:rPr>
              <w:t>股权</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1600" w:right="0" w:firstLine="0"/>
              <w:jc w:val="left"/>
              <w:rPr>
                <w:sz w:val="24"/>
                <w:szCs w:val="24"/>
              </w:rPr>
            </w:pPr>
            <w:r>
              <w:rPr>
                <w:rFonts w:ascii="Arial" w:eastAsia="Arial" w:hAnsi="Arial" w:cs="Arial"/>
                <w:color w:val="000000"/>
                <w:spacing w:val="0"/>
                <w:w w:val="100"/>
                <w:position w:val="0"/>
                <w:sz w:val="24"/>
                <w:szCs w:val="24"/>
              </w:rPr>
              <w:t>0.83</w:t>
            </w:r>
          </w:p>
        </w:tc>
      </w:tr>
      <w:tr>
        <w:trPr>
          <w:trHeight w:val="360" w:hRule="exact"/>
        </w:trPr>
        <w:tc>
          <w:tcPr>
            <w:tcBorders>
              <w:top w:val="single" w:sz="4"/>
              <w:bottom w:val="single" w:sz="4"/>
            </w:tcBorders>
            <w:shd w:val="clear" w:color="auto" w:fill="FFFFFF"/>
            <w:vAlign w:val="top"/>
          </w:tcPr>
          <w:p>
            <w:pPr>
              <w:framePr w:w="8669" w:h="6091" w:hSpace="24" w:vSpace="638" w:wrap="notBeside" w:vAnchor="text" w:hAnchor="text" w:x="87"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763,916,399.11</w:t>
            </w:r>
          </w:p>
        </w:tc>
        <w:tc>
          <w:tcPr>
            <w:tcBorders>
              <w:top w:val="single" w:sz="4"/>
              <w:bottom w:val="single" w:sz="4"/>
            </w:tcBorders>
            <w:shd w:val="clear" w:color="auto" w:fill="FFFFFF"/>
            <w:vAlign w:val="bottom"/>
          </w:tcPr>
          <w:p>
            <w:pPr>
              <w:pStyle w:val="Style23"/>
              <w:keepNext w:val="0"/>
              <w:keepLines w:val="0"/>
              <w:framePr w:w="8669" w:h="6091" w:hSpace="24" w:vSpace="638" w:wrap="notBeside" w:vAnchor="text" w:hAnchor="text" w:x="87" w:y="639"/>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250,000,012.83</w:t>
            </w:r>
          </w:p>
        </w:tc>
      </w:tr>
    </w:tbl>
    <w:p>
      <w:pPr>
        <w:pStyle w:val="Style29"/>
        <w:keepNext w:val="0"/>
        <w:keepLines w:val="0"/>
        <w:framePr w:w="1118" w:h="298" w:hSpace="86" w:wrap="notBeside" w:vAnchor="text" w:hAnchor="text" w:x="5165"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p>
      <w:pPr>
        <w:pStyle w:val="Style29"/>
        <w:keepNext w:val="0"/>
        <w:keepLines w:val="0"/>
        <w:framePr w:w="1118" w:h="298" w:hSpace="86" w:wrap="notBeside" w:vAnchor="text" w:hAnchor="text" w:x="7661"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widowControl w:val="0"/>
        <w:spacing w:line="1" w:lineRule="exact"/>
      </w:pPr>
      <w:r>
        <w:br w:type="page"/>
      </w:r>
    </w:p>
    <w:p>
      <w:pPr>
        <w:pStyle w:val="Style27"/>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91"/>
      <w:bookmarkEnd w:id="992"/>
      <w:bookmarkEnd w:id="993"/>
    </w:p>
    <w:p>
      <w:pPr>
        <w:pStyle w:val="Style27"/>
        <w:keepNext/>
        <w:keepLines/>
        <w:widowControl w:val="0"/>
        <w:shd w:val="clear" w:color="auto" w:fill="auto"/>
        <w:bidi w:val="0"/>
        <w:spacing w:before="0" w:after="300" w:line="240" w:lineRule="auto"/>
        <w:ind w:left="0" w:right="0" w:firstLine="0"/>
        <w:jc w:val="left"/>
      </w:pPr>
      <w:bookmarkStart w:id="991" w:name="bookmark991"/>
      <w:bookmarkStart w:id="992" w:name="bookmark992"/>
      <w:bookmarkStart w:id="994" w:name="bookmark994"/>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关联交易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91"/>
      <w:bookmarkEnd w:id="992"/>
      <w:bookmarkEnd w:id="994"/>
    </w:p>
    <w:p>
      <w:pPr>
        <w:pStyle w:val="Style33"/>
        <w:keepNext w:val="0"/>
        <w:keepLines w:val="0"/>
        <w:widowControl w:val="0"/>
        <w:shd w:val="clear" w:color="auto" w:fill="auto"/>
        <w:tabs>
          <w:tab w:pos="715" w:val="left"/>
        </w:tabs>
        <w:bidi w:val="0"/>
        <w:spacing w:before="0" w:after="340" w:line="240" w:lineRule="auto"/>
        <w:ind w:left="0" w:right="0" w:firstLine="0"/>
        <w:jc w:val="left"/>
        <w:rPr>
          <w:sz w:val="28"/>
          <w:szCs w:val="28"/>
        </w:rPr>
      </w:pPr>
      <w:bookmarkStart w:id="995" w:name="bookmark995"/>
      <w:r>
        <w:rPr>
          <w:rFonts w:ascii="Arial" w:eastAsia="Arial" w:hAnsi="Arial" w:cs="Arial"/>
          <w:b w:val="0"/>
          <w:bCs w:val="0"/>
          <w:color w:val="000000"/>
          <w:spacing w:val="0"/>
          <w:w w:val="100"/>
          <w:position w:val="0"/>
          <w:sz w:val="24"/>
          <w:szCs w:val="24"/>
          <w:shd w:val="clear" w:color="auto" w:fill="FFFFFF"/>
        </w:rPr>
        <w:t>（</w:t>
      </w:r>
      <w:bookmarkEnd w:id="995"/>
      <w:r>
        <w:rPr>
          <w:rFonts w:ascii="Arial" w:eastAsia="Arial" w:hAnsi="Arial" w:cs="Arial"/>
          <w:b w:val="0"/>
          <w:bCs w:val="0"/>
          <w:color w:val="000000"/>
          <w:spacing w:val="0"/>
          <w:w w:val="100"/>
          <w:position w:val="0"/>
          <w:sz w:val="24"/>
          <w:szCs w:val="24"/>
          <w:shd w:val="clear" w:color="auto" w:fill="FFFFFF"/>
        </w:rPr>
        <w:t>m）</w:t>
      </w:r>
      <w:r>
        <w:rPr>
          <w:rFonts w:ascii="Arial" w:eastAsia="Arial" w:hAnsi="Arial" w:cs="Arial"/>
          <w:b w:val="0"/>
          <w:bCs w:val="0"/>
          <w:color w:val="000000"/>
          <w:spacing w:val="0"/>
          <w:w w:val="100"/>
          <w:position w:val="0"/>
          <w:sz w:val="24"/>
          <w:szCs w:val="24"/>
        </w:rPr>
        <w:tab/>
      </w:r>
      <w:r>
        <w:rPr>
          <w:b w:val="0"/>
          <w:bCs w:val="0"/>
          <w:color w:val="000000"/>
          <w:spacing w:val="0"/>
          <w:w w:val="100"/>
          <w:position w:val="0"/>
          <w:sz w:val="22"/>
          <w:szCs w:val="22"/>
        </w:rPr>
        <w:t>股权转让收益</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损失</w:t>
      </w:r>
      <w:r>
        <w:rPr>
          <w:b w:val="0"/>
          <w:bCs w:val="0"/>
          <w:color w:val="000000"/>
          <w:spacing w:val="0"/>
          <w:w w:val="100"/>
          <w:position w:val="0"/>
          <w:sz w:val="28"/>
          <w:szCs w:val="28"/>
        </w:rPr>
        <w:t>）</w:t>
      </w:r>
    </w:p>
    <w:p>
      <w:pPr>
        <w:pStyle w:val="Style94"/>
        <w:keepNext w:val="0"/>
        <w:keepLines w:val="0"/>
        <w:widowControl w:val="0"/>
        <w:shd w:val="clear" w:color="auto" w:fill="auto"/>
        <w:tabs>
          <w:tab w:pos="2491" w:val="left"/>
        </w:tabs>
        <w:bidi w:val="0"/>
        <w:spacing w:before="0" w:after="340" w:line="240" w:lineRule="auto"/>
        <w:ind w:left="0" w:right="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bl>
      <w:tblPr>
        <w:tblOverlap w:val="never"/>
        <w:jc w:val="center"/>
        <w:tblLayout w:type="fixed"/>
      </w:tblPr>
      <w:tblGrid>
        <w:gridCol w:w="4310"/>
        <w:gridCol w:w="2318"/>
        <w:gridCol w:w="2112"/>
      </w:tblGrid>
      <w:tr>
        <w:trPr>
          <w:trHeight w:val="302"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明德控股</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杭州丰泰电商产业园管理有限公司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2,976,859.85</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深圳中顺易金融服务有限公司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5,950,097.63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深圳市物流产业共赢基金股份有限</w:t>
            </w:r>
          </w:p>
        </w:tc>
        <w:tc>
          <w:tcPr>
            <w:gridSpan w:val="2"/>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(102,355.44)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合丰小额贷款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(5,201,630.89)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乐丰保理</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7.64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置业企业</w:t>
            </w:r>
          </w:p>
        </w:tc>
        <w:tc>
          <w:tcPr>
            <w:gridSpan w:val="2"/>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顺诚融资租赁及其子公司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363,247.29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明德控股及其他四名股东</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顺丰控股集团商贸有限公司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10.00</w:t>
            </w:r>
          </w:p>
        </w:tc>
      </w:tr>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顺丰控股集团商贸有限公司</w:t>
            </w:r>
          </w:p>
        </w:tc>
        <w:tc>
          <w:tcPr>
            <w:gridSpan w:val="2"/>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 xml:space="preserve">- </w:t>
            </w:r>
            <w:r>
              <w:rPr>
                <w:color w:val="000000"/>
                <w:spacing w:val="0"/>
                <w:w w:val="100"/>
                <w:position w:val="0"/>
                <w:sz w:val="22"/>
                <w:szCs w:val="22"/>
              </w:rPr>
              <w:t>顺丰商业</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20,494,732.87</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 xml:space="preserve">- </w:t>
            </w:r>
            <w:r>
              <w:rPr>
                <w:color w:val="000000"/>
                <w:spacing w:val="0"/>
                <w:w w:val="100"/>
                <w:position w:val="0"/>
                <w:sz w:val="22"/>
                <w:szCs w:val="22"/>
              </w:rPr>
              <w:t>顺丰电子商务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(30,530,062.13)</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顺丰电子商务</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4"/>
                <w:szCs w:val="24"/>
              </w:rPr>
              <w:t>-</w:t>
            </w:r>
            <w:r>
              <w:rPr>
                <w:color w:val="000000"/>
                <w:spacing w:val="0"/>
                <w:w w:val="100"/>
                <w:position w:val="0"/>
                <w:sz w:val="22"/>
                <w:szCs w:val="22"/>
              </w:rPr>
              <w:t>顺丰优选国际有限公司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5,717,161.60</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1,009,366.23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(1,341,297.81)</w:t>
            </w:r>
          </w:p>
        </w:tc>
      </w:tr>
    </w:tbl>
    <w:p>
      <w:p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705" w:right="1122" w:bottom="6381" w:left="1913" w:header="0" w:footer="3" w:gutter="0"/>
          <w:cols w:space="720"/>
          <w:noEndnote/>
          <w:rtlGutter w:val="0"/>
          <w:docGrid w:linePitch="360"/>
        </w:sectPr>
      </w:pPr>
    </w:p>
    <w:p>
      <w:pPr>
        <w:pStyle w:val="Style27"/>
        <w:keepNext/>
        <w:keepLines/>
        <w:widowControl w:val="0"/>
        <w:shd w:val="clear" w:color="auto" w:fill="auto"/>
        <w:bidi w:val="0"/>
        <w:spacing w:before="0" w:after="340" w:line="240" w:lineRule="auto"/>
        <w:ind w:left="0" w:right="0" w:firstLine="0"/>
        <w:jc w:val="both"/>
      </w:pPr>
      <w:bookmarkStart w:id="996" w:name="bookmark996"/>
      <w:bookmarkStart w:id="997" w:name="bookmark997"/>
      <w:bookmarkStart w:id="998" w:name="bookmark998"/>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96"/>
      <w:bookmarkEnd w:id="997"/>
      <w:bookmarkEnd w:id="998"/>
    </w:p>
    <w:p>
      <w:pPr>
        <w:pStyle w:val="Style27"/>
        <w:keepNext/>
        <w:keepLines/>
        <w:widowControl w:val="0"/>
        <w:shd w:val="clear" w:color="auto" w:fill="auto"/>
        <w:bidi w:val="0"/>
        <w:spacing w:before="0" w:after="340" w:line="240" w:lineRule="auto"/>
        <w:ind w:left="0" w:right="0" w:firstLine="0"/>
        <w:jc w:val="both"/>
      </w:pPr>
      <w:bookmarkStart w:id="996" w:name="bookmark996"/>
      <w:bookmarkStart w:id="997" w:name="bookmark997"/>
      <w:bookmarkStart w:id="999" w:name="bookmark999"/>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关联交易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996"/>
      <w:bookmarkEnd w:id="997"/>
      <w:bookmarkEnd w:id="999"/>
    </w:p>
    <w:p>
      <w:pPr>
        <w:pStyle w:val="Style33"/>
        <w:keepNext w:val="0"/>
        <w:keepLines w:val="0"/>
        <w:widowControl w:val="0"/>
        <w:shd w:val="clear" w:color="auto" w:fill="auto"/>
        <w:tabs>
          <w:tab w:pos="718" w:val="left"/>
        </w:tabs>
        <w:bidi w:val="0"/>
        <w:spacing w:before="0" w:after="340" w:line="240" w:lineRule="auto"/>
        <w:ind w:left="0" w:right="0" w:firstLine="0"/>
        <w:jc w:val="both"/>
        <w:rPr>
          <w:sz w:val="22"/>
          <w:szCs w:val="22"/>
        </w:rPr>
      </w:pPr>
      <w:bookmarkStart w:id="1000" w:name="bookmark1000"/>
      <w:r>
        <w:rPr>
          <w:rFonts w:ascii="Arial" w:eastAsia="Arial" w:hAnsi="Arial" w:cs="Arial"/>
          <w:b w:val="0"/>
          <w:bCs w:val="0"/>
          <w:color w:val="000000"/>
          <w:spacing w:val="0"/>
          <w:w w:val="100"/>
          <w:position w:val="0"/>
          <w:sz w:val="24"/>
          <w:szCs w:val="24"/>
          <w:shd w:val="clear" w:color="auto" w:fill="FFFFFF"/>
        </w:rPr>
        <w:t>(</w:t>
      </w:r>
      <w:bookmarkEnd w:id="1000"/>
      <w:r>
        <w:rPr>
          <w:rFonts w:ascii="Arial" w:eastAsia="Arial" w:hAnsi="Arial" w:cs="Arial"/>
          <w:b w:val="0"/>
          <w:bCs w:val="0"/>
          <w:color w:val="000000"/>
          <w:spacing w:val="0"/>
          <w:w w:val="100"/>
          <w:position w:val="0"/>
          <w:sz w:val="24"/>
          <w:szCs w:val="24"/>
          <w:shd w:val="clear" w:color="auto" w:fill="FFFFFF"/>
        </w:rPr>
        <w:t>n)</w:t>
      </w:r>
      <w:r>
        <w:rPr>
          <w:rFonts w:ascii="Arial" w:eastAsia="Arial" w:hAnsi="Arial" w:cs="Arial"/>
          <w:b w:val="0"/>
          <w:bCs w:val="0"/>
          <w:color w:val="000000"/>
          <w:spacing w:val="0"/>
          <w:w w:val="100"/>
          <w:position w:val="0"/>
          <w:sz w:val="24"/>
          <w:szCs w:val="24"/>
        </w:rPr>
        <w:tab/>
      </w:r>
      <w:r>
        <w:rPr>
          <w:b w:val="0"/>
          <w:bCs w:val="0"/>
          <w:color w:val="000000"/>
          <w:spacing w:val="0"/>
          <w:w w:val="100"/>
          <w:position w:val="0"/>
          <w:sz w:val="22"/>
          <w:szCs w:val="22"/>
        </w:rPr>
        <w:t>债权转让</w:t>
      </w:r>
    </w:p>
    <w:tbl>
      <w:tblPr>
        <w:tblOverlap w:val="never"/>
        <w:jc w:val="center"/>
        <w:tblLayout w:type="fixed"/>
      </w:tblPr>
      <w:tblGrid>
        <w:gridCol w:w="3576"/>
        <w:gridCol w:w="5290"/>
      </w:tblGrid>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4011" w:val="left"/>
              </w:tabs>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766" w:hRule="exact"/>
        </w:trPr>
        <w:tc>
          <w:tcPr>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牵趣及其子公司其他应收款</w:t>
            </w:r>
          </w:p>
          <w:p>
            <w:pPr>
              <w:pStyle w:val="Style23"/>
              <w:keepNext w:val="0"/>
              <w:keepLines w:val="0"/>
              <w:widowControl w:val="0"/>
              <w:numPr>
                <w:ilvl w:val="0"/>
                <w:numId w:val="87"/>
              </w:numPr>
              <w:shd w:val="clear" w:color="auto" w:fill="auto"/>
              <w:tabs>
                <w:tab w:pos="226" w:val="left"/>
              </w:tabs>
              <w:bidi w:val="0"/>
              <w:spacing w:before="0" w:after="40" w:line="240" w:lineRule="auto"/>
              <w:ind w:left="0" w:right="0" w:firstLine="0"/>
              <w:jc w:val="left"/>
              <w:rPr>
                <w:sz w:val="22"/>
                <w:szCs w:val="22"/>
              </w:rPr>
            </w:pPr>
            <w:r>
              <w:rPr>
                <w:color w:val="000000"/>
                <w:spacing w:val="0"/>
                <w:w w:val="100"/>
                <w:position w:val="0"/>
                <w:sz w:val="22"/>
                <w:szCs w:val="22"/>
              </w:rPr>
              <w:t>明德控股</w:t>
            </w:r>
          </w:p>
          <w:p>
            <w:pPr>
              <w:pStyle w:val="Style23"/>
              <w:keepNext w:val="0"/>
              <w:keepLines w:val="0"/>
              <w:widowControl w:val="0"/>
              <w:numPr>
                <w:ilvl w:val="0"/>
                <w:numId w:val="87"/>
              </w:numPr>
              <w:shd w:val="clear" w:color="auto" w:fill="auto"/>
              <w:tabs>
                <w:tab w:pos="211" w:val="left"/>
              </w:tabs>
              <w:bidi w:val="0"/>
              <w:spacing w:before="0" w:after="40" w:line="240" w:lineRule="auto"/>
              <w:ind w:left="0" w:right="0" w:firstLine="0"/>
              <w:jc w:val="left"/>
              <w:rPr>
                <w:sz w:val="22"/>
                <w:szCs w:val="22"/>
              </w:rPr>
            </w:pPr>
            <w:r>
              <w:rPr>
                <w:color w:val="000000"/>
                <w:spacing w:val="0"/>
                <w:w w:val="100"/>
                <w:position w:val="0"/>
                <w:sz w:val="22"/>
                <w:szCs w:val="22"/>
              </w:rPr>
              <w:t>时丰企业有限公司</w:t>
            </w:r>
          </w:p>
          <w:p>
            <w:pPr>
              <w:pStyle w:val="Style23"/>
              <w:keepNext w:val="0"/>
              <w:keepLines w:val="0"/>
              <w:widowControl w:val="0"/>
              <w:numPr>
                <w:ilvl w:val="0"/>
                <w:numId w:val="87"/>
              </w:numPr>
              <w:shd w:val="clear" w:color="auto" w:fill="auto"/>
              <w:tabs>
                <w:tab w:pos="206" w:val="left"/>
              </w:tabs>
              <w:bidi w:val="0"/>
              <w:spacing w:before="0" w:after="40" w:line="240" w:lineRule="auto"/>
              <w:ind w:left="0" w:right="0" w:firstLine="0"/>
              <w:jc w:val="left"/>
              <w:rPr>
                <w:sz w:val="22"/>
                <w:szCs w:val="22"/>
              </w:rPr>
            </w:pPr>
            <w:r>
              <w:rPr>
                <w:color w:val="000000"/>
                <w:spacing w:val="0"/>
                <w:w w:val="100"/>
                <w:position w:val="0"/>
                <w:sz w:val="22"/>
                <w:szCs w:val="22"/>
              </w:rPr>
              <w:t>巧顺投资有限公司</w:t>
            </w:r>
          </w:p>
        </w:tc>
        <w:tc>
          <w:tcPr>
            <w:tcBorders>
              <w:bottom w:val="single" w:sz="4"/>
            </w:tcBorders>
            <w:shd w:val="clear" w:color="auto" w:fill="FFFFFF"/>
            <w:vAlign w:val="bottom"/>
          </w:tcPr>
          <w:p>
            <w:pPr>
              <w:pStyle w:val="Style23"/>
              <w:keepNext w:val="0"/>
              <w:keepLines w:val="0"/>
              <w:widowControl w:val="0"/>
              <w:shd w:val="clear" w:color="auto" w:fill="auto"/>
              <w:tabs>
                <w:tab w:pos="4687" w:val="right"/>
              </w:tabs>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13,742,118.55</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687" w:val="right"/>
              </w:tabs>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13,454,292.98</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4687" w:val="right"/>
              </w:tabs>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u w:val="single"/>
              </w:rPr>
              <w:t>17,782,102.80</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 xml:space="preserve"> </w:t>
            </w:r>
            <w:r>
              <w:rPr>
                <w:rFonts w:ascii="Arial" w:eastAsia="Arial" w:hAnsi="Arial" w:cs="Arial"/>
                <w:color w:val="000000"/>
                <w:spacing w:val="0"/>
                <w:w w:val="100"/>
                <w:position w:val="0"/>
                <w:sz w:val="24"/>
                <w:szCs w:val="24"/>
                <w:u w:val="single"/>
              </w:rPr>
              <w:t>-</w:t>
            </w:r>
          </w:p>
          <w:p>
            <w:pPr>
              <w:pStyle w:val="Style23"/>
              <w:keepNext w:val="0"/>
              <w:keepLines w:val="0"/>
              <w:widowControl w:val="0"/>
              <w:shd w:val="clear" w:color="auto" w:fill="auto"/>
              <w:tabs>
                <w:tab w:pos="4706" w:val="right"/>
              </w:tabs>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44,978,514.33</w:t>
              <w:tab/>
            </w:r>
            <w:r>
              <w:rPr>
                <w:rFonts w:ascii="Arial" w:eastAsia="Arial" w:hAnsi="Arial" w:cs="Arial"/>
                <w:color w:val="000000"/>
                <w:spacing w:val="0"/>
                <w:w w:val="100"/>
                <w:position w:val="0"/>
                <w:sz w:val="24"/>
                <w:szCs w:val="24"/>
              </w:rPr>
              <w:t>-</w:t>
            </w:r>
          </w:p>
        </w:tc>
      </w:tr>
    </w:tbl>
    <w:p>
      <w:pPr>
        <w:widowControl w:val="0"/>
        <w:spacing w:after="339" w:line="1" w:lineRule="exact"/>
      </w:pPr>
    </w:p>
    <w:p>
      <w:pPr>
        <w:pStyle w:val="Style33"/>
        <w:keepNext w:val="0"/>
        <w:keepLines w:val="0"/>
        <w:widowControl w:val="0"/>
        <w:shd w:val="clear" w:color="auto" w:fill="auto"/>
        <w:bidi w:val="0"/>
        <w:spacing w:before="0" w:after="340" w:line="321"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8</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日，本集团向牵趣网络及其子公司发出债权转移通知，本集团境 内子公司对牵趣网络及其子公司的其他应收款的债权转移给明德控股，本集团境外子 公司对牵趣网络及其子公司的其他应收款的债权转移给时丰企业有限公司和巧顺投 资有限公司，明德控股、时丰企业有限公司和巧顺投资有限公司成为上述债权的相关 权利人，同时，明德控股、时丰企业有限公司和巧顺投资有限公司代牵趣网络及其子 公司偿还所有的其他应收款。截至</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日，该款项已全部偿还。</w:t>
      </w:r>
    </w:p>
    <w:p>
      <w:pPr>
        <w:pStyle w:val="Style33"/>
        <w:keepNext w:val="0"/>
        <w:keepLines w:val="0"/>
        <w:widowControl w:val="0"/>
        <w:shd w:val="clear" w:color="auto" w:fill="auto"/>
        <w:tabs>
          <w:tab w:pos="718" w:val="left"/>
        </w:tabs>
        <w:bidi w:val="0"/>
        <w:spacing w:before="0" w:after="340" w:line="321" w:lineRule="exact"/>
        <w:ind w:left="0" w:right="0" w:firstLine="0"/>
        <w:jc w:val="both"/>
        <w:rPr>
          <w:sz w:val="22"/>
          <w:szCs w:val="22"/>
        </w:rPr>
      </w:pPr>
      <w:bookmarkStart w:id="1001" w:name="bookmark1001"/>
      <w:r>
        <w:rPr>
          <w:rFonts w:ascii="Arial" w:eastAsia="Arial" w:hAnsi="Arial" w:cs="Arial"/>
          <w:b w:val="0"/>
          <w:bCs w:val="0"/>
          <w:color w:val="000000"/>
          <w:spacing w:val="0"/>
          <w:w w:val="100"/>
          <w:position w:val="0"/>
          <w:sz w:val="24"/>
          <w:szCs w:val="24"/>
          <w:shd w:val="clear" w:color="auto" w:fill="FFFFFF"/>
        </w:rPr>
        <w:t>(</w:t>
      </w:r>
      <w:bookmarkEnd w:id="1001"/>
      <w:r>
        <w:rPr>
          <w:rFonts w:ascii="Arial" w:eastAsia="Arial" w:hAnsi="Arial" w:cs="Arial"/>
          <w:b w:val="0"/>
          <w:bCs w:val="0"/>
          <w:color w:val="000000"/>
          <w:spacing w:val="0"/>
          <w:w w:val="100"/>
          <w:position w:val="0"/>
          <w:sz w:val="24"/>
          <w:szCs w:val="24"/>
          <w:shd w:val="clear" w:color="auto" w:fill="FFFFFF"/>
        </w:rPr>
        <w:t>o)</w:t>
      </w:r>
      <w:r>
        <w:rPr>
          <w:rFonts w:ascii="Arial" w:eastAsia="Arial" w:hAnsi="Arial" w:cs="Arial"/>
          <w:b w:val="0"/>
          <w:bCs w:val="0"/>
          <w:color w:val="000000"/>
          <w:spacing w:val="0"/>
          <w:w w:val="100"/>
          <w:position w:val="0"/>
          <w:sz w:val="24"/>
          <w:szCs w:val="24"/>
        </w:rPr>
        <w:tab/>
      </w:r>
      <w:r>
        <w:rPr>
          <w:b w:val="0"/>
          <w:bCs w:val="0"/>
          <w:color w:val="000000"/>
          <w:spacing w:val="0"/>
          <w:w w:val="100"/>
          <w:position w:val="0"/>
          <w:sz w:val="22"/>
          <w:szCs w:val="22"/>
        </w:rPr>
        <w:t>联运支出</w:t>
      </w:r>
    </w:p>
    <w:tbl>
      <w:tblPr>
        <w:tblOverlap w:val="never"/>
        <w:jc w:val="center"/>
        <w:tblLayout w:type="fixed"/>
      </w:tblPr>
      <w:tblGrid>
        <w:gridCol w:w="3576"/>
        <w:gridCol w:w="5290"/>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4011" w:val="left"/>
              </w:tabs>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1627" w:hRule="exact"/>
        </w:trPr>
        <w:tc>
          <w:tcPr>
            <w:tcBorders/>
            <w:shd w:val="clear" w:color="auto" w:fill="FFFFFF"/>
            <w:vAlign w:val="top"/>
          </w:tcPr>
          <w:p>
            <w:pPr>
              <w:pStyle w:val="Style23"/>
              <w:keepNext w:val="0"/>
              <w:keepLines w:val="0"/>
              <w:widowControl w:val="0"/>
              <w:shd w:val="clear" w:color="auto" w:fill="auto"/>
              <w:bidi w:val="0"/>
              <w:spacing w:before="120" w:after="0" w:line="322" w:lineRule="exact"/>
              <w:ind w:left="0" w:right="0" w:firstLine="0"/>
              <w:jc w:val="left"/>
              <w:rPr>
                <w:sz w:val="22"/>
                <w:szCs w:val="22"/>
              </w:rPr>
            </w:pPr>
            <w:r>
              <w:rPr>
                <w:color w:val="000000"/>
                <w:spacing w:val="0"/>
                <w:w w:val="100"/>
                <w:position w:val="0"/>
                <w:sz w:val="22"/>
                <w:szCs w:val="22"/>
              </w:rPr>
              <w:t>台湾顺丰速运股份有限公司 小红帽发行股份有限公司 深圳市顺捷丰达速运有限公司</w:t>
            </w:r>
          </w:p>
        </w:tc>
        <w:tc>
          <w:tcPr>
            <w:tcBorders/>
            <w:shd w:val="clear" w:color="auto" w:fill="FFFFFF"/>
            <w:vAlign w:val="center"/>
          </w:tcPr>
          <w:p>
            <w:pPr>
              <w:pStyle w:val="Style23"/>
              <w:keepNext w:val="0"/>
              <w:keepLines w:val="0"/>
              <w:widowControl w:val="0"/>
              <w:shd w:val="clear" w:color="auto" w:fill="auto"/>
              <w:tabs>
                <w:tab w:pos="5009" w:val="right"/>
              </w:tabs>
              <w:bidi w:val="0"/>
              <w:spacing w:before="0" w:after="40" w:line="240" w:lineRule="auto"/>
              <w:ind w:left="0" w:right="0" w:firstLine="900"/>
              <w:jc w:val="left"/>
              <w:rPr>
                <w:sz w:val="24"/>
                <w:szCs w:val="24"/>
              </w:rPr>
            </w:pPr>
            <w:r>
              <w:rPr>
                <w:rFonts w:ascii="Arial" w:eastAsia="Arial" w:hAnsi="Arial" w:cs="Arial"/>
                <w:color w:val="000000"/>
                <w:spacing w:val="0"/>
                <w:w w:val="100"/>
                <w:position w:val="0"/>
                <w:sz w:val="24"/>
                <w:szCs w:val="24"/>
              </w:rPr>
              <w:t>201,939,670.27</w:t>
              <w:tab/>
              <w:t>222,903,250.61</w:t>
            </w:r>
          </w:p>
          <w:p>
            <w:pPr>
              <w:pStyle w:val="Style23"/>
              <w:keepNext w:val="0"/>
              <w:keepLines w:val="0"/>
              <w:widowControl w:val="0"/>
              <w:shd w:val="clear" w:color="auto" w:fill="auto"/>
              <w:tabs>
                <w:tab w:pos="5038" w:val="right"/>
              </w:tabs>
              <w:bidi w:val="0"/>
              <w:spacing w:before="0" w:after="40" w:line="240" w:lineRule="auto"/>
              <w:ind w:left="1160" w:right="0" w:firstLine="0"/>
              <w:jc w:val="left"/>
              <w:rPr>
                <w:sz w:val="24"/>
                <w:szCs w:val="24"/>
              </w:rPr>
            </w:pPr>
            <w:r>
              <w:rPr>
                <w:rFonts w:ascii="Arial" w:eastAsia="Arial" w:hAnsi="Arial" w:cs="Arial"/>
                <w:color w:val="000000"/>
                <w:spacing w:val="0"/>
                <w:w w:val="100"/>
                <w:position w:val="0"/>
                <w:sz w:val="24"/>
                <w:szCs w:val="24"/>
              </w:rPr>
              <w:t>7,085,656.30</w:t>
              <w:tab/>
              <w:t>6,385,718.58</w:t>
            </w:r>
          </w:p>
          <w:p>
            <w:pPr>
              <w:pStyle w:val="Style23"/>
              <w:keepNext w:val="0"/>
              <w:keepLines w:val="0"/>
              <w:widowControl w:val="0"/>
              <w:shd w:val="clear" w:color="auto" w:fill="auto"/>
              <w:tabs>
                <w:tab w:pos="5043" w:val="right"/>
              </w:tabs>
              <w:bidi w:val="0"/>
              <w:spacing w:before="0" w:after="40" w:line="240" w:lineRule="auto"/>
              <w:ind w:left="1160" w:right="0" w:firstLine="0"/>
              <w:jc w:val="left"/>
              <w:rPr>
                <w:sz w:val="24"/>
                <w:szCs w:val="24"/>
              </w:rPr>
            </w:pPr>
            <w:r>
              <w:rPr>
                <w:rFonts w:ascii="Arial" w:eastAsia="Arial" w:hAnsi="Arial" w:cs="Arial"/>
                <w:color w:val="000000"/>
                <w:spacing w:val="0"/>
                <w:w w:val="100"/>
                <w:position w:val="0"/>
                <w:sz w:val="24"/>
                <w:szCs w:val="24"/>
                <w:u w:val="single"/>
              </w:rPr>
              <w:t>6,181,312.49</w:t>
              <w:tab/>
              <w:t>4,697,453.83</w:t>
            </w:r>
          </w:p>
          <w:p>
            <w:pPr>
              <w:pStyle w:val="Style23"/>
              <w:keepNext w:val="0"/>
              <w:keepLines w:val="0"/>
              <w:widowControl w:val="0"/>
              <w:shd w:val="clear" w:color="auto" w:fill="auto"/>
              <w:tabs>
                <w:tab w:pos="5042" w:val="right"/>
              </w:tabs>
              <w:bidi w:val="0"/>
              <w:spacing w:before="0" w:after="40" w:line="240" w:lineRule="auto"/>
              <w:ind w:left="0" w:right="0" w:firstLine="900"/>
              <w:jc w:val="left"/>
              <w:rPr>
                <w:sz w:val="24"/>
                <w:szCs w:val="24"/>
              </w:rPr>
            </w:pPr>
            <w:r>
              <w:rPr>
                <w:rFonts w:ascii="Arial" w:eastAsia="Arial" w:hAnsi="Arial" w:cs="Arial"/>
                <w:color w:val="000000"/>
                <w:spacing w:val="0"/>
                <w:w w:val="100"/>
                <w:position w:val="0"/>
                <w:sz w:val="24"/>
                <w:szCs w:val="24"/>
                <w:u w:val="single"/>
              </w:rPr>
              <w:t>215,206,639.06</w:t>
              <w:tab/>
              <w:t>233,986,423.02</w:t>
            </w:r>
          </w:p>
        </w:tc>
      </w:tr>
      <w:tr>
        <w:trPr>
          <w:trHeight w:val="1296" w:hRule="exact"/>
        </w:trPr>
        <w:tc>
          <w:tcPr>
            <w:tcBorders/>
            <w:shd w:val="clear" w:color="auto" w:fill="FFFFFF"/>
            <w:vAlign w:val="top"/>
          </w:tcPr>
          <w:p>
            <w:pPr>
              <w:pStyle w:val="Style23"/>
              <w:keepNext w:val="0"/>
              <w:keepLines w:val="0"/>
              <w:widowControl w:val="0"/>
              <w:shd w:val="clear" w:color="auto" w:fill="auto"/>
              <w:tabs>
                <w:tab w:pos="715" w:val="left"/>
              </w:tabs>
              <w:bidi w:val="0"/>
              <w:spacing w:before="200" w:after="0" w:line="240" w:lineRule="auto"/>
              <w:ind w:left="0" w:right="0" w:firstLine="0"/>
              <w:jc w:val="left"/>
              <w:rPr>
                <w:sz w:val="22"/>
                <w:szCs w:val="22"/>
              </w:rPr>
            </w:pPr>
            <w:r>
              <w:rPr>
                <w:rFonts w:ascii="Arial" w:eastAsia="Arial" w:hAnsi="Arial" w:cs="Arial"/>
                <w:color w:val="000000"/>
                <w:spacing w:val="0"/>
                <w:w w:val="100"/>
                <w:position w:val="0"/>
                <w:sz w:val="24"/>
                <w:szCs w:val="24"/>
              </w:rPr>
              <w:t>(p)</w:t>
              <w:tab/>
            </w:r>
            <w:r>
              <w:rPr>
                <w:color w:val="000000"/>
                <w:spacing w:val="0"/>
                <w:w w:val="100"/>
                <w:position w:val="0"/>
                <w:sz w:val="22"/>
                <w:szCs w:val="22"/>
              </w:rPr>
              <w:t>快递代理服务费</w:t>
            </w:r>
          </w:p>
        </w:tc>
        <w:tc>
          <w:tcPr>
            <w:tcBorders/>
            <w:shd w:val="clear" w:color="auto" w:fill="FFFFFF"/>
            <w:vAlign w:val="bottom"/>
          </w:tcPr>
          <w:p>
            <w:pPr>
              <w:pStyle w:val="Style23"/>
              <w:keepNext w:val="0"/>
              <w:keepLines w:val="0"/>
              <w:widowControl w:val="0"/>
              <w:shd w:val="clear" w:color="auto" w:fill="auto"/>
              <w:tabs>
                <w:tab w:pos="4011" w:val="left"/>
              </w:tabs>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bottom w:val="single" w:sz="4"/>
            </w:tcBorders>
            <w:shd w:val="clear" w:color="auto" w:fill="FFFFFF"/>
            <w:vAlign w:val="bottom"/>
          </w:tcPr>
          <w:p>
            <w:pPr>
              <w:pStyle w:val="Style23"/>
              <w:keepNext w:val="0"/>
              <w:keepLines w:val="0"/>
              <w:widowControl w:val="0"/>
              <w:shd w:val="clear" w:color="auto" w:fill="auto"/>
              <w:tabs>
                <w:tab w:pos="3487" w:val="left"/>
              </w:tabs>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16,826,237.23</w:t>
              <w:tab/>
              <w:t>25,298,241.50</w:t>
            </w:r>
          </w:p>
        </w:tc>
      </w:tr>
    </w:tbl>
    <w:p>
      <w:pPr>
        <w:sectPr>
          <w:footnotePr>
            <w:pos w:val="pageBottom"/>
            <w:numFmt w:val="decimal"/>
            <w:numRestart w:val="continuous"/>
          </w:footnotePr>
          <w:pgSz w:w="11900" w:h="16840"/>
          <w:pgMar w:top="1758" w:right="1072" w:bottom="1758" w:left="1962" w:header="0" w:footer="3" w:gutter="0"/>
          <w:cols w:space="720"/>
          <w:noEndnote/>
          <w:rtlGutter w:val="0"/>
          <w:docGrid w:linePitch="360"/>
        </w:sectPr>
      </w:pPr>
    </w:p>
    <w:p>
      <w:pPr>
        <w:pStyle w:val="Style27"/>
        <w:keepNext/>
        <w:keepLines/>
        <w:widowControl w:val="0"/>
        <w:shd w:val="clear" w:color="auto" w:fill="auto"/>
        <w:bidi w:val="0"/>
        <w:spacing w:before="0" w:after="0" w:line="240" w:lineRule="auto"/>
        <w:ind w:left="0" w:right="0" w:firstLine="420"/>
        <w:jc w:val="left"/>
      </w:pPr>
      <w:bookmarkStart w:id="1005" w:name="bookmark1005"/>
      <w:bookmarkStart w:id="1006" w:name="bookmark1006"/>
      <w:bookmarkStart w:id="1007" w:name="bookmark1007"/>
      <w:r>
        <w:rPr>
          <w:color w:val="000000"/>
          <w:spacing w:val="0"/>
          <w:w w:val="100"/>
          <w:position w:val="0"/>
          <w:sz w:val="22"/>
          <w:szCs w:val="22"/>
        </w:rPr>
        <w:t>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05"/>
      <w:bookmarkEnd w:id="1006"/>
      <w:bookmarkEnd w:id="1007"/>
    </w:p>
    <w:p>
      <w:pPr>
        <w:widowControl w:val="0"/>
        <w:spacing w:line="1" w:lineRule="exact"/>
        <w:sectPr>
          <w:footnotePr>
            <w:pos w:val="pageBottom"/>
            <w:numFmt w:val="decimal"/>
            <w:numRestart w:val="continuous"/>
          </w:footnotePr>
          <w:pgSz w:w="11900" w:h="16840"/>
          <w:pgMar w:top="1758" w:right="1072" w:bottom="4744" w:left="1962" w:header="0" w:footer="3" w:gutter="0"/>
          <w:cols w:space="720"/>
          <w:noEndnote/>
          <w:rtlGutter w:val="0"/>
          <w:docGrid w:linePitch="360"/>
        </w:sectPr>
      </w:pPr>
      <w:r>
        <mc:AlternateContent>
          <mc:Choice Requires="wps">
            <w:drawing>
              <wp:anchor distT="154940" distB="0" distL="0" distR="0" simplePos="0" relativeHeight="125829611" behindDoc="0" locked="0" layoutInCell="1" allowOverlap="1">
                <wp:simplePos x="0" y="0"/>
                <wp:positionH relativeFrom="page">
                  <wp:posOffset>1249045</wp:posOffset>
                </wp:positionH>
                <wp:positionV relativeFrom="paragraph">
                  <wp:posOffset>154940</wp:posOffset>
                </wp:positionV>
                <wp:extent cx="207010" cy="191770"/>
                <wp:wrapTopAndBottom/>
                <wp:docPr id="678" name="Shape 678"/>
                <a:graphic xmlns:a="http://schemas.openxmlformats.org/drawingml/2006/main">
                  <a:graphicData uri="http://schemas.microsoft.com/office/word/2010/wordprocessingShape">
                    <wps:wsp>
                      <wps:cNvSpPr txBox="1"/>
                      <wps:spPr>
                        <a:xfrm>
                          <a:ext cx="207010" cy="1917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xbxContent>
                      </wps:txbx>
                      <wps:bodyPr wrap="none" lIns="0" tIns="0" rIns="0" bIns="0">
                        <a:noAutoFit/>
                      </wps:bodyPr>
                    </wps:wsp>
                  </a:graphicData>
                </a:graphic>
              </wp:anchor>
            </w:drawing>
          </mc:Choice>
          <mc:Fallback>
            <w:pict>
              <v:shape id="_x0000_s1704" type="#_x0000_t202" style="position:absolute;margin-left:98.350000000000009pt;margin-top:12.200000000000001pt;width:16.300000000000001pt;height:15.1pt;z-index:-125829142;mso-wrap-distance-left:0;mso-wrap-distance-top:12.200000000000001pt;mso-wrap-distance-right:0;mso-position-horizontal-relative:page"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xbxContent>
                </v:textbox>
                <w10:wrap type="topAndBottom" anchorx="page"/>
              </v:shape>
            </w:pict>
          </mc:Fallback>
        </mc:AlternateContent>
      </w:r>
      <w:r>
        <mc:AlternateContent>
          <mc:Choice Requires="wps">
            <w:drawing>
              <wp:anchor distT="139700" distB="5715" distL="0" distR="0" simplePos="0" relativeHeight="125829613" behindDoc="0" locked="0" layoutInCell="1" allowOverlap="1">
                <wp:simplePos x="0" y="0"/>
                <wp:positionH relativeFrom="page">
                  <wp:posOffset>1517015</wp:posOffset>
                </wp:positionH>
                <wp:positionV relativeFrom="paragraph">
                  <wp:posOffset>139700</wp:posOffset>
                </wp:positionV>
                <wp:extent cx="880745" cy="201295"/>
                <wp:wrapTopAndBottom/>
                <wp:docPr id="680" name="Shape 680"/>
                <a:graphic xmlns:a="http://schemas.openxmlformats.org/drawingml/2006/main">
                  <a:graphicData uri="http://schemas.microsoft.com/office/word/2010/wordprocessingShape">
                    <wps:wsp>
                      <wps:cNvSpPr txBox="1"/>
                      <wps:spPr>
                        <a:xfrm>
                          <a:ext cx="880745" cy="201295"/>
                        </a:xfrm>
                        <a:prstGeom prst="rect"/>
                        <a:noFill/>
                      </wps:spPr>
                      <wps:txbx>
                        <w:txbxContent>
                          <w:p>
                            <w:pPr>
                              <w:pStyle w:val="Style27"/>
                              <w:keepNext/>
                              <w:keepLines/>
                              <w:widowControl w:val="0"/>
                              <w:shd w:val="clear" w:color="auto" w:fill="auto"/>
                              <w:bidi w:val="0"/>
                              <w:spacing w:before="0" w:after="0" w:line="240" w:lineRule="auto"/>
                              <w:ind w:left="0" w:right="0" w:firstLine="0"/>
                              <w:jc w:val="center"/>
                            </w:pPr>
                            <w:bookmarkStart w:id="1002" w:name="bookmark1002"/>
                            <w:bookmarkStart w:id="1003" w:name="bookmark1003"/>
                            <w:bookmarkStart w:id="1004" w:name="bookmark1004"/>
                            <w:r>
                              <w:rPr>
                                <w:color w:val="000000"/>
                                <w:spacing w:val="0"/>
                                <w:w w:val="100"/>
                                <w:position w:val="0"/>
                                <w:sz w:val="22"/>
                                <w:szCs w:val="22"/>
                              </w:rPr>
                              <w:t>关联交易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02"/>
                            <w:bookmarkEnd w:id="1003"/>
                            <w:bookmarkEnd w:id="1004"/>
                          </w:p>
                        </w:txbxContent>
                      </wps:txbx>
                      <wps:bodyPr wrap="none" lIns="0" tIns="0" rIns="0" bIns="0">
                        <a:noAutoFit/>
                      </wps:bodyPr>
                    </wps:wsp>
                  </a:graphicData>
                </a:graphic>
              </wp:anchor>
            </w:drawing>
          </mc:Choice>
          <mc:Fallback>
            <w:pict>
              <v:shape id="_x0000_s1706" type="#_x0000_t202" style="position:absolute;margin-left:119.45pt;margin-top:11.pt;width:69.350000000000009pt;height:15.85pt;z-index:-125829140;mso-wrap-distance-left:0;mso-wrap-distance-top:11.pt;mso-wrap-distance-right:0;mso-wrap-distance-bottom:0.45000000000000001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center"/>
                      </w:pPr>
                      <w:bookmarkStart w:id="1002" w:name="bookmark1002"/>
                      <w:bookmarkStart w:id="1003" w:name="bookmark1003"/>
                      <w:bookmarkStart w:id="1004" w:name="bookmark1004"/>
                      <w:r>
                        <w:rPr>
                          <w:color w:val="000000"/>
                          <w:spacing w:val="0"/>
                          <w:w w:val="100"/>
                          <w:position w:val="0"/>
                          <w:sz w:val="22"/>
                          <w:szCs w:val="22"/>
                        </w:rPr>
                        <w:t>关联交易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02"/>
                      <w:bookmarkEnd w:id="1003"/>
                      <w:bookmarkEnd w:id="1004"/>
                    </w:p>
                  </w:txbxContent>
                </v:textbox>
                <w10:wrap type="topAndBottom" anchorx="page"/>
              </v:shape>
            </w:pict>
          </mc:Fallback>
        </mc:AlternateContent>
      </w:r>
    </w:p>
    <w:p>
      <w:pPr>
        <w:widowControl w:val="0"/>
        <w:spacing w:line="233" w:lineRule="exact"/>
        <w:rPr>
          <w:sz w:val="19"/>
          <w:szCs w:val="19"/>
        </w:rPr>
      </w:pPr>
    </w:p>
    <w:p>
      <w:pPr>
        <w:widowControl w:val="0"/>
        <w:spacing w:line="1" w:lineRule="exact"/>
        <w:sectPr>
          <w:footnotePr>
            <w:pos w:val="pageBottom"/>
            <w:numFmt w:val="decimal"/>
            <w:numRestart w:val="continuous"/>
          </w:footnotePr>
          <w:type w:val="continuous"/>
          <w:pgSz w:w="11900" w:h="16840"/>
          <w:pgMar w:top="1737" w:right="0" w:bottom="2446" w:left="0" w:header="0" w:footer="3" w:gutter="0"/>
          <w:cols w:space="720"/>
          <w:noEndnote/>
          <w:rtlGutter w:val="0"/>
          <w:docGrid w:linePitch="360"/>
        </w:sectPr>
      </w:pPr>
    </w:p>
    <w:tbl>
      <w:tblPr>
        <w:tblOverlap w:val="never"/>
        <w:jc w:val="left"/>
        <w:tblLayout w:type="fixed"/>
      </w:tblPr>
      <w:tblGrid>
        <w:gridCol w:w="3734"/>
        <w:gridCol w:w="2904"/>
        <w:gridCol w:w="2227"/>
      </w:tblGrid>
      <w:tr>
        <w:trPr>
          <w:trHeight w:val="466" w:hRule="exact"/>
        </w:trPr>
        <w:tc>
          <w:tcPr>
            <w:tcBorders/>
            <w:shd w:val="clear" w:color="auto" w:fill="FFFFFF"/>
            <w:vAlign w:val="top"/>
          </w:tcPr>
          <w:p>
            <w:pPr>
              <w:framePr w:w="8866" w:h="8419" w:vSpace="643" w:wrap="notBeside" w:vAnchor="text" w:hAnchor="text" w:y="644"/>
              <w:widowControl w:val="0"/>
              <w:rPr>
                <w:sz w:val="10"/>
                <w:szCs w:val="10"/>
              </w:rPr>
            </w:pPr>
          </w:p>
        </w:tc>
        <w:tc>
          <w:tcPr>
            <w:tcBorders/>
            <w:shd w:val="clear" w:color="auto" w:fill="FFFFFF"/>
            <w:vAlign w:val="top"/>
          </w:tcPr>
          <w:p>
            <w:pPr>
              <w:pStyle w:val="Style23"/>
              <w:keepNext w:val="0"/>
              <w:keepLines w:val="0"/>
              <w:framePr w:w="8866" w:h="8419" w:vSpace="643" w:wrap="notBeside" w:vAnchor="text" w:hAnchor="text" w:y="644"/>
              <w:widowControl w:val="0"/>
              <w:shd w:val="clear" w:color="auto" w:fill="auto"/>
              <w:bidi w:val="0"/>
              <w:spacing w:before="0" w:after="0" w:line="240" w:lineRule="auto"/>
              <w:ind w:left="136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5"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翠玉控股及其附属公司</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860"/>
              <w:jc w:val="left"/>
              <w:rPr>
                <w:sz w:val="24"/>
                <w:szCs w:val="24"/>
              </w:rPr>
            </w:pPr>
            <w:r>
              <w:rPr>
                <w:rFonts w:ascii="Arial" w:eastAsia="Arial" w:hAnsi="Arial" w:cs="Arial"/>
                <w:color w:val="000000"/>
                <w:spacing w:val="0"/>
                <w:w w:val="100"/>
                <w:position w:val="0"/>
                <w:sz w:val="24"/>
                <w:szCs w:val="24"/>
              </w:rPr>
              <w:t>49,886,306.53</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33,045,990.10</w:t>
            </w:r>
          </w:p>
        </w:tc>
      </w:tr>
      <w:tr>
        <w:trPr>
          <w:trHeight w:val="298"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置业企业</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1,627,940.20</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1,313,906.42</w:t>
            </w:r>
          </w:p>
        </w:tc>
      </w:tr>
      <w:tr>
        <w:trPr>
          <w:trHeight w:val="341" w:hRule="exact"/>
        </w:trPr>
        <w:tc>
          <w:tcPr>
            <w:tcBorders/>
            <w:shd w:val="clear" w:color="auto" w:fill="FFFFFF"/>
            <w:vAlign w:val="top"/>
          </w:tcPr>
          <w:p>
            <w:pPr>
              <w:framePr w:w="8866" w:h="8419" w:vSpace="643" w:wrap="notBeside" w:vAnchor="text" w:hAnchor="text" w:y="644"/>
              <w:widowControl w:val="0"/>
              <w:rPr>
                <w:sz w:val="10"/>
                <w:szCs w:val="10"/>
              </w:rPr>
            </w:pPr>
          </w:p>
        </w:tc>
        <w:tc>
          <w:tcPr>
            <w:tcBorders>
              <w:top w:val="single" w:sz="4"/>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860"/>
              <w:jc w:val="left"/>
              <w:rPr>
                <w:sz w:val="24"/>
                <w:szCs w:val="24"/>
              </w:rPr>
            </w:pPr>
            <w:r>
              <w:rPr>
                <w:rFonts w:ascii="Arial" w:eastAsia="Arial" w:hAnsi="Arial" w:cs="Arial"/>
                <w:color w:val="000000"/>
                <w:spacing w:val="0"/>
                <w:w w:val="100"/>
                <w:position w:val="0"/>
                <w:sz w:val="24"/>
                <w:szCs w:val="24"/>
              </w:rPr>
              <w:t>51,514,246.73</w:t>
            </w:r>
          </w:p>
        </w:tc>
        <w:tc>
          <w:tcPr>
            <w:tcBorders>
              <w:top w:val="single" w:sz="4"/>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34,359,896.52</w:t>
            </w:r>
          </w:p>
        </w:tc>
      </w:tr>
      <w:tr>
        <w:trPr>
          <w:trHeight w:val="667"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此外，泰森控股自</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10</w:t>
            </w:r>
            <w:r>
              <w:rPr>
                <w:color w:val="000000"/>
                <w:spacing w:val="0"/>
                <w:w w:val="100"/>
                <w:position w:val="0"/>
                <w:sz w:val="22"/>
                <w:szCs w:val="22"/>
              </w:rPr>
              <w:t>月</w:t>
            </w:r>
            <w:r>
              <w:rPr>
                <w:rFonts w:ascii="Arial" w:eastAsia="Arial" w:hAnsi="Arial" w:cs="Arial"/>
                <w:color w:val="000000"/>
                <w:spacing w:val="0"/>
                <w:w w:val="100"/>
                <w:position w:val="0"/>
                <w:sz w:val="24"/>
                <w:szCs w:val="24"/>
              </w:rPr>
              <w:t>1</w:t>
            </w:r>
          </w:p>
        </w:tc>
        <w:tc>
          <w:tcPr>
            <w:gridSpan w:val="2"/>
            <w:tcBorders>
              <w:top w:val="single" w:sz="4"/>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日起授权商贸控股及其子公司使用与其经营相关</w:t>
            </w:r>
          </w:p>
        </w:tc>
      </w:tr>
      <w:tr>
        <w:trPr>
          <w:trHeight w:val="485" w:hRule="exact"/>
        </w:trPr>
        <w:tc>
          <w:tcPr>
            <w:gridSpan w:val="3"/>
            <w:tcBorders/>
            <w:shd w:val="clear" w:color="auto" w:fill="FFFFFF"/>
            <w:vAlign w:val="top"/>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的商标，泰森控股并未就该授权向商贸控股及其子公司收取任何费用。</w:t>
            </w:r>
          </w:p>
        </w:tc>
      </w:tr>
      <w:tr>
        <w:trPr>
          <w:trHeight w:val="638" w:hRule="exact"/>
        </w:trPr>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(r)</w:t>
              <w:tab/>
            </w:r>
            <w:r>
              <w:rPr>
                <w:color w:val="000000"/>
                <w:spacing w:val="0"/>
                <w:w w:val="100"/>
                <w:position w:val="0"/>
                <w:sz w:val="22"/>
                <w:szCs w:val="22"/>
              </w:rPr>
              <w:t>管理费</w:t>
            </w:r>
          </w:p>
        </w:tc>
        <w:tc>
          <w:tcPr>
            <w:tcBorders/>
            <w:shd w:val="clear" w:color="auto" w:fill="FFFFFF"/>
            <w:vAlign w:val="top"/>
          </w:tcPr>
          <w:p>
            <w:pPr>
              <w:framePr w:w="8866" w:h="8419" w:vSpace="643" w:wrap="notBeside" w:vAnchor="text" w:hAnchor="text" w:y="644"/>
              <w:widowControl w:val="0"/>
              <w:rPr>
                <w:sz w:val="10"/>
                <w:szCs w:val="10"/>
              </w:rPr>
            </w:pPr>
          </w:p>
        </w:tc>
        <w:tc>
          <w:tcPr>
            <w:tcBorders/>
            <w:shd w:val="clear" w:color="auto" w:fill="FFFFFF"/>
            <w:vAlign w:val="top"/>
          </w:tcPr>
          <w:p>
            <w:pPr>
              <w:framePr w:w="8866" w:h="8419" w:vSpace="643" w:wrap="notBeside" w:vAnchor="text" w:hAnchor="text" w:y="644"/>
              <w:widowControl w:val="0"/>
              <w:rPr>
                <w:sz w:val="10"/>
                <w:szCs w:val="10"/>
              </w:rPr>
            </w:pPr>
          </w:p>
        </w:tc>
      </w:tr>
      <w:tr>
        <w:trPr>
          <w:trHeight w:val="648" w:hRule="exact"/>
        </w:trPr>
        <w:tc>
          <w:tcPr>
            <w:tcBorders/>
            <w:shd w:val="clear" w:color="auto" w:fill="FFFFFF"/>
            <w:vAlign w:val="top"/>
          </w:tcPr>
          <w:p>
            <w:pPr>
              <w:framePr w:w="8866" w:h="8419" w:vSpace="643" w:wrap="notBeside" w:vAnchor="text" w:hAnchor="text" w:y="644"/>
              <w:widowControl w:val="0"/>
              <w:rPr>
                <w:sz w:val="10"/>
                <w:szCs w:val="10"/>
              </w:rPr>
            </w:pPr>
          </w:p>
        </w:tc>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bidi w:val="0"/>
              <w:spacing w:before="0" w:after="0" w:line="240" w:lineRule="auto"/>
              <w:ind w:left="136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75"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苏州瑞璜</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860"/>
              <w:jc w:val="left"/>
              <w:rPr>
                <w:sz w:val="24"/>
                <w:szCs w:val="24"/>
              </w:rPr>
            </w:pPr>
            <w:r>
              <w:rPr>
                <w:rFonts w:ascii="Arial" w:eastAsia="Arial" w:hAnsi="Arial" w:cs="Arial"/>
                <w:color w:val="000000"/>
                <w:spacing w:val="0"/>
                <w:w w:val="100"/>
                <w:position w:val="0"/>
                <w:sz w:val="24"/>
                <w:szCs w:val="24"/>
              </w:rPr>
              <w:t>20,000,000.00</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1,500,000.00</w:t>
            </w:r>
          </w:p>
        </w:tc>
      </w:tr>
      <w:tr>
        <w:trPr>
          <w:trHeight w:val="826"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tabs>
                <w:tab w:pos="71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(s)</w:t>
              <w:tab/>
            </w:r>
            <w:r>
              <w:rPr>
                <w:color w:val="000000"/>
                <w:spacing w:val="0"/>
                <w:w w:val="100"/>
                <w:position w:val="0"/>
                <w:sz w:val="22"/>
                <w:szCs w:val="22"/>
              </w:rPr>
              <w:t>科技开发服务费</w:t>
            </w:r>
          </w:p>
        </w:tc>
        <w:tc>
          <w:tcPr>
            <w:tcBorders>
              <w:top w:val="single" w:sz="4"/>
            </w:tcBorders>
            <w:shd w:val="clear" w:color="auto" w:fill="FFFFFF"/>
            <w:vAlign w:val="top"/>
          </w:tcPr>
          <w:p>
            <w:pPr>
              <w:framePr w:w="8866" w:h="8419" w:vSpace="643" w:wrap="notBeside" w:vAnchor="text" w:hAnchor="text" w:y="644"/>
              <w:widowControl w:val="0"/>
              <w:rPr>
                <w:sz w:val="10"/>
                <w:szCs w:val="10"/>
              </w:rPr>
            </w:pPr>
          </w:p>
        </w:tc>
        <w:tc>
          <w:tcPr>
            <w:tcBorders>
              <w:top w:val="single" w:sz="4"/>
            </w:tcBorders>
            <w:shd w:val="clear" w:color="auto" w:fill="FFFFFF"/>
            <w:vAlign w:val="top"/>
          </w:tcPr>
          <w:p>
            <w:pPr>
              <w:framePr w:w="8866" w:h="8419" w:vSpace="643" w:wrap="notBeside" w:vAnchor="text" w:hAnchor="text" w:y="644"/>
              <w:widowControl w:val="0"/>
              <w:rPr>
                <w:sz w:val="10"/>
                <w:szCs w:val="10"/>
              </w:rPr>
            </w:pPr>
          </w:p>
        </w:tc>
      </w:tr>
      <w:tr>
        <w:trPr>
          <w:trHeight w:val="648" w:hRule="exact"/>
        </w:trPr>
        <w:tc>
          <w:tcPr>
            <w:tcBorders/>
            <w:shd w:val="clear" w:color="auto" w:fill="FFFFFF"/>
            <w:vAlign w:val="top"/>
          </w:tcPr>
          <w:p>
            <w:pPr>
              <w:framePr w:w="8866" w:h="8419" w:vSpace="643" w:wrap="notBeside" w:vAnchor="text" w:hAnchor="text" w:y="644"/>
              <w:widowControl w:val="0"/>
              <w:rPr>
                <w:sz w:val="10"/>
                <w:szCs w:val="10"/>
              </w:rPr>
            </w:pPr>
          </w:p>
        </w:tc>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bidi w:val="0"/>
              <w:spacing w:before="0" w:after="0" w:line="240" w:lineRule="auto"/>
              <w:ind w:left="136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75"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珠海随变</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9,717,857.22</w:t>
            </w:r>
          </w:p>
        </w:tc>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540" w:firstLine="0"/>
              <w:jc w:val="right"/>
              <w:rPr>
                <w:sz w:val="24"/>
                <w:szCs w:val="24"/>
              </w:rPr>
            </w:pPr>
            <w:r>
              <w:rPr>
                <w:rFonts w:ascii="Arial" w:eastAsia="Arial" w:hAnsi="Arial" w:cs="Arial"/>
                <w:color w:val="000000"/>
                <w:spacing w:val="0"/>
                <w:w w:val="100"/>
                <w:position w:val="0"/>
                <w:sz w:val="24"/>
                <w:szCs w:val="24"/>
              </w:rPr>
              <w:t>-</w:t>
            </w:r>
          </w:p>
        </w:tc>
      </w:tr>
      <w:tr>
        <w:trPr>
          <w:trHeight w:val="826"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tabs>
                <w:tab w:pos="71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(t)</w:t>
              <w:tab/>
            </w:r>
            <w:r>
              <w:rPr>
                <w:color w:val="000000"/>
                <w:spacing w:val="0"/>
                <w:w w:val="100"/>
                <w:position w:val="0"/>
                <w:sz w:val="22"/>
                <w:szCs w:val="22"/>
              </w:rPr>
              <w:t>采购无形资产</w:t>
            </w:r>
          </w:p>
        </w:tc>
        <w:tc>
          <w:tcPr>
            <w:tcBorders>
              <w:top w:val="single" w:sz="4"/>
            </w:tcBorders>
            <w:shd w:val="clear" w:color="auto" w:fill="FFFFFF"/>
            <w:vAlign w:val="top"/>
          </w:tcPr>
          <w:p>
            <w:pPr>
              <w:framePr w:w="8866" w:h="8419" w:vSpace="643" w:wrap="notBeside" w:vAnchor="text" w:hAnchor="text" w:y="644"/>
              <w:widowControl w:val="0"/>
              <w:rPr>
                <w:sz w:val="10"/>
                <w:szCs w:val="10"/>
              </w:rPr>
            </w:pPr>
          </w:p>
        </w:tc>
        <w:tc>
          <w:tcPr>
            <w:tcBorders>
              <w:top w:val="single" w:sz="4"/>
            </w:tcBorders>
            <w:shd w:val="clear" w:color="auto" w:fill="FFFFFF"/>
            <w:vAlign w:val="top"/>
          </w:tcPr>
          <w:p>
            <w:pPr>
              <w:framePr w:w="8866" w:h="8419" w:vSpace="643" w:wrap="notBeside" w:vAnchor="text" w:hAnchor="text" w:y="644"/>
              <w:widowControl w:val="0"/>
              <w:rPr>
                <w:sz w:val="10"/>
                <w:szCs w:val="10"/>
              </w:rPr>
            </w:pPr>
          </w:p>
        </w:tc>
      </w:tr>
      <w:tr>
        <w:trPr>
          <w:trHeight w:val="648" w:hRule="exact"/>
        </w:trPr>
        <w:tc>
          <w:tcPr>
            <w:tcBorders/>
            <w:shd w:val="clear" w:color="auto" w:fill="FFFFFF"/>
            <w:vAlign w:val="top"/>
          </w:tcPr>
          <w:p>
            <w:pPr>
              <w:framePr w:w="8866" w:h="8419" w:vSpace="643" w:wrap="notBeside" w:vAnchor="text" w:hAnchor="text" w:y="644"/>
              <w:widowControl w:val="0"/>
              <w:rPr>
                <w:sz w:val="10"/>
                <w:szCs w:val="10"/>
              </w:rPr>
            </w:pPr>
          </w:p>
        </w:tc>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bidi w:val="0"/>
              <w:spacing w:before="0" w:after="0" w:line="240" w:lineRule="auto"/>
              <w:ind w:left="1360" w:right="0" w:firstLine="0"/>
              <w:jc w:val="both"/>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94" w:hRule="exact"/>
        </w:trPr>
        <w:tc>
          <w:tcPr>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明德控股</w:t>
            </w:r>
          </w:p>
        </w:tc>
        <w:tc>
          <w:tcPr>
            <w:tcBorders>
              <w:bottom w:val="single" w:sz="4"/>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2000" w:right="0" w:firstLine="0"/>
              <w:jc w:val="left"/>
              <w:rPr>
                <w:sz w:val="24"/>
                <w:szCs w:val="24"/>
              </w:rPr>
            </w:pPr>
            <w:r>
              <w:rPr>
                <w:rFonts w:ascii="Arial" w:eastAsia="Arial" w:hAnsi="Arial" w:cs="Arial"/>
                <w:color w:val="000000"/>
                <w:spacing w:val="0"/>
                <w:w w:val="100"/>
                <w:position w:val="0"/>
                <w:sz w:val="24"/>
                <w:szCs w:val="24"/>
              </w:rPr>
              <w:t>-</w:t>
            </w:r>
          </w:p>
        </w:tc>
        <w:tc>
          <w:tcPr>
            <w:tcBorders>
              <w:bottom w:val="single" w:sz="4"/>
            </w:tcBorders>
            <w:shd w:val="clear" w:color="auto" w:fill="FFFFFF"/>
            <w:vAlign w:val="bottom"/>
          </w:tcPr>
          <w:p>
            <w:pPr>
              <w:pStyle w:val="Style23"/>
              <w:keepNext w:val="0"/>
              <w:keepLines w:val="0"/>
              <w:framePr w:w="8866" w:h="8419" w:vSpace="643" w:wrap="notBeside" w:vAnchor="text" w:hAnchor="text" w:y="644"/>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50,037.74</w:t>
            </w:r>
          </w:p>
        </w:tc>
      </w:tr>
    </w:tbl>
    <w:p>
      <w:pPr>
        <w:pStyle w:val="Style29"/>
        <w:keepNext w:val="0"/>
        <w:keepLines w:val="0"/>
        <w:framePr w:w="1954" w:h="288" w:hSpace="6912" w:wrap="notBeside" w:vAnchor="text" w:hAnchor="text" w:x="726"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租金及物业管理费</w:t>
      </w:r>
    </w:p>
    <w:p>
      <w:pPr>
        <w:pStyle w:val="Style29"/>
        <w:keepNext w:val="0"/>
        <w:keepLines w:val="0"/>
        <w:framePr w:w="322" w:h="322" w:hSpace="8544" w:wrap="notBeside" w:vAnchor="text" w:hAnchor="text" w:x="6" w:y="25"/>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(q)</w:t>
      </w:r>
    </w:p>
    <w:p>
      <w:pPr>
        <w:widowControl w:val="0"/>
        <w:spacing w:line="1" w:lineRule="exact"/>
      </w:pPr>
      <w:r>
        <w:br w:type="page"/>
      </w:r>
    </w:p>
    <w:p>
      <w:pPr>
        <w:pStyle w:val="Style27"/>
        <w:keepNext/>
        <w:keepLines/>
        <w:widowControl w:val="0"/>
        <w:shd w:val="clear" w:color="auto" w:fill="auto"/>
        <w:bidi w:val="0"/>
        <w:spacing w:before="0" w:after="280" w:line="240" w:lineRule="auto"/>
        <w:ind w:left="0" w:right="0" w:firstLine="0"/>
        <w:jc w:val="left"/>
        <w:rPr>
          <w:sz w:val="28"/>
          <w:szCs w:val="28"/>
        </w:rPr>
      </w:pPr>
      <w:bookmarkStart w:id="1008" w:name="bookmark1008"/>
      <w:bookmarkStart w:id="1009" w:name="bookmark1009"/>
      <w:bookmarkStart w:id="1010" w:name="bookmark1010"/>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08"/>
      <w:bookmarkEnd w:id="1009"/>
      <w:bookmarkEnd w:id="1010"/>
    </w:p>
    <w:p>
      <w:pPr>
        <w:pStyle w:val="Style94"/>
        <w:keepNext w:val="0"/>
        <w:keepLines w:val="0"/>
        <w:widowControl w:val="0"/>
        <w:shd w:val="clear" w:color="auto" w:fill="auto"/>
        <w:tabs>
          <w:tab w:pos="464" w:val="left"/>
        </w:tabs>
        <w:bidi w:val="0"/>
        <w:spacing w:before="0" w:after="360" w:line="240" w:lineRule="auto"/>
        <w:ind w:left="0" w:right="0" w:firstLine="0"/>
        <w:jc w:val="left"/>
        <w:rPr>
          <w:sz w:val="28"/>
          <w:szCs w:val="28"/>
        </w:rPr>
      </w:pPr>
      <w:bookmarkStart w:id="1011" w:name="bookmark1011"/>
      <w:r>
        <w:rPr>
          <w:color w:val="000000"/>
          <w:spacing w:val="0"/>
          <w:w w:val="100"/>
          <w:position w:val="0"/>
          <w:sz w:val="24"/>
          <w:szCs w:val="24"/>
        </w:rPr>
        <w:t>(</w:t>
      </w:r>
      <w:bookmarkEnd w:id="1011"/>
      <w:r>
        <w:rPr>
          <w:color w:val="000000"/>
          <w:spacing w:val="0"/>
          <w:w w:val="100"/>
          <w:position w:val="0"/>
          <w:sz w:val="24"/>
          <w:szCs w:val="24"/>
        </w:rPr>
        <w:t>з)</w:t>
        <w:tab/>
      </w:r>
      <w:r>
        <w:rPr>
          <w:rFonts w:ascii="SimSun" w:eastAsia="SimSun" w:hAnsi="SimSun" w:cs="SimSun"/>
          <w:b/>
          <w:bCs/>
          <w:color w:val="000000"/>
          <w:spacing w:val="0"/>
          <w:w w:val="100"/>
          <w:position w:val="0"/>
          <w:sz w:val="22"/>
          <w:szCs w:val="22"/>
        </w:rPr>
        <w:t>关联交易</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715" w:val="left"/>
        </w:tabs>
        <w:bidi w:val="0"/>
        <w:spacing w:before="0" w:after="360" w:line="240" w:lineRule="auto"/>
        <w:ind w:left="0" w:right="0" w:firstLine="0"/>
        <w:jc w:val="left"/>
        <w:rPr>
          <w:sz w:val="22"/>
          <w:szCs w:val="22"/>
        </w:rPr>
      </w:pPr>
      <w:bookmarkStart w:id="1012" w:name="bookmark1012"/>
      <w:r>
        <w:rPr>
          <w:rFonts w:ascii="Arial" w:eastAsia="Arial" w:hAnsi="Arial" w:cs="Arial"/>
          <w:b w:val="0"/>
          <w:bCs w:val="0"/>
          <w:color w:val="000000"/>
          <w:spacing w:val="0"/>
          <w:w w:val="100"/>
          <w:position w:val="0"/>
          <w:sz w:val="24"/>
          <w:szCs w:val="24"/>
        </w:rPr>
        <w:t>(</w:t>
      </w:r>
      <w:bookmarkEnd w:id="1012"/>
      <w:r>
        <w:rPr>
          <w:rFonts w:ascii="Arial" w:eastAsia="Arial" w:hAnsi="Arial" w:cs="Arial"/>
          <w:b w:val="0"/>
          <w:bCs w:val="0"/>
          <w:color w:val="000000"/>
          <w:spacing w:val="0"/>
          <w:w w:val="100"/>
          <w:position w:val="0"/>
          <w:sz w:val="24"/>
          <w:szCs w:val="24"/>
        </w:rPr>
        <w:t>и)</w:t>
        <w:tab/>
      </w:r>
      <w:r>
        <w:rPr>
          <w:b w:val="0"/>
          <w:bCs w:val="0"/>
          <w:color w:val="000000"/>
          <w:spacing w:val="0"/>
          <w:w w:val="100"/>
          <w:position w:val="0"/>
          <w:sz w:val="22"/>
          <w:szCs w:val="22"/>
        </w:rPr>
        <w:t>采购物资</w:t>
      </w:r>
    </w:p>
    <w:p>
      <w:pPr>
        <w:pStyle w:val="Style94"/>
        <w:keepNext w:val="0"/>
        <w:keepLines w:val="0"/>
        <w:widowControl w:val="0"/>
        <w:shd w:val="clear" w:color="auto" w:fill="auto"/>
        <w:tabs>
          <w:tab w:pos="2491" w:val="left"/>
        </w:tabs>
        <w:bidi w:val="0"/>
        <w:spacing w:before="0" w:after="360" w:line="240" w:lineRule="auto"/>
        <w:ind w:left="0" w:right="18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pStyle w:val="Style29"/>
        <w:keepNext w:val="0"/>
        <w:keepLines w:val="0"/>
        <w:widowControl w:val="0"/>
        <w:shd w:val="clear" w:color="auto" w:fill="auto"/>
        <w:tabs>
          <w:tab w:pos="4598" w:val="left"/>
          <w:tab w:leader="underscore" w:pos="8203" w:val="left"/>
        </w:tabs>
        <w:bidi w:val="0"/>
        <w:spacing w:before="0" w:after="0" w:line="240" w:lineRule="auto"/>
        <w:ind w:left="0" w:right="0" w:firstLine="0"/>
        <w:jc w:val="left"/>
        <w:rPr>
          <w:sz w:val="24"/>
          <w:szCs w:val="24"/>
        </w:rPr>
      </w:pPr>
      <w:r>
        <w:rPr>
          <w:color w:val="000000"/>
          <w:spacing w:val="0"/>
          <w:w w:val="100"/>
          <w:position w:val="0"/>
          <w:sz w:val="22"/>
          <w:szCs w:val="22"/>
        </w:rPr>
        <w:t>商贸控股及其子公司</w:t>
        <w:tab/>
      </w:r>
      <w:r>
        <w:rPr>
          <w:rFonts w:ascii="Arial" w:eastAsia="Arial" w:hAnsi="Arial" w:cs="Arial"/>
          <w:color w:val="000000"/>
          <w:spacing w:val="0"/>
          <w:w w:val="100"/>
          <w:position w:val="0"/>
          <w:sz w:val="24"/>
          <w:szCs w:val="24"/>
          <w:u w:val="single"/>
        </w:rPr>
        <w:t>10,742,444.56</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tbl>
      <w:tblPr>
        <w:tblOverlap w:val="never"/>
        <w:jc w:val="center"/>
        <w:tblLayout w:type="fixed"/>
      </w:tblPr>
      <w:tblGrid>
        <w:gridCol w:w="3768"/>
        <w:gridCol w:w="2808"/>
        <w:gridCol w:w="2290"/>
      </w:tblGrid>
      <w:tr>
        <w:trPr>
          <w:trHeight w:val="845" w:hRule="exact"/>
        </w:trPr>
        <w:tc>
          <w:tcPr>
            <w:gridSpan w:val="3"/>
            <w:tcBorders>
              <w:top w:val="single" w:sz="4"/>
            </w:tcBorders>
            <w:shd w:val="clear" w:color="auto" w:fill="FFFFFF"/>
            <w:vAlign w:val="bottom"/>
          </w:tcPr>
          <w:p>
            <w:pPr>
              <w:pStyle w:val="Style23"/>
              <w:keepNext w:val="0"/>
              <w:keepLines w:val="0"/>
              <w:widowControl w:val="0"/>
              <w:shd w:val="clear" w:color="auto" w:fill="auto"/>
              <w:tabs>
                <w:tab w:pos="71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(v)</w:t>
              <w:tab/>
            </w:r>
            <w:r>
              <w:rPr>
                <w:color w:val="000000"/>
                <w:spacing w:val="0"/>
                <w:w w:val="100"/>
                <w:position w:val="0"/>
                <w:sz w:val="22"/>
                <w:szCs w:val="22"/>
              </w:rPr>
              <w:t>股权投资及收购</w:t>
            </w:r>
          </w:p>
        </w:tc>
      </w:tr>
      <w:tr>
        <w:trPr>
          <w:trHeight w:val="490" w:hRule="exact"/>
        </w:trPr>
        <w:tc>
          <w:tcPr>
            <w:gridSpan w:val="3"/>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4"/>
                <w:szCs w:val="24"/>
              </w:rPr>
              <w:t>2016</w:t>
            </w:r>
            <w:r>
              <w:rPr>
                <w:color w:val="000000"/>
                <w:spacing w:val="0"/>
                <w:w w:val="100"/>
                <w:position w:val="0"/>
                <w:sz w:val="22"/>
                <w:szCs w:val="22"/>
              </w:rPr>
              <w:t>年度，本集团对联营企业和合营企业的股权投资参考市场价格厘定</w:t>
            </w:r>
            <w:r>
              <w:rPr>
                <w:rFonts w:ascii="Arial" w:eastAsia="Arial" w:hAnsi="Arial" w:cs="Arial"/>
                <w:color w:val="000000"/>
                <w:spacing w:val="0"/>
                <w:w w:val="100"/>
                <w:position w:val="0"/>
                <w:sz w:val="24"/>
                <w:szCs w:val="24"/>
              </w:rPr>
              <w:t>(</w:t>
            </w:r>
            <w:r>
              <w:rPr>
                <w:color w:val="000000"/>
                <w:spacing w:val="0"/>
                <w:w w:val="100"/>
                <w:position w:val="0"/>
                <w:sz w:val="22"/>
                <w:szCs w:val="22"/>
              </w:rPr>
              <w:t>附注四</w:t>
            </w:r>
          </w:p>
        </w:tc>
      </w:tr>
      <w:tr>
        <w:trPr>
          <w:trHeight w:val="312" w:hRule="exact"/>
        </w:trPr>
        <w:tc>
          <w:tcPr>
            <w:gridSpan w:val="3"/>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(12))</w:t>
            </w:r>
            <w:r>
              <w:rPr>
                <w:color w:val="000000"/>
                <w:spacing w:val="0"/>
                <w:w w:val="100"/>
                <w:position w:val="0"/>
                <w:sz w:val="22"/>
                <w:szCs w:val="22"/>
              </w:rPr>
              <w:t>,向合营公司商顺供应链收购翠玉控股及其附属公司</w:t>
            </w:r>
            <w:r>
              <w:rPr>
                <w:rFonts w:ascii="Arial" w:eastAsia="Arial" w:hAnsi="Arial" w:cs="Arial"/>
                <w:color w:val="000000"/>
                <w:spacing w:val="0"/>
                <w:w w:val="100"/>
                <w:position w:val="0"/>
                <w:sz w:val="24"/>
                <w:szCs w:val="24"/>
              </w:rPr>
              <w:t>100%</w:t>
            </w:r>
            <w:r>
              <w:rPr>
                <w:color w:val="000000"/>
                <w:spacing w:val="0"/>
                <w:w w:val="100"/>
                <w:position w:val="0"/>
                <w:sz w:val="22"/>
                <w:szCs w:val="22"/>
              </w:rPr>
              <w:t>的股权按协议价格确</w:t>
            </w:r>
          </w:p>
        </w:tc>
      </w:tr>
      <w:tr>
        <w:trPr>
          <w:trHeight w:val="48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定</w:t>
            </w:r>
            <w:r>
              <w:rPr>
                <w:rFonts w:ascii="Arial" w:eastAsia="Arial" w:hAnsi="Arial" w:cs="Arial"/>
                <w:color w:val="000000"/>
                <w:spacing w:val="0"/>
                <w:w w:val="100"/>
                <w:position w:val="0"/>
                <w:sz w:val="24"/>
                <w:szCs w:val="24"/>
              </w:rPr>
              <w:t>(</w:t>
            </w:r>
            <w:r>
              <w:rPr>
                <w:color w:val="000000"/>
                <w:spacing w:val="0"/>
                <w:w w:val="100"/>
                <w:position w:val="0"/>
                <w:sz w:val="22"/>
                <w:szCs w:val="22"/>
              </w:rPr>
              <w:t>附注五</w:t>
            </w:r>
            <w:r>
              <w:rPr>
                <w:color w:val="000000"/>
                <w:spacing w:val="0"/>
                <w:w w:val="100"/>
                <w:position w:val="0"/>
                <w:sz w:val="28"/>
                <w:szCs w:val="28"/>
              </w:rPr>
              <w:t>⑵</w:t>
            </w:r>
            <w:r>
              <w:rPr>
                <w:rFonts w:ascii="Arial" w:eastAsia="Arial" w:hAnsi="Arial" w:cs="Arial"/>
                <w:color w:val="000000"/>
                <w:spacing w:val="0"/>
                <w:w w:val="100"/>
                <w:position w:val="0"/>
                <w:sz w:val="24"/>
                <w:szCs w:val="24"/>
              </w:rPr>
              <w:t>)</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center"/>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(w)</w:t>
              <w:tab/>
            </w:r>
            <w:r>
              <w:rPr>
                <w:color w:val="000000"/>
                <w:spacing w:val="0"/>
                <w:w w:val="100"/>
                <w:position w:val="0"/>
                <w:sz w:val="22"/>
                <w:szCs w:val="22"/>
              </w:rPr>
              <w:t>关联方提供委托贷款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明德控股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7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658,000,000.00</w:t>
            </w:r>
          </w:p>
        </w:tc>
      </w:tr>
      <w:tr>
        <w:trPr>
          <w:trHeight w:val="830" w:hRule="exact"/>
        </w:trPr>
        <w:tc>
          <w:tcPr>
            <w:tcBorders/>
            <w:shd w:val="clear" w:color="auto" w:fill="FFFFFF"/>
            <w:vAlign w:val="bottom"/>
          </w:tcPr>
          <w:p>
            <w:pPr>
              <w:pStyle w:val="Style23"/>
              <w:keepNext w:val="0"/>
              <w:keepLines w:val="0"/>
              <w:widowControl w:val="0"/>
              <w:shd w:val="clear" w:color="auto" w:fill="auto"/>
              <w:tabs>
                <w:tab w:pos="71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(x)</w:t>
              <w:tab/>
            </w:r>
            <w:r>
              <w:rPr>
                <w:color w:val="000000"/>
                <w:spacing w:val="0"/>
                <w:w w:val="100"/>
                <w:position w:val="0"/>
                <w:sz w:val="22"/>
                <w:szCs w:val="22"/>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明德控股</w:t>
            </w:r>
            <w:r>
              <w:rPr>
                <w:rFonts w:ascii="Arial" w:eastAsia="Arial" w:hAnsi="Arial" w:cs="Arial"/>
                <w:color w:val="000000"/>
                <w:spacing w:val="0"/>
                <w:w w:val="100"/>
                <w:position w:val="0"/>
                <w:sz w:val="24"/>
                <w:szCs w:val="24"/>
              </w:rPr>
              <w:t>(</w:t>
            </w:r>
            <w:r>
              <w:rPr>
                <w:color w:val="000000"/>
                <w:spacing w:val="0"/>
                <w:w w:val="100"/>
                <w:position w:val="0"/>
                <w:sz w:val="22"/>
                <w:szCs w:val="22"/>
              </w:rPr>
              <w:t>附注八</w:t>
            </w:r>
            <w:r>
              <w:rPr>
                <w:rFonts w:ascii="Arial" w:eastAsia="Arial" w:hAnsi="Arial" w:cs="Arial"/>
                <w:color w:val="000000"/>
                <w:spacing w:val="0"/>
                <w:w w:val="100"/>
                <w:position w:val="0"/>
                <w:sz w:val="24"/>
                <w:szCs w:val="24"/>
              </w:rPr>
              <w:t>(3)(w))</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7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2,858,644.44</w:t>
            </w:r>
          </w:p>
        </w:tc>
      </w:tr>
      <w:tr>
        <w:trPr>
          <w:trHeight w:val="826" w:hRule="exact"/>
        </w:trPr>
        <w:tc>
          <w:tcPr>
            <w:tcBorders/>
            <w:shd w:val="clear" w:color="auto" w:fill="FFFFFF"/>
            <w:vAlign w:val="bottom"/>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(y)</w:t>
              <w:tab/>
            </w:r>
            <w:r>
              <w:rPr>
                <w:color w:val="000000"/>
                <w:spacing w:val="0"/>
                <w:w w:val="100"/>
                <w:position w:val="0"/>
                <w:sz w:val="22"/>
                <w:szCs w:val="22"/>
              </w:rPr>
              <w:t>关键管理人员薪酬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关键管理人员薪酬</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24"/>
                <w:szCs w:val="24"/>
              </w:rPr>
            </w:pPr>
            <w:r>
              <w:rPr>
                <w:rFonts w:ascii="Arial" w:eastAsia="Arial" w:hAnsi="Arial" w:cs="Arial"/>
                <w:color w:val="000000"/>
                <w:spacing w:val="0"/>
                <w:w w:val="100"/>
                <w:position w:val="0"/>
                <w:sz w:val="24"/>
                <w:szCs w:val="24"/>
              </w:rPr>
              <w:t>31,944,500.00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24,824,800.00</w:t>
            </w:r>
          </w:p>
        </w:tc>
      </w:tr>
      <w:tr>
        <w:trPr>
          <w:trHeight w:val="826" w:hRule="exact"/>
        </w:trPr>
        <w:tc>
          <w:tcPr>
            <w:tcBorders/>
            <w:shd w:val="clear" w:color="auto" w:fill="FFFFFF"/>
            <w:vAlign w:val="bottom"/>
          </w:tcPr>
          <w:p>
            <w:pPr>
              <w:pStyle w:val="Style23"/>
              <w:keepNext w:val="0"/>
              <w:keepLines w:val="0"/>
              <w:widowControl w:val="0"/>
              <w:shd w:val="clear" w:color="auto" w:fill="auto"/>
              <w:tabs>
                <w:tab w:pos="71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(z)</w:t>
              <w:tab/>
            </w:r>
            <w:r>
              <w:rPr>
                <w:color w:val="000000"/>
                <w:spacing w:val="0"/>
                <w:w w:val="100"/>
                <w:position w:val="0"/>
                <w:sz w:val="22"/>
                <w:szCs w:val="22"/>
              </w:rPr>
              <w:t>捐赠支出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广东省顺丰慈善基金会</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24"/>
                <w:szCs w:val="24"/>
              </w:rPr>
            </w:pPr>
            <w:r>
              <w:rPr>
                <w:rFonts w:ascii="Arial" w:eastAsia="Arial" w:hAnsi="Arial" w:cs="Arial"/>
                <w:color w:val="000000"/>
                <w:spacing w:val="0"/>
                <w:w w:val="100"/>
                <w:position w:val="0"/>
                <w:sz w:val="24"/>
                <w:szCs w:val="24"/>
              </w:rPr>
              <w:t>1,651,900.00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860,000.00</w:t>
            </w:r>
          </w:p>
        </w:tc>
      </w:tr>
    </w:tbl>
    <w:p>
      <w:pPr>
        <w:sectPr>
          <w:footnotePr>
            <w:pos w:val="pageBottom"/>
            <w:numFmt w:val="decimal"/>
            <w:numRestart w:val="continuous"/>
          </w:footnotePr>
          <w:type w:val="continuous"/>
          <w:pgSz w:w="11900" w:h="16840"/>
          <w:pgMar w:top="1737" w:right="1098" w:bottom="2446" w:left="1937"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rPr>
          <w:sz w:val="22"/>
          <w:szCs w:val="22"/>
        </w:rPr>
      </w:pPr>
      <w:bookmarkStart w:id="1013" w:name="bookmark1013"/>
      <w:bookmarkStart w:id="1014" w:name="bookmark1014"/>
      <w:bookmarkStart w:id="1015" w:name="bookmark1015"/>
      <w:r>
        <w:rPr>
          <w:rFonts w:ascii="Arial" w:eastAsia="Arial" w:hAnsi="Arial" w:cs="Arial"/>
          <w:b w:val="0"/>
          <w:bCs w:val="0"/>
          <w:color w:val="000000"/>
          <w:spacing w:val="0"/>
          <w:w w:val="100"/>
          <w:position w:val="0"/>
          <w:sz w:val="24"/>
          <w:szCs w:val="24"/>
        </w:rPr>
        <w:t>(4)</w:t>
      </w:r>
      <w:r>
        <w:rPr>
          <w:color w:val="000000"/>
          <w:spacing w:val="0"/>
          <w:w w:val="100"/>
          <w:position w:val="0"/>
          <w:sz w:val="22"/>
          <w:szCs w:val="22"/>
        </w:rPr>
        <w:t>关联方应收、应付款项余额</w:t>
      </w:r>
      <w:bookmarkEnd w:id="1013"/>
      <w:bookmarkEnd w:id="1014"/>
      <w:bookmarkEnd w:id="1015"/>
    </w:p>
    <w:p>
      <w:pPr>
        <w:pStyle w:val="Style33"/>
        <w:keepNext w:val="0"/>
        <w:keepLines w:val="0"/>
        <w:widowControl w:val="0"/>
        <w:shd w:val="clear" w:color="auto" w:fill="auto"/>
        <w:bidi w:val="0"/>
        <w:spacing w:before="0" w:after="36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 xml:space="preserve">(a) </w:t>
      </w:r>
      <w:r>
        <w:rPr>
          <w:b w:val="0"/>
          <w:bCs w:val="0"/>
          <w:color w:val="000000"/>
          <w:spacing w:val="0"/>
          <w:w w:val="100"/>
          <w:position w:val="0"/>
          <w:sz w:val="22"/>
          <w:szCs w:val="22"/>
        </w:rPr>
        <w:t>应收账款</w:t>
      </w:r>
    </w:p>
    <w:tbl>
      <w:tblPr>
        <w:tblOverlap w:val="never"/>
        <w:jc w:val="center"/>
        <w:tblLayout w:type="fixed"/>
      </w:tblPr>
      <w:tblGrid>
        <w:gridCol w:w="3979"/>
        <w:gridCol w:w="2400"/>
        <w:gridCol w:w="2333"/>
      </w:tblGrid>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0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台湾顺丰速运股份有限公司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81,464,737.49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561,451,246.99</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93,283,307.87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68,423,778.72</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牵趣网络及其子公司</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15,948,280.87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18,233,799.91</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顺诚融资租赁及其子公司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2,047,136.80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乐丰保理</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755,925.69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合丰小额贷款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824,590.75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丰巢科技</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61,693.45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3,776,544.44</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招商局物流集团有限公司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9,182.35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9,245.65</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顺丰公益基金会</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5,557.00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深圳中顺易金融服务有限公司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3,097.00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1,257.00</w:t>
            </w:r>
          </w:p>
        </w:tc>
      </w:tr>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苏州工业园区元禾原点创业投资管理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7,073.00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1,554.00</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珠海随变</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6,463.20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2,492.00</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苏州工业园区元禾重元股权投资基金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管理有限公司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539.00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523.00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苏州工业园区沙湖金融服务有限公司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2,033.00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749.00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大庆三维软件有限责任公司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534.00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587.00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小红帽发行股份有限公司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3,706.00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2,894.00</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苏州元禾控股有限公司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560" w:firstLine="0"/>
              <w:jc w:val="right"/>
              <w:rPr>
                <w:sz w:val="24"/>
                <w:szCs w:val="24"/>
              </w:rPr>
            </w:pPr>
            <w:r>
              <w:rPr>
                <w:rFonts w:ascii="Arial" w:eastAsia="Arial" w:hAnsi="Arial" w:cs="Arial"/>
                <w:color w:val="000000"/>
                <w:spacing w:val="0"/>
                <w:w w:val="100"/>
                <w:position w:val="0"/>
                <w:sz w:val="24"/>
                <w:szCs w:val="24"/>
              </w:rPr>
              <w:t>660.00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750.00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杭州午苇农作物开发有限公司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18,701.00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嘉强</w:t>
            </w:r>
            <w:r>
              <w:rPr>
                <w:rFonts w:ascii="Arial" w:eastAsia="Arial" w:hAnsi="Arial" w:cs="Arial"/>
                <w:color w:val="000000"/>
                <w:spacing w:val="0"/>
                <w:w w:val="100"/>
                <w:position w:val="0"/>
                <w:sz w:val="24"/>
                <w:szCs w:val="24"/>
              </w:rPr>
              <w:t>(</w:t>
            </w:r>
            <w:r>
              <w:rPr>
                <w:color w:val="000000"/>
                <w:spacing w:val="0"/>
                <w:w w:val="100"/>
                <w:position w:val="0"/>
                <w:sz w:val="22"/>
                <w:szCs w:val="22"/>
              </w:rPr>
              <w:t>上海</w:t>
            </w:r>
            <w:r>
              <w:rPr>
                <w:rFonts w:ascii="Arial" w:eastAsia="Arial" w:hAnsi="Arial" w:cs="Arial"/>
                <w:color w:val="000000"/>
                <w:spacing w:val="0"/>
                <w:w w:val="100"/>
                <w:position w:val="0"/>
                <w:sz w:val="24"/>
                <w:szCs w:val="24"/>
              </w:rPr>
              <w:t>)</w:t>
            </w:r>
            <w:r>
              <w:rPr>
                <w:color w:val="000000"/>
                <w:spacing w:val="0"/>
                <w:w w:val="100"/>
                <w:position w:val="0"/>
                <w:sz w:val="22"/>
                <w:szCs w:val="22"/>
              </w:rPr>
              <w:t>咨询有限公司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5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2,760.00</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深圳市顺捷丰达速运有限公司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2,543.00</w:t>
            </w:r>
          </w:p>
        </w:tc>
      </w:tr>
      <w:tr>
        <w:trP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苏州工业园区元禾辰坤股权投资基金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8"/>
                <w:szCs w:val="28"/>
              </w:rPr>
            </w:pPr>
            <w:r>
              <w:rPr>
                <w:color w:val="000000"/>
                <w:spacing w:val="0"/>
                <w:w w:val="100"/>
                <w:position w:val="0"/>
                <w:sz w:val="22"/>
                <w:szCs w:val="22"/>
              </w:rPr>
              <w:t>管理中心</w:t>
            </w:r>
            <w:r>
              <w:rPr>
                <w:rFonts w:ascii="Arial" w:eastAsia="Arial" w:hAnsi="Arial" w:cs="Arial"/>
                <w:color w:val="000000"/>
                <w:spacing w:val="0"/>
                <w:w w:val="100"/>
                <w:position w:val="0"/>
                <w:sz w:val="24"/>
                <w:szCs w:val="24"/>
              </w:rPr>
              <w:t>(</w:t>
            </w:r>
            <w:r>
              <w:rPr>
                <w:color w:val="000000"/>
                <w:spacing w:val="0"/>
                <w:w w:val="100"/>
                <w:position w:val="0"/>
                <w:sz w:val="22"/>
                <w:szCs w:val="22"/>
              </w:rPr>
              <w:t>有限合伙</w:t>
            </w:r>
            <w:r>
              <w:rPr>
                <w:color w:val="000000"/>
                <w:spacing w:val="0"/>
                <w:w w:val="100"/>
                <w:position w:val="0"/>
                <w:sz w:val="28"/>
                <w:szCs w:val="2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1,860.00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194,420,820.47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651,934,982.71</w:t>
            </w:r>
          </w:p>
        </w:tc>
      </w:tr>
    </w:tbl>
    <w:p>
      <w:pPr>
        <w:pStyle w:val="Style29"/>
        <w:keepNext w:val="0"/>
        <w:keepLines w:val="0"/>
        <w:widowControl w:val="0"/>
        <w:shd w:val="clear" w:color="auto" w:fill="auto"/>
        <w:bidi w:val="0"/>
        <w:spacing w:before="0" w:after="0" w:line="240" w:lineRule="auto"/>
        <w:ind w:left="5" w:right="0" w:firstLine="0"/>
        <w:jc w:val="left"/>
        <w:rPr>
          <w:sz w:val="22"/>
          <w:szCs w:val="22"/>
        </w:rPr>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737" w:right="1098" w:bottom="2446" w:left="1937" w:header="0" w:footer="3" w:gutter="0"/>
          <w:cols w:space="720"/>
          <w:noEndnote/>
          <w:rtlGutter w:val="0"/>
          <w:docGrid w:linePitch="360"/>
        </w:sectPr>
      </w:pPr>
      <w:r>
        <w:rPr>
          <w:color w:val="000000"/>
          <w:spacing w:val="0"/>
          <w:w w:val="100"/>
          <w:position w:val="0"/>
          <w:sz w:val="22"/>
          <w:szCs w:val="22"/>
        </w:rPr>
        <w:t>⑴本集团对牵趣网络及其子公司的应收账款已全额计提坏账准备。</w:t>
      </w:r>
    </w:p>
    <w:p>
      <w:pPr>
        <w:pStyle w:val="Style33"/>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7"/>
        <w:keepNext/>
        <w:keepLines/>
        <w:widowControl w:val="0"/>
        <w:shd w:val="clear" w:color="auto" w:fill="auto"/>
        <w:bidi w:val="0"/>
        <w:spacing w:before="0" w:after="0" w:line="240" w:lineRule="auto"/>
        <w:ind w:left="0" w:right="0" w:firstLine="0"/>
        <w:jc w:val="left"/>
        <w:rPr>
          <w:sz w:val="22"/>
          <w:szCs w:val="22"/>
        </w:r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758" w:right="1225" w:bottom="5752" w:left="1962" w:header="0" w:footer="3" w:gutter="0"/>
          <w:cols w:space="720"/>
          <w:noEndnote/>
          <w:rtlGutter w:val="0"/>
          <w:docGrid w:linePitch="360"/>
        </w:sectPr>
      </w:pPr>
      <w:bookmarkStart w:id="1016" w:name="bookmark1016"/>
      <w:bookmarkStart w:id="1017" w:name="bookmark1017"/>
      <w:bookmarkStart w:id="1018" w:name="bookmark1018"/>
      <w:r>
        <w:rPr>
          <w:rFonts w:ascii="Arial" w:eastAsia="Arial" w:hAnsi="Arial" w:cs="Arial"/>
          <w:b w:val="0"/>
          <w:bCs w:val="0"/>
          <w:color w:val="000000"/>
          <w:spacing w:val="0"/>
          <w:w w:val="100"/>
          <w:position w:val="0"/>
          <w:sz w:val="24"/>
          <w:szCs w:val="24"/>
        </w:rPr>
        <w:t>(4)</w:t>
      </w:r>
      <w:r>
        <w:rPr>
          <w:color w:val="000000"/>
          <w:spacing w:val="0"/>
          <w:w w:val="100"/>
          <w:position w:val="0"/>
          <w:sz w:val="22"/>
          <w:szCs w:val="22"/>
        </w:rPr>
        <w:t>关联方应收、应付款项余额</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16"/>
      <w:bookmarkEnd w:id="1017"/>
      <w:bookmarkEnd w:id="1018"/>
      <w:r>
        <w:rPr>
          <w:rFonts w:ascii="Arial" w:eastAsia="Arial" w:hAnsi="Arial" w:cs="Arial"/>
          <w:b w:val="0"/>
          <w:bCs w:val="0"/>
          <w:color w:val="000000"/>
          <w:spacing w:val="0"/>
          <w:w w:val="100"/>
          <w:position w:val="0"/>
          <w:sz w:val="24"/>
          <w:szCs w:val="24"/>
        </w:rPr>
        <w:t xml:space="preserve"> </w:t>
      </w:r>
      <w:r>
        <w:rPr>
          <w:rStyle w:val="CharStyle34"/>
          <w:rFonts w:ascii="Arial" w:eastAsia="Arial" w:hAnsi="Arial" w:cs="Arial"/>
          <w:sz w:val="24"/>
          <w:szCs w:val="24"/>
        </w:rPr>
        <w:t xml:space="preserve">(b) </w:t>
      </w:r>
      <w:r>
        <w:rPr>
          <w:rStyle w:val="CharStyle34"/>
          <w:sz w:val="22"/>
          <w:szCs w:val="22"/>
        </w:rPr>
        <w:t>预付账款</w:t>
      </w: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58" w:right="0" w:bottom="5752"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58" w:right="1245" w:bottom="5752" w:left="6038" w:header="0" w:footer="3" w:gutter="0"/>
          <w:cols w:num="2" w:space="374"/>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220" w:lineRule="exact"/>
        <w:rPr>
          <w:sz w:val="18"/>
          <w:szCs w:val="18"/>
        </w:rPr>
      </w:pPr>
    </w:p>
    <w:p>
      <w:pPr>
        <w:widowControl w:val="0"/>
        <w:spacing w:line="1" w:lineRule="exact"/>
        <w:sectPr>
          <w:footnotePr>
            <w:pos w:val="pageBottom"/>
            <w:numFmt w:val="decimal"/>
            <w:numRestart w:val="continuous"/>
          </w:footnotePr>
          <w:type w:val="continuous"/>
          <w:pgSz w:w="11900" w:h="16840"/>
          <w:pgMar w:top="1758" w:right="0" w:bottom="1758" w:left="0" w:header="0" w:footer="3" w:gutter="0"/>
          <w:cols w:space="720"/>
          <w:noEndnote/>
          <w:rtlGutter w:val="0"/>
          <w:docGrid w:linePitch="360"/>
        </w:sectPr>
      </w:pPr>
    </w:p>
    <w:p>
      <w:pPr>
        <w:pStyle w:val="Style94"/>
        <w:keepNext w:val="0"/>
        <w:keepLines w:val="0"/>
        <w:widowControl w:val="0"/>
        <w:shd w:val="clear" w:color="auto" w:fill="auto"/>
        <w:tabs>
          <w:tab w:pos="5566" w:val="left"/>
        </w:tabs>
        <w:bidi w:val="0"/>
        <w:spacing w:before="0" w:after="40" w:line="240" w:lineRule="auto"/>
        <w:ind w:left="2120" w:right="0" w:firstLine="0"/>
        <w:jc w:val="left"/>
      </w:pPr>
      <w:r>
        <mc:AlternateContent>
          <mc:Choice Requires="wps">
            <w:drawing>
              <wp:anchor distT="0" distB="0" distL="114300" distR="114300" simplePos="0" relativeHeight="125829615" behindDoc="0" locked="0" layoutInCell="1" allowOverlap="1">
                <wp:simplePos x="0" y="0"/>
                <wp:positionH relativeFrom="page">
                  <wp:posOffset>1245870</wp:posOffset>
                </wp:positionH>
                <wp:positionV relativeFrom="paragraph">
                  <wp:posOffset>12700</wp:posOffset>
                </wp:positionV>
                <wp:extent cx="1548130" cy="792480"/>
                <wp:wrapSquare wrapText="bothSides"/>
                <wp:docPr id="706" name="Shape 706"/>
                <a:graphic xmlns:a="http://schemas.openxmlformats.org/drawingml/2006/main">
                  <a:graphicData uri="http://schemas.microsoft.com/office/word/2010/wordprocessingShape">
                    <wps:wsp>
                      <wps:cNvSpPr txBox="1"/>
                      <wps:spPr>
                        <a:xfrm>
                          <a:ext cx="1548130" cy="792480"/>
                        </a:xfrm>
                        <a:prstGeom prst="rect"/>
                        <a:noFill/>
                      </wps:spPr>
                      <wps:txbx>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商贸控股及其子公司</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乐丰保理</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置业企业</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翠玉控股及其附属公司</w:t>
                            </w:r>
                          </w:p>
                        </w:txbxContent>
                      </wps:txbx>
                      <wps:bodyPr lIns="0" tIns="0" rIns="0" bIns="0">
                        <a:noAutoFit/>
                      </wps:bodyPr>
                    </wps:wsp>
                  </a:graphicData>
                </a:graphic>
              </wp:anchor>
            </w:drawing>
          </mc:Choice>
          <mc:Fallback>
            <w:pict>
              <v:shape id="_x0000_s1732" type="#_x0000_t202" style="position:absolute;margin-left:98.100000000000009pt;margin-top:1.pt;width:121.90000000000001pt;height:62.399999999999999pt;z-index:-125829138;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商贸控股及其子公司</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乐丰保理</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置业企业</w:t>
                      </w:r>
                    </w:p>
                    <w:p>
                      <w:pPr>
                        <w:pStyle w:val="Style33"/>
                        <w:keepNext w:val="0"/>
                        <w:keepLines w:val="0"/>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翠玉控股及其附属公司</w:t>
                      </w:r>
                    </w:p>
                  </w:txbxContent>
                </v:textbox>
                <w10:wrap type="square" anchorx="page"/>
              </v:shape>
            </w:pict>
          </mc:Fallback>
        </mc:AlternateContent>
      </w:r>
      <w:r>
        <w:rPr>
          <w:color w:val="000000"/>
          <w:spacing w:val="0"/>
          <w:w w:val="100"/>
          <w:position w:val="0"/>
          <w:sz w:val="24"/>
          <w:szCs w:val="24"/>
        </w:rPr>
        <w:t>1,529,662.09</w:t>
        <w:tab/>
      </w:r>
      <w:r>
        <w:rPr>
          <w:color w:val="000000"/>
          <w:spacing w:val="0"/>
          <w:w w:val="100"/>
          <w:position w:val="0"/>
          <w:sz w:val="24"/>
          <w:szCs w:val="24"/>
        </w:rPr>
        <w:t>-</w:t>
      </w:r>
    </w:p>
    <w:p>
      <w:pPr>
        <w:pStyle w:val="Style94"/>
        <w:keepNext w:val="0"/>
        <w:keepLines w:val="0"/>
        <w:widowControl w:val="0"/>
        <w:shd w:val="clear" w:color="auto" w:fill="auto"/>
        <w:tabs>
          <w:tab w:pos="5566" w:val="left"/>
        </w:tabs>
        <w:bidi w:val="0"/>
        <w:spacing w:before="0" w:after="40" w:line="240" w:lineRule="auto"/>
        <w:ind w:left="2120" w:right="0" w:firstLine="0"/>
        <w:jc w:val="left"/>
      </w:pPr>
      <w:r>
        <w:rPr>
          <w:color w:val="000000"/>
          <w:spacing w:val="0"/>
          <w:w w:val="100"/>
          <w:position w:val="0"/>
          <w:sz w:val="24"/>
          <w:szCs w:val="24"/>
        </w:rPr>
        <w:t>1,306,195.37</w:t>
        <w:tab/>
      </w:r>
      <w:r>
        <w:rPr>
          <w:color w:val="000000"/>
          <w:spacing w:val="0"/>
          <w:w w:val="100"/>
          <w:position w:val="0"/>
          <w:sz w:val="24"/>
          <w:szCs w:val="24"/>
        </w:rPr>
        <w:t>-</w:t>
      </w:r>
    </w:p>
    <w:p>
      <w:pPr>
        <w:pStyle w:val="Style94"/>
        <w:keepNext w:val="0"/>
        <w:keepLines w:val="0"/>
        <w:widowControl w:val="0"/>
        <w:shd w:val="clear" w:color="auto" w:fill="auto"/>
        <w:tabs>
          <w:tab w:pos="3662" w:val="right"/>
        </w:tabs>
        <w:bidi w:val="0"/>
        <w:spacing w:before="0" w:after="40" w:line="240" w:lineRule="auto"/>
        <w:ind w:left="0" w:right="160" w:firstLine="0"/>
        <w:jc w:val="right"/>
      </w:pPr>
      <w:r>
        <w:rPr>
          <w:color w:val="000000"/>
          <w:spacing w:val="0"/>
          <w:w w:val="100"/>
          <w:position w:val="0"/>
          <w:sz w:val="24"/>
          <w:szCs w:val="24"/>
        </w:rPr>
        <w:t>119,283.05</w:t>
        <w:tab/>
        <w:t>67,004.00</w:t>
      </w:r>
    </w:p>
    <w:p>
      <w:pPr>
        <w:pStyle w:val="Style94"/>
        <w:keepNext w:val="0"/>
        <w:keepLines w:val="0"/>
        <w:widowControl w:val="0"/>
        <w:shd w:val="clear" w:color="auto" w:fill="auto"/>
        <w:tabs>
          <w:tab w:pos="2851" w:val="right"/>
        </w:tabs>
        <w:bidi w:val="0"/>
        <w:spacing w:before="0" w:after="0" w:line="240" w:lineRule="auto"/>
        <w:ind w:left="0" w:right="160" w:firstLine="0"/>
        <w:jc w:val="right"/>
      </w:pPr>
      <w:r>
        <w:rPr>
          <w:color w:val="000000"/>
          <w:spacing w:val="0"/>
          <w:w w:val="100"/>
          <w:position w:val="0"/>
          <w:sz w:val="24"/>
          <w:szCs w:val="24"/>
          <w:u w:val="single"/>
        </w:rPr>
        <w:t>-</w:t>
      </w:r>
      <w:r>
        <w:rPr>
          <w:color w:val="000000"/>
          <w:spacing w:val="0"/>
          <w:w w:val="100"/>
          <w:position w:val="0"/>
          <w:sz w:val="24"/>
          <w:szCs w:val="24"/>
        </w:rPr>
        <w:tab/>
        <w:t xml:space="preserve"> </w:t>
      </w:r>
      <w:r>
        <w:rPr>
          <w:color w:val="000000"/>
          <w:spacing w:val="0"/>
          <w:w w:val="100"/>
          <w:position w:val="0"/>
          <w:sz w:val="24"/>
          <w:szCs w:val="24"/>
          <w:u w:val="single"/>
        </w:rPr>
        <w:t>675,480.21</w:t>
      </w:r>
    </w:p>
    <w:p>
      <w:pPr>
        <w:pStyle w:val="Style94"/>
        <w:keepNext w:val="0"/>
        <w:keepLines w:val="0"/>
        <w:widowControl w:val="0"/>
        <w:shd w:val="clear" w:color="auto" w:fill="auto"/>
        <w:tabs>
          <w:tab w:pos="8590" w:val="right"/>
        </w:tabs>
        <w:bidi w:val="0"/>
        <w:spacing w:before="0" w:after="360" w:line="240" w:lineRule="auto"/>
        <w:ind w:left="4740" w:right="0" w:firstLine="0"/>
        <w:jc w:val="left"/>
      </w:pPr>
      <w:r>
        <w:rPr>
          <w:color w:val="000000"/>
          <w:spacing w:val="0"/>
          <w:w w:val="100"/>
          <w:position w:val="0"/>
          <w:sz w:val="24"/>
          <w:szCs w:val="24"/>
        </w:rPr>
        <w:t>2,955,140.51</w:t>
      </w:r>
      <w:r>
        <w:rPr>
          <w:color w:val="000000"/>
          <w:spacing w:val="0"/>
          <w:w w:val="100"/>
          <w:position w:val="0"/>
          <w:sz w:val="24"/>
          <w:szCs w:val="24"/>
        </w:rPr>
        <w:t>—</w:t>
        <w:tab/>
      </w:r>
      <w:r>
        <w:rPr>
          <w:color w:val="000000"/>
          <w:spacing w:val="0"/>
          <w:w w:val="100"/>
          <w:position w:val="0"/>
          <w:sz w:val="24"/>
          <w:szCs w:val="24"/>
        </w:rPr>
        <w:t>742,484.21</w:t>
      </w:r>
    </w:p>
    <w:p>
      <w:pPr>
        <w:pStyle w:val="Style33"/>
        <w:keepNext w:val="0"/>
        <w:keepLines w:val="0"/>
        <w:widowControl w:val="0"/>
        <w:numPr>
          <w:ilvl w:val="0"/>
          <w:numId w:val="85"/>
        </w:numPr>
        <w:shd w:val="clear" w:color="auto" w:fill="auto"/>
        <w:tabs>
          <w:tab w:pos="720" w:val="left"/>
        </w:tabs>
        <w:bidi w:val="0"/>
        <w:spacing w:before="0" w:after="360" w:line="240" w:lineRule="auto"/>
        <w:ind w:left="0" w:right="0" w:firstLine="0"/>
        <w:jc w:val="left"/>
        <w:rPr>
          <w:sz w:val="22"/>
          <w:szCs w:val="22"/>
        </w:rPr>
      </w:pPr>
      <w:bookmarkStart w:id="1019" w:name="bookmark1019"/>
      <w:bookmarkEnd w:id="1019"/>
      <w:r>
        <w:rPr>
          <w:b w:val="0"/>
          <w:bCs w:val="0"/>
          <w:color w:val="000000"/>
          <w:spacing w:val="0"/>
          <w:w w:val="100"/>
          <w:position w:val="0"/>
          <w:sz w:val="22"/>
          <w:szCs w:val="22"/>
        </w:rPr>
        <w:t>其他应收款</w:t>
      </w:r>
    </w:p>
    <w:tbl>
      <w:tblPr>
        <w:tblOverlap w:val="never"/>
        <w:jc w:val="left"/>
        <w:tblLayout w:type="fixed"/>
      </w:tblPr>
      <w:tblGrid>
        <w:gridCol w:w="3797"/>
        <w:gridCol w:w="2770"/>
        <w:gridCol w:w="2246"/>
      </w:tblGrid>
      <w:tr>
        <w:trPr>
          <w:trHeight w:val="317" w:hRule="exact"/>
        </w:trPr>
        <w:tc>
          <w:tcPr>
            <w:tcBorders/>
            <w:shd w:val="clear" w:color="auto" w:fill="FFFFFF"/>
            <w:vAlign w:val="top"/>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翠玉控股及其附属公司</w:t>
            </w:r>
            <w:r>
              <w:rPr>
                <w:rFonts w:ascii="Arial" w:eastAsia="Arial" w:hAnsi="Arial" w:cs="Arial"/>
                <w:color w:val="000000"/>
                <w:spacing w:val="0"/>
                <w:w w:val="100"/>
                <w:position w:val="0"/>
                <w:sz w:val="24"/>
                <w:szCs w:val="24"/>
              </w:rPr>
              <w:t>(i)</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9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147,214,520.92</w:t>
            </w:r>
          </w:p>
        </w:tc>
      </w:tr>
      <w:tr>
        <w:trPr>
          <w:trHeight w:val="317"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商贸控股及其子公司</w:t>
            </w:r>
            <w:r>
              <w:rPr>
                <w:rFonts w:ascii="Arial" w:eastAsia="Arial" w:hAnsi="Arial" w:cs="Arial"/>
                <w:color w:val="000000"/>
                <w:spacing w:val="0"/>
                <w:w w:val="100"/>
                <w:position w:val="0"/>
                <w:sz w:val="24"/>
                <w:szCs w:val="24"/>
              </w:rPr>
              <w:t>(ii)</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680"/>
              <w:jc w:val="left"/>
              <w:rPr>
                <w:sz w:val="24"/>
                <w:szCs w:val="24"/>
              </w:rPr>
            </w:pPr>
            <w:r>
              <w:rPr>
                <w:rFonts w:ascii="Arial" w:eastAsia="Arial" w:hAnsi="Arial" w:cs="Arial"/>
                <w:color w:val="000000"/>
                <w:spacing w:val="0"/>
                <w:w w:val="100"/>
                <w:position w:val="0"/>
                <w:sz w:val="24"/>
                <w:szCs w:val="24"/>
              </w:rPr>
              <w:t>133,102,829.04</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72,114,718.11</w:t>
            </w:r>
          </w:p>
        </w:tc>
      </w:tr>
      <w:tr>
        <w:trPr>
          <w:trHeight w:val="317" w:hRule="exact"/>
        </w:trPr>
        <w:tc>
          <w:tcPr>
            <w:tcBorders/>
            <w:shd w:val="clear" w:color="auto" w:fill="FFFFFF"/>
            <w:vAlign w:val="top"/>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乐收网络</w:t>
            </w:r>
          </w:p>
        </w:tc>
        <w:tc>
          <w:tcPr>
            <w:tcBorders/>
            <w:shd w:val="clear" w:color="auto" w:fill="FFFFFF"/>
            <w:vAlign w:val="top"/>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6,000,000.00</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牵趣网络及其子公司</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124,334.63</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43,849,874.19</w:t>
            </w:r>
          </w:p>
        </w:tc>
      </w:tr>
      <w:tr>
        <w:trPr>
          <w:trHeight w:val="322"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杭州午苇农作物开发有限公司</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9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4,253,998.06</w:t>
            </w:r>
          </w:p>
        </w:tc>
      </w:tr>
      <w:tr>
        <w:trPr>
          <w:trHeight w:val="317"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置业企业</w:t>
            </w:r>
            <w:r>
              <w:rPr>
                <w:rFonts w:ascii="Arial" w:eastAsia="Arial" w:hAnsi="Arial" w:cs="Arial"/>
                <w:color w:val="000000"/>
                <w:spacing w:val="0"/>
                <w:w w:val="100"/>
                <w:position w:val="0"/>
                <w:sz w:val="24"/>
                <w:szCs w:val="24"/>
              </w:rPr>
              <w:t>(iii)</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238,566.09</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222,788.30</w:t>
            </w:r>
          </w:p>
        </w:tc>
      </w:tr>
      <w:tr>
        <w:trPr>
          <w:trHeight w:val="317"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台湾顺丰速运股份有限公司</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791,585.19</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乐丰保理</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118,580.08</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合丰小额贷款</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33,252.49</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顺诚融资租赁及其子公司</w:t>
            </w:r>
          </w:p>
        </w:tc>
        <w:tc>
          <w:tcPr>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34,699.83</w:t>
            </w:r>
          </w:p>
        </w:tc>
        <w:tc>
          <w:tcPr>
            <w:tcBorders/>
            <w:shd w:val="clear" w:color="auto" w:fill="FFFFFF"/>
            <w:vAlign w:val="center"/>
          </w:tcPr>
          <w:p>
            <w:pPr>
              <w:pStyle w:val="Style23"/>
              <w:keepNext w:val="0"/>
              <w:keepLines w:val="0"/>
              <w:framePr w:w="8813" w:h="3533" w:vSpace="638" w:wrap="notBeside" w:vAnchor="text" w:hAnchor="text" w:y="639"/>
              <w:widowControl w:val="0"/>
              <w:shd w:val="clear" w:color="auto" w:fill="auto"/>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r>
          </w:p>
        </w:tc>
      </w:tr>
      <w:tr>
        <w:trPr>
          <w:trHeight w:val="360" w:hRule="exact"/>
        </w:trPr>
        <w:tc>
          <w:tcPr>
            <w:tcBorders/>
            <w:shd w:val="clear" w:color="auto" w:fill="FFFFFF"/>
            <w:vAlign w:val="top"/>
          </w:tcPr>
          <w:p>
            <w:pPr>
              <w:framePr w:w="8813" w:h="3533" w:vSpace="638" w:wrap="notBeside" w:vAnchor="text" w:hAnchor="text" w:y="639"/>
              <w:widowControl w:val="0"/>
              <w:rPr>
                <w:sz w:val="10"/>
                <w:szCs w:val="10"/>
              </w:rPr>
            </w:pPr>
          </w:p>
        </w:tc>
        <w:tc>
          <w:tcPr>
            <w:tcBorders>
              <w:top w:val="single" w:sz="4"/>
              <w:bottom w:val="single" w:sz="4"/>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680"/>
              <w:jc w:val="left"/>
              <w:rPr>
                <w:sz w:val="24"/>
                <w:szCs w:val="24"/>
              </w:rPr>
            </w:pPr>
            <w:r>
              <w:rPr>
                <w:rFonts w:ascii="Arial" w:eastAsia="Arial" w:hAnsi="Arial" w:cs="Arial"/>
                <w:color w:val="000000"/>
                <w:spacing w:val="0"/>
                <w:w w:val="100"/>
                <w:position w:val="0"/>
                <w:sz w:val="24"/>
                <w:szCs w:val="24"/>
              </w:rPr>
              <w:t>140,443,847.35</w:t>
            </w:r>
          </w:p>
        </w:tc>
        <w:tc>
          <w:tcPr>
            <w:tcBorders>
              <w:top w:val="single" w:sz="4"/>
              <w:bottom w:val="single" w:sz="4"/>
            </w:tcBorders>
            <w:shd w:val="clear" w:color="auto" w:fill="FFFFFF"/>
            <w:vAlign w:val="bottom"/>
          </w:tcPr>
          <w:p>
            <w:pPr>
              <w:pStyle w:val="Style23"/>
              <w:keepNext w:val="0"/>
              <w:keepLines w:val="0"/>
              <w:framePr w:w="8813" w:h="3533" w:vSpace="638" w:wrap="notBeside" w:vAnchor="text" w:hAnchor="text" w:y="639"/>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267,655,899.58</w:t>
            </w:r>
          </w:p>
        </w:tc>
      </w:tr>
    </w:tbl>
    <w:p>
      <w:pPr>
        <w:pStyle w:val="Style29"/>
        <w:keepNext w:val="0"/>
        <w:keepLines w:val="0"/>
        <w:framePr w:w="2122" w:h="298" w:hSpace="6691" w:wrap="notBeside" w:vAnchor="text" w:hAnchor="text" w:x="4076"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pStyle w:val="Style29"/>
        <w:keepNext w:val="0"/>
        <w:keepLines w:val="0"/>
        <w:framePr w:w="2122" w:h="298" w:hSpace="6691" w:wrap="notBeside" w:vAnchor="text" w:hAnchor="text" w:x="6572" w:y="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p>
      <w:pPr>
        <w:widowControl w:val="0"/>
        <w:spacing w:line="1" w:lineRule="exact"/>
        <w:sectPr>
          <w:footnotePr>
            <w:pos w:val="pageBottom"/>
            <w:numFmt w:val="decimal"/>
            <w:numRestart w:val="continuous"/>
          </w:footnotePr>
          <w:type w:val="continuous"/>
          <w:pgSz w:w="11900" w:h="16840"/>
          <w:pgMar w:top="1758" w:right="1124" w:bottom="1758" w:left="1962" w:header="0" w:footer="3" w:gutter="0"/>
          <w:cols w:space="720"/>
          <w:noEndnote/>
          <w:rtlGutter w:val="0"/>
          <w:docGrid w:linePitch="360"/>
        </w:sectPr>
      </w:pPr>
    </w:p>
    <w:p>
      <w:pPr>
        <w:pStyle w:val="Style27"/>
        <w:keepNext/>
        <w:keepLines/>
        <w:widowControl w:val="0"/>
        <w:shd w:val="clear" w:color="auto" w:fill="auto"/>
        <w:bidi w:val="0"/>
        <w:spacing w:before="0" w:after="300" w:line="322" w:lineRule="exact"/>
        <w:ind w:left="0" w:right="0" w:firstLine="0"/>
        <w:jc w:val="left"/>
        <w:rPr>
          <w:sz w:val="28"/>
          <w:szCs w:val="28"/>
        </w:rPr>
      </w:pPr>
      <w:bookmarkStart w:id="1020" w:name="bookmark1020"/>
      <w:bookmarkStart w:id="1021" w:name="bookmark1021"/>
      <w:bookmarkStart w:id="1022" w:name="bookmark1022"/>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20"/>
      <w:bookmarkEnd w:id="1021"/>
      <w:bookmarkEnd w:id="1022"/>
    </w:p>
    <w:p>
      <w:pPr>
        <w:pStyle w:val="Style27"/>
        <w:keepNext/>
        <w:keepLines/>
        <w:widowControl w:val="0"/>
        <w:shd w:val="clear" w:color="auto" w:fill="auto"/>
        <w:bidi w:val="0"/>
        <w:spacing w:before="0" w:after="300" w:line="322" w:lineRule="exact"/>
        <w:ind w:left="0" w:right="0" w:firstLine="0"/>
        <w:jc w:val="left"/>
        <w:rPr>
          <w:sz w:val="28"/>
          <w:szCs w:val="28"/>
        </w:rPr>
      </w:pPr>
      <w:bookmarkStart w:id="1020" w:name="bookmark1020"/>
      <w:bookmarkStart w:id="1021" w:name="bookmark1021"/>
      <w:bookmarkStart w:id="1023" w:name="bookmark1023"/>
      <w:r>
        <w:rPr>
          <w:rFonts w:ascii="Arial" w:eastAsia="Arial" w:hAnsi="Arial" w:cs="Arial"/>
          <w:b w:val="0"/>
          <w:bCs w:val="0"/>
          <w:color w:val="000000"/>
          <w:spacing w:val="0"/>
          <w:w w:val="100"/>
          <w:position w:val="0"/>
          <w:sz w:val="24"/>
          <w:szCs w:val="24"/>
        </w:rPr>
        <w:t>(4)</w:t>
      </w:r>
      <w:r>
        <w:rPr>
          <w:color w:val="000000"/>
          <w:spacing w:val="0"/>
          <w:w w:val="100"/>
          <w:position w:val="0"/>
          <w:sz w:val="22"/>
          <w:szCs w:val="22"/>
        </w:rPr>
        <w:t>关联方应收、应付款项余额</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20"/>
      <w:bookmarkEnd w:id="1021"/>
      <w:bookmarkEnd w:id="1023"/>
    </w:p>
    <w:p>
      <w:pPr>
        <w:pStyle w:val="Style94"/>
        <w:keepNext w:val="0"/>
        <w:keepLines w:val="0"/>
        <w:widowControl w:val="0"/>
        <w:numPr>
          <w:ilvl w:val="0"/>
          <w:numId w:val="89"/>
        </w:numPr>
        <w:shd w:val="clear" w:color="auto" w:fill="auto"/>
        <w:tabs>
          <w:tab w:pos="704" w:val="left"/>
        </w:tabs>
        <w:bidi w:val="0"/>
        <w:spacing w:before="0" w:after="300" w:line="322" w:lineRule="exact"/>
        <w:ind w:left="0" w:right="0" w:firstLine="0"/>
        <w:jc w:val="left"/>
        <w:rPr>
          <w:sz w:val="28"/>
          <w:szCs w:val="28"/>
        </w:rPr>
      </w:pPr>
      <w:bookmarkStart w:id="1024" w:name="bookmark1024"/>
      <w:bookmarkEnd w:id="1024"/>
      <w:r>
        <w:rPr>
          <w:rFonts w:ascii="SimSun" w:eastAsia="SimSun" w:hAnsi="SimSun" w:cs="SimSun"/>
          <w:color w:val="000000"/>
          <w:spacing w:val="0"/>
          <w:w w:val="100"/>
          <w:position w:val="0"/>
          <w:sz w:val="22"/>
          <w:szCs w:val="22"/>
        </w:rPr>
        <w:t>其他应收款</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704" w:val="left"/>
        </w:tabs>
        <w:bidi w:val="0"/>
        <w:spacing w:before="0" w:after="0" w:line="322" w:lineRule="exact"/>
        <w:ind w:left="0" w:right="0" w:firstLine="0"/>
        <w:jc w:val="left"/>
        <w:rPr>
          <w:sz w:val="22"/>
          <w:szCs w:val="22"/>
        </w:rPr>
      </w:pPr>
      <w:r>
        <w:rPr>
          <w:b w:val="0"/>
          <w:bCs w:val="0"/>
          <w:color w:val="000000"/>
          <w:spacing w:val="0"/>
          <w:w w:val="100"/>
          <w:position w:val="0"/>
          <w:sz w:val="22"/>
          <w:szCs w:val="22"/>
        </w:rPr>
        <w:t>⑴</w:t>
        <w:tab/>
        <w:t>本集团对翠玉控股及其附属公司的其他应收款项主要是本集团为翠玉控股及</w:t>
      </w:r>
    </w:p>
    <w:p>
      <w:pPr>
        <w:pStyle w:val="Style33"/>
        <w:keepNext w:val="0"/>
        <w:keepLines w:val="0"/>
        <w:widowControl w:val="0"/>
        <w:shd w:val="clear" w:color="auto" w:fill="auto"/>
        <w:bidi w:val="0"/>
        <w:spacing w:before="0" w:after="300" w:line="322" w:lineRule="exact"/>
        <w:ind w:left="720" w:right="0" w:firstLine="0"/>
        <w:jc w:val="both"/>
        <w:rPr>
          <w:sz w:val="22"/>
          <w:szCs w:val="22"/>
        </w:rPr>
      </w:pPr>
      <w:r>
        <w:rPr>
          <w:b w:val="0"/>
          <w:bCs w:val="0"/>
          <w:color w:val="000000"/>
          <w:spacing w:val="0"/>
          <w:w w:val="100"/>
          <w:position w:val="0"/>
          <w:sz w:val="22"/>
          <w:szCs w:val="22"/>
        </w:rPr>
        <w:t>其附属公司的工程建设项目代垫的款项及房屋租赁的押金。顺丰香港与</w:t>
      </w:r>
      <w:r>
        <w:rPr>
          <w:rFonts w:ascii="Arial" w:eastAsia="Arial" w:hAnsi="Arial" w:cs="Arial"/>
          <w:b w:val="0"/>
          <w:bCs w:val="0"/>
          <w:color w:val="000000"/>
          <w:spacing w:val="0"/>
          <w:w w:val="100"/>
          <w:position w:val="0"/>
          <w:sz w:val="24"/>
          <w:szCs w:val="24"/>
        </w:rPr>
        <w:t>China Assess</w:t>
      </w:r>
      <w:r>
        <w:rPr>
          <w:b w:val="0"/>
          <w:bCs w:val="0"/>
          <w:color w:val="000000"/>
          <w:spacing w:val="0"/>
          <w:w w:val="100"/>
          <w:position w:val="0"/>
          <w:sz w:val="22"/>
          <w:szCs w:val="22"/>
        </w:rPr>
        <w:t>签订重组协议，对合营公司商顺控股及其下属子公司进行重组。本报 告期内已重组完成，顺丰香港持有翠玉控股及其附属公司</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的股权，本集 团向其提供的资金拆借成为子公司间的资金拆借。</w:t>
      </w:r>
    </w:p>
    <w:p>
      <w:pPr>
        <w:pStyle w:val="Style33"/>
        <w:keepNext w:val="0"/>
        <w:keepLines w:val="0"/>
        <w:widowControl w:val="0"/>
        <w:numPr>
          <w:ilvl w:val="0"/>
          <w:numId w:val="91"/>
        </w:numPr>
        <w:shd w:val="clear" w:color="auto" w:fill="auto"/>
        <w:tabs>
          <w:tab w:pos="704" w:val="left"/>
        </w:tabs>
        <w:bidi w:val="0"/>
        <w:spacing w:before="0" w:after="360" w:line="322" w:lineRule="exact"/>
        <w:ind w:left="720" w:right="0" w:hanging="720"/>
        <w:jc w:val="left"/>
        <w:rPr>
          <w:sz w:val="22"/>
          <w:szCs w:val="22"/>
        </w:rPr>
      </w:pPr>
      <w:bookmarkStart w:id="1025" w:name="bookmark1025"/>
      <w:bookmarkEnd w:id="1025"/>
      <w:r>
        <w:rPr>
          <w:b w:val="0"/>
          <w:bCs w:val="0"/>
          <w:color w:val="000000"/>
          <w:spacing w:val="0"/>
          <w:w w:val="100"/>
          <w:position w:val="0"/>
          <w:sz w:val="22"/>
          <w:szCs w:val="22"/>
        </w:rPr>
        <w:t>本集团对商贸控股及其子公司的其他应收款项主要为正常的经营业务形成的 余额。</w:t>
      </w:r>
    </w:p>
    <w:p>
      <w:pPr>
        <w:pStyle w:val="Style33"/>
        <w:keepNext w:val="0"/>
        <w:keepLines w:val="0"/>
        <w:widowControl w:val="0"/>
        <w:numPr>
          <w:ilvl w:val="0"/>
          <w:numId w:val="91"/>
        </w:numPr>
        <w:shd w:val="clear" w:color="auto" w:fill="auto"/>
        <w:tabs>
          <w:tab w:pos="704" w:val="left"/>
        </w:tabs>
        <w:bidi w:val="0"/>
        <w:spacing w:before="0" w:after="300" w:line="322" w:lineRule="exact"/>
        <w:ind w:left="0" w:right="0" w:firstLine="0"/>
        <w:jc w:val="left"/>
        <w:rPr>
          <w:sz w:val="22"/>
          <w:szCs w:val="22"/>
        </w:rPr>
      </w:pPr>
      <w:bookmarkStart w:id="1026" w:name="bookmark1026"/>
      <w:bookmarkEnd w:id="1026"/>
      <w:r>
        <w:rPr>
          <w:b w:val="0"/>
          <w:bCs w:val="0"/>
          <w:color w:val="000000"/>
          <w:spacing w:val="0"/>
          <w:w w:val="100"/>
          <w:position w:val="0"/>
          <w:sz w:val="22"/>
          <w:szCs w:val="22"/>
        </w:rPr>
        <w:t>系支付的押金款项。</w:t>
      </w:r>
    </w:p>
    <w:p>
      <w:pPr>
        <w:pStyle w:val="Style33"/>
        <w:keepNext w:val="0"/>
        <w:keepLines w:val="0"/>
        <w:widowControl w:val="0"/>
        <w:numPr>
          <w:ilvl w:val="0"/>
          <w:numId w:val="85"/>
        </w:numPr>
        <w:shd w:val="clear" w:color="auto" w:fill="auto"/>
        <w:tabs>
          <w:tab w:pos="704" w:val="left"/>
        </w:tabs>
        <w:bidi w:val="0"/>
        <w:spacing w:before="0" w:after="300" w:line="276" w:lineRule="auto"/>
        <w:ind w:left="0" w:right="0" w:firstLine="0"/>
        <w:jc w:val="left"/>
        <w:rPr>
          <w:sz w:val="22"/>
          <w:szCs w:val="22"/>
        </w:rPr>
      </w:pPr>
      <w:bookmarkStart w:id="1027" w:name="bookmark1027"/>
      <w:bookmarkEnd w:id="1027"/>
      <w:r>
        <w:rPr>
          <w:b w:val="0"/>
          <w:bCs w:val="0"/>
          <w:color w:val="000000"/>
          <w:spacing w:val="0"/>
          <w:w w:val="100"/>
          <w:position w:val="0"/>
          <w:sz w:val="22"/>
          <w:szCs w:val="22"/>
        </w:rPr>
        <w:t>发放贷款</w:t>
      </w:r>
    </w:p>
    <w:p>
      <w:pPr>
        <w:pStyle w:val="Style94"/>
        <w:keepNext w:val="0"/>
        <w:keepLines w:val="0"/>
        <w:widowControl w:val="0"/>
        <w:shd w:val="clear" w:color="auto" w:fill="auto"/>
        <w:bidi w:val="0"/>
        <w:spacing w:before="0" w:after="360" w:line="322" w:lineRule="exact"/>
        <w:ind w:left="0" w:right="18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9"/>
        <w:keepNext w:val="0"/>
        <w:keepLines w:val="0"/>
        <w:widowControl w:val="0"/>
        <w:shd w:val="clear" w:color="auto" w:fill="auto"/>
        <w:tabs>
          <w:tab w:pos="4022" w:val="left"/>
          <w:tab w:leader="underscore" w:pos="5717" w:val="left"/>
          <w:tab w:leader="underscore" w:pos="7219" w:val="left"/>
        </w:tabs>
        <w:bidi w:val="0"/>
        <w:spacing w:before="0" w:after="0" w:line="240" w:lineRule="auto"/>
        <w:ind w:left="0" w:right="0" w:firstLine="0"/>
        <w:jc w:val="left"/>
        <w:rPr>
          <w:sz w:val="24"/>
          <w:szCs w:val="24"/>
        </w:rPr>
      </w:pPr>
      <w:r>
        <w:rPr>
          <w:color w:val="000000"/>
          <w:spacing w:val="0"/>
          <w:w w:val="100"/>
          <w:position w:val="0"/>
          <w:sz w:val="22"/>
          <w:szCs w:val="22"/>
        </w:rPr>
        <w:t>牵趣网络及其子公司</w:t>
        <w:tab/>
        <w:tab/>
        <w:t>-</w:t>
        <w:tab/>
      </w:r>
      <w:r>
        <w:rPr>
          <w:rFonts w:ascii="Arial" w:eastAsia="Arial" w:hAnsi="Arial" w:cs="Arial"/>
          <w:color w:val="000000"/>
          <w:spacing w:val="0"/>
          <w:w w:val="100"/>
          <w:position w:val="0"/>
          <w:sz w:val="24"/>
          <w:szCs w:val="24"/>
          <w:u w:val="single"/>
        </w:rPr>
        <w:t>5,000,000.00</w:t>
      </w:r>
    </w:p>
    <w:tbl>
      <w:tblPr>
        <w:tblOverlap w:val="never"/>
        <w:jc w:val="center"/>
        <w:tblLayout w:type="fixed"/>
      </w:tblPr>
      <w:tblGrid>
        <w:gridCol w:w="3605"/>
        <w:gridCol w:w="2770"/>
        <w:gridCol w:w="2491"/>
      </w:tblGrid>
      <w:tr>
        <w:trPr>
          <w:trHeight w:val="845" w:hRule="exact"/>
        </w:trPr>
        <w:tc>
          <w:tcPr>
            <w:tcBorders/>
            <w:shd w:val="clear" w:color="auto" w:fill="FFFFFF"/>
            <w:vAlign w:val="bottom"/>
          </w:tcPr>
          <w:p>
            <w:pPr>
              <w:pStyle w:val="Style23"/>
              <w:keepNext w:val="0"/>
              <w:keepLines w:val="0"/>
              <w:widowControl w:val="0"/>
              <w:shd w:val="clear" w:color="auto" w:fill="auto"/>
              <w:tabs>
                <w:tab w:pos="710"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(e)</w:t>
              <w:tab/>
            </w:r>
            <w:r>
              <w:rPr>
                <w:color w:val="000000"/>
                <w:spacing w:val="0"/>
                <w:w w:val="100"/>
                <w:position w:val="0"/>
                <w:sz w:val="22"/>
                <w:szCs w:val="22"/>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台湾顺丰速运股份有限公司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37,757,554.68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4"/>
                <w:szCs w:val="24"/>
              </w:rPr>
              <w:t>337,113,760.49</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20,434,563.22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3,510,987.98</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乐丰保理</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59,784,684.27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540" w:firstLine="0"/>
              <w:jc w:val="righ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深圳市顺捷丰达速运有限公司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109,726.00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116,694.92</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翠玉控股及其附属公司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1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39,694,071.19</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118,086,528.17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380,435,514.58</w:t>
            </w:r>
          </w:p>
        </w:tc>
      </w:tr>
    </w:tbl>
    <w:p>
      <w:pPr>
        <w:spacing w:lineRule="exact" w:line="1"/>
        <w:rPr>
          <w:sz w:val="2"/>
          <w:szCs w:val="2"/>
        </w:rPr>
      </w:pPr>
      <w:r>
        <w:br w:type="page"/>
      </w:r>
    </w:p>
    <w:p>
      <w:pPr>
        <w:pStyle w:val="Style33"/>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2"/>
          <w:szCs w:val="22"/>
        </w:rPr>
        <w:t>八关联方关系及其交易</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7"/>
        <w:keepNext/>
        <w:keepLines/>
        <w:widowControl w:val="0"/>
        <w:shd w:val="clear" w:color="auto" w:fill="auto"/>
        <w:bidi w:val="0"/>
        <w:spacing w:before="0" w:after="340" w:line="240" w:lineRule="auto"/>
        <w:ind w:left="0" w:right="0" w:firstLine="0"/>
        <w:jc w:val="left"/>
      </w:pPr>
      <w:bookmarkStart w:id="1028" w:name="bookmark1028"/>
      <w:bookmarkStart w:id="1029" w:name="bookmark1029"/>
      <w:bookmarkStart w:id="1030" w:name="bookmark1030"/>
      <w:r>
        <w:rPr>
          <w:rFonts w:ascii="Arial" w:eastAsia="Arial" w:hAnsi="Arial" w:cs="Arial"/>
          <w:b w:val="0"/>
          <w:bCs w:val="0"/>
          <w:color w:val="000000"/>
          <w:spacing w:val="0"/>
          <w:w w:val="100"/>
          <w:position w:val="0"/>
          <w:sz w:val="24"/>
          <w:szCs w:val="24"/>
        </w:rPr>
        <w:t>(4)</w:t>
      </w:r>
      <w:r>
        <w:rPr>
          <w:color w:val="000000"/>
          <w:spacing w:val="0"/>
          <w:w w:val="100"/>
          <w:position w:val="0"/>
          <w:sz w:val="22"/>
          <w:szCs w:val="22"/>
        </w:rPr>
        <w:t>关联方应收、应付款项余额</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28"/>
      <w:bookmarkEnd w:id="1029"/>
      <w:bookmarkEnd w:id="1030"/>
    </w:p>
    <w:p>
      <w:pPr>
        <w:pStyle w:val="Style33"/>
        <w:keepNext w:val="0"/>
        <w:keepLines w:val="0"/>
        <w:widowControl w:val="0"/>
        <w:numPr>
          <w:ilvl w:val="0"/>
          <w:numId w:val="93"/>
        </w:numPr>
        <w:shd w:val="clear" w:color="auto" w:fill="auto"/>
        <w:tabs>
          <w:tab w:pos="715" w:val="left"/>
        </w:tabs>
        <w:bidi w:val="0"/>
        <w:spacing w:before="0" w:after="340" w:line="240" w:lineRule="auto"/>
        <w:ind w:left="0" w:right="0" w:firstLine="0"/>
        <w:jc w:val="left"/>
        <w:rPr>
          <w:sz w:val="22"/>
          <w:szCs w:val="22"/>
        </w:rPr>
      </w:pPr>
      <w:bookmarkStart w:id="1031" w:name="bookmark1031"/>
      <w:bookmarkEnd w:id="1031"/>
      <w:r>
        <w:rPr>
          <w:b w:val="0"/>
          <w:bCs w:val="0"/>
          <w:color w:val="000000"/>
          <w:spacing w:val="0"/>
          <w:w w:val="100"/>
          <w:position w:val="0"/>
          <w:sz w:val="22"/>
          <w:szCs w:val="22"/>
        </w:rPr>
        <w:t>预收款项</w:t>
      </w:r>
    </w:p>
    <w:p>
      <w:pPr>
        <w:pStyle w:val="Style94"/>
        <w:keepNext w:val="0"/>
        <w:keepLines w:val="0"/>
        <w:widowControl w:val="0"/>
        <w:shd w:val="clear" w:color="auto" w:fill="auto"/>
        <w:bidi w:val="0"/>
        <w:spacing w:before="0" w:after="340" w:line="240" w:lineRule="auto"/>
        <w:ind w:left="408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9"/>
        <w:keepNext w:val="0"/>
        <w:keepLines w:val="0"/>
        <w:widowControl w:val="0"/>
        <w:shd w:val="clear" w:color="auto" w:fill="auto"/>
        <w:tabs>
          <w:tab w:pos="4018" w:val="left"/>
          <w:tab w:leader="underscore" w:pos="4915" w:val="left"/>
          <w:tab w:pos="7224" w:val="left"/>
        </w:tabs>
        <w:bidi w:val="0"/>
        <w:spacing w:before="0" w:after="0" w:line="240" w:lineRule="auto"/>
        <w:ind w:left="0" w:right="0" w:firstLine="0"/>
        <w:jc w:val="center"/>
        <w:rPr>
          <w:sz w:val="24"/>
          <w:szCs w:val="24"/>
        </w:rPr>
      </w:pPr>
      <w:r>
        <w:rPr>
          <w:color w:val="000000"/>
          <w:spacing w:val="0"/>
          <w:w w:val="100"/>
          <w:position w:val="0"/>
          <w:sz w:val="22"/>
          <w:szCs w:val="22"/>
        </w:rPr>
        <w:t>商贸控股及其子公司</w:t>
        <w:tab/>
        <w:tab/>
      </w:r>
      <w:r>
        <w:rPr>
          <w:rFonts w:ascii="Arial" w:eastAsia="Arial" w:hAnsi="Arial" w:cs="Arial"/>
          <w:color w:val="000000"/>
          <w:spacing w:val="0"/>
          <w:w w:val="100"/>
          <w:position w:val="0"/>
          <w:sz w:val="24"/>
          <w:szCs w:val="24"/>
          <w:u w:val="single"/>
        </w:rPr>
        <w:t>402,385.27</w:t>
        <w:tab/>
        <w:t>1,100,369.52</w:t>
      </w:r>
    </w:p>
    <w:tbl>
      <w:tblPr>
        <w:tblOverlap w:val="never"/>
        <w:jc w:val="center"/>
        <w:tblLayout w:type="fixed"/>
      </w:tblPr>
      <w:tblGrid>
        <w:gridCol w:w="4032"/>
        <w:gridCol w:w="2347"/>
        <w:gridCol w:w="2486"/>
      </w:tblGrid>
      <w:tr>
        <w:trPr>
          <w:trHeight w:val="845" w:hRule="exact"/>
        </w:trPr>
        <w:tc>
          <w:tcPr>
            <w:tcBorders/>
            <w:shd w:val="clear" w:color="auto" w:fill="FFFFFF"/>
            <w:vAlign w:val="bottom"/>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(g)</w:t>
              <w:tab/>
            </w:r>
            <w:r>
              <w:rPr>
                <w:color w:val="000000"/>
                <w:spacing w:val="0"/>
                <w:w w:val="100"/>
                <w:position w:val="0"/>
                <w:sz w:val="22"/>
                <w:szCs w:val="22"/>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合丰小额贷款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130,630,220.57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商贸控股及其子公司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4"/>
                <w:szCs w:val="24"/>
              </w:rPr>
              <w:t>71,141,660.50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12,089,125.47</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乐丰保理</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4"/>
                <w:szCs w:val="24"/>
              </w:rPr>
              <w:t>19,023,584.36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顺诚融资租赁及其子公司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4"/>
                <w:szCs w:val="24"/>
              </w:rPr>
              <w:t>18,905,433.89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Collect&amp;Returns International Limited</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Arial" w:eastAsia="Arial" w:hAnsi="Arial" w:cs="Arial"/>
                <w:color w:val="000000"/>
                <w:spacing w:val="0"/>
                <w:w w:val="100"/>
                <w:position w:val="0"/>
                <w:sz w:val="24"/>
                <w:szCs w:val="24"/>
              </w:rPr>
              <w:t>15,000,000.00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15,000,017.97</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马鞍山市顺泰稀土新材料有限公司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5,783,037.94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牵趣网络及其子公司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806,495.94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台湾顺丰速运股份有限公司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26,437.73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98,573.37</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深圳市顺捷丰达速运有限公司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2,000.00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261,316,870.93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27,189,716.81</w:t>
            </w:r>
          </w:p>
        </w:tc>
      </w:tr>
    </w:tbl>
    <w:p>
      <w:pPr>
        <w:sectPr>
          <w:footnotePr>
            <w:pos w:val="pageBottom"/>
            <w:numFmt w:val="decimal"/>
            <w:numRestart w:val="continuous"/>
          </w:footnotePr>
          <w:pgSz w:w="11900" w:h="16840"/>
          <w:pgMar w:top="1734" w:right="1072" w:bottom="4484" w:left="1962" w:header="0" w:footer="3" w:gutter="0"/>
          <w:cols w:space="720"/>
          <w:noEndnote/>
          <w:rtlGutter w:val="0"/>
          <w:docGrid w:linePitch="360"/>
        </w:sectPr>
      </w:pPr>
    </w:p>
    <w:p>
      <w:pPr>
        <w:pStyle w:val="Style27"/>
        <w:keepNext/>
        <w:keepLines/>
        <w:widowControl w:val="0"/>
        <w:shd w:val="clear" w:color="auto" w:fill="auto"/>
        <w:bidi w:val="0"/>
        <w:spacing w:before="0" w:after="400" w:line="240" w:lineRule="auto"/>
        <w:ind w:left="0" w:right="0" w:firstLine="0"/>
        <w:jc w:val="left"/>
        <w:rPr>
          <w:sz w:val="22"/>
          <w:szCs w:val="22"/>
        </w:rPr>
      </w:pPr>
      <w:bookmarkStart w:id="1032" w:name="bookmark1032"/>
      <w:bookmarkStart w:id="1033" w:name="bookmark1033"/>
      <w:bookmarkStart w:id="1034" w:name="bookmark1034"/>
      <w:r>
        <w:rPr>
          <w:color w:val="000000"/>
          <w:spacing w:val="0"/>
          <w:w w:val="100"/>
          <w:position w:val="0"/>
          <w:sz w:val="22"/>
          <w:szCs w:val="22"/>
        </w:rPr>
        <w:t>九承诺事项</w:t>
      </w:r>
      <w:bookmarkEnd w:id="1032"/>
      <w:bookmarkEnd w:id="1033"/>
      <w:bookmarkEnd w:id="1034"/>
    </w:p>
    <w:p>
      <w:pPr>
        <w:pStyle w:val="Style27"/>
        <w:keepNext/>
        <w:keepLines/>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1753" w:right="1072" w:bottom="2871" w:left="1962" w:header="0" w:footer="3" w:gutter="0"/>
          <w:cols w:space="720"/>
          <w:noEndnote/>
          <w:rtlGutter w:val="0"/>
          <w:docGrid w:linePitch="360"/>
        </w:sectPr>
      </w:pPr>
      <w:bookmarkStart w:id="1032" w:name="bookmark1032"/>
      <w:bookmarkStart w:id="1033" w:name="bookmark1033"/>
      <w:bookmarkStart w:id="1035" w:name="bookmark1035"/>
      <w:r>
        <w:rPr>
          <w:rFonts w:ascii="Arial" w:eastAsia="Arial" w:hAnsi="Arial" w:cs="Arial"/>
          <w:b w:val="0"/>
          <w:bCs w:val="0"/>
          <w:color w:val="000000"/>
          <w:spacing w:val="0"/>
          <w:w w:val="100"/>
          <w:position w:val="0"/>
          <w:sz w:val="24"/>
          <w:szCs w:val="24"/>
        </w:rPr>
        <w:t>(1)</w:t>
      </w:r>
      <w:r>
        <w:rPr>
          <w:color w:val="000000"/>
          <w:spacing w:val="0"/>
          <w:w w:val="100"/>
          <w:position w:val="0"/>
          <w:sz w:val="22"/>
          <w:szCs w:val="22"/>
        </w:rPr>
        <w:t>资本性支出承诺事项</w:t>
      </w:r>
      <w:bookmarkEnd w:id="1032"/>
      <w:bookmarkEnd w:id="1033"/>
      <w:bookmarkEnd w:id="1035"/>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5" w:right="0" w:bottom="969" w:left="0" w:header="0" w:footer="3" w:gutter="0"/>
          <w:cols w:space="720"/>
          <w:noEndnote/>
          <w:rtlGutter w:val="0"/>
          <w:docGrid w:linePitch="360"/>
        </w:sectPr>
      </w:pPr>
    </w:p>
    <w:p>
      <w:pPr>
        <w:pStyle w:val="Style33"/>
        <w:keepNext w:val="0"/>
        <w:keepLines w:val="0"/>
        <w:framePr w:w="3130" w:h="614" w:wrap="none" w:vAnchor="text" w:hAnchor="page" w:x="1968" w:y="21"/>
        <w:widowControl w:val="0"/>
        <w:shd w:val="clear" w:color="auto" w:fill="auto"/>
        <w:bidi w:val="0"/>
        <w:spacing w:before="0" w:after="60" w:line="240" w:lineRule="auto"/>
        <w:ind w:left="0" w:right="0" w:firstLine="0"/>
        <w:jc w:val="left"/>
        <w:rPr>
          <w:sz w:val="22"/>
          <w:szCs w:val="22"/>
        </w:rPr>
      </w:pPr>
      <w:r>
        <w:rPr>
          <w:b w:val="0"/>
          <w:bCs w:val="0"/>
          <w:color w:val="000000"/>
          <w:spacing w:val="0"/>
          <w:w w:val="100"/>
          <w:position w:val="0"/>
          <w:sz w:val="22"/>
          <w:szCs w:val="22"/>
        </w:rPr>
        <w:t>以下为本集团于资产负债表日</w:t>
      </w:r>
    </w:p>
    <w:p>
      <w:pPr>
        <w:pStyle w:val="Style33"/>
        <w:keepNext w:val="0"/>
        <w:keepLines w:val="0"/>
        <w:framePr w:w="3130" w:h="614" w:wrap="none" w:vAnchor="text" w:hAnchor="page" w:x="1968" w:y="21"/>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诺：</w:t>
      </w:r>
    </w:p>
    <w:p>
      <w:pPr>
        <w:pStyle w:val="Style33"/>
        <w:keepNext w:val="0"/>
        <w:keepLines w:val="0"/>
        <w:framePr w:w="5539" w:h="288" w:wrap="none" w:vAnchor="text" w:hAnchor="page" w:x="5251" w:y="21"/>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已签约而尚不必在资产负债表上列示的资本性支出承</w:t>
      </w: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435" w:right="1072" w:bottom="969" w:left="1962" w:header="0" w:footer="3" w:gutter="0"/>
          <w:cols w:space="720"/>
          <w:noEndnote/>
          <w:rtlGutter w:val="0"/>
          <w:docGrid w:linePitch="360"/>
        </w:sectPr>
      </w:pPr>
    </w:p>
    <w:p>
      <w:pPr>
        <w:widowControl w:val="0"/>
        <w:spacing w:line="75" w:lineRule="exact"/>
        <w:rPr>
          <w:sz w:val="6"/>
          <w:szCs w:val="6"/>
        </w:rPr>
      </w:pPr>
    </w:p>
    <w:p>
      <w:pPr>
        <w:widowControl w:val="0"/>
        <w:spacing w:line="1" w:lineRule="exact"/>
        <w:sectPr>
          <w:footnotePr>
            <w:pos w:val="pageBottom"/>
            <w:numFmt w:val="decimal"/>
            <w:numRestart w:val="continuous"/>
          </w:footnotePr>
          <w:type w:val="continuous"/>
          <w:pgSz w:w="11900" w:h="16840"/>
          <w:pgMar w:top="1753" w:right="0" w:bottom="2871"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53" w:right="1245" w:bottom="2871" w:left="6038" w:header="0" w:footer="3" w:gutter="0"/>
          <w:cols w:num="2" w:space="374"/>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180" w:lineRule="exact"/>
        <w:rPr>
          <w:sz w:val="14"/>
          <w:szCs w:val="14"/>
        </w:rPr>
      </w:pPr>
    </w:p>
    <w:p>
      <w:pPr>
        <w:widowControl w:val="0"/>
        <w:spacing w:line="1" w:lineRule="exact"/>
        <w:sectPr>
          <w:footnotePr>
            <w:pos w:val="pageBottom"/>
            <w:numFmt w:val="decimal"/>
            <w:numRestart w:val="continuous"/>
          </w:footnotePr>
          <w:type w:val="continuous"/>
          <w:pgSz w:w="11900" w:h="16840"/>
          <w:pgMar w:top="1753" w:right="0" w:bottom="2871"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617" behindDoc="0" locked="0" layoutInCell="1" allowOverlap="1">
                <wp:simplePos x="0" y="0"/>
                <wp:positionH relativeFrom="page">
                  <wp:posOffset>1245870</wp:posOffset>
                </wp:positionH>
                <wp:positionV relativeFrom="paragraph">
                  <wp:posOffset>12700</wp:posOffset>
                </wp:positionV>
                <wp:extent cx="1700530" cy="618490"/>
                <wp:wrapSquare wrapText="bothSides"/>
                <wp:docPr id="708" name="Shape 708"/>
                <a:graphic xmlns:a="http://schemas.openxmlformats.org/drawingml/2006/main">
                  <a:graphicData uri="http://schemas.microsoft.com/office/word/2010/wordprocessingShape">
                    <wps:wsp>
                      <wps:cNvSpPr txBox="1"/>
                      <wps:spPr>
                        <a:xfrm>
                          <a:ext cx="1700530" cy="618490"/>
                        </a:xfrm>
                        <a:prstGeom prst="rect"/>
                        <a:noFill/>
                      </wps:spPr>
                      <wps:txbx>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房屋、建筑物及机器设备 开发支出</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其他</w:t>
                            </w:r>
                          </w:p>
                        </w:txbxContent>
                      </wps:txbx>
                      <wps:bodyPr lIns="0" tIns="0" rIns="0" bIns="0">
                        <a:noAutoFit/>
                      </wps:bodyPr>
                    </wps:wsp>
                  </a:graphicData>
                </a:graphic>
              </wp:anchor>
            </w:drawing>
          </mc:Choice>
          <mc:Fallback>
            <w:pict>
              <v:shape id="_x0000_s1734" type="#_x0000_t202" style="position:absolute;margin-left:98.100000000000009pt;margin-top:1.pt;width:133.90000000000001pt;height:48.700000000000003pt;z-index:-125829136;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房屋、建筑物及机器设备 开发支出</w:t>
                      </w:r>
                    </w:p>
                    <w:p>
                      <w:pPr>
                        <w:pStyle w:val="Style33"/>
                        <w:keepNext w:val="0"/>
                        <w:keepLines w:val="0"/>
                        <w:widowControl w:val="0"/>
                        <w:shd w:val="clear" w:color="auto" w:fill="auto"/>
                        <w:bidi w:val="0"/>
                        <w:spacing w:before="0" w:after="0" w:line="317" w:lineRule="exact"/>
                        <w:ind w:left="0" w:right="0" w:firstLine="0"/>
                        <w:jc w:val="left"/>
                        <w:rPr>
                          <w:sz w:val="22"/>
                          <w:szCs w:val="22"/>
                        </w:rPr>
                      </w:pPr>
                      <w:r>
                        <w:rPr>
                          <w:b w:val="0"/>
                          <w:bCs w:val="0"/>
                          <w:color w:val="000000"/>
                          <w:spacing w:val="0"/>
                          <w:w w:val="100"/>
                          <w:position w:val="0"/>
                          <w:sz w:val="22"/>
                          <w:szCs w:val="22"/>
                        </w:rPr>
                        <w:t>其他</w:t>
                      </w:r>
                    </w:p>
                  </w:txbxContent>
                </v:textbox>
                <w10:wrap type="square" anchorx="page"/>
              </v:shape>
            </w:pict>
          </mc:Fallback>
        </mc:AlternateContent>
      </w:r>
    </w:p>
    <w:p>
      <w:pPr>
        <w:pStyle w:val="Style9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2,218,598,055.24</w:t>
      </w:r>
    </w:p>
    <w:p>
      <w:pPr>
        <w:pStyle w:val="Style94"/>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4,924,407.00</w:t>
      </w:r>
    </w:p>
    <w:p>
      <w:pPr>
        <w:pStyle w:val="Style94"/>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sz w:val="24"/>
          <w:szCs w:val="24"/>
        </w:rPr>
        <w:t>174,943,015.76</w:t>
      </w:r>
    </w:p>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2,398,465,478.00</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821,373,666.75</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9,848,814.00</w:t>
      </w:r>
    </w:p>
    <w:p>
      <w:pPr>
        <w:pStyle w:val="Style94"/>
        <w:keepNext w:val="0"/>
        <w:keepLines w:val="0"/>
        <w:widowControl w:val="0"/>
        <w:shd w:val="clear" w:color="auto" w:fill="auto"/>
        <w:bidi w:val="0"/>
        <w:spacing w:before="0" w:after="0" w:line="240" w:lineRule="auto"/>
        <w:ind w:left="0" w:right="0" w:firstLine="0"/>
        <w:jc w:val="right"/>
      </w:pPr>
      <w:bookmarkStart w:id="1036" w:name="bookmark1036"/>
      <w:r>
        <w:rPr>
          <w:color w:val="000000"/>
          <w:spacing w:val="0"/>
          <w:w w:val="100"/>
          <w:position w:val="0"/>
          <w:sz w:val="24"/>
          <w:szCs w:val="24"/>
        </w:rPr>
        <w:t>7</w:t>
      </w:r>
      <w:bookmarkEnd w:id="1036"/>
      <w:r>
        <w:rPr>
          <w:color w:val="000000"/>
          <w:spacing w:val="0"/>
          <w:w w:val="100"/>
          <w:position w:val="0"/>
          <w:sz w:val="24"/>
          <w:szCs w:val="24"/>
        </w:rPr>
        <w:t>3,103,903.57</w:t>
      </w:r>
    </w:p>
    <w:p>
      <w:pPr>
        <w:pStyle w:val="Style9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8"/>
          <w:szCs w:val="28"/>
        </w:rPr>
        <w:sectPr>
          <w:footnotePr>
            <w:pos w:val="pageBottom"/>
            <w:numFmt w:val="decimal"/>
            <w:numRestart w:val="continuous"/>
          </w:footnotePr>
          <w:type w:val="continuous"/>
          <w:pgSz w:w="11900" w:h="16840"/>
          <w:pgMar w:top="1753" w:right="1259" w:bottom="2871" w:left="6215" w:header="0" w:footer="3" w:gutter="0"/>
          <w:cols w:num="2" w:space="751"/>
          <w:noEndnote/>
          <w:rtlGutter w:val="0"/>
          <w:docGrid w:linePitch="360"/>
        </w:sectPr>
      </w:pPr>
      <w:r>
        <w:rPr>
          <w:color w:val="000000"/>
          <w:spacing w:val="0"/>
          <w:w w:val="100"/>
          <w:position w:val="0"/>
          <w:sz w:val="24"/>
          <w:szCs w:val="24"/>
        </w:rPr>
        <w:t>904,326,384</w:t>
      </w:r>
      <w:r>
        <w:rPr>
          <w:rFonts w:ascii="SimSun" w:eastAsia="SimSun" w:hAnsi="SimSun" w:cs="SimSun"/>
          <w:color w:val="000000"/>
          <w:spacing w:val="0"/>
          <w:w w:val="100"/>
          <w:position w:val="0"/>
          <w:sz w:val="28"/>
          <w:szCs w:val="28"/>
        </w:rPr>
        <w:t>豆</w: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53" w:right="0" w:bottom="2871" w:left="0"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rPr>
          <w:sz w:val="22"/>
          <w:szCs w:val="22"/>
        </w:rPr>
      </w:pPr>
      <w:bookmarkStart w:id="1037" w:name="bookmark1037"/>
      <w:bookmarkStart w:id="1038" w:name="bookmark1038"/>
      <w:bookmarkStart w:id="1039" w:name="bookmark1039"/>
      <w:r>
        <w:rPr>
          <w:rFonts w:ascii="Arial" w:eastAsia="Arial" w:hAnsi="Arial" w:cs="Arial"/>
          <w:b w:val="0"/>
          <w:bCs w:val="0"/>
          <w:color w:val="000000"/>
          <w:spacing w:val="0"/>
          <w:w w:val="100"/>
          <w:position w:val="0"/>
          <w:sz w:val="24"/>
          <w:szCs w:val="24"/>
        </w:rPr>
        <w:t>(2)</w:t>
      </w:r>
      <w:r>
        <w:rPr>
          <w:color w:val="000000"/>
          <w:spacing w:val="0"/>
          <w:w w:val="100"/>
          <w:position w:val="0"/>
          <w:sz w:val="22"/>
          <w:szCs w:val="22"/>
        </w:rPr>
        <w:t>经营租赁承诺事项</w:t>
      </w:r>
      <w:bookmarkEnd w:id="1037"/>
      <w:bookmarkEnd w:id="1038"/>
      <w:bookmarkEnd w:id="1039"/>
    </w:p>
    <w:p>
      <w:pPr>
        <w:pStyle w:val="Style33"/>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53" w:right="1105" w:bottom="2871" w:left="1962" w:header="0" w:footer="3" w:gutter="0"/>
          <w:cols w:space="720"/>
          <w:noEndnote/>
          <w:rtlGutter w:val="0"/>
          <w:docGrid w:linePitch="360"/>
        </w:sectPr>
      </w:pPr>
      <w:r>
        <w:rPr>
          <w:b w:val="0"/>
          <w:bCs w:val="0"/>
          <w:color w:val="000000"/>
          <w:spacing w:val="0"/>
          <w:w w:val="100"/>
          <w:position w:val="0"/>
          <w:sz w:val="22"/>
          <w:szCs w:val="22"/>
        </w:rPr>
        <w:t>根据已签订的不可撤销的经营性租赁合同，本集团未来最低应支付租金汇总如下:</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753" w:right="0" w:bottom="2871"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53" w:right="1245" w:bottom="2871" w:left="6038" w:header="0" w:footer="3" w:gutter="0"/>
          <w:cols w:num="2" w:space="374"/>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435" w:right="0" w:bottom="969" w:left="0" w:header="0" w:footer="3" w:gutter="0"/>
          <w:cols w:space="720"/>
          <w:noEndnote/>
          <w:rtlGutter w:val="0"/>
          <w:docGrid w:linePitch="360"/>
        </w:sectPr>
      </w:pPr>
    </w:p>
    <w:p>
      <w:pPr>
        <w:pStyle w:val="Style33"/>
        <w:keepNext w:val="0"/>
        <w:keepLines w:val="0"/>
        <w:framePr w:w="994" w:h="1296" w:wrap="none" w:vAnchor="text" w:hAnchor="page" w:x="1968" w:y="21"/>
        <w:widowControl w:val="0"/>
        <w:shd w:val="clear" w:color="auto" w:fill="auto"/>
        <w:bidi w:val="0"/>
        <w:spacing w:before="0" w:after="0" w:line="320" w:lineRule="exact"/>
        <w:ind w:left="0" w:right="0" w:firstLine="0"/>
        <w:jc w:val="both"/>
        <w:rPr>
          <w:sz w:val="22"/>
          <w:szCs w:val="22"/>
        </w:rPr>
      </w:pPr>
      <w:r>
        <w:rPr>
          <w:b w:val="0"/>
          <w:bCs w:val="0"/>
          <w:color w:val="000000"/>
          <w:spacing w:val="0"/>
          <w:w w:val="100"/>
          <w:position w:val="0"/>
          <w:sz w:val="22"/>
          <w:szCs w:val="22"/>
        </w:rPr>
        <w:t>一年以内 一到二年 二到三年 三年以上</w:t>
      </w:r>
    </w:p>
    <w:p>
      <w:pPr>
        <w:pStyle w:val="Style94"/>
        <w:keepNext w:val="0"/>
        <w:keepLines w:val="0"/>
        <w:framePr w:w="1910" w:h="1589" w:wrap="none" w:vAnchor="text" w:hAnchor="page" w:x="6221" w:y="44"/>
        <w:widowControl w:val="0"/>
        <w:shd w:val="clear" w:color="auto" w:fill="auto"/>
        <w:bidi w:val="0"/>
        <w:spacing w:before="0" w:after="40" w:line="240" w:lineRule="auto"/>
        <w:ind w:left="0" w:right="0" w:firstLine="0"/>
        <w:jc w:val="left"/>
      </w:pPr>
      <w:r>
        <w:rPr>
          <w:color w:val="000000"/>
          <w:spacing w:val="0"/>
          <w:w w:val="100"/>
          <w:position w:val="0"/>
          <w:sz w:val="24"/>
          <w:szCs w:val="24"/>
        </w:rPr>
        <w:t>1,969,330,033.94</w:t>
      </w:r>
    </w:p>
    <w:p>
      <w:pPr>
        <w:pStyle w:val="Style94"/>
        <w:keepNext w:val="0"/>
        <w:keepLines w:val="0"/>
        <w:framePr w:w="1910" w:h="1589" w:wrap="none" w:vAnchor="text" w:hAnchor="page" w:x="6221" w:y="44"/>
        <w:widowControl w:val="0"/>
        <w:shd w:val="clear" w:color="auto" w:fill="auto"/>
        <w:bidi w:val="0"/>
        <w:spacing w:before="0" w:after="40" w:line="240" w:lineRule="auto"/>
        <w:ind w:left="0" w:right="0" w:firstLine="0"/>
        <w:jc w:val="left"/>
      </w:pPr>
      <w:r>
        <w:rPr>
          <w:color w:val="000000"/>
          <w:spacing w:val="0"/>
          <w:w w:val="100"/>
          <w:position w:val="0"/>
          <w:sz w:val="24"/>
          <w:szCs w:val="24"/>
        </w:rPr>
        <w:t>1,227,242,343.07</w:t>
      </w:r>
    </w:p>
    <w:p>
      <w:pPr>
        <w:pStyle w:val="Style94"/>
        <w:keepNext w:val="0"/>
        <w:keepLines w:val="0"/>
        <w:framePr w:w="1910" w:h="1589" w:wrap="none" w:vAnchor="text" w:hAnchor="page" w:x="6221" w:y="44"/>
        <w:widowControl w:val="0"/>
        <w:shd w:val="clear" w:color="auto" w:fill="auto"/>
        <w:bidi w:val="0"/>
        <w:spacing w:before="0" w:after="40" w:line="240" w:lineRule="auto"/>
        <w:ind w:left="0" w:right="0" w:firstLine="220"/>
        <w:jc w:val="left"/>
      </w:pPr>
      <w:r>
        <w:rPr>
          <w:color w:val="000000"/>
          <w:spacing w:val="0"/>
          <w:w w:val="100"/>
          <w:position w:val="0"/>
          <w:sz w:val="24"/>
          <w:szCs w:val="24"/>
        </w:rPr>
        <w:t>730,462,604.51</w:t>
      </w:r>
    </w:p>
    <w:p>
      <w:pPr>
        <w:pStyle w:val="Style94"/>
        <w:keepNext w:val="0"/>
        <w:keepLines w:val="0"/>
        <w:framePr w:w="1910" w:h="1589" w:wrap="none" w:vAnchor="text" w:hAnchor="page" w:x="6221" w:y="44"/>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1,506,215,403.34</w:t>
      </w:r>
    </w:p>
    <w:p>
      <w:pPr>
        <w:pStyle w:val="Style94"/>
        <w:keepNext w:val="0"/>
        <w:keepLines w:val="0"/>
        <w:framePr w:w="1910" w:h="1589" w:wrap="none" w:vAnchor="text" w:hAnchor="page" w:x="6221" w:y="44"/>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5,433,250,384.86</w:t>
      </w:r>
    </w:p>
    <w:p>
      <w:pPr>
        <w:pStyle w:val="Style94"/>
        <w:keepNext w:val="0"/>
        <w:keepLines w:val="0"/>
        <w:framePr w:w="1910" w:h="1589" w:wrap="none" w:vAnchor="text" w:hAnchor="page" w:x="8712" w:y="44"/>
        <w:widowControl w:val="0"/>
        <w:shd w:val="clear" w:color="auto" w:fill="auto"/>
        <w:bidi w:val="0"/>
        <w:spacing w:before="0" w:after="40" w:line="240" w:lineRule="auto"/>
        <w:ind w:left="0" w:right="0" w:firstLine="0"/>
        <w:jc w:val="left"/>
      </w:pPr>
      <w:r>
        <w:rPr>
          <w:color w:val="000000"/>
          <w:spacing w:val="0"/>
          <w:w w:val="100"/>
          <w:position w:val="0"/>
          <w:sz w:val="24"/>
          <w:szCs w:val="24"/>
        </w:rPr>
        <w:t>1,648,205,083.75</w:t>
      </w:r>
    </w:p>
    <w:p>
      <w:pPr>
        <w:pStyle w:val="Style94"/>
        <w:keepNext w:val="0"/>
        <w:keepLines w:val="0"/>
        <w:framePr w:w="1910" w:h="1589" w:wrap="none" w:vAnchor="text" w:hAnchor="page" w:x="8712" w:y="44"/>
        <w:widowControl w:val="0"/>
        <w:shd w:val="clear" w:color="auto" w:fill="auto"/>
        <w:bidi w:val="0"/>
        <w:spacing w:before="0" w:after="40" w:line="240" w:lineRule="auto"/>
        <w:ind w:left="0" w:right="0" w:firstLine="0"/>
        <w:jc w:val="left"/>
      </w:pPr>
      <w:r>
        <w:rPr>
          <w:color w:val="000000"/>
          <w:spacing w:val="0"/>
          <w:w w:val="100"/>
          <w:position w:val="0"/>
          <w:sz w:val="24"/>
          <w:szCs w:val="24"/>
        </w:rPr>
        <w:t>1,048,356,068.76</w:t>
      </w:r>
    </w:p>
    <w:p>
      <w:pPr>
        <w:pStyle w:val="Style94"/>
        <w:keepNext w:val="0"/>
        <w:keepLines w:val="0"/>
        <w:framePr w:w="1910" w:h="1589" w:wrap="none" w:vAnchor="text" w:hAnchor="page" w:x="8712" w:y="44"/>
        <w:widowControl w:val="0"/>
        <w:shd w:val="clear" w:color="auto" w:fill="auto"/>
        <w:bidi w:val="0"/>
        <w:spacing w:before="0" w:after="40" w:line="240" w:lineRule="auto"/>
        <w:ind w:left="0" w:right="0" w:firstLine="0"/>
        <w:jc w:val="right"/>
      </w:pPr>
      <w:r>
        <w:rPr>
          <w:color w:val="000000"/>
          <w:spacing w:val="0"/>
          <w:w w:val="100"/>
          <w:position w:val="0"/>
          <w:sz w:val="24"/>
          <w:szCs w:val="24"/>
        </w:rPr>
        <w:t>623,288,277.35</w:t>
      </w:r>
    </w:p>
    <w:p>
      <w:pPr>
        <w:pStyle w:val="Style94"/>
        <w:keepNext w:val="0"/>
        <w:keepLines w:val="0"/>
        <w:framePr w:w="1910" w:h="1589" w:wrap="none" w:vAnchor="text" w:hAnchor="page" w:x="8712" w:y="44"/>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1,481,168,303.35</w:t>
      </w:r>
    </w:p>
    <w:p>
      <w:pPr>
        <w:pStyle w:val="Style94"/>
        <w:keepNext w:val="0"/>
        <w:keepLines w:val="0"/>
        <w:framePr w:w="1910" w:h="1589" w:wrap="none" w:vAnchor="text" w:hAnchor="page" w:x="8712" w:y="44"/>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z w:val="24"/>
          <w:szCs w:val="24"/>
        </w:rPr>
        <w:t>4,801,017,733.21</w:t>
      </w: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435" w:right="1072" w:bottom="969" w:left="1962" w:header="0" w:footer="3" w:gutter="0"/>
          <w:cols w:space="720"/>
          <w:noEndnote/>
          <w:rtlGutter w:val="0"/>
          <w:docGrid w:linePitch="360"/>
        </w:sectPr>
      </w:pPr>
    </w:p>
    <w:p>
      <w:pPr>
        <w:widowControl w:val="0"/>
        <w:spacing w:line="100" w:lineRule="exact"/>
        <w:rPr>
          <w:sz w:val="8"/>
          <w:szCs w:val="8"/>
        </w:rPr>
      </w:pPr>
    </w:p>
    <w:p>
      <w:pPr>
        <w:widowControl w:val="0"/>
        <w:spacing w:line="1" w:lineRule="exact"/>
        <w:sectPr>
          <w:footnotePr>
            <w:pos w:val="pageBottom"/>
            <w:numFmt w:val="decimal"/>
            <w:numRestart w:val="continuous"/>
          </w:footnotePr>
          <w:type w:val="continuous"/>
          <w:pgSz w:w="11900" w:h="16840"/>
          <w:pgMar w:top="1719" w:right="0" w:bottom="2837" w:left="0" w:header="0" w:footer="3" w:gutter="0"/>
          <w:cols w:space="720"/>
          <w:noEndnote/>
          <w:rtlGutter w:val="0"/>
          <w:docGrid w:linePitch="360"/>
        </w:sectPr>
      </w:pPr>
    </w:p>
    <w:p>
      <w:pPr>
        <w:pStyle w:val="Style27"/>
        <w:keepNext/>
        <w:keepLines/>
        <w:widowControl w:val="0"/>
        <w:numPr>
          <w:ilvl w:val="0"/>
          <w:numId w:val="95"/>
        </w:numPr>
        <w:shd w:val="clear" w:color="auto" w:fill="auto"/>
        <w:bidi w:val="0"/>
        <w:spacing w:before="0" w:after="300" w:line="240" w:lineRule="auto"/>
        <w:ind w:left="0" w:right="0" w:firstLine="0"/>
        <w:jc w:val="both"/>
        <w:rPr>
          <w:sz w:val="22"/>
          <w:szCs w:val="22"/>
        </w:rPr>
      </w:pPr>
      <w:bookmarkStart w:id="1040" w:name="bookmark1040"/>
      <w:bookmarkStart w:id="1041" w:name="bookmark1041"/>
      <w:bookmarkStart w:id="1042" w:name="bookmark1042"/>
      <w:bookmarkStart w:id="1043" w:name="bookmark1043"/>
      <w:bookmarkEnd w:id="1042"/>
      <w:r>
        <w:rPr>
          <w:color w:val="000000"/>
          <w:spacing w:val="0"/>
          <w:w w:val="100"/>
          <w:position w:val="0"/>
          <w:sz w:val="22"/>
          <w:szCs w:val="22"/>
        </w:rPr>
        <w:t>盈利补偿承诺事项</w:t>
      </w:r>
      <w:bookmarkEnd w:id="1040"/>
      <w:bookmarkEnd w:id="1041"/>
      <w:bookmarkEnd w:id="1043"/>
    </w:p>
    <w:p>
      <w:pPr>
        <w:pStyle w:val="Style33"/>
        <w:keepNext w:val="0"/>
        <w:keepLines w:val="0"/>
        <w:widowControl w:val="0"/>
        <w:shd w:val="clear" w:color="auto" w:fill="auto"/>
        <w:bidi w:val="0"/>
        <w:spacing w:before="0" w:after="0" w:line="321" w:lineRule="exact"/>
        <w:ind w:left="0" w:right="0" w:firstLine="0"/>
        <w:jc w:val="both"/>
        <w:rPr>
          <w:sz w:val="22"/>
          <w:szCs w:val="22"/>
        </w:rPr>
      </w:pPr>
      <w:r>
        <w:rPr>
          <w:b w:val="0"/>
          <w:bCs w:val="0"/>
          <w:color w:val="000000"/>
          <w:spacing w:val="0"/>
          <w:w w:val="100"/>
          <w:position w:val="0"/>
          <w:sz w:val="22"/>
          <w:szCs w:val="22"/>
        </w:rPr>
        <w:t>根据本公司与明德控股、顺达丰润、嘉强顺风、赵广投资、元禾顺风、古玉秋创及顺 信丰合于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6</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14</w:t>
      </w:r>
      <w:r>
        <w:rPr>
          <w:b w:val="0"/>
          <w:bCs w:val="0"/>
          <w:color w:val="000000"/>
          <w:spacing w:val="0"/>
          <w:w w:val="100"/>
          <w:position w:val="0"/>
          <w:sz w:val="22"/>
          <w:szCs w:val="22"/>
        </w:rPr>
        <w:t>日签署的《盈利预测补偿协议》及</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日签署 的《盈利预测补偿协议之补充协议》(统称“补偿协议”)，为保证本公司及其股东的 合法权益，明德控股、顺达丰润、嘉强顺风、赵广投资、元禾顺风、古玉秋创及顺信 丰合承诺重大资产重组实施完毕后，泰森控股在</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年度、</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年度和</w:t>
      </w:r>
      <w:r>
        <w:rPr>
          <w:rFonts w:ascii="Arial" w:eastAsia="Arial" w:hAnsi="Arial" w:cs="Arial"/>
          <w:b w:val="0"/>
          <w:bCs w:val="0"/>
          <w:color w:val="000000"/>
          <w:spacing w:val="0"/>
          <w:w w:val="100"/>
          <w:position w:val="0"/>
          <w:sz w:val="24"/>
          <w:szCs w:val="24"/>
        </w:rPr>
        <w:t>2018</w:t>
      </w:r>
      <w:r>
        <w:rPr>
          <w:b w:val="0"/>
          <w:bCs w:val="0"/>
          <w:color w:val="000000"/>
          <w:spacing w:val="0"/>
          <w:w w:val="100"/>
          <w:position w:val="0"/>
          <w:sz w:val="22"/>
          <w:szCs w:val="22"/>
        </w:rPr>
        <w:t>年度 预测实现的合并报表范围扣除非经常性损益后归属于母公司所有者的净利润分别不 低于</w:t>
      </w:r>
      <w:r>
        <w:rPr>
          <w:rFonts w:ascii="Arial" w:eastAsia="Arial" w:hAnsi="Arial" w:cs="Arial"/>
          <w:b w:val="0"/>
          <w:bCs w:val="0"/>
          <w:color w:val="000000"/>
          <w:spacing w:val="0"/>
          <w:w w:val="100"/>
          <w:position w:val="0"/>
          <w:sz w:val="24"/>
          <w:szCs w:val="24"/>
        </w:rPr>
        <w:t>218,500</w:t>
      </w:r>
      <w:r>
        <w:rPr>
          <w:b w:val="0"/>
          <w:bCs w:val="0"/>
          <w:color w:val="000000"/>
          <w:spacing w:val="0"/>
          <w:w w:val="100"/>
          <w:position w:val="0"/>
          <w:sz w:val="22"/>
          <w:szCs w:val="22"/>
        </w:rPr>
        <w:t>万元、</w:t>
      </w:r>
      <w:r>
        <w:rPr>
          <w:rFonts w:ascii="Arial" w:eastAsia="Arial" w:hAnsi="Arial" w:cs="Arial"/>
          <w:b w:val="0"/>
          <w:bCs w:val="0"/>
          <w:color w:val="000000"/>
          <w:spacing w:val="0"/>
          <w:w w:val="100"/>
          <w:position w:val="0"/>
          <w:sz w:val="24"/>
          <w:szCs w:val="24"/>
        </w:rPr>
        <w:t>281,500</w:t>
      </w:r>
      <w:r>
        <w:rPr>
          <w:b w:val="0"/>
          <w:bCs w:val="0"/>
          <w:color w:val="000000"/>
          <w:spacing w:val="0"/>
          <w:w w:val="100"/>
          <w:position w:val="0"/>
          <w:sz w:val="22"/>
          <w:szCs w:val="22"/>
        </w:rPr>
        <w:t>万元和</w:t>
      </w:r>
      <w:r>
        <w:rPr>
          <w:rFonts w:ascii="Arial" w:eastAsia="Arial" w:hAnsi="Arial" w:cs="Arial"/>
          <w:b w:val="0"/>
          <w:bCs w:val="0"/>
          <w:color w:val="000000"/>
          <w:spacing w:val="0"/>
          <w:w w:val="100"/>
          <w:position w:val="0"/>
          <w:sz w:val="24"/>
          <w:szCs w:val="24"/>
        </w:rPr>
        <w:t>348,800</w:t>
      </w:r>
      <w:r>
        <w:rPr>
          <w:b w:val="0"/>
          <w:bCs w:val="0"/>
          <w:color w:val="000000"/>
          <w:spacing w:val="0"/>
          <w:w w:val="100"/>
          <w:position w:val="0"/>
          <w:sz w:val="22"/>
          <w:szCs w:val="22"/>
        </w:rPr>
        <w:t>万元。如果泰森控股在利润补偿期间截 至每个会计年度期末实际净利润数</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累计数</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未能达到承诺净利润数</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累计数</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，则明德 控股、顺达丰润、嘉强顺风、赵广投资、元禾顺风、古玉秋创及顺信丰合应按照《盈 利预测补偿协议》约定履行补偿义务。</w:t>
      </w:r>
    </w:p>
    <w:p>
      <w:pPr>
        <w:pStyle w:val="Style27"/>
        <w:keepNext/>
        <w:keepLines/>
        <w:widowControl w:val="0"/>
        <w:shd w:val="clear" w:color="auto" w:fill="auto"/>
        <w:bidi w:val="0"/>
        <w:spacing w:before="0" w:after="300" w:line="240" w:lineRule="auto"/>
        <w:ind w:left="0" w:right="0" w:firstLine="0"/>
        <w:jc w:val="both"/>
        <w:rPr>
          <w:sz w:val="22"/>
          <w:szCs w:val="22"/>
        </w:rPr>
      </w:pPr>
      <w:bookmarkStart w:id="1044" w:name="bookmark1044"/>
      <w:bookmarkStart w:id="1045" w:name="bookmark1045"/>
      <w:bookmarkStart w:id="1046" w:name="bookmark1046"/>
      <w:r>
        <w:rPr>
          <w:color w:val="000000"/>
          <w:spacing w:val="0"/>
          <w:w w:val="100"/>
          <w:position w:val="0"/>
          <w:sz w:val="22"/>
          <w:szCs w:val="22"/>
        </w:rPr>
        <w:t>十业务剥离信息</w:t>
      </w:r>
      <w:bookmarkEnd w:id="1044"/>
      <w:bookmarkEnd w:id="1045"/>
      <w:bookmarkEnd w:id="1046"/>
      <w:r>
        <w:rPr>
          <w:color w:val="000000"/>
          <w:spacing w:val="0"/>
          <w:w w:val="100"/>
          <w:position w:val="0"/>
          <w:sz w:val="22"/>
          <w:szCs w:val="22"/>
        </w:rPr>
        <w:t xml:space="preserve"> </w:t>
      </w:r>
      <w:r>
        <w:rPr>
          <w:rStyle w:val="CharStyle34"/>
          <w:sz w:val="22"/>
          <w:szCs w:val="22"/>
        </w:rPr>
        <w:t>泰森控股于</w:t>
      </w:r>
      <w:r>
        <w:rPr>
          <w:rStyle w:val="CharStyle34"/>
          <w:rFonts w:ascii="Arial" w:eastAsia="Arial" w:hAnsi="Arial" w:cs="Arial"/>
          <w:sz w:val="24"/>
          <w:szCs w:val="24"/>
        </w:rPr>
        <w:t>2015</w:t>
      </w:r>
      <w:r>
        <w:rPr>
          <w:rStyle w:val="CharStyle34"/>
          <w:sz w:val="22"/>
          <w:szCs w:val="22"/>
        </w:rPr>
        <w:t>年</w:t>
      </w:r>
      <w:r>
        <w:rPr>
          <w:rStyle w:val="CharStyle34"/>
          <w:rFonts w:ascii="Arial" w:eastAsia="Arial" w:hAnsi="Arial" w:cs="Arial"/>
          <w:sz w:val="24"/>
          <w:szCs w:val="24"/>
        </w:rPr>
        <w:t>9</w:t>
      </w:r>
      <w:r>
        <w:rPr>
          <w:rStyle w:val="CharStyle34"/>
          <w:sz w:val="22"/>
          <w:szCs w:val="22"/>
        </w:rPr>
        <w:t>月召开董事会和股东会议，决定分别以现金人民币</w:t>
      </w:r>
      <w:r>
        <w:rPr>
          <w:rStyle w:val="CharStyle34"/>
          <w:rFonts w:ascii="Arial" w:eastAsia="Arial" w:hAnsi="Arial" w:cs="Arial"/>
          <w:sz w:val="24"/>
          <w:szCs w:val="24"/>
        </w:rPr>
        <w:t>12</w:t>
      </w:r>
      <w:r>
        <w:rPr>
          <w:rStyle w:val="CharStyle34"/>
          <w:sz w:val="22"/>
          <w:szCs w:val="22"/>
        </w:rPr>
        <w:t>亿元和 人民币</w:t>
      </w:r>
      <w:r>
        <w:rPr>
          <w:rStyle w:val="CharStyle34"/>
          <w:rFonts w:ascii="Arial" w:eastAsia="Arial" w:hAnsi="Arial" w:cs="Arial"/>
          <w:sz w:val="24"/>
          <w:szCs w:val="24"/>
        </w:rPr>
        <w:t>5</w:t>
      </w:r>
      <w:r>
        <w:rPr>
          <w:rStyle w:val="CharStyle34"/>
          <w:sz w:val="22"/>
          <w:szCs w:val="22"/>
        </w:rPr>
        <w:t>亿元向顺丰商业和顺丰电子商务增资。增资后将泰森控股持有的顺丰商业和 顺丰电子商务</w:t>
      </w:r>
      <w:r>
        <w:rPr>
          <w:rStyle w:val="CharStyle34"/>
          <w:rFonts w:ascii="Arial" w:eastAsia="Arial" w:hAnsi="Arial" w:cs="Arial"/>
          <w:sz w:val="24"/>
          <w:szCs w:val="24"/>
        </w:rPr>
        <w:t>100%</w:t>
      </w:r>
      <w:r>
        <w:rPr>
          <w:rStyle w:val="CharStyle34"/>
          <w:sz w:val="22"/>
          <w:szCs w:val="22"/>
        </w:rPr>
        <w:t>股权全部转让予同受明德控股控制的关联方</w:t>
      </w:r>
      <w:r>
        <w:rPr>
          <w:rStyle w:val="CharStyle34"/>
          <w:rFonts w:ascii="Arial" w:eastAsia="Arial" w:hAnsi="Arial" w:cs="Arial"/>
          <w:sz w:val="24"/>
          <w:szCs w:val="24"/>
        </w:rPr>
        <w:t>-</w:t>
      </w:r>
      <w:r>
        <w:rPr>
          <w:rStyle w:val="CharStyle34"/>
          <w:sz w:val="22"/>
          <w:szCs w:val="22"/>
        </w:rPr>
        <w:t>顺丰控股集团商贸 有限公司。股权转让价格分别为人民币</w:t>
      </w:r>
      <w:r>
        <w:rPr>
          <w:rStyle w:val="CharStyle34"/>
          <w:rFonts w:ascii="Arial" w:eastAsia="Arial" w:hAnsi="Arial" w:cs="Arial"/>
          <w:sz w:val="24"/>
          <w:szCs w:val="24"/>
        </w:rPr>
        <w:t>1</w:t>
      </w:r>
      <w:r>
        <w:rPr>
          <w:rStyle w:val="CharStyle34"/>
          <w:sz w:val="22"/>
          <w:szCs w:val="22"/>
        </w:rPr>
        <w:t>元，该定价乃结合考虑顺丰商业和顺丰电子 商务于</w:t>
      </w:r>
      <w:r>
        <w:rPr>
          <w:rStyle w:val="CharStyle34"/>
          <w:rFonts w:ascii="Arial" w:eastAsia="Arial" w:hAnsi="Arial" w:cs="Arial"/>
          <w:sz w:val="24"/>
          <w:szCs w:val="24"/>
        </w:rPr>
        <w:t>2015</w:t>
      </w:r>
      <w:r>
        <w:rPr>
          <w:rStyle w:val="CharStyle34"/>
          <w:sz w:val="22"/>
          <w:szCs w:val="22"/>
        </w:rPr>
        <w:t>年</w:t>
      </w:r>
      <w:r>
        <w:rPr>
          <w:rStyle w:val="CharStyle34"/>
          <w:rFonts w:ascii="Arial" w:eastAsia="Arial" w:hAnsi="Arial" w:cs="Arial"/>
          <w:sz w:val="24"/>
          <w:szCs w:val="24"/>
        </w:rPr>
        <w:t>6</w:t>
      </w:r>
      <w:r>
        <w:rPr>
          <w:rStyle w:val="CharStyle34"/>
          <w:sz w:val="22"/>
          <w:szCs w:val="22"/>
        </w:rPr>
        <w:t>月</w:t>
      </w:r>
      <w:r>
        <w:rPr>
          <w:rStyle w:val="CharStyle34"/>
          <w:rFonts w:ascii="Arial" w:eastAsia="Arial" w:hAnsi="Arial" w:cs="Arial"/>
          <w:sz w:val="24"/>
          <w:szCs w:val="24"/>
        </w:rPr>
        <w:t>30</w:t>
      </w:r>
      <w:r>
        <w:rPr>
          <w:rStyle w:val="CharStyle34"/>
          <w:sz w:val="22"/>
          <w:szCs w:val="22"/>
        </w:rPr>
        <w:t>日之评估值、上述现金增资后净资产变化以及该等公司于</w:t>
      </w:r>
      <w:r>
        <w:rPr>
          <w:rStyle w:val="CharStyle34"/>
          <w:rFonts w:ascii="Arial" w:eastAsia="Arial" w:hAnsi="Arial" w:cs="Arial"/>
          <w:sz w:val="24"/>
          <w:szCs w:val="24"/>
        </w:rPr>
        <w:t xml:space="preserve">2015 </w:t>
      </w:r>
      <w:r>
        <w:rPr>
          <w:rStyle w:val="CharStyle34"/>
          <w:sz w:val="22"/>
          <w:szCs w:val="22"/>
        </w:rPr>
        <w:t>年</w:t>
      </w:r>
      <w:r>
        <w:rPr>
          <w:rStyle w:val="CharStyle34"/>
          <w:rFonts w:ascii="Arial" w:eastAsia="Arial" w:hAnsi="Arial" w:cs="Arial"/>
          <w:sz w:val="24"/>
          <w:szCs w:val="24"/>
        </w:rPr>
        <w:t>7</w:t>
      </w:r>
      <w:r>
        <w:rPr>
          <w:rStyle w:val="CharStyle34"/>
          <w:sz w:val="22"/>
          <w:szCs w:val="22"/>
        </w:rPr>
        <w:t>月</w:t>
      </w:r>
      <w:r>
        <w:rPr>
          <w:rStyle w:val="CharStyle34"/>
          <w:rFonts w:ascii="Arial" w:eastAsia="Arial" w:hAnsi="Arial" w:cs="Arial"/>
          <w:sz w:val="24"/>
          <w:szCs w:val="24"/>
        </w:rPr>
        <w:t>1</w:t>
      </w:r>
      <w:r>
        <w:rPr>
          <w:rStyle w:val="CharStyle34"/>
          <w:sz w:val="22"/>
          <w:szCs w:val="22"/>
        </w:rPr>
        <w:t>日至</w:t>
      </w:r>
      <w:r>
        <w:rPr>
          <w:rStyle w:val="CharStyle34"/>
          <w:rFonts w:ascii="Arial" w:eastAsia="Arial" w:hAnsi="Arial" w:cs="Arial"/>
          <w:sz w:val="24"/>
          <w:szCs w:val="24"/>
        </w:rPr>
        <w:t>2015</w:t>
      </w:r>
      <w:r>
        <w:rPr>
          <w:rStyle w:val="CharStyle34"/>
          <w:sz w:val="22"/>
          <w:szCs w:val="22"/>
        </w:rPr>
        <w:t>年</w:t>
      </w:r>
      <w:r>
        <w:rPr>
          <w:rStyle w:val="CharStyle34"/>
          <w:rFonts w:ascii="Arial" w:eastAsia="Arial" w:hAnsi="Arial" w:cs="Arial"/>
          <w:sz w:val="24"/>
          <w:szCs w:val="24"/>
        </w:rPr>
        <w:t>9</w:t>
      </w:r>
      <w:r>
        <w:rPr>
          <w:rStyle w:val="CharStyle34"/>
          <w:sz w:val="22"/>
          <w:szCs w:val="22"/>
        </w:rPr>
        <w:t>月</w:t>
      </w:r>
      <w:r>
        <w:rPr>
          <w:rStyle w:val="CharStyle34"/>
          <w:rFonts w:ascii="Arial" w:eastAsia="Arial" w:hAnsi="Arial" w:cs="Arial"/>
          <w:sz w:val="24"/>
          <w:szCs w:val="24"/>
        </w:rPr>
        <w:t>30</w:t>
      </w:r>
      <w:r>
        <w:rPr>
          <w:rStyle w:val="CharStyle34"/>
          <w:sz w:val="22"/>
          <w:szCs w:val="22"/>
        </w:rPr>
        <w:t>日之间的损益变动影响所确定。</w:t>
      </w:r>
    </w:p>
    <w:p>
      <w:pPr>
        <w:pStyle w:val="Style33"/>
        <w:keepNext w:val="0"/>
        <w:keepLines w:val="0"/>
        <w:widowControl w:val="0"/>
        <w:shd w:val="clear" w:color="auto" w:fill="auto"/>
        <w:bidi w:val="0"/>
        <w:spacing w:before="0" w:after="340" w:line="318" w:lineRule="exact"/>
        <w:ind w:left="0" w:right="0" w:firstLine="0"/>
        <w:jc w:val="both"/>
        <w:rPr>
          <w:sz w:val="22"/>
          <w:szCs w:val="22"/>
        </w:rPr>
      </w:pPr>
      <w:r>
        <w:rPr>
          <w:b w:val="0"/>
          <w:bCs w:val="0"/>
          <w:color w:val="000000"/>
          <w:spacing w:val="0"/>
          <w:w w:val="100"/>
          <w:position w:val="0"/>
          <w:sz w:val="22"/>
          <w:szCs w:val="22"/>
        </w:rPr>
        <w:t xml:space="preserve">上述股权转让相关的协议，以及顺丰商业和顺丰电子商务经修改后的公司章程均在 </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日之前签署生效，新股东顺丰控股集团商贸有限公司自</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10 </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日获得顺丰商业和顺丰电子商务的实际控制权并享有其经营利润或亏损。泰森控 股从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日起丧失对顺丰商业和顺丰电子商务的实际控制权并停止将其 纳入合并范围。</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被剥离业务</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顺丰商业和顺丰电子商务的历史经营成果列示如下：</w:t>
      </w:r>
    </w:p>
    <w:p>
      <w:pPr>
        <w:pStyle w:val="Style94"/>
        <w:keepNext w:val="0"/>
        <w:keepLines w:val="0"/>
        <w:widowControl w:val="0"/>
        <w:shd w:val="clear" w:color="auto" w:fill="auto"/>
        <w:tabs>
          <w:tab w:pos="7273" w:val="left"/>
        </w:tabs>
        <w:bidi w:val="0"/>
        <w:spacing w:before="0" w:after="0" w:line="322" w:lineRule="exact"/>
        <w:ind w:left="5060" w:right="160" w:firstLine="0"/>
        <w:jc w:val="righ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tab/>
        <w:t>至</w:t>
      </w:r>
      <w:r>
        <w:rPr>
          <w:color w:val="000000"/>
          <w:spacing w:val="0"/>
          <w:w w:val="100"/>
          <w:position w:val="0"/>
          <w:sz w:val="24"/>
          <w:szCs w:val="24"/>
        </w:rPr>
        <w:t>9</w:t>
      </w:r>
      <w:r>
        <w:rPr>
          <w:rFonts w:ascii="SimSun" w:eastAsia="SimSun" w:hAnsi="SimSun" w:cs="SimSun"/>
          <w:color w:val="000000"/>
          <w:spacing w:val="0"/>
          <w:w w:val="100"/>
          <w:position w:val="0"/>
          <w:sz w:val="22"/>
          <w:szCs w:val="22"/>
        </w:rPr>
        <w:t>月</w:t>
      </w:r>
      <w:r>
        <w:rPr>
          <w:color w:val="000000"/>
          <w:spacing w:val="0"/>
          <w:w w:val="100"/>
          <w:position w:val="0"/>
          <w:sz w:val="24"/>
          <w:szCs w:val="24"/>
        </w:rPr>
        <w:t>30</w:t>
      </w:r>
      <w:r>
        <w:rPr>
          <w:rFonts w:ascii="SimSun" w:eastAsia="SimSun" w:hAnsi="SimSun" w:cs="SimSun"/>
          <w:color w:val="000000"/>
          <w:spacing w:val="0"/>
          <w:w w:val="100"/>
          <w:position w:val="0"/>
          <w:sz w:val="22"/>
          <w:szCs w:val="22"/>
        </w:rPr>
        <w:t>日</w:t>
      </w:r>
    </w:p>
    <w:p>
      <w:pPr>
        <w:pStyle w:val="Style33"/>
        <w:keepNext w:val="0"/>
        <w:keepLines w:val="0"/>
        <w:widowControl w:val="0"/>
        <w:shd w:val="clear" w:color="auto" w:fill="auto"/>
        <w:bidi w:val="0"/>
        <w:spacing w:before="0" w:after="340" w:line="322" w:lineRule="exact"/>
        <w:ind w:left="0" w:right="160" w:firstLine="0"/>
        <w:jc w:val="right"/>
        <w:rPr>
          <w:sz w:val="22"/>
          <w:szCs w:val="22"/>
        </w:rPr>
      </w:pP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合并终止日</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期间</w:t>
      </w:r>
    </w:p>
    <w:p>
      <w:pPr>
        <w:pStyle w:val="Style29"/>
        <w:keepNext w:val="0"/>
        <w:keepLines w:val="0"/>
        <w:widowControl w:val="0"/>
        <w:shd w:val="clear" w:color="auto" w:fill="auto"/>
        <w:tabs>
          <w:tab w:pos="5693" w:val="left"/>
          <w:tab w:pos="6754" w:val="left"/>
        </w:tabs>
        <w:bidi w:val="0"/>
        <w:spacing w:before="0" w:after="40" w:line="240" w:lineRule="auto"/>
        <w:ind w:left="0" w:right="0" w:firstLine="0"/>
        <w:jc w:val="left"/>
        <w:rPr>
          <w:sz w:val="24"/>
          <w:szCs w:val="24"/>
        </w:rPr>
      </w:pPr>
      <w:r>
        <w:rPr>
          <w:color w:val="000000"/>
          <w:spacing w:val="0"/>
          <w:w w:val="100"/>
          <w:position w:val="0"/>
          <w:sz w:val="22"/>
          <w:szCs w:val="22"/>
        </w:rPr>
        <w:t>营业收入</w:t>
        <w:tab/>
      </w: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1,260,150,192.96</w:t>
      </w:r>
    </w:p>
    <w:p>
      <w:pPr>
        <w:pStyle w:val="Style29"/>
        <w:keepNext w:val="0"/>
        <w:keepLines w:val="0"/>
        <w:widowControl w:val="0"/>
        <w:shd w:val="clear" w:color="auto" w:fill="auto"/>
        <w:tabs>
          <w:tab w:pos="4037" w:val="left"/>
          <w:tab w:leader="underscore" w:pos="5717" w:val="left"/>
          <w:tab w:pos="6653" w:val="left"/>
        </w:tabs>
        <w:bidi w:val="0"/>
        <w:spacing w:before="0" w:after="0" w:line="240" w:lineRule="auto"/>
        <w:ind w:left="0" w:right="0" w:firstLine="0"/>
        <w:jc w:val="left"/>
        <w:rPr>
          <w:sz w:val="24"/>
          <w:szCs w:val="24"/>
        </w:rPr>
      </w:pPr>
      <w:r>
        <w:rPr>
          <w:color w:val="000000"/>
          <w:spacing w:val="0"/>
          <w:w w:val="100"/>
          <w:position w:val="0"/>
          <w:sz w:val="22"/>
          <w:szCs w:val="22"/>
        </w:rPr>
        <w:t>减：营业成本和费用</w:t>
        <w:tab/>
        <w:tab/>
      </w:r>
      <w:r>
        <w:rPr>
          <w:rFonts w:ascii="Arial" w:eastAsia="Arial" w:hAnsi="Arial" w:cs="Arial"/>
          <w:color w:val="000000"/>
          <w:spacing w:val="0"/>
          <w:w w:val="100"/>
          <w:position w:val="0"/>
          <w:sz w:val="24"/>
          <w:szCs w:val="24"/>
          <w:u w:val="single"/>
        </w:rPr>
        <w:t>-</w:t>
        <w:tab/>
      </w:r>
      <w:r>
        <w:rPr>
          <w:rFonts w:ascii="Arial" w:eastAsia="Arial" w:hAnsi="Arial" w:cs="Arial"/>
          <w:color w:val="000000"/>
          <w:spacing w:val="0"/>
          <w:w w:val="100"/>
          <w:position w:val="0"/>
          <w:sz w:val="24"/>
          <w:szCs w:val="24"/>
          <w:u w:val="single"/>
        </w:rPr>
        <w:t>(2,414,753,278.21)</w:t>
      </w:r>
    </w:p>
    <w:tbl>
      <w:tblPr>
        <w:tblOverlap w:val="never"/>
        <w:jc w:val="center"/>
        <w:tblLayout w:type="fixed"/>
      </w:tblPr>
      <w:tblGrid>
        <w:gridCol w:w="4070"/>
        <w:gridCol w:w="4771"/>
      </w:tblGrid>
      <w:tr>
        <w:trPr>
          <w:trHeight w:val="51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亏损总额</w:t>
            </w:r>
          </w:p>
        </w:tc>
        <w:tc>
          <w:tcPr>
            <w:tcBorders>
              <w:top w:val="single" w:sz="4"/>
            </w:tcBorders>
            <w:shd w:val="clear" w:color="auto" w:fill="FFFFFF"/>
            <w:vAlign w:val="top"/>
          </w:tcPr>
          <w:p>
            <w:pPr>
              <w:pStyle w:val="Style23"/>
              <w:keepNext w:val="0"/>
              <w:keepLines w:val="0"/>
              <w:widowControl w:val="0"/>
              <w:shd w:val="clear" w:color="auto" w:fill="auto"/>
              <w:tabs>
                <w:tab w:pos="2615" w:val="left"/>
              </w:tabs>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(1,154,603,085.25)</w:t>
            </w:r>
          </w:p>
        </w:tc>
      </w:tr>
      <w:tr>
        <w:trPr>
          <w:trHeight w:val="45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加：所得税收益</w:t>
            </w:r>
          </w:p>
        </w:tc>
        <w:tc>
          <w:tcPr>
            <w:tcBorders/>
            <w:shd w:val="clear" w:color="auto" w:fill="FFFFFF"/>
            <w:vAlign w:val="bottom"/>
          </w:tcPr>
          <w:p>
            <w:pPr>
              <w:pStyle w:val="Style23"/>
              <w:keepNext w:val="0"/>
              <w:keepLines w:val="0"/>
              <w:widowControl w:val="0"/>
              <w:shd w:val="clear" w:color="auto" w:fill="auto"/>
              <w:tabs>
                <w:tab w:pos="2889" w:val="left"/>
              </w:tabs>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288,721,820.25</w:t>
            </w:r>
          </w:p>
        </w:tc>
      </w:tr>
      <w:tr>
        <w:trPr>
          <w:trHeight w:val="68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净亏损</w:t>
            </w:r>
          </w:p>
        </w:tc>
        <w:tc>
          <w:tcPr>
            <w:tcBorders>
              <w:top w:val="single" w:sz="4"/>
            </w:tcBorders>
            <w:shd w:val="clear" w:color="auto" w:fill="FFFFFF"/>
            <w:vAlign w:val="top"/>
          </w:tcPr>
          <w:p>
            <w:pPr>
              <w:pStyle w:val="Style23"/>
              <w:keepNext w:val="0"/>
              <w:keepLines w:val="0"/>
              <w:widowControl w:val="0"/>
              <w:shd w:val="clear" w:color="auto" w:fill="auto"/>
              <w:tabs>
                <w:tab w:pos="2817" w:val="left"/>
              </w:tabs>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u w:val="single"/>
              </w:rPr>
              <w:t>-</w:t>
              <w:tab/>
            </w:r>
            <w:r>
              <w:rPr>
                <w:rFonts w:ascii="Arial" w:eastAsia="Arial" w:hAnsi="Arial" w:cs="Arial"/>
                <w:color w:val="000000"/>
                <w:spacing w:val="0"/>
                <w:w w:val="100"/>
                <w:position w:val="0"/>
                <w:sz w:val="24"/>
                <w:szCs w:val="24"/>
                <w:u w:val="single"/>
              </w:rPr>
              <w:t>(865,881,265.00)</w:t>
            </w:r>
          </w:p>
        </w:tc>
      </w:tr>
      <w:tr>
        <w:trPr>
          <w:trHeight w:val="979" w:hRule="exact"/>
        </w:trPr>
        <w:tc>
          <w:tcPr>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其中：</w:t>
            </w:r>
          </w:p>
          <w:p>
            <w:pPr>
              <w:pStyle w:val="Style23"/>
              <w:keepNext w:val="0"/>
              <w:keepLines w:val="0"/>
              <w:widowControl w:val="0"/>
              <w:shd w:val="clear" w:color="auto" w:fill="auto"/>
              <w:bidi w:val="0"/>
              <w:spacing w:before="0" w:after="0" w:line="302" w:lineRule="exact"/>
              <w:ind w:left="220" w:right="0" w:hanging="220"/>
              <w:jc w:val="left"/>
              <w:rPr>
                <w:sz w:val="22"/>
                <w:szCs w:val="22"/>
              </w:rPr>
            </w:pPr>
            <w:r>
              <w:rPr>
                <w:color w:val="000000"/>
                <w:spacing w:val="0"/>
                <w:w w:val="100"/>
                <w:position w:val="0"/>
                <w:sz w:val="22"/>
                <w:szCs w:val="22"/>
              </w:rPr>
              <w:t>归属于母公司普通股股东的剥离业务 净亏损</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tabs>
                <w:tab w:pos="2817" w:val="left"/>
              </w:tabs>
              <w:bidi w:val="0"/>
              <w:spacing w:before="0" w:after="0" w:line="240" w:lineRule="auto"/>
              <w:ind w:left="1660" w:right="0" w:firstLine="0"/>
              <w:jc w:val="left"/>
              <w:rPr>
                <w:sz w:val="24"/>
                <w:szCs w:val="24"/>
              </w:rPr>
            </w:pPr>
            <w:r>
              <w:rPr>
                <w:rFonts w:ascii="Arial" w:eastAsia="Arial" w:hAnsi="Arial" w:cs="Arial"/>
                <w:color w:val="000000"/>
                <w:spacing w:val="0"/>
                <w:w w:val="100"/>
                <w:position w:val="0"/>
                <w:sz w:val="24"/>
                <w:szCs w:val="24"/>
              </w:rPr>
              <w:t>-</w:t>
              <w:tab/>
            </w:r>
            <w:r>
              <w:rPr>
                <w:rFonts w:ascii="Arial" w:eastAsia="Arial" w:hAnsi="Arial" w:cs="Arial"/>
                <w:color w:val="000000"/>
                <w:spacing w:val="0"/>
                <w:w w:val="100"/>
                <w:position w:val="0"/>
                <w:sz w:val="24"/>
                <w:szCs w:val="24"/>
              </w:rPr>
              <w:t>(865,881,265.00)</w:t>
            </w:r>
          </w:p>
        </w:tc>
      </w:tr>
    </w:tbl>
    <w:p>
      <w:pPr>
        <w:widowControl w:val="0"/>
        <w:spacing w:after="299" w:line="1" w:lineRule="exact"/>
      </w:pPr>
    </w:p>
    <w:p>
      <w:pPr>
        <w:pStyle w:val="Style27"/>
        <w:keepNext/>
        <w:keepLines/>
        <w:widowControl w:val="0"/>
        <w:shd w:val="clear" w:color="auto" w:fill="auto"/>
        <w:bidi w:val="0"/>
        <w:spacing w:before="0" w:after="300" w:line="322" w:lineRule="exact"/>
        <w:ind w:left="0" w:right="0" w:firstLine="0"/>
        <w:jc w:val="left"/>
        <w:rPr>
          <w:sz w:val="22"/>
          <w:szCs w:val="22"/>
        </w:rPr>
      </w:pPr>
      <w:bookmarkStart w:id="1047" w:name="bookmark1047"/>
      <w:bookmarkStart w:id="1048" w:name="bookmark1048"/>
      <w:bookmarkStart w:id="1049" w:name="bookmark1049"/>
      <w:r>
        <w:rPr>
          <w:color w:val="000000"/>
          <w:spacing w:val="0"/>
          <w:w w:val="100"/>
          <w:position w:val="0"/>
          <w:sz w:val="22"/>
          <w:szCs w:val="22"/>
        </w:rPr>
        <w:t>十■一 持续经营业务和剥离业务的信息</w:t>
      </w:r>
      <w:bookmarkEnd w:id="1047"/>
      <w:bookmarkEnd w:id="1048"/>
      <w:bookmarkEnd w:id="1049"/>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如附注十所述，顺丰商业和顺丰电子商务所经营的业务已于</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日通过 股权转让的方式转出本集团。为便于报表阅读者进行同口径数据的比较分析，本集团 将该剥离业务以及除去剥离业务以外的业务（简称“持续经营业务”）的</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年度的 历史业绩情况列示如下：</w:t>
      </w:r>
      <w:r>
        <w:br w:type="page"/>
      </w:r>
    </w:p>
    <w:p>
      <w:pPr>
        <w:pStyle w:val="Style27"/>
        <w:keepNext/>
        <w:keepLines/>
        <w:widowControl w:val="0"/>
        <w:shd w:val="clear" w:color="auto" w:fill="auto"/>
        <w:tabs>
          <w:tab w:pos="806" w:val="left"/>
        </w:tabs>
        <w:bidi w:val="0"/>
        <w:spacing w:before="0" w:after="440" w:line="240" w:lineRule="auto"/>
        <w:ind w:left="0" w:right="0" w:firstLine="0"/>
        <w:jc w:val="left"/>
        <w:rPr>
          <w:sz w:val="28"/>
          <w:szCs w:val="28"/>
        </w:rPr>
      </w:pPr>
      <w:bookmarkStart w:id="1050" w:name="bookmark1050"/>
      <w:bookmarkStart w:id="1051" w:name="bookmark1051"/>
      <w:bookmarkStart w:id="1052" w:name="bookmark1052"/>
      <w:r>
        <w:rPr>
          <w:color w:val="000000"/>
          <w:spacing w:val="0"/>
          <w:w w:val="100"/>
          <w:position w:val="0"/>
          <w:sz w:val="22"/>
          <w:szCs w:val="22"/>
        </w:rPr>
        <w:t>十■一</w:t>
        <w:tab/>
        <w:t>持续经营业务和剥离业务的信息</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50"/>
      <w:bookmarkEnd w:id="1051"/>
      <w:bookmarkEnd w:id="1052"/>
    </w:p>
    <w:p>
      <w:pPr>
        <w:pStyle w:val="Style23"/>
        <w:keepNext w:val="0"/>
        <w:keepLines w:val="0"/>
        <w:widowControl w:val="0"/>
        <w:pBdr>
          <w:bottom w:val="single" w:sz="4" w:space="0" w:color="auto"/>
        </w:pBdr>
        <w:shd w:val="clear" w:color="auto" w:fill="auto"/>
        <w:bidi w:val="0"/>
        <w:spacing w:before="0" w:line="240" w:lineRule="auto"/>
        <w:ind w:left="0" w:right="0" w:firstLine="0"/>
        <w:jc w:val="center"/>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年度合并</w:t>
      </w:r>
    </w:p>
    <w:tbl>
      <w:tblPr>
        <w:tblOverlap w:val="never"/>
        <w:jc w:val="center"/>
        <w:tblLayout w:type="fixed"/>
      </w:tblPr>
      <w:tblGrid>
        <w:gridCol w:w="2573"/>
        <w:gridCol w:w="6245"/>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1834" w:val="left"/>
                <w:tab w:pos="3696" w:val="left"/>
                <w:tab w:pos="5285" w:val="left"/>
              </w:tabs>
              <w:bidi w:val="0"/>
              <w:spacing w:before="0" w:after="0" w:line="240" w:lineRule="auto"/>
              <w:ind w:left="0" w:right="0" w:firstLine="0"/>
              <w:jc w:val="right"/>
              <w:rPr>
                <w:sz w:val="13"/>
                <w:szCs w:val="13"/>
              </w:rPr>
            </w:pPr>
            <w:r>
              <w:rPr>
                <w:color w:val="000000"/>
                <w:spacing w:val="0"/>
                <w:w w:val="100"/>
                <w:position w:val="0"/>
                <w:sz w:val="13"/>
                <w:szCs w:val="13"/>
              </w:rPr>
              <w:t>持续经营业务</w:t>
              <w:tab/>
              <w:t>剥离业务</w:t>
              <w:tab/>
              <w:t>抵销</w:t>
              <w:tab/>
              <w:t>合计</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一、营业收入</w:t>
            </w:r>
          </w:p>
        </w:tc>
        <w:tc>
          <w:tcPr>
            <w:tcBorders/>
            <w:shd w:val="clear" w:color="auto" w:fill="FFFFFF"/>
            <w:vAlign w:val="bottom"/>
          </w:tcPr>
          <w:p>
            <w:pPr>
              <w:pStyle w:val="Style23"/>
              <w:keepNext w:val="0"/>
              <w:keepLines w:val="0"/>
              <w:widowControl w:val="0"/>
              <w:shd w:val="clear" w:color="auto" w:fill="auto"/>
              <w:tabs>
                <w:tab w:pos="2506" w:val="left"/>
                <w:tab w:pos="4094" w:val="left"/>
                <w:tab w:pos="4757"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57,482,698,073.15</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57,482,698,073.15</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减：营业成本</w:t>
            </w:r>
          </w:p>
        </w:tc>
        <w:tc>
          <w:tcPr>
            <w:tcBorders/>
            <w:shd w:val="clear" w:color="auto" w:fill="FFFFFF"/>
            <w:vAlign w:val="center"/>
          </w:tcPr>
          <w:p>
            <w:pPr>
              <w:pStyle w:val="Style23"/>
              <w:keepNext w:val="0"/>
              <w:keepLines w:val="0"/>
              <w:widowControl w:val="0"/>
              <w:shd w:val="clear" w:color="auto" w:fill="auto"/>
              <w:tabs>
                <w:tab w:pos="2549" w:val="left"/>
                <w:tab w:pos="4138" w:val="left"/>
                <w:tab w:pos="4757"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(46,165,166,641.49)</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(46,165,166,641.49)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税金及附加</w:t>
            </w:r>
          </w:p>
        </w:tc>
        <w:tc>
          <w:tcPr>
            <w:tcBorders/>
            <w:shd w:val="clear" w:color="auto" w:fill="FFFFFF"/>
            <w:vAlign w:val="center"/>
          </w:tcPr>
          <w:p>
            <w:pPr>
              <w:pStyle w:val="Style23"/>
              <w:keepNext w:val="0"/>
              <w:keepLines w:val="0"/>
              <w:widowControl w:val="0"/>
              <w:shd w:val="clear" w:color="auto" w:fill="auto"/>
              <w:tabs>
                <w:tab w:pos="2352" w:val="left"/>
                <w:tab w:pos="3941" w:val="left"/>
                <w:tab w:pos="4757"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(203,300,318.34)</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(203,300,318.34)</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销售费用</w:t>
            </w:r>
          </w:p>
        </w:tc>
        <w:tc>
          <w:tcPr>
            <w:tcBorders/>
            <w:shd w:val="clear" w:color="auto" w:fill="FFFFFF"/>
            <w:vAlign w:val="center"/>
          </w:tcPr>
          <w:p>
            <w:pPr>
              <w:pStyle w:val="Style23"/>
              <w:keepNext w:val="0"/>
              <w:keepLines w:val="0"/>
              <w:widowControl w:val="0"/>
              <w:shd w:val="clear" w:color="auto" w:fill="auto"/>
              <w:tabs>
                <w:tab w:pos="2672" w:val="left"/>
                <w:tab w:pos="4261" w:val="left"/>
                <w:tab w:pos="4957" w:val="left"/>
              </w:tabs>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(1,150,596,698.85)</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(1,150,596,698.85)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管理费用</w:t>
            </w:r>
          </w:p>
        </w:tc>
        <w:tc>
          <w:tcPr>
            <w:tcBorders/>
            <w:shd w:val="clear" w:color="auto" w:fill="FFFFFF"/>
            <w:vAlign w:val="center"/>
          </w:tcPr>
          <w:p>
            <w:pPr>
              <w:pStyle w:val="Style23"/>
              <w:keepNext w:val="0"/>
              <w:keepLines w:val="0"/>
              <w:widowControl w:val="0"/>
              <w:shd w:val="clear" w:color="auto" w:fill="auto"/>
              <w:tabs>
                <w:tab w:pos="2672" w:val="left"/>
                <w:tab w:pos="4261" w:val="left"/>
                <w:tab w:pos="4957" w:val="left"/>
              </w:tabs>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(6,079,455,133.67)</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(6,079,455,133.67)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财务费用</w:t>
            </w:r>
          </w:p>
        </w:tc>
        <w:tc>
          <w:tcPr>
            <w:tcBorders/>
            <w:shd w:val="clear" w:color="auto" w:fill="FFFFFF"/>
            <w:vAlign w:val="center"/>
          </w:tcPr>
          <w:p>
            <w:pPr>
              <w:pStyle w:val="Style23"/>
              <w:keepNext w:val="0"/>
              <w:keepLines w:val="0"/>
              <w:widowControl w:val="0"/>
              <w:shd w:val="clear" w:color="auto" w:fill="auto"/>
              <w:tabs>
                <w:tab w:pos="2352" w:val="left"/>
                <w:tab w:pos="3941" w:val="left"/>
                <w:tab w:pos="4757"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(417,428,212.60)</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(417,428,212.60)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资产减值损失</w:t>
            </w:r>
          </w:p>
        </w:tc>
        <w:tc>
          <w:tcPr>
            <w:tcBorders/>
            <w:shd w:val="clear" w:color="auto" w:fill="FFFFFF"/>
            <w:vAlign w:val="center"/>
          </w:tcPr>
          <w:p>
            <w:pPr>
              <w:pStyle w:val="Style23"/>
              <w:keepNext w:val="0"/>
              <w:keepLines w:val="0"/>
              <w:widowControl w:val="0"/>
              <w:shd w:val="clear" w:color="auto" w:fill="auto"/>
              <w:tabs>
                <w:tab w:pos="2655" w:val="left"/>
                <w:tab w:pos="4244" w:val="left"/>
                <w:tab w:pos="5137" w:val="left"/>
              </w:tabs>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(19,172,492.00)</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(19,172,492.00)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加：公允价值变动损益</w:t>
            </w:r>
          </w:p>
        </w:tc>
        <w:tc>
          <w:tcPr>
            <w:tcBorders/>
            <w:shd w:val="clear" w:color="auto" w:fill="FFFFFF"/>
            <w:vAlign w:val="center"/>
          </w:tcPr>
          <w:p>
            <w:pPr>
              <w:pStyle w:val="Style23"/>
              <w:keepNext w:val="0"/>
              <w:keepLines w:val="0"/>
              <w:widowControl w:val="0"/>
              <w:shd w:val="clear" w:color="auto" w:fill="auto"/>
              <w:tabs>
                <w:tab w:pos="2655" w:val="left"/>
                <w:tab w:pos="4244" w:val="left"/>
                <w:tab w:pos="5137" w:val="left"/>
              </w:tabs>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(13,005,602.05)</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(13,005,602.05)</w:t>
            </w:r>
          </w:p>
        </w:tc>
      </w:tr>
      <w:tr>
        <w:trPr>
          <w:trHeight w:val="485"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80"/>
              <w:jc w:val="left"/>
              <w:rPr>
                <w:sz w:val="13"/>
                <w:szCs w:val="13"/>
              </w:rPr>
            </w:pPr>
            <w:r>
              <w:rPr>
                <w:color w:val="000000"/>
                <w:spacing w:val="0"/>
                <w:w w:val="100"/>
                <w:position w:val="0"/>
                <w:sz w:val="13"/>
                <w:szCs w:val="13"/>
              </w:rPr>
              <w:t>投资收益</w:t>
            </w:r>
          </w:p>
        </w:tc>
        <w:tc>
          <w:tcPr>
            <w:tcBorders/>
            <w:shd w:val="clear" w:color="auto" w:fill="FFFFFF"/>
            <w:vAlign w:val="top"/>
          </w:tcPr>
          <w:p>
            <w:pPr>
              <w:pStyle w:val="Style23"/>
              <w:keepNext w:val="0"/>
              <w:keepLines w:val="0"/>
              <w:widowControl w:val="0"/>
              <w:shd w:val="clear" w:color="auto" w:fill="auto"/>
              <w:tabs>
                <w:tab w:pos="2314" w:val="left"/>
                <w:tab w:pos="3902" w:val="left"/>
                <w:tab w:pos="4757"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258,114,563.37</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258,114,563.37</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二、营业利润</w:t>
            </w:r>
          </w:p>
        </w:tc>
        <w:tc>
          <w:tcPr>
            <w:tcBorders/>
            <w:shd w:val="clear" w:color="auto" w:fill="FFFFFF"/>
            <w:vAlign w:val="bottom"/>
          </w:tcPr>
          <w:p>
            <w:pPr>
              <w:pStyle w:val="Style23"/>
              <w:keepNext w:val="0"/>
              <w:keepLines w:val="0"/>
              <w:widowControl w:val="0"/>
              <w:shd w:val="clear" w:color="auto" w:fill="auto"/>
              <w:tabs>
                <w:tab w:pos="2689" w:val="left"/>
                <w:tab w:pos="4278" w:val="left"/>
                <w:tab w:pos="5017" w:val="left"/>
              </w:tabs>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3,692,687,537.52</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3,692,687,537.52</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加：营业外收入</w:t>
            </w:r>
          </w:p>
        </w:tc>
        <w:tc>
          <w:tcPr>
            <w:tcBorders/>
            <w:shd w:val="clear" w:color="auto" w:fill="FFFFFF"/>
            <w:vAlign w:val="center"/>
          </w:tcPr>
          <w:p>
            <w:pPr>
              <w:pStyle w:val="Style23"/>
              <w:keepNext w:val="0"/>
              <w:keepLines w:val="0"/>
              <w:widowControl w:val="0"/>
              <w:shd w:val="clear" w:color="auto" w:fill="auto"/>
              <w:tabs>
                <w:tab w:pos="2679" w:val="left"/>
                <w:tab w:pos="4268" w:val="left"/>
                <w:tab w:pos="5017" w:val="left"/>
              </w:tabs>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1,579,698,135.15</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1,579,698,135.15</w:t>
            </w:r>
          </w:p>
        </w:tc>
      </w:tr>
      <w:tr>
        <w:trPr>
          <w:trHeight w:val="494"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00"/>
              <w:jc w:val="left"/>
              <w:rPr>
                <w:sz w:val="13"/>
                <w:szCs w:val="13"/>
              </w:rPr>
            </w:pPr>
            <w:r>
              <w:rPr>
                <w:color w:val="000000"/>
                <w:spacing w:val="0"/>
                <w:w w:val="100"/>
                <w:position w:val="0"/>
                <w:sz w:val="13"/>
                <w:szCs w:val="13"/>
              </w:rPr>
              <w:t>减：营业外支出</w:t>
            </w:r>
          </w:p>
        </w:tc>
        <w:tc>
          <w:tcPr>
            <w:tcBorders/>
            <w:shd w:val="clear" w:color="auto" w:fill="FFFFFF"/>
            <w:vAlign w:val="top"/>
          </w:tcPr>
          <w:p>
            <w:pPr>
              <w:pStyle w:val="Style23"/>
              <w:keepNext w:val="0"/>
              <w:keepLines w:val="0"/>
              <w:widowControl w:val="0"/>
              <w:shd w:val="clear" w:color="auto" w:fill="auto"/>
              <w:tabs>
                <w:tab w:pos="2655" w:val="left"/>
                <w:tab w:pos="4244" w:val="left"/>
                <w:tab w:pos="5137" w:val="left"/>
              </w:tabs>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(81,654,299.47)</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(81,654,299.47)</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三、利润总额</w:t>
            </w:r>
          </w:p>
        </w:tc>
        <w:tc>
          <w:tcPr>
            <w:tcBorders/>
            <w:shd w:val="clear" w:color="auto" w:fill="FFFFFF"/>
            <w:vAlign w:val="bottom"/>
          </w:tcPr>
          <w:p>
            <w:pPr>
              <w:pStyle w:val="Style23"/>
              <w:keepNext w:val="0"/>
              <w:keepLines w:val="0"/>
              <w:widowControl w:val="0"/>
              <w:shd w:val="clear" w:color="auto" w:fill="auto"/>
              <w:tabs>
                <w:tab w:pos="2689" w:val="left"/>
                <w:tab w:pos="4278" w:val="left"/>
                <w:tab w:pos="5017" w:val="left"/>
              </w:tabs>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5,190,731,373.20</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5,190,731,373.20</w:t>
            </w:r>
          </w:p>
        </w:tc>
      </w:tr>
      <w:tr>
        <w:trPr>
          <w:trHeight w:val="490"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00"/>
              <w:jc w:val="left"/>
              <w:rPr>
                <w:sz w:val="13"/>
                <w:szCs w:val="13"/>
              </w:rPr>
            </w:pPr>
            <w:r>
              <w:rPr>
                <w:color w:val="000000"/>
                <w:spacing w:val="0"/>
                <w:w w:val="100"/>
                <w:position w:val="0"/>
                <w:sz w:val="13"/>
                <w:szCs w:val="13"/>
              </w:rPr>
              <w:t>减：所得税费用</w:t>
            </w:r>
          </w:p>
        </w:tc>
        <w:tc>
          <w:tcPr>
            <w:tcBorders/>
            <w:shd w:val="clear" w:color="auto" w:fill="FFFFFF"/>
            <w:vAlign w:val="top"/>
          </w:tcPr>
          <w:p>
            <w:pPr>
              <w:pStyle w:val="Style23"/>
              <w:keepNext w:val="0"/>
              <w:keepLines w:val="0"/>
              <w:widowControl w:val="0"/>
              <w:shd w:val="clear" w:color="auto" w:fill="auto"/>
              <w:tabs>
                <w:tab w:pos="2672" w:val="left"/>
                <w:tab w:pos="4261" w:val="left"/>
                <w:tab w:pos="4957" w:val="left"/>
              </w:tabs>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(1,029,946,431.86)</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(1,029,946,431.86)</w:t>
            </w:r>
          </w:p>
        </w:tc>
      </w:tr>
      <w:tr>
        <w:trPr>
          <w:trHeight w:val="51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四、净利润</w:t>
            </w:r>
          </w:p>
        </w:tc>
        <w:tc>
          <w:tcPr>
            <w:tcBorders/>
            <w:shd w:val="clear" w:color="auto" w:fill="FFFFFF"/>
            <w:vAlign w:val="center"/>
          </w:tcPr>
          <w:p>
            <w:pPr>
              <w:pStyle w:val="Style23"/>
              <w:keepNext w:val="0"/>
              <w:keepLines w:val="0"/>
              <w:widowControl w:val="0"/>
              <w:shd w:val="clear" w:color="auto" w:fill="auto"/>
              <w:tabs>
                <w:tab w:pos="2689" w:val="left"/>
                <w:tab w:pos="4278" w:val="left"/>
                <w:tab w:pos="5017" w:val="left"/>
              </w:tabs>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4,160,784,941.34</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4,160,784,941.34</w:t>
            </w:r>
          </w:p>
        </w:tc>
      </w:tr>
      <w:tr>
        <w:trPr>
          <w:trHeight w:val="35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其中：归属于母公司所有者的净利润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684" w:val="left"/>
                <w:tab w:pos="4273" w:val="left"/>
                <w:tab w:pos="5012" w:val="left"/>
              </w:tabs>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4,180,426,152.00</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4,180,426,152.00</w:t>
            </w:r>
          </w:p>
        </w:tc>
      </w:tr>
      <w:tr>
        <w:trPr>
          <w:trHeight w:val="490"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720"/>
              <w:jc w:val="left"/>
              <w:rPr>
                <w:sz w:val="13"/>
                <w:szCs w:val="13"/>
              </w:rPr>
            </w:pPr>
            <w:r>
              <w:rPr>
                <w:color w:val="000000"/>
                <w:spacing w:val="0"/>
                <w:w w:val="100"/>
                <w:position w:val="0"/>
                <w:sz w:val="13"/>
                <w:szCs w:val="13"/>
              </w:rPr>
              <w:t>少数股东损益</w:t>
            </w:r>
          </w:p>
        </w:tc>
        <w:tc>
          <w:tcPr>
            <w:tcBorders>
              <w:left w:val="single" w:sz="4"/>
              <w:right w:val="single" w:sz="4"/>
            </w:tcBorders>
            <w:shd w:val="clear" w:color="auto" w:fill="FFFFFF"/>
            <w:vAlign w:val="top"/>
          </w:tcPr>
          <w:p>
            <w:pPr>
              <w:pStyle w:val="Style23"/>
              <w:keepNext w:val="0"/>
              <w:keepLines w:val="0"/>
              <w:widowControl w:val="0"/>
              <w:shd w:val="clear" w:color="auto" w:fill="auto"/>
              <w:tabs>
                <w:tab w:pos="2650" w:val="left"/>
                <w:tab w:pos="4239" w:val="left"/>
                <w:tab w:pos="5132" w:val="left"/>
              </w:tabs>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(19,641,210.66)</w:t>
              <w:tab/>
            </w:r>
            <w:r>
              <w:rPr>
                <w:rFonts w:ascii="Arial" w:eastAsia="Arial" w:hAnsi="Arial" w:cs="Arial"/>
                <w:color w:val="000000"/>
                <w:spacing w:val="0"/>
                <w:w w:val="100"/>
                <w:position w:val="0"/>
                <w:sz w:val="14"/>
                <w:szCs w:val="14"/>
              </w:rPr>
              <w:t>-</w:t>
              <w:tab/>
              <w:t>-</w:t>
              <w:tab/>
            </w:r>
            <w:r>
              <w:rPr>
                <w:rFonts w:ascii="Arial" w:eastAsia="Arial" w:hAnsi="Arial" w:cs="Arial"/>
                <w:color w:val="000000"/>
                <w:spacing w:val="0"/>
                <w:w w:val="100"/>
                <w:position w:val="0"/>
                <w:sz w:val="14"/>
                <w:szCs w:val="14"/>
              </w:rPr>
              <w:t>(19,641,210.66)</w:t>
            </w:r>
          </w:p>
        </w:tc>
      </w:tr>
      <w:tr>
        <w:trPr>
          <w:trHeight w:val="40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rPr>
              <w:t>有效所得税税率</w:t>
            </w:r>
          </w:p>
        </w:tc>
        <w:tc>
          <w:tcPr>
            <w:tcBorders/>
            <w:shd w:val="clear" w:color="auto" w:fill="FFFFFF"/>
            <w:vAlign w:val="bottom"/>
          </w:tcPr>
          <w:p>
            <w:pPr>
              <w:pStyle w:val="Style23"/>
              <w:keepNext w:val="0"/>
              <w:keepLines w:val="0"/>
              <w:widowControl w:val="0"/>
              <w:shd w:val="clear" w:color="auto" w:fill="auto"/>
              <w:tabs>
                <w:tab w:pos="1814" w:val="left"/>
                <w:tab w:pos="3403" w:val="left"/>
                <w:tab w:pos="4762" w:val="left"/>
              </w:tabs>
              <w:bidi w:val="0"/>
              <w:spacing w:before="0" w:after="0" w:line="240" w:lineRule="auto"/>
              <w:ind w:left="0" w:right="0" w:firstLine="0"/>
              <w:jc w:val="right"/>
              <w:rPr>
                <w:sz w:val="13"/>
                <w:szCs w:val="13"/>
              </w:rPr>
            </w:pPr>
            <w:r>
              <w:rPr>
                <w:i/>
                <w:iCs/>
                <w:color w:val="000000"/>
                <w:spacing w:val="0"/>
                <w:w w:val="100"/>
                <w:position w:val="0"/>
                <w:sz w:val="13"/>
                <w:szCs w:val="13"/>
              </w:rPr>
              <w:t>19.84%</w:t>
              <w:tab/>
              <w:t>-</w:t>
              <w:tab/>
              <w:t>-</w:t>
              <w:tab/>
              <w:t>19.84%</w:t>
            </w:r>
          </w:p>
        </w:tc>
      </w:tr>
    </w:tbl>
    <w:p>
      <w:pPr>
        <w:widowControl w:val="0"/>
        <w:spacing w:after="319" w:line="1" w:lineRule="exact"/>
      </w:pPr>
    </w:p>
    <w:p>
      <w:pPr>
        <w:pStyle w:val="Style33"/>
        <w:keepNext w:val="0"/>
        <w:keepLines w:val="0"/>
        <w:widowControl w:val="0"/>
        <w:shd w:val="clear" w:color="auto" w:fill="auto"/>
        <w:bidi w:val="0"/>
        <w:spacing w:before="0" w:after="320" w:line="319" w:lineRule="exact"/>
        <w:ind w:left="0" w:right="0" w:firstLine="0"/>
        <w:jc w:val="both"/>
        <w:rPr>
          <w:sz w:val="19"/>
          <w:szCs w:val="19"/>
        </w:rPr>
      </w:pPr>
      <w:r>
        <w:rPr>
          <w:b w:val="0"/>
          <w:bCs w:val="0"/>
          <w:color w:val="000000"/>
          <w:spacing w:val="0"/>
          <w:w w:val="100"/>
          <w:position w:val="0"/>
          <w:sz w:val="19"/>
          <w:szCs w:val="19"/>
        </w:rPr>
        <w:t>注：本集团</w:t>
      </w:r>
      <w:r>
        <w:rPr>
          <w:rFonts w:ascii="Arial" w:eastAsia="Arial" w:hAnsi="Arial" w:cs="Arial"/>
          <w:b w:val="0"/>
          <w:bCs w:val="0"/>
          <w:color w:val="000000"/>
          <w:spacing w:val="0"/>
          <w:w w:val="100"/>
          <w:position w:val="0"/>
          <w:sz w:val="20"/>
          <w:szCs w:val="20"/>
        </w:rPr>
        <w:t>2016</w:t>
      </w:r>
      <w:r>
        <w:rPr>
          <w:b w:val="0"/>
          <w:bCs w:val="0"/>
          <w:color w:val="000000"/>
          <w:spacing w:val="0"/>
          <w:w w:val="100"/>
          <w:position w:val="0"/>
          <w:sz w:val="19"/>
          <w:szCs w:val="19"/>
        </w:rPr>
        <w:t>年度所得税税率为</w:t>
      </w:r>
      <w:r>
        <w:rPr>
          <w:rFonts w:ascii="Arial" w:eastAsia="Arial" w:hAnsi="Arial" w:cs="Arial"/>
          <w:b w:val="0"/>
          <w:bCs w:val="0"/>
          <w:color w:val="000000"/>
          <w:spacing w:val="0"/>
          <w:w w:val="100"/>
          <w:position w:val="0"/>
          <w:sz w:val="20"/>
          <w:szCs w:val="20"/>
        </w:rPr>
        <w:t>19.84%</w:t>
      </w:r>
      <w:r>
        <w:rPr>
          <w:b w:val="0"/>
          <w:bCs w:val="0"/>
          <w:color w:val="000000"/>
          <w:spacing w:val="0"/>
          <w:w w:val="100"/>
          <w:position w:val="0"/>
          <w:sz w:val="19"/>
          <w:szCs w:val="19"/>
        </w:rPr>
        <w:t>，主要由于非同一控制下企业合并购买翠玉控股及其附 属公司产生的计入营业外收入的负商誉</w:t>
      </w:r>
      <w:r>
        <w:rPr>
          <w:rFonts w:ascii="Arial" w:eastAsia="Arial" w:hAnsi="Arial" w:cs="Arial"/>
          <w:b w:val="0"/>
          <w:bCs w:val="0"/>
          <w:color w:val="000000"/>
          <w:spacing w:val="0"/>
          <w:w w:val="100"/>
          <w:position w:val="0"/>
          <w:sz w:val="20"/>
          <w:szCs w:val="20"/>
        </w:rPr>
        <w:t>1,232,938,035.11</w:t>
      </w:r>
      <w:r>
        <w:rPr>
          <w:b w:val="0"/>
          <w:bCs w:val="0"/>
          <w:color w:val="000000"/>
          <w:spacing w:val="0"/>
          <w:w w:val="100"/>
          <w:position w:val="0"/>
          <w:sz w:val="19"/>
          <w:szCs w:val="19"/>
        </w:rPr>
        <w:t>元无需纳税</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19"/>
          <w:szCs w:val="19"/>
        </w:rPr>
        <w:t>附注五</w:t>
      </w:r>
      <w:r>
        <w:rPr>
          <w:rFonts w:ascii="Arial" w:eastAsia="Arial" w:hAnsi="Arial" w:cs="Arial"/>
          <w:b w:val="0"/>
          <w:bCs w:val="0"/>
          <w:color w:val="000000"/>
          <w:spacing w:val="0"/>
          <w:w w:val="100"/>
          <w:position w:val="0"/>
          <w:sz w:val="20"/>
          <w:szCs w:val="20"/>
        </w:rPr>
        <w:t>(2))</w:t>
      </w:r>
      <w:r>
        <w:rPr>
          <w:b w:val="0"/>
          <w:bCs w:val="0"/>
          <w:color w:val="000000"/>
          <w:spacing w:val="0"/>
          <w:w w:val="100"/>
          <w:position w:val="0"/>
          <w:sz w:val="19"/>
          <w:szCs w:val="19"/>
        </w:rPr>
        <w:t xml:space="preserve">,导致税率下降约 </w:t>
      </w:r>
      <w:r>
        <w:rPr>
          <w:rFonts w:ascii="Arial" w:eastAsia="Arial" w:hAnsi="Arial" w:cs="Arial"/>
          <w:b w:val="0"/>
          <w:bCs w:val="0"/>
          <w:color w:val="000000"/>
          <w:spacing w:val="0"/>
          <w:w w:val="100"/>
          <w:position w:val="0"/>
          <w:sz w:val="20"/>
          <w:szCs w:val="20"/>
        </w:rPr>
        <w:t>6.18%</w:t>
      </w:r>
      <w:r>
        <w:rPr>
          <w:b w:val="0"/>
          <w:bCs w:val="0"/>
          <w:color w:val="000000"/>
          <w:spacing w:val="0"/>
          <w:w w:val="100"/>
          <w:position w:val="0"/>
          <w:sz w:val="19"/>
          <w:szCs w:val="19"/>
        </w:rPr>
        <w:t>。</w:t>
      </w:r>
      <w:r>
        <w:br w:type="page"/>
      </w:r>
    </w:p>
    <w:p>
      <w:pPr>
        <w:pStyle w:val="Style27"/>
        <w:keepNext/>
        <w:keepLines/>
        <w:widowControl w:val="0"/>
        <w:shd w:val="clear" w:color="auto" w:fill="auto"/>
        <w:tabs>
          <w:tab w:pos="816" w:val="left"/>
        </w:tabs>
        <w:bidi w:val="0"/>
        <w:spacing w:before="0" w:after="440" w:line="240" w:lineRule="auto"/>
        <w:ind w:left="0" w:right="0" w:firstLine="0"/>
        <w:jc w:val="left"/>
      </w:pPr>
      <w:bookmarkStart w:id="1053" w:name="bookmark1053"/>
      <w:bookmarkStart w:id="1054" w:name="bookmark1054"/>
      <w:bookmarkStart w:id="1055" w:name="bookmark1055"/>
      <w:r>
        <w:rPr>
          <w:color w:val="000000"/>
          <w:spacing w:val="0"/>
          <w:w w:val="100"/>
          <w:position w:val="0"/>
          <w:sz w:val="22"/>
          <w:szCs w:val="22"/>
        </w:rPr>
        <w:t>十■一</w:t>
        <w:tab/>
        <w:t>持续经营业务和剥离业务的信息</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53"/>
      <w:bookmarkEnd w:id="1054"/>
      <w:bookmarkEnd w:id="1055"/>
    </w:p>
    <w:p>
      <w:pPr>
        <w:pStyle w:val="Style23"/>
        <w:keepNext w:val="0"/>
        <w:keepLines w:val="0"/>
        <w:widowControl w:val="0"/>
        <w:pBdr>
          <w:bottom w:val="single" w:sz="4" w:space="0" w:color="auto"/>
        </w:pBdr>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4"/>
          <w:szCs w:val="14"/>
        </w:rPr>
        <w:t>2015</w:t>
      </w:r>
      <w:r>
        <w:rPr>
          <w:color w:val="000000"/>
          <w:spacing w:val="0"/>
          <w:w w:val="100"/>
          <w:position w:val="0"/>
          <w:sz w:val="13"/>
          <w:szCs w:val="13"/>
        </w:rPr>
        <w:t>年度合并</w:t>
      </w:r>
    </w:p>
    <w:p>
      <w:pPr>
        <w:widowControl w:val="0"/>
        <w:spacing w:line="1" w:lineRule="exact"/>
        <w:sectPr>
          <w:footnotePr>
            <w:pos w:val="pageBottom"/>
            <w:numFmt w:val="decimal"/>
            <w:numRestart w:val="continuous"/>
          </w:footnotePr>
          <w:type w:val="continuous"/>
          <w:pgSz w:w="11900" w:h="16840"/>
          <w:pgMar w:top="1719" w:right="1103" w:bottom="2837" w:left="1955" w:header="0" w:footer="3" w:gutter="0"/>
          <w:cols w:space="720"/>
          <w:noEndnote/>
          <w:rtlGutter w:val="0"/>
          <w:docGrid w:linePitch="360"/>
        </w:sectPr>
      </w:pPr>
      <w:r>
        <mc:AlternateContent>
          <mc:Choice Requires="wps">
            <w:drawing>
              <wp:anchor distT="12700" distB="0" distL="0" distR="0" simplePos="0" relativeHeight="125829619" behindDoc="0" locked="0" layoutInCell="1" allowOverlap="1">
                <wp:simplePos x="0" y="0"/>
                <wp:positionH relativeFrom="page">
                  <wp:posOffset>3191510</wp:posOffset>
                </wp:positionH>
                <wp:positionV relativeFrom="paragraph">
                  <wp:posOffset>12700</wp:posOffset>
                </wp:positionV>
                <wp:extent cx="1563370" cy="121920"/>
                <wp:wrapTopAndBottom/>
                <wp:docPr id="710" name="Shape 710"/>
                <a:graphic xmlns:a="http://schemas.openxmlformats.org/drawingml/2006/main">
                  <a:graphicData uri="http://schemas.microsoft.com/office/word/2010/wordprocessingShape">
                    <wps:wsp>
                      <wps:cNvSpPr txBox="1"/>
                      <wps:spPr>
                        <a:xfrm>
                          <a:ext cx="1563370" cy="121920"/>
                        </a:xfrm>
                        <a:prstGeom prst="rect"/>
                        <a:noFill/>
                      </wps:spPr>
                      <wps:txbx>
                        <w:txbxContent>
                          <w:p>
                            <w:pPr>
                              <w:pStyle w:val="Style23"/>
                              <w:keepNext w:val="0"/>
                              <w:keepLines w:val="0"/>
                              <w:widowControl w:val="0"/>
                              <w:shd w:val="clear" w:color="auto" w:fill="auto"/>
                              <w:tabs>
                                <w:tab w:pos="1858" w:val="left"/>
                              </w:tabs>
                              <w:bidi w:val="0"/>
                              <w:spacing w:before="0" w:after="0" w:line="240" w:lineRule="auto"/>
                              <w:ind w:left="0" w:right="0" w:firstLine="0"/>
                              <w:jc w:val="left"/>
                              <w:rPr>
                                <w:sz w:val="13"/>
                                <w:szCs w:val="13"/>
                              </w:rPr>
                            </w:pPr>
                            <w:r>
                              <w:rPr>
                                <w:color w:val="000000"/>
                                <w:spacing w:val="0"/>
                                <w:w w:val="100"/>
                                <w:position w:val="0"/>
                                <w:sz w:val="13"/>
                                <w:szCs w:val="13"/>
                              </w:rPr>
                              <w:t>持续经营业务</w:t>
                              <w:tab/>
                              <w:t>剥离业务</w:t>
                            </w:r>
                          </w:p>
                        </w:txbxContent>
                      </wps:txbx>
                      <wps:bodyPr wrap="none" lIns="0" tIns="0" rIns="0" bIns="0">
                        <a:noAutoFit/>
                      </wps:bodyPr>
                    </wps:wsp>
                  </a:graphicData>
                </a:graphic>
              </wp:anchor>
            </w:drawing>
          </mc:Choice>
          <mc:Fallback>
            <w:pict>
              <v:shape id="_x0000_s1736" type="#_x0000_t202" style="position:absolute;margin-left:251.30000000000001pt;margin-top:1.pt;width:123.10000000000001pt;height:9.5999999999999996pt;z-index:-125829134;mso-wrap-distance-left:0;mso-wrap-distance-top:1.pt;mso-wrap-distance-right:0;mso-position-horizontal-relative:page" filled="f" stroked="f">
                <v:textbox inset="0,0,0,0">
                  <w:txbxContent>
                    <w:p>
                      <w:pPr>
                        <w:pStyle w:val="Style23"/>
                        <w:keepNext w:val="0"/>
                        <w:keepLines w:val="0"/>
                        <w:widowControl w:val="0"/>
                        <w:shd w:val="clear" w:color="auto" w:fill="auto"/>
                        <w:tabs>
                          <w:tab w:pos="1858" w:val="left"/>
                        </w:tabs>
                        <w:bidi w:val="0"/>
                        <w:spacing w:before="0" w:after="0" w:line="240" w:lineRule="auto"/>
                        <w:ind w:left="0" w:right="0" w:firstLine="0"/>
                        <w:jc w:val="left"/>
                        <w:rPr>
                          <w:sz w:val="13"/>
                          <w:szCs w:val="13"/>
                        </w:rPr>
                      </w:pPr>
                      <w:r>
                        <w:rPr>
                          <w:color w:val="000000"/>
                          <w:spacing w:val="0"/>
                          <w:w w:val="100"/>
                          <w:position w:val="0"/>
                          <w:sz w:val="13"/>
                          <w:szCs w:val="13"/>
                        </w:rPr>
                        <w:t>持续经营业务</w:t>
                        <w:tab/>
                        <w:t>剥离业务</w:t>
                      </w:r>
                    </w:p>
                  </w:txbxContent>
                </v:textbox>
                <w10:wrap type="topAndBottom" anchorx="page"/>
              </v:shape>
            </w:pict>
          </mc:Fallback>
        </mc:AlternateContent>
      </w:r>
      <w:r>
        <mc:AlternateContent>
          <mc:Choice Requires="wps">
            <w:drawing>
              <wp:anchor distT="12700" distB="0" distL="0" distR="0" simplePos="0" relativeHeight="125829621" behindDoc="0" locked="0" layoutInCell="1" allowOverlap="1">
                <wp:simplePos x="0" y="0"/>
                <wp:positionH relativeFrom="page">
                  <wp:posOffset>5562600</wp:posOffset>
                </wp:positionH>
                <wp:positionV relativeFrom="paragraph">
                  <wp:posOffset>12700</wp:posOffset>
                </wp:positionV>
                <wp:extent cx="1210310" cy="121920"/>
                <wp:wrapTopAndBottom/>
                <wp:docPr id="712" name="Shape 712"/>
                <a:graphic xmlns:a="http://schemas.openxmlformats.org/drawingml/2006/main">
                  <a:graphicData uri="http://schemas.microsoft.com/office/word/2010/wordprocessingShape">
                    <wps:wsp>
                      <wps:cNvSpPr txBox="1"/>
                      <wps:spPr>
                        <a:xfrm>
                          <a:ext cx="1210310" cy="121920"/>
                        </a:xfrm>
                        <a:prstGeom prst="rect"/>
                        <a:noFill/>
                      </wps:spPr>
                      <wps:txbx>
                        <w:txbxContent>
                          <w:p>
                            <w:pPr>
                              <w:pStyle w:val="Style23"/>
                              <w:keepNext w:val="0"/>
                              <w:keepLines w:val="0"/>
                              <w:widowControl w:val="0"/>
                              <w:shd w:val="clear" w:color="auto" w:fill="auto"/>
                              <w:tabs>
                                <w:tab w:pos="1579" w:val="left"/>
                              </w:tabs>
                              <w:bidi w:val="0"/>
                              <w:spacing w:before="0" w:after="0" w:line="240" w:lineRule="auto"/>
                              <w:ind w:left="0" w:right="0" w:firstLine="0"/>
                              <w:jc w:val="left"/>
                              <w:rPr>
                                <w:sz w:val="13"/>
                                <w:szCs w:val="13"/>
                              </w:rPr>
                            </w:pPr>
                            <w:r>
                              <w:rPr>
                                <w:color w:val="000000"/>
                                <w:spacing w:val="0"/>
                                <w:w w:val="100"/>
                                <w:position w:val="0"/>
                                <w:sz w:val="13"/>
                                <w:szCs w:val="13"/>
                              </w:rPr>
                              <w:t>抵销</w:t>
                              <w:tab/>
                              <w:t>合计</w:t>
                            </w:r>
                          </w:p>
                        </w:txbxContent>
                      </wps:txbx>
                      <wps:bodyPr wrap="none" lIns="0" tIns="0" rIns="0" bIns="0">
                        <a:noAutoFit/>
                      </wps:bodyPr>
                    </wps:wsp>
                  </a:graphicData>
                </a:graphic>
              </wp:anchor>
            </w:drawing>
          </mc:Choice>
          <mc:Fallback>
            <w:pict>
              <v:shape id="_x0000_s1738" type="#_x0000_t202" style="position:absolute;margin-left:438.pt;margin-top:1.pt;width:95.299999999999997pt;height:9.5999999999999996pt;z-index:-125829132;mso-wrap-distance-left:0;mso-wrap-distance-top:1.pt;mso-wrap-distance-right:0;mso-position-horizontal-relative:page" filled="f" stroked="f">
                <v:textbox inset="0,0,0,0">
                  <w:txbxContent>
                    <w:p>
                      <w:pPr>
                        <w:pStyle w:val="Style23"/>
                        <w:keepNext w:val="0"/>
                        <w:keepLines w:val="0"/>
                        <w:widowControl w:val="0"/>
                        <w:shd w:val="clear" w:color="auto" w:fill="auto"/>
                        <w:tabs>
                          <w:tab w:pos="1579" w:val="left"/>
                        </w:tabs>
                        <w:bidi w:val="0"/>
                        <w:spacing w:before="0" w:after="0" w:line="240" w:lineRule="auto"/>
                        <w:ind w:left="0" w:right="0" w:firstLine="0"/>
                        <w:jc w:val="left"/>
                        <w:rPr>
                          <w:sz w:val="13"/>
                          <w:szCs w:val="13"/>
                        </w:rPr>
                      </w:pPr>
                      <w:r>
                        <w:rPr>
                          <w:color w:val="000000"/>
                          <w:spacing w:val="0"/>
                          <w:w w:val="100"/>
                          <w:position w:val="0"/>
                          <w:sz w:val="13"/>
                          <w:szCs w:val="13"/>
                        </w:rPr>
                        <w:t>抵销</w:t>
                        <w:tab/>
                        <w:t>合计</w:t>
                      </w:r>
                    </w:p>
                  </w:txbxContent>
                </v:textbox>
                <w10:wrap type="topAndBottom" anchorx="page"/>
              </v:shape>
            </w:pict>
          </mc:Fallback>
        </mc:AlternateContent>
      </w: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4" w:right="0" w:bottom="2822" w:left="0" w:header="0" w:footer="3" w:gutter="0"/>
          <w:cols w:space="720"/>
          <w:noEndnote/>
          <w:rtlGutter w:val="0"/>
          <w:docGrid w:linePitch="360"/>
        </w:sectPr>
      </w:pPr>
    </w:p>
    <w:p>
      <w:pPr>
        <w:widowControl w:val="0"/>
        <w:spacing w:line="1" w:lineRule="exact"/>
      </w:pPr>
      <w:r>
        <mc:AlternateContent>
          <mc:Choice Requires="wps">
            <w:drawing>
              <wp:anchor distT="155575" distB="0" distL="0" distR="0" simplePos="0" relativeHeight="125829623" behindDoc="0" locked="0" layoutInCell="1" allowOverlap="1">
                <wp:simplePos x="0" y="0"/>
                <wp:positionH relativeFrom="page">
                  <wp:posOffset>2865120</wp:posOffset>
                </wp:positionH>
                <wp:positionV relativeFrom="paragraph">
                  <wp:posOffset>3639185</wp:posOffset>
                </wp:positionV>
                <wp:extent cx="3968750" cy="423545"/>
                <wp:wrapSquare wrapText="left"/>
                <wp:docPr id="714" name="Shape 714"/>
                <a:graphic xmlns:a="http://schemas.openxmlformats.org/drawingml/2006/main">
                  <a:graphicData uri="http://schemas.microsoft.com/office/word/2010/wordprocessingShape">
                    <wps:wsp>
                      <wps:cNvSpPr txBox="1"/>
                      <wps:spPr>
                        <a:xfrm>
                          <a:ext cx="3968750" cy="423545"/>
                        </a:xfrm>
                        <a:prstGeom prst="rect"/>
                        <a:noFill/>
                      </wps:spPr>
                      <wps:txbx>
                        <w:txbxContent>
                          <w:tbl>
                            <w:tblPr>
                              <w:tblOverlap w:val="never"/>
                              <w:jc w:val="left"/>
                              <w:tblLayout w:type="fixed"/>
                            </w:tblPr>
                            <w:tblGrid>
                              <w:gridCol w:w="1680"/>
                              <w:gridCol w:w="1982"/>
                              <w:gridCol w:w="1032"/>
                              <w:gridCol w:w="1555"/>
                            </w:tblGrid>
                            <w:tr>
                              <w:trPr>
                                <w:tblHeade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1,967,312,072.30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(865,881,265.00)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1,101,430,807.30</w:t>
                                  </w:r>
                                </w:p>
                              </w:tc>
                            </w:tr>
                            <w:tr>
                              <w:trPr>
                                <w:trHeight w:val="278"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(7,209,659.32)</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(7,209,659.32)</w:t>
                                  </w:r>
                                </w:p>
                              </w:tc>
                            </w:tr>
                          </w:tbl>
                          <w:p>
                            <w:pPr>
                              <w:widowControl w:val="0"/>
                              <w:spacing w:line="1" w:lineRule="exact"/>
                            </w:pPr>
                          </w:p>
                        </w:txbxContent>
                      </wps:txbx>
                      <wps:bodyPr lIns="0" tIns="0" rIns="0" bIns="0">
                        <a:noAutoFit/>
                      </wps:bodyPr>
                    </wps:wsp>
                  </a:graphicData>
                </a:graphic>
              </wp:anchor>
            </w:drawing>
          </mc:Choice>
          <mc:Fallback>
            <w:pict>
              <v:shape id="_x0000_s1740" type="#_x0000_t202" style="position:absolute;margin-left:225.59999999999999pt;margin-top:286.55000000000001pt;width:312.5pt;height:33.350000000000001pt;z-index:-125829130;mso-wrap-distance-left:0;mso-wrap-distance-top:12.25pt;mso-wrap-distance-right:0;mso-position-horizontal-relative:page" filled="f" stroked="f">
                <v:textbox inset="0,0,0,0">
                  <w:txbxContent>
                    <w:tbl>
                      <w:tblPr>
                        <w:tblOverlap w:val="never"/>
                        <w:jc w:val="left"/>
                        <w:tblLayout w:type="fixed"/>
                      </w:tblPr>
                      <w:tblGrid>
                        <w:gridCol w:w="1680"/>
                        <w:gridCol w:w="1982"/>
                        <w:gridCol w:w="1032"/>
                        <w:gridCol w:w="1555"/>
                      </w:tblGrid>
                      <w:tr>
                        <w:trPr>
                          <w:tblHeade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1,967,312,072.30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(865,881,265.00)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1,101,430,807.30</w:t>
                            </w:r>
                          </w:p>
                        </w:tc>
                      </w:tr>
                      <w:tr>
                        <w:trPr>
                          <w:trHeight w:val="278"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(7,209,659.32)</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(7,209,659.32)</w:t>
                            </w:r>
                          </w:p>
                        </w:tc>
                      </w:tr>
                    </w:tbl>
                    <w:p>
                      <w:pPr>
                        <w:widowControl w:val="0"/>
                        <w:spacing w:line="1" w:lineRule="exact"/>
                      </w:pPr>
                    </w:p>
                  </w:txbxContent>
                </v:textbox>
                <w10:wrap type="square" side="left"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3035935</wp:posOffset>
                </wp:positionH>
                <wp:positionV relativeFrom="paragraph">
                  <wp:posOffset>3483610</wp:posOffset>
                </wp:positionV>
                <wp:extent cx="716280" cy="113030"/>
                <wp:wrapNone/>
                <wp:docPr id="716" name="Shape 716"/>
                <a:graphic xmlns:a="http://schemas.openxmlformats.org/drawingml/2006/main">
                  <a:graphicData uri="http://schemas.microsoft.com/office/word/2010/wordprocessingShape">
                    <wps:wsp>
                      <wps:cNvSpPr txBox="1"/>
                      <wps:spPr>
                        <a:xfrm>
                          <a:ext cx="716280" cy="1130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1,960,102,412.98</w:t>
                            </w:r>
                          </w:p>
                        </w:txbxContent>
                      </wps:txbx>
                      <wps:bodyPr lIns="0" tIns="0" rIns="0" bIns="0">
                        <a:noAutoFit/>
                      </wps:bodyPr>
                    </wps:wsp>
                  </a:graphicData>
                </a:graphic>
              </wp:anchor>
            </w:drawing>
          </mc:Choice>
          <mc:Fallback>
            <w:pict>
              <v:shape id="_x0000_s1742" type="#_x0000_t202" style="position:absolute;margin-left:239.05000000000001pt;margin-top:274.30000000000001pt;width:56.399999999999999pt;height:8.9000000000000004pt;z-index:25165773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1,960,102,412.98</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4084320</wp:posOffset>
                </wp:positionH>
                <wp:positionV relativeFrom="paragraph">
                  <wp:posOffset>3483610</wp:posOffset>
                </wp:positionV>
                <wp:extent cx="701040" cy="118745"/>
                <wp:wrapNone/>
                <wp:docPr id="718" name="Shape 718"/>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(865,881,265.00)</w:t>
                            </w:r>
                          </w:p>
                        </w:txbxContent>
                      </wps:txbx>
                      <wps:bodyPr lIns="0" tIns="0" rIns="0" bIns="0">
                        <a:noAutoFit/>
                      </wps:bodyPr>
                    </wps:wsp>
                  </a:graphicData>
                </a:graphic>
              </wp:anchor>
            </w:drawing>
          </mc:Choice>
          <mc:Fallback>
            <w:pict>
              <v:shape id="_x0000_s1744" type="#_x0000_t202" style="position:absolute;margin-left:321.60000000000002pt;margin-top:274.30000000000001pt;width:55.200000000000003pt;height:9.3499999999999996pt;z-index:251657737;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(865,881,265.00)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6059170</wp:posOffset>
                </wp:positionH>
                <wp:positionV relativeFrom="paragraph">
                  <wp:posOffset>3483610</wp:posOffset>
                </wp:positionV>
                <wp:extent cx="716280" cy="113030"/>
                <wp:wrapNone/>
                <wp:docPr id="720" name="Shape 720"/>
                <a:graphic xmlns:a="http://schemas.openxmlformats.org/drawingml/2006/main">
                  <a:graphicData uri="http://schemas.microsoft.com/office/word/2010/wordprocessingShape">
                    <wps:wsp>
                      <wps:cNvSpPr txBox="1"/>
                      <wps:spPr>
                        <a:xfrm>
                          <a:ext cx="716280" cy="1130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1,094,221,147.98</w:t>
                            </w:r>
                          </w:p>
                        </w:txbxContent>
                      </wps:txbx>
                      <wps:bodyPr lIns="0" tIns="0" rIns="0" bIns="0">
                        <a:noAutoFit/>
                      </wps:bodyPr>
                    </wps:wsp>
                  </a:graphicData>
                </a:graphic>
              </wp:anchor>
            </w:drawing>
          </mc:Choice>
          <mc:Fallback>
            <w:pict>
              <v:shape id="_x0000_s1746" type="#_x0000_t202" style="position:absolute;margin-left:477.10000000000002pt;margin-top:274.30000000000001pt;width:56.399999999999999pt;height:8.9000000000000004pt;z-index:25165773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1,094,221,147.98</w:t>
                      </w:r>
                    </w:p>
                  </w:txbxContent>
                </v:textbox>
                <w10:wrap anchorx="page"/>
              </v:shape>
            </w:pict>
          </mc:Fallback>
        </mc:AlternateContent>
      </w:r>
      <w:r>
        <mc:AlternateContent>
          <mc:Choice Requires="wps">
            <w:drawing>
              <wp:anchor distT="228600" distB="0" distL="114300" distR="4857115" simplePos="0" relativeHeight="125829625" behindDoc="0" locked="0" layoutInCell="1" allowOverlap="1">
                <wp:simplePos x="0" y="0"/>
                <wp:positionH relativeFrom="page">
                  <wp:posOffset>1240790</wp:posOffset>
                </wp:positionH>
                <wp:positionV relativeFrom="paragraph">
                  <wp:posOffset>4334510</wp:posOffset>
                </wp:positionV>
                <wp:extent cx="792480" cy="128270"/>
                <wp:wrapTopAndBottom/>
                <wp:docPr id="722" name="Shape 722"/>
                <a:graphic xmlns:a="http://schemas.openxmlformats.org/drawingml/2006/main">
                  <a:graphicData uri="http://schemas.microsoft.com/office/word/2010/wordprocessingShape">
                    <wps:wsp>
                      <wps:cNvSpPr txBox="1"/>
                      <wps:spPr>
                        <a:xfrm>
                          <a:ext cx="792480"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rPr>
                              <w:t>有效所得税税率</w:t>
                            </w:r>
                            <w:r>
                              <w:rPr>
                                <w:i/>
                                <w:iCs/>
                                <w:color w:val="000000"/>
                                <w:spacing w:val="0"/>
                                <w:w w:val="100"/>
                                <w:position w:val="0"/>
                                <w:sz w:val="13"/>
                                <w:szCs w:val="13"/>
                              </w:rPr>
                              <w:t>(</w:t>
                            </w:r>
                            <w:r>
                              <w:rPr>
                                <w:i/>
                                <w:iCs/>
                                <w:color w:val="000000"/>
                                <w:spacing w:val="0"/>
                                <w:w w:val="100"/>
                                <w:position w:val="0"/>
                                <w:sz w:val="14"/>
                                <w:szCs w:val="14"/>
                              </w:rPr>
                              <w:t>注)</w:t>
                            </w:r>
                          </w:p>
                        </w:txbxContent>
                      </wps:txbx>
                      <wps:bodyPr wrap="none" lIns="0" tIns="0" rIns="0" bIns="0">
                        <a:noAutoFit/>
                      </wps:bodyPr>
                    </wps:wsp>
                  </a:graphicData>
                </a:graphic>
              </wp:anchor>
            </w:drawing>
          </mc:Choice>
          <mc:Fallback>
            <w:pict>
              <v:shape id="_x0000_s1748" type="#_x0000_t202" style="position:absolute;margin-left:97.700000000000003pt;margin-top:341.30000000000001pt;width:62.399999999999999pt;height:10.1pt;z-index:-125829128;mso-wrap-distance-left:9.pt;mso-wrap-distance-top:18.pt;mso-wrap-distance-right:382.44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rPr>
                        <w:t>有效所得税税率</w:t>
                      </w:r>
                      <w:r>
                        <w:rPr>
                          <w:i/>
                          <w:iCs/>
                          <w:color w:val="000000"/>
                          <w:spacing w:val="0"/>
                          <w:w w:val="100"/>
                          <w:position w:val="0"/>
                          <w:sz w:val="13"/>
                          <w:szCs w:val="13"/>
                        </w:rPr>
                        <w:t>(</w:t>
                      </w:r>
                      <w:r>
                        <w:rPr>
                          <w:i/>
                          <w:iCs/>
                          <w:color w:val="000000"/>
                          <w:spacing w:val="0"/>
                          <w:w w:val="100"/>
                          <w:position w:val="0"/>
                          <w:sz w:val="14"/>
                          <w:szCs w:val="14"/>
                        </w:rPr>
                        <w:t>注)</w:t>
                      </w:r>
                    </w:p>
                  </w:txbxContent>
                </v:textbox>
                <w10:wrap type="topAndBottom" anchorx="page"/>
              </v:shape>
            </w:pict>
          </mc:Fallback>
        </mc:AlternateContent>
      </w:r>
      <w:r>
        <mc:AlternateContent>
          <mc:Choice Requires="wps">
            <w:drawing>
              <wp:anchor distT="237490" distB="6350" distL="2345690" distR="3137535" simplePos="0" relativeHeight="125829627" behindDoc="0" locked="0" layoutInCell="1" allowOverlap="1">
                <wp:simplePos x="0" y="0"/>
                <wp:positionH relativeFrom="page">
                  <wp:posOffset>3472180</wp:posOffset>
                </wp:positionH>
                <wp:positionV relativeFrom="paragraph">
                  <wp:posOffset>4343400</wp:posOffset>
                </wp:positionV>
                <wp:extent cx="280670" cy="113030"/>
                <wp:wrapTopAndBottom/>
                <wp:docPr id="724" name="Shape 724"/>
                <a:graphic xmlns:a="http://schemas.openxmlformats.org/drawingml/2006/main">
                  <a:graphicData uri="http://schemas.microsoft.com/office/word/2010/wordprocessingShape">
                    <wps:wsp>
                      <wps:cNvSpPr txBox="1"/>
                      <wps:spPr>
                        <a:xfrm>
                          <a:ext cx="280670" cy="1130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rPr>
                              <w:t>31.1%</w:t>
                            </w:r>
                          </w:p>
                        </w:txbxContent>
                      </wps:txbx>
                      <wps:bodyPr wrap="none" lIns="0" tIns="0" rIns="0" bIns="0">
                        <a:noAutoFit/>
                      </wps:bodyPr>
                    </wps:wsp>
                  </a:graphicData>
                </a:graphic>
              </wp:anchor>
            </w:drawing>
          </mc:Choice>
          <mc:Fallback>
            <w:pict>
              <v:shape id="_x0000_s1750" type="#_x0000_t202" style="position:absolute;margin-left:273.40000000000003pt;margin-top:342.pt;width:22.100000000000001pt;height:8.9000000000000004pt;z-index:-125829126;mso-wrap-distance-left:184.70000000000002pt;mso-wrap-distance-top:18.699999999999999pt;mso-wrap-distance-right:247.05000000000001pt;mso-wrap-distance-bottom:0.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rPr>
                        <w:t>31.1%</w:t>
                      </w:r>
                    </w:p>
                  </w:txbxContent>
                </v:textbox>
                <w10:wrap type="topAndBottom" anchorx="page"/>
              </v:shape>
            </w:pict>
          </mc:Fallback>
        </mc:AlternateContent>
      </w:r>
      <w:r>
        <mc:AlternateContent>
          <mc:Choice Requires="wps">
            <w:drawing>
              <wp:anchor distT="237490" distB="6350" distL="3348355" distR="2132330" simplePos="0" relativeHeight="125829629" behindDoc="0" locked="0" layoutInCell="1" allowOverlap="1">
                <wp:simplePos x="0" y="0"/>
                <wp:positionH relativeFrom="page">
                  <wp:posOffset>4474845</wp:posOffset>
                </wp:positionH>
                <wp:positionV relativeFrom="paragraph">
                  <wp:posOffset>4343400</wp:posOffset>
                </wp:positionV>
                <wp:extent cx="283210" cy="113030"/>
                <wp:wrapTopAndBottom/>
                <wp:docPr id="726" name="Shape 726"/>
                <a:graphic xmlns:a="http://schemas.openxmlformats.org/drawingml/2006/main">
                  <a:graphicData uri="http://schemas.microsoft.com/office/word/2010/wordprocessingShape">
                    <wps:wsp>
                      <wps:cNvSpPr txBox="1"/>
                      <wps:spPr>
                        <a:xfrm>
                          <a:ext cx="283210" cy="1130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rPr>
                              <w:t>25.0%</w:t>
                            </w:r>
                          </w:p>
                        </w:txbxContent>
                      </wps:txbx>
                      <wps:bodyPr wrap="none" lIns="0" tIns="0" rIns="0" bIns="0">
                        <a:noAutoFit/>
                      </wps:bodyPr>
                    </wps:wsp>
                  </a:graphicData>
                </a:graphic>
              </wp:anchor>
            </w:drawing>
          </mc:Choice>
          <mc:Fallback>
            <w:pict>
              <v:shape id="_x0000_s1752" type="#_x0000_t202" style="position:absolute;margin-left:352.35000000000002pt;margin-top:342.pt;width:22.300000000000001pt;height:8.9000000000000004pt;z-index:-125829124;mso-wrap-distance-left:263.64999999999998pt;mso-wrap-distance-top:18.699999999999999pt;mso-wrap-distance-right:167.90000000000001pt;mso-wrap-distance-bottom:0.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rPr>
                        <w:t>25.0%</w:t>
                      </w:r>
                    </w:p>
                  </w:txbxContent>
                </v:textbox>
                <w10:wrap type="topAndBottom" anchorx="page"/>
              </v:shape>
            </w:pict>
          </mc:Fallback>
        </mc:AlternateContent>
      </w:r>
      <w:r>
        <mc:AlternateContent>
          <mc:Choice Requires="wps">
            <w:drawing>
              <wp:anchor distT="237490" distB="6350" distL="5368925" distR="114300" simplePos="0" relativeHeight="125829631" behindDoc="0" locked="0" layoutInCell="1" allowOverlap="1">
                <wp:simplePos x="0" y="0"/>
                <wp:positionH relativeFrom="page">
                  <wp:posOffset>6495415</wp:posOffset>
                </wp:positionH>
                <wp:positionV relativeFrom="paragraph">
                  <wp:posOffset>4343400</wp:posOffset>
                </wp:positionV>
                <wp:extent cx="280670" cy="113030"/>
                <wp:wrapTopAndBottom/>
                <wp:docPr id="728" name="Shape 728"/>
                <a:graphic xmlns:a="http://schemas.openxmlformats.org/drawingml/2006/main">
                  <a:graphicData uri="http://schemas.microsoft.com/office/word/2010/wordprocessingShape">
                    <wps:wsp>
                      <wps:cNvSpPr txBox="1"/>
                      <wps:spPr>
                        <a:xfrm>
                          <a:ext cx="280670" cy="1130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000000"/>
                                <w:spacing w:val="0"/>
                                <w:w w:val="100"/>
                                <w:position w:val="0"/>
                                <w:sz w:val="13"/>
                                <w:szCs w:val="13"/>
                              </w:rPr>
                              <w:t>35.3%</w:t>
                            </w:r>
                          </w:p>
                        </w:txbxContent>
                      </wps:txbx>
                      <wps:bodyPr wrap="none" lIns="0" tIns="0" rIns="0" bIns="0">
                        <a:noAutoFit/>
                      </wps:bodyPr>
                    </wps:wsp>
                  </a:graphicData>
                </a:graphic>
              </wp:anchor>
            </w:drawing>
          </mc:Choice>
          <mc:Fallback>
            <w:pict>
              <v:shape id="_x0000_s1754" type="#_x0000_t202" style="position:absolute;margin-left:511.44999999999999pt;margin-top:342.pt;width:22.100000000000001pt;height:8.9000000000000004pt;z-index:-125829122;mso-wrap-distance-left:422.75pt;mso-wrap-distance-top:18.699999999999999pt;mso-wrap-distance-right:9.pt;mso-wrap-distance-bottom:0.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000000"/>
                          <w:spacing w:val="0"/>
                          <w:w w:val="100"/>
                          <w:position w:val="0"/>
                          <w:sz w:val="13"/>
                          <w:szCs w:val="13"/>
                        </w:rPr>
                        <w:t>35.3%</w:t>
                      </w:r>
                    </w:p>
                  </w:txbxContent>
                </v:textbox>
                <w10:wrap type="topAndBottom" anchorx="page"/>
              </v:shape>
            </w:pict>
          </mc:Fallback>
        </mc:AlternateContent>
      </w:r>
    </w:p>
    <w:tbl>
      <w:tblPr>
        <w:tblOverlap w:val="never"/>
        <w:jc w:val="center"/>
        <w:tblLayout w:type="fixed"/>
      </w:tblPr>
      <w:tblGrid>
        <w:gridCol w:w="1934"/>
        <w:gridCol w:w="1982"/>
        <w:gridCol w:w="1646"/>
        <w:gridCol w:w="1483"/>
        <w:gridCol w:w="1507"/>
      </w:tblGrid>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营业收入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47,308,186,600.21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1,260,150,192.96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(467,182,033.67)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48,101,154,759.50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减：营业成本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(37,648,980,651.05)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(1,292,900,221.30)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355,977,037.56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(38,585,903,834.79)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营业税金及附加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rPr>
              <w:t>(180,548,769.08)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(4,972,380.23)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(185,521,149.31)</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销售费用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(1,196,555,338.65)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(856,114,158.34)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98,666,020.76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(1,954,003,476.23)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管理费用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(5,579,544,714.35)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(255,184,763.80)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12,538,975.35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(5,822,190,502.80)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财务费用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rPr>
              <w:t>(387,471,639.67)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(9,763,558.86)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(397,235,198.53)</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资产减值损失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rPr>
              <w:t>(179,285,402.68)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(1,282,030.48)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(180,567,433.16)</w:t>
            </w: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加：公允价值变动损益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15,189,834.80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15,189,834.80</w:t>
            </w:r>
          </w:p>
        </w:tc>
      </w:tr>
      <w:tr>
        <w:trPr>
          <w:trHeight w:val="595"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00"/>
              <w:jc w:val="left"/>
              <w:rPr>
                <w:sz w:val="13"/>
                <w:szCs w:val="13"/>
              </w:rPr>
            </w:pPr>
            <w:r>
              <w:rPr>
                <w:color w:val="000000"/>
                <w:spacing w:val="0"/>
                <w:w w:val="100"/>
                <w:position w:val="0"/>
                <w:sz w:val="13"/>
                <w:szCs w:val="13"/>
              </w:rPr>
              <w:t>投资收益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410,146,628.49</w:t>
            </w:r>
          </w:p>
        </w:tc>
        <w:tc>
          <w:tcPr>
            <w:tcBorders/>
            <w:shd w:val="clear" w:color="auto" w:fill="FFFFFF"/>
            <w:vAlign w:val="top"/>
          </w:tcPr>
          <w:p>
            <w:pPr>
              <w:pStyle w:val="Style23"/>
              <w:keepNext w:val="0"/>
              <w:keepLines w:val="0"/>
              <w:widowControl w:val="0"/>
              <w:shd w:val="clear" w:color="auto" w:fill="auto"/>
              <w:bidi w:val="0"/>
              <w:spacing w:before="10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3"/>
              <w:keepNext w:val="0"/>
              <w:keepLines w:val="0"/>
              <w:widowControl w:val="0"/>
              <w:shd w:val="clear" w:color="auto" w:fill="auto"/>
              <w:bidi w:val="0"/>
              <w:spacing w:before="10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410,146,628.49</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营业利润</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2,561,136,548.02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(1,160,066,920.05)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1,401,069,627.97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加：营业外收入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353,443,142.81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8,591,093.48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362,034,236.29</w:t>
            </w:r>
          </w:p>
        </w:tc>
      </w:tr>
      <w:tr>
        <w:trPr>
          <w:trHeight w:val="590"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减：营业外支出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(69,471,567.55)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(3,127,258.68)</w:t>
            </w:r>
          </w:p>
        </w:tc>
        <w:tc>
          <w:tcPr>
            <w:tcBorders/>
            <w:shd w:val="clear" w:color="auto" w:fill="FFFFFF"/>
            <w:vAlign w:val="top"/>
          </w:tcPr>
          <w:p>
            <w:pPr>
              <w:pStyle w:val="Style23"/>
              <w:keepNext w:val="0"/>
              <w:keepLines w:val="0"/>
              <w:widowControl w:val="0"/>
              <w:shd w:val="clear" w:color="auto" w:fill="auto"/>
              <w:bidi w:val="0"/>
              <w:spacing w:before="10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(72,598,826.23)</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利润总额</w:t>
            </w:r>
            <w:r>
              <w:rPr>
                <w:rFonts w:ascii="Arial" w:eastAsia="Arial" w:hAnsi="Arial" w:cs="Arial"/>
                <w:color w:val="000000"/>
                <w:spacing w:val="0"/>
                <w:w w:val="100"/>
                <w:position w:val="0"/>
                <w:sz w:val="14"/>
                <w:szCs w:val="14"/>
              </w:rPr>
              <w:t>/(</w:t>
            </w:r>
            <w:r>
              <w:rPr>
                <w:color w:val="000000"/>
                <w:spacing w:val="0"/>
                <w:w w:val="100"/>
                <w:position w:val="0"/>
                <w:sz w:val="13"/>
                <w:szCs w:val="13"/>
              </w:rPr>
              <w:t>亏损</w:t>
            </w:r>
            <w:r>
              <w:rPr>
                <w:color w:val="000000"/>
                <w:spacing w:val="0"/>
                <w:w w:val="100"/>
                <w:position w:val="0"/>
                <w:sz w:val="17"/>
                <w:szCs w:val="17"/>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2,845,108,123.28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(1,154,603,085.25)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1,690,505,038.03</w:t>
            </w: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减：所得税费用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rPr>
              <w:t>(885,005,710.30)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288,721,820.25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(596,283,890.05)</w:t>
            </w:r>
          </w:p>
        </w:tc>
      </w:tr>
    </w:tbl>
    <w:p>
      <w:pPr>
        <w:widowControl w:val="0"/>
        <w:spacing w:after="419" w:line="1" w:lineRule="exact"/>
      </w:pPr>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3"/>
          <w:szCs w:val="13"/>
        </w:rPr>
        <w:t>四、净利润</w:t>
      </w:r>
      <w:r>
        <w:rPr>
          <w:rFonts w:ascii="Arial" w:eastAsia="Arial" w:hAnsi="Arial" w:cs="Arial"/>
          <w:color w:val="000000"/>
          <w:spacing w:val="0"/>
          <w:w w:val="100"/>
          <w:position w:val="0"/>
          <w:sz w:val="14"/>
          <w:szCs w:val="14"/>
        </w:rPr>
        <w:t>/(</w:t>
      </w:r>
      <w:r>
        <w:rPr>
          <w:color w:val="000000"/>
          <w:spacing w:val="0"/>
          <w:w w:val="100"/>
          <w:position w:val="0"/>
          <w:sz w:val="13"/>
          <w:szCs w:val="13"/>
        </w:rPr>
        <w:t>亏损</w:t>
      </w:r>
      <w:r>
        <w:rPr>
          <w:color w:val="000000"/>
          <w:spacing w:val="0"/>
          <w:w w:val="100"/>
          <w:position w:val="0"/>
          <w:sz w:val="17"/>
          <w:szCs w:val="17"/>
        </w:rPr>
        <w:t>)</w:t>
      </w:r>
    </w:p>
    <w:p>
      <w:pPr>
        <w:pStyle w:val="Style23"/>
        <w:keepNext w:val="0"/>
        <w:keepLines w:val="0"/>
        <w:widowControl w:val="0"/>
        <w:shd w:val="clear" w:color="auto" w:fill="auto"/>
        <w:bidi w:val="0"/>
        <w:spacing w:before="0" w:after="160" w:line="240" w:lineRule="auto"/>
        <w:ind w:left="0" w:right="0" w:firstLine="260"/>
        <w:jc w:val="left"/>
        <w:rPr>
          <w:sz w:val="13"/>
          <w:szCs w:val="13"/>
        </w:rPr>
      </w:pPr>
      <w:r>
        <w:rPr>
          <w:color w:val="000000"/>
          <w:spacing w:val="0"/>
          <w:w w:val="100"/>
          <w:position w:val="0"/>
          <w:sz w:val="13"/>
          <w:szCs w:val="13"/>
        </w:rPr>
        <w:t>其中：归属于母公司所有者的净利润</w:t>
      </w:r>
    </w:p>
    <w:p>
      <w:pPr>
        <w:pStyle w:val="Style23"/>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少数股东损益</w:t>
      </w:r>
    </w:p>
    <w:p>
      <w:pPr>
        <w:pStyle w:val="Style33"/>
        <w:keepNext w:val="0"/>
        <w:keepLines w:val="0"/>
        <w:widowControl w:val="0"/>
        <w:shd w:val="clear" w:color="auto" w:fill="auto"/>
        <w:bidi w:val="0"/>
        <w:spacing w:before="0" w:after="320" w:line="317" w:lineRule="exact"/>
        <w:ind w:left="0" w:right="0" w:firstLine="0"/>
        <w:jc w:val="left"/>
        <w:rPr>
          <w:sz w:val="19"/>
          <w:szCs w:val="19"/>
        </w:rPr>
      </w:pPr>
      <w:r>
        <w:rPr>
          <w:b w:val="0"/>
          <w:bCs w:val="0"/>
          <w:color w:val="000000"/>
          <w:spacing w:val="0"/>
          <w:w w:val="100"/>
          <w:position w:val="0"/>
          <w:sz w:val="19"/>
          <w:szCs w:val="19"/>
        </w:rPr>
        <w:t>注：本集团</w:t>
      </w:r>
      <w:r>
        <w:rPr>
          <w:rFonts w:ascii="Arial" w:eastAsia="Arial" w:hAnsi="Arial" w:cs="Arial"/>
          <w:b w:val="0"/>
          <w:bCs w:val="0"/>
          <w:color w:val="000000"/>
          <w:spacing w:val="0"/>
          <w:w w:val="100"/>
          <w:position w:val="0"/>
          <w:sz w:val="20"/>
          <w:szCs w:val="20"/>
        </w:rPr>
        <w:t>2015</w:t>
      </w:r>
      <w:r>
        <w:rPr>
          <w:b w:val="0"/>
          <w:bCs w:val="0"/>
          <w:color w:val="000000"/>
          <w:spacing w:val="0"/>
          <w:w w:val="100"/>
          <w:position w:val="0"/>
          <w:sz w:val="19"/>
          <w:szCs w:val="19"/>
        </w:rPr>
        <w:t>年度所得税税率为</w:t>
      </w:r>
      <w:r>
        <w:rPr>
          <w:rFonts w:ascii="Arial" w:eastAsia="Arial" w:hAnsi="Arial" w:cs="Arial"/>
          <w:b w:val="0"/>
          <w:bCs w:val="0"/>
          <w:color w:val="000000"/>
          <w:spacing w:val="0"/>
          <w:w w:val="100"/>
          <w:position w:val="0"/>
          <w:sz w:val="20"/>
          <w:szCs w:val="20"/>
        </w:rPr>
        <w:t>35.3%</w:t>
      </w:r>
      <w:r>
        <w:rPr>
          <w:b w:val="0"/>
          <w:bCs w:val="0"/>
          <w:color w:val="000000"/>
          <w:spacing w:val="0"/>
          <w:w w:val="100"/>
          <w:position w:val="0"/>
          <w:sz w:val="19"/>
          <w:szCs w:val="19"/>
        </w:rPr>
        <w:t>,主要由于：</w:t>
      </w:r>
    </w:p>
    <w:p>
      <w:pPr>
        <w:pStyle w:val="Style33"/>
        <w:keepNext w:val="0"/>
        <w:keepLines w:val="0"/>
        <w:widowControl w:val="0"/>
        <w:numPr>
          <w:ilvl w:val="0"/>
          <w:numId w:val="97"/>
        </w:numPr>
        <w:shd w:val="clear" w:color="auto" w:fill="auto"/>
        <w:tabs>
          <w:tab w:pos="416" w:val="left"/>
        </w:tabs>
        <w:bidi w:val="0"/>
        <w:spacing w:before="0" w:after="0" w:line="317" w:lineRule="exact"/>
        <w:ind w:left="0" w:right="0" w:firstLine="0"/>
        <w:jc w:val="left"/>
        <w:rPr>
          <w:sz w:val="19"/>
          <w:szCs w:val="19"/>
        </w:rPr>
      </w:pPr>
      <w:bookmarkStart w:id="1056" w:name="bookmark1056"/>
      <w:bookmarkEnd w:id="1056"/>
      <w:r>
        <w:rPr>
          <w:b w:val="0"/>
          <w:bCs w:val="0"/>
          <w:color w:val="000000"/>
          <w:spacing w:val="0"/>
          <w:w w:val="100"/>
          <w:position w:val="0"/>
          <w:sz w:val="19"/>
          <w:szCs w:val="19"/>
        </w:rPr>
        <w:t>剥离业务亏损，导致税率上升约</w:t>
      </w:r>
      <w:r>
        <w:rPr>
          <w:rFonts w:ascii="Arial" w:eastAsia="Arial" w:hAnsi="Arial" w:cs="Arial"/>
          <w:b w:val="0"/>
          <w:bCs w:val="0"/>
          <w:color w:val="000000"/>
          <w:spacing w:val="0"/>
          <w:w w:val="100"/>
          <w:position w:val="0"/>
          <w:sz w:val="20"/>
          <w:szCs w:val="20"/>
        </w:rPr>
        <w:t>4.2%</w:t>
      </w:r>
      <w:r>
        <w:rPr>
          <w:b w:val="0"/>
          <w:bCs w:val="0"/>
          <w:color w:val="000000"/>
          <w:spacing w:val="0"/>
          <w:w w:val="100"/>
          <w:position w:val="0"/>
          <w:sz w:val="19"/>
          <w:szCs w:val="19"/>
        </w:rPr>
        <w:t>；</w:t>
      </w:r>
    </w:p>
    <w:p>
      <w:pPr>
        <w:pStyle w:val="Style33"/>
        <w:keepNext w:val="0"/>
        <w:keepLines w:val="0"/>
        <w:widowControl w:val="0"/>
        <w:numPr>
          <w:ilvl w:val="0"/>
          <w:numId w:val="97"/>
        </w:numPr>
        <w:shd w:val="clear" w:color="auto" w:fill="auto"/>
        <w:tabs>
          <w:tab w:pos="416" w:val="left"/>
        </w:tabs>
        <w:bidi w:val="0"/>
        <w:spacing w:before="0" w:after="0" w:line="317" w:lineRule="exact"/>
        <w:ind w:left="0" w:right="0" w:firstLine="0"/>
        <w:jc w:val="left"/>
        <w:rPr>
          <w:sz w:val="19"/>
          <w:szCs w:val="19"/>
        </w:rPr>
      </w:pPr>
      <w:bookmarkStart w:id="1057" w:name="bookmark1057"/>
      <w:bookmarkEnd w:id="1057"/>
      <w:r>
        <w:rPr>
          <w:b w:val="0"/>
          <w:bCs w:val="0"/>
          <w:color w:val="000000"/>
          <w:spacing w:val="0"/>
          <w:w w:val="100"/>
          <w:position w:val="0"/>
          <w:sz w:val="19"/>
          <w:szCs w:val="19"/>
        </w:rPr>
        <w:t>因境外公司适用不同的所得税税率及部分亏损未确认递延所得税资产，导致税率上升约</w:t>
      </w:r>
      <w:r>
        <w:rPr>
          <w:rFonts w:ascii="Arial" w:eastAsia="Arial" w:hAnsi="Arial" w:cs="Arial"/>
          <w:b w:val="0"/>
          <w:bCs w:val="0"/>
          <w:color w:val="000000"/>
          <w:spacing w:val="0"/>
          <w:w w:val="100"/>
          <w:position w:val="0"/>
          <w:sz w:val="20"/>
          <w:szCs w:val="20"/>
        </w:rPr>
        <w:t>1.6%</w:t>
      </w:r>
      <w:r>
        <w:rPr>
          <w:b w:val="0"/>
          <w:bCs w:val="0"/>
          <w:color w:val="000000"/>
          <w:spacing w:val="0"/>
          <w:w w:val="100"/>
          <w:position w:val="0"/>
          <w:sz w:val="19"/>
          <w:szCs w:val="19"/>
        </w:rPr>
        <w:t>；</w:t>
      </w:r>
    </w:p>
    <w:p>
      <w:pPr>
        <w:pStyle w:val="Style33"/>
        <w:keepNext w:val="0"/>
        <w:keepLines w:val="0"/>
        <w:widowControl w:val="0"/>
        <w:numPr>
          <w:ilvl w:val="0"/>
          <w:numId w:val="97"/>
        </w:numPr>
        <w:shd w:val="clear" w:color="auto" w:fill="auto"/>
        <w:tabs>
          <w:tab w:pos="416" w:val="left"/>
        </w:tabs>
        <w:bidi w:val="0"/>
        <w:spacing w:before="0" w:after="0" w:line="317" w:lineRule="exact"/>
        <w:ind w:left="440" w:right="0" w:hanging="440"/>
        <w:jc w:val="left"/>
        <w:rPr>
          <w:sz w:val="19"/>
          <w:szCs w:val="19"/>
        </w:rPr>
      </w:pPr>
      <w:bookmarkStart w:id="1058" w:name="bookmark1058"/>
      <w:bookmarkEnd w:id="1058"/>
      <w:r>
        <w:rPr>
          <w:b w:val="0"/>
          <w:bCs w:val="0"/>
          <w:color w:val="000000"/>
          <w:spacing w:val="0"/>
          <w:w w:val="100"/>
          <w:position w:val="0"/>
          <w:sz w:val="19"/>
          <w:szCs w:val="19"/>
        </w:rPr>
        <w:t>因预计部分境内公司部分亏损将超过法定可税前弥补期限，冲销其相关递延所得税资产，影响所 得税费用</w:t>
      </w:r>
      <w:r>
        <w:rPr>
          <w:rFonts w:ascii="Arial" w:eastAsia="Arial" w:hAnsi="Arial" w:cs="Arial"/>
          <w:b w:val="0"/>
          <w:bCs w:val="0"/>
          <w:color w:val="000000"/>
          <w:spacing w:val="0"/>
          <w:w w:val="100"/>
          <w:position w:val="0"/>
          <w:sz w:val="20"/>
          <w:szCs w:val="20"/>
        </w:rPr>
        <w:t>8,764</w:t>
      </w:r>
      <w:r>
        <w:rPr>
          <w:b w:val="0"/>
          <w:bCs w:val="0"/>
          <w:color w:val="000000"/>
          <w:spacing w:val="0"/>
          <w:w w:val="100"/>
          <w:position w:val="0"/>
          <w:sz w:val="19"/>
          <w:szCs w:val="19"/>
        </w:rPr>
        <w:t>万元，导致税率上升约</w:t>
      </w:r>
      <w:r>
        <w:rPr>
          <w:rFonts w:ascii="Arial" w:eastAsia="Arial" w:hAnsi="Arial" w:cs="Arial"/>
          <w:b w:val="0"/>
          <w:bCs w:val="0"/>
          <w:color w:val="000000"/>
          <w:spacing w:val="0"/>
          <w:w w:val="100"/>
          <w:position w:val="0"/>
          <w:sz w:val="20"/>
          <w:szCs w:val="20"/>
        </w:rPr>
        <w:t>3.0%</w:t>
      </w:r>
      <w:r>
        <w:rPr>
          <w:b w:val="0"/>
          <w:bCs w:val="0"/>
          <w:color w:val="000000"/>
          <w:spacing w:val="0"/>
          <w:w w:val="100"/>
          <w:position w:val="0"/>
          <w:sz w:val="19"/>
          <w:szCs w:val="19"/>
        </w:rPr>
        <w:t>；</w:t>
      </w:r>
    </w:p>
    <w:p>
      <w:pPr>
        <w:pStyle w:val="Style33"/>
        <w:keepNext w:val="0"/>
        <w:keepLines w:val="0"/>
        <w:widowControl w:val="0"/>
        <w:numPr>
          <w:ilvl w:val="0"/>
          <w:numId w:val="97"/>
        </w:numPr>
        <w:shd w:val="clear" w:color="auto" w:fill="auto"/>
        <w:tabs>
          <w:tab w:pos="416" w:val="left"/>
        </w:tabs>
        <w:bidi w:val="0"/>
        <w:spacing w:before="0" w:after="0" w:line="317" w:lineRule="exact"/>
        <w:ind w:left="440" w:right="0" w:hanging="440"/>
        <w:jc w:val="left"/>
        <w:rPr>
          <w:sz w:val="19"/>
          <w:szCs w:val="19"/>
        </w:rPr>
      </w:pPr>
      <w:bookmarkStart w:id="1059" w:name="bookmark1059"/>
      <w:bookmarkEnd w:id="1059"/>
      <w:r>
        <w:rPr>
          <w:b w:val="0"/>
          <w:bCs w:val="0"/>
          <w:color w:val="000000"/>
          <w:spacing w:val="0"/>
          <w:w w:val="100"/>
          <w:position w:val="0"/>
          <w:sz w:val="19"/>
          <w:szCs w:val="19"/>
        </w:rPr>
        <w:t>因预计将长期持有部分联营公司股权而未对相关按权益法核算的投资损失确认递延所得税资产， 影响所得税费用</w:t>
      </w:r>
      <w:r>
        <w:rPr>
          <w:rFonts w:ascii="Arial" w:eastAsia="Arial" w:hAnsi="Arial" w:cs="Arial"/>
          <w:b w:val="0"/>
          <w:bCs w:val="0"/>
          <w:color w:val="000000"/>
          <w:spacing w:val="0"/>
          <w:w w:val="100"/>
          <w:position w:val="0"/>
          <w:sz w:val="20"/>
          <w:szCs w:val="20"/>
        </w:rPr>
        <w:t>1,400</w:t>
      </w:r>
      <w:r>
        <w:rPr>
          <w:b w:val="0"/>
          <w:bCs w:val="0"/>
          <w:color w:val="000000"/>
          <w:spacing w:val="0"/>
          <w:w w:val="100"/>
          <w:position w:val="0"/>
          <w:sz w:val="19"/>
          <w:szCs w:val="19"/>
        </w:rPr>
        <w:t>万元，导致税率上升约</w:t>
      </w:r>
      <w:r>
        <w:rPr>
          <w:rFonts w:ascii="Arial" w:eastAsia="Arial" w:hAnsi="Arial" w:cs="Arial"/>
          <w:b w:val="0"/>
          <w:bCs w:val="0"/>
          <w:color w:val="000000"/>
          <w:spacing w:val="0"/>
          <w:w w:val="100"/>
          <w:position w:val="0"/>
          <w:sz w:val="20"/>
          <w:szCs w:val="20"/>
        </w:rPr>
        <w:t>0.4%</w:t>
      </w:r>
      <w:r>
        <w:rPr>
          <w:b w:val="0"/>
          <w:bCs w:val="0"/>
          <w:color w:val="000000"/>
          <w:spacing w:val="0"/>
          <w:w w:val="100"/>
          <w:position w:val="0"/>
          <w:sz w:val="19"/>
          <w:szCs w:val="19"/>
        </w:rPr>
        <w:t>；</w:t>
      </w:r>
    </w:p>
    <w:p>
      <w:pPr>
        <w:pStyle w:val="Style33"/>
        <w:keepNext w:val="0"/>
        <w:keepLines w:val="0"/>
        <w:widowControl w:val="0"/>
        <w:numPr>
          <w:ilvl w:val="0"/>
          <w:numId w:val="97"/>
        </w:numPr>
        <w:shd w:val="clear" w:color="auto" w:fill="auto"/>
        <w:tabs>
          <w:tab w:pos="416" w:val="left"/>
        </w:tabs>
        <w:bidi w:val="0"/>
        <w:spacing w:before="0" w:after="0" w:line="317" w:lineRule="exact"/>
        <w:ind w:left="440" w:right="0" w:hanging="440"/>
        <w:jc w:val="left"/>
        <w:rPr>
          <w:sz w:val="19"/>
          <w:szCs w:val="19"/>
        </w:rPr>
      </w:pPr>
      <w:bookmarkStart w:id="1060" w:name="bookmark1060"/>
      <w:bookmarkEnd w:id="1060"/>
      <w:r>
        <w:rPr>
          <w:b w:val="0"/>
          <w:bCs w:val="0"/>
          <w:color w:val="000000"/>
          <w:spacing w:val="0"/>
          <w:w w:val="100"/>
          <w:position w:val="0"/>
          <w:sz w:val="19"/>
          <w:szCs w:val="19"/>
        </w:rPr>
        <w:t>因部分境内亏损公司适用税率低于法定税率</w:t>
      </w:r>
      <w:r>
        <w:rPr>
          <w:rFonts w:ascii="Arial" w:eastAsia="Arial" w:hAnsi="Arial" w:cs="Arial"/>
          <w:b w:val="0"/>
          <w:bCs w:val="0"/>
          <w:color w:val="000000"/>
          <w:spacing w:val="0"/>
          <w:w w:val="100"/>
          <w:position w:val="0"/>
          <w:sz w:val="20"/>
          <w:szCs w:val="20"/>
        </w:rPr>
        <w:t>(25%)</w:t>
      </w:r>
      <w:r>
        <w:rPr>
          <w:b w:val="0"/>
          <w:bCs w:val="0"/>
          <w:color w:val="000000"/>
          <w:spacing w:val="0"/>
          <w:w w:val="100"/>
          <w:position w:val="0"/>
          <w:sz w:val="19"/>
          <w:szCs w:val="19"/>
        </w:rPr>
        <w:t>，影响所得税费用</w:t>
      </w:r>
      <w:r>
        <w:rPr>
          <w:rFonts w:ascii="Arial" w:eastAsia="Arial" w:hAnsi="Arial" w:cs="Arial"/>
          <w:b w:val="0"/>
          <w:bCs w:val="0"/>
          <w:color w:val="000000"/>
          <w:spacing w:val="0"/>
          <w:w w:val="100"/>
          <w:position w:val="0"/>
          <w:sz w:val="20"/>
          <w:szCs w:val="20"/>
        </w:rPr>
        <w:t>5,056</w:t>
      </w:r>
      <w:r>
        <w:rPr>
          <w:b w:val="0"/>
          <w:bCs w:val="0"/>
          <w:color w:val="000000"/>
          <w:spacing w:val="0"/>
          <w:w w:val="100"/>
          <w:position w:val="0"/>
          <w:sz w:val="19"/>
          <w:szCs w:val="19"/>
        </w:rPr>
        <w:t xml:space="preserve">万元，导致税率上升 约 </w:t>
      </w:r>
      <w:r>
        <w:rPr>
          <w:rFonts w:ascii="Arial" w:eastAsia="Arial" w:hAnsi="Arial" w:cs="Arial"/>
          <w:b w:val="0"/>
          <w:bCs w:val="0"/>
          <w:color w:val="000000"/>
          <w:spacing w:val="0"/>
          <w:w w:val="100"/>
          <w:position w:val="0"/>
          <w:sz w:val="20"/>
          <w:szCs w:val="20"/>
        </w:rPr>
        <w:t>1.7%</w:t>
      </w:r>
      <w:r>
        <w:rPr>
          <w:b w:val="0"/>
          <w:bCs w:val="0"/>
          <w:color w:val="000000"/>
          <w:spacing w:val="0"/>
          <w:w w:val="100"/>
          <w:position w:val="0"/>
          <w:sz w:val="19"/>
          <w:szCs w:val="19"/>
        </w:rPr>
        <w:t>。</w:t>
      </w:r>
    </w:p>
    <w:p>
      <w:pPr>
        <w:pStyle w:val="Style27"/>
        <w:keepNext/>
        <w:keepLines/>
        <w:widowControl w:val="0"/>
        <w:shd w:val="clear" w:color="auto" w:fill="auto"/>
        <w:bidi w:val="0"/>
        <w:spacing w:before="0" w:after="300" w:line="324" w:lineRule="exact"/>
        <w:ind w:left="0" w:right="0" w:firstLine="0"/>
        <w:jc w:val="left"/>
        <w:rPr>
          <w:sz w:val="22"/>
          <w:szCs w:val="22"/>
        </w:rPr>
      </w:pPr>
      <w:bookmarkStart w:id="1061" w:name="bookmark1061"/>
      <w:bookmarkStart w:id="1062" w:name="bookmark1062"/>
      <w:bookmarkStart w:id="1063" w:name="bookmark1063"/>
      <w:r>
        <w:rPr>
          <w:color w:val="000000"/>
          <w:spacing w:val="0"/>
          <w:w w:val="100"/>
          <w:position w:val="0"/>
          <w:sz w:val="22"/>
          <w:szCs w:val="22"/>
        </w:rPr>
        <w:t>十二__资产负债表日后事项</w:t>
      </w:r>
      <w:bookmarkEnd w:id="1061"/>
      <w:bookmarkEnd w:id="1062"/>
      <w:bookmarkEnd w:id="1063"/>
    </w:p>
    <w:p>
      <w:pPr>
        <w:pStyle w:val="Style33"/>
        <w:keepNext w:val="0"/>
        <w:keepLines w:val="0"/>
        <w:widowControl w:val="0"/>
        <w:numPr>
          <w:ilvl w:val="0"/>
          <w:numId w:val="99"/>
        </w:numPr>
        <w:shd w:val="clear" w:color="auto" w:fill="auto"/>
        <w:tabs>
          <w:tab w:pos="670" w:val="left"/>
        </w:tabs>
        <w:bidi w:val="0"/>
        <w:spacing w:before="0" w:after="300" w:line="324" w:lineRule="exact"/>
        <w:ind w:left="700" w:right="0" w:hanging="700"/>
        <w:jc w:val="both"/>
        <w:rPr>
          <w:sz w:val="22"/>
          <w:szCs w:val="22"/>
        </w:rPr>
      </w:pPr>
      <w:bookmarkStart w:id="1064" w:name="bookmark1064"/>
      <w:bookmarkEnd w:id="1064"/>
      <w:r>
        <w:rPr>
          <w:b w:val="0"/>
          <w:bCs w:val="0"/>
          <w:color w:val="000000"/>
          <w:spacing w:val="0"/>
          <w:w w:val="100"/>
          <w:position w:val="0"/>
          <w:sz w:val="22"/>
          <w:szCs w:val="22"/>
        </w:rPr>
        <w:t>本公司分别于</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17</w:t>
      </w:r>
      <w:r>
        <w:rPr>
          <w:b w:val="0"/>
          <w:bCs w:val="0"/>
          <w:color w:val="000000"/>
          <w:spacing w:val="0"/>
          <w:w w:val="100"/>
          <w:position w:val="0"/>
          <w:sz w:val="22"/>
          <w:szCs w:val="22"/>
        </w:rPr>
        <w:t>日召开第四届董事会第二次会议、</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 xml:space="preserve">月 </w:t>
      </w:r>
      <w:r>
        <w:rPr>
          <w:rFonts w:ascii="Arial" w:eastAsia="Arial" w:hAnsi="Arial" w:cs="Arial"/>
          <w:b w:val="0"/>
          <w:bCs w:val="0"/>
          <w:color w:val="000000"/>
          <w:spacing w:val="0"/>
          <w:w w:val="100"/>
          <w:position w:val="0"/>
          <w:sz w:val="24"/>
          <w:szCs w:val="24"/>
        </w:rPr>
        <w:t>15</w:t>
      </w:r>
      <w:r>
        <w:rPr>
          <w:b w:val="0"/>
          <w:bCs w:val="0"/>
          <w:color w:val="000000"/>
          <w:spacing w:val="0"/>
          <w:w w:val="100"/>
          <w:position w:val="0"/>
          <w:sz w:val="22"/>
          <w:szCs w:val="22"/>
        </w:rPr>
        <w:t>日召开</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年第二次临时股东大会审议通过了《关于变更公司名称及证券 简称的议案》。经深圳证券交易所核准，自</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24</w:t>
      </w:r>
      <w:r>
        <w:rPr>
          <w:b w:val="0"/>
          <w:bCs w:val="0"/>
          <w:color w:val="000000"/>
          <w:spacing w:val="0"/>
          <w:w w:val="100"/>
          <w:position w:val="0"/>
          <w:sz w:val="22"/>
          <w:szCs w:val="22"/>
        </w:rPr>
        <w:t>日起，本公司的 公司名称由“马鞍山鼎泰稀土新材料股份有限公司”更名为“顺丰控股股份 有限公司”，证券简称由“鼎泰新材”变更为“顺丰控股”，公司证券代码不 变。</w:t>
      </w:r>
    </w:p>
    <w:p>
      <w:pPr>
        <w:pStyle w:val="Style33"/>
        <w:keepNext w:val="0"/>
        <w:keepLines w:val="0"/>
        <w:widowControl w:val="0"/>
        <w:numPr>
          <w:ilvl w:val="0"/>
          <w:numId w:val="99"/>
        </w:numPr>
        <w:shd w:val="clear" w:color="auto" w:fill="auto"/>
        <w:tabs>
          <w:tab w:pos="670" w:val="left"/>
        </w:tabs>
        <w:bidi w:val="0"/>
        <w:spacing w:before="0" w:after="300" w:line="326" w:lineRule="exact"/>
        <w:ind w:left="700" w:right="0" w:hanging="700"/>
        <w:jc w:val="both"/>
        <w:rPr>
          <w:sz w:val="22"/>
          <w:szCs w:val="22"/>
        </w:rPr>
      </w:pPr>
      <w:bookmarkStart w:id="1065" w:name="bookmark1065"/>
      <w:bookmarkEnd w:id="1065"/>
      <w:r>
        <w:rPr>
          <w:b w:val="0"/>
          <w:bCs w:val="0"/>
          <w:color w:val="000000"/>
          <w:spacing w:val="0"/>
          <w:w w:val="100"/>
          <w:position w:val="0"/>
          <w:sz w:val="22"/>
          <w:szCs w:val="22"/>
        </w:rPr>
        <w:t>本公司董事会于</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3</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9</w:t>
      </w:r>
      <w:r>
        <w:rPr>
          <w:b w:val="0"/>
          <w:bCs w:val="0"/>
          <w:color w:val="000000"/>
          <w:spacing w:val="0"/>
          <w:w w:val="100"/>
          <w:position w:val="0"/>
          <w:sz w:val="22"/>
          <w:szCs w:val="22"/>
        </w:rPr>
        <w:t>日提议本公司以</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 xml:space="preserve">日总股本 </w:t>
      </w:r>
      <w:r>
        <w:rPr>
          <w:rFonts w:ascii="Arial" w:eastAsia="Arial" w:hAnsi="Arial" w:cs="Arial"/>
          <w:b w:val="0"/>
          <w:bCs w:val="0"/>
          <w:color w:val="000000"/>
          <w:spacing w:val="0"/>
          <w:w w:val="100"/>
          <w:position w:val="0"/>
          <w:sz w:val="24"/>
          <w:szCs w:val="24"/>
        </w:rPr>
        <w:t>4,183,678,213</w:t>
      </w:r>
      <w:r>
        <w:rPr>
          <w:b w:val="0"/>
          <w:bCs w:val="0"/>
          <w:color w:val="000000"/>
          <w:spacing w:val="0"/>
          <w:w w:val="100"/>
          <w:position w:val="0"/>
          <w:sz w:val="22"/>
          <w:szCs w:val="22"/>
        </w:rPr>
        <w:t>股为基数，向全体股东每</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股派发现金股利人民币</w:t>
      </w:r>
      <w:r>
        <w:rPr>
          <w:rFonts w:ascii="Arial" w:eastAsia="Arial" w:hAnsi="Arial" w:cs="Arial"/>
          <w:b w:val="0"/>
          <w:bCs w:val="0"/>
          <w:color w:val="000000"/>
          <w:spacing w:val="0"/>
          <w:w w:val="100"/>
          <w:position w:val="0"/>
          <w:sz w:val="24"/>
          <w:szCs w:val="24"/>
        </w:rPr>
        <w:t>1.00</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含 税</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，共计</w:t>
      </w:r>
      <w:r>
        <w:rPr>
          <w:rFonts w:ascii="Arial" w:eastAsia="Arial" w:hAnsi="Arial" w:cs="Arial"/>
          <w:b w:val="0"/>
          <w:bCs w:val="0"/>
          <w:color w:val="000000"/>
          <w:spacing w:val="0"/>
          <w:w w:val="100"/>
          <w:position w:val="0"/>
          <w:sz w:val="24"/>
          <w:szCs w:val="24"/>
        </w:rPr>
        <w:t>418,367,821.30</w:t>
      </w:r>
      <w:r>
        <w:rPr>
          <w:b w:val="0"/>
          <w:bCs w:val="0"/>
          <w:color w:val="000000"/>
          <w:spacing w:val="0"/>
          <w:w w:val="100"/>
          <w:position w:val="0"/>
          <w:sz w:val="22"/>
          <w:szCs w:val="22"/>
        </w:rPr>
        <w:t>元，剩余未分配利润结转以后年度。此项提议尚待 股东大会批准。于资产负债表日后提议派发的现金股利并未在资产负债表日确 认为负债。</w:t>
      </w:r>
    </w:p>
    <w:p>
      <w:pPr>
        <w:pStyle w:val="Style33"/>
        <w:keepNext w:val="0"/>
        <w:keepLines w:val="0"/>
        <w:widowControl w:val="0"/>
        <w:numPr>
          <w:ilvl w:val="0"/>
          <w:numId w:val="99"/>
        </w:numPr>
        <w:shd w:val="clear" w:color="auto" w:fill="auto"/>
        <w:tabs>
          <w:tab w:pos="670" w:val="left"/>
        </w:tabs>
        <w:bidi w:val="0"/>
        <w:spacing w:before="0" w:after="300" w:line="323" w:lineRule="exact"/>
        <w:ind w:left="700" w:right="0" w:hanging="700"/>
        <w:jc w:val="both"/>
        <w:rPr>
          <w:sz w:val="22"/>
          <w:szCs w:val="22"/>
        </w:rPr>
        <w:sectPr>
          <w:footnotePr>
            <w:pos w:val="pageBottom"/>
            <w:numFmt w:val="decimal"/>
            <w:numRestart w:val="continuous"/>
          </w:footnotePr>
          <w:type w:val="continuous"/>
          <w:pgSz w:w="11900" w:h="16840"/>
          <w:pgMar w:top="1404" w:right="1038" w:bottom="2822" w:left="1949" w:header="0" w:footer="3" w:gutter="0"/>
          <w:cols w:space="720"/>
          <w:noEndnote/>
          <w:rtlGutter w:val="0"/>
          <w:docGrid w:linePitch="360"/>
        </w:sectPr>
      </w:pPr>
      <w:bookmarkStart w:id="1066" w:name="bookmark1066"/>
      <w:bookmarkEnd w:id="1066"/>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5</w:t>
      </w:r>
      <w:r>
        <w:rPr>
          <w:b w:val="0"/>
          <w:bCs w:val="0"/>
          <w:color w:val="000000"/>
          <w:spacing w:val="0"/>
          <w:w w:val="100"/>
          <w:position w:val="0"/>
          <w:sz w:val="22"/>
          <w:szCs w:val="22"/>
        </w:rPr>
        <w:t>日，本公司的全资子公司深圳市顺丰投资有限公司签署了《关 于认购丰巢科技之股权认购协议》，深圳市顺丰投资有限公司以自有资金</w:t>
      </w:r>
      <w:r>
        <w:rPr>
          <w:rFonts w:ascii="Arial" w:eastAsia="Arial" w:hAnsi="Arial" w:cs="Arial"/>
          <w:b w:val="0"/>
          <w:bCs w:val="0"/>
          <w:color w:val="000000"/>
          <w:spacing w:val="0"/>
          <w:w w:val="100"/>
          <w:position w:val="0"/>
          <w:sz w:val="24"/>
          <w:szCs w:val="24"/>
        </w:rPr>
        <w:t xml:space="preserve">5.5 </w:t>
      </w:r>
      <w:r>
        <w:rPr>
          <w:b w:val="0"/>
          <w:bCs w:val="0"/>
          <w:color w:val="000000"/>
          <w:spacing w:val="0"/>
          <w:w w:val="100"/>
          <w:position w:val="0"/>
          <w:sz w:val="22"/>
          <w:szCs w:val="22"/>
        </w:rPr>
        <w:t>亿元人民币对丰巢科技进行增资。本次增资总额为人民币</w:t>
      </w:r>
      <w:r>
        <w:rPr>
          <w:rFonts w:ascii="Arial" w:eastAsia="Arial" w:hAnsi="Arial" w:cs="Arial"/>
          <w:b w:val="0"/>
          <w:bCs w:val="0"/>
          <w:color w:val="000000"/>
          <w:spacing w:val="0"/>
          <w:w w:val="100"/>
          <w:position w:val="0"/>
          <w:sz w:val="24"/>
          <w:szCs w:val="24"/>
        </w:rPr>
        <w:t>25</w:t>
      </w:r>
      <w:r>
        <w:rPr>
          <w:b w:val="0"/>
          <w:bCs w:val="0"/>
          <w:color w:val="000000"/>
          <w:spacing w:val="0"/>
          <w:w w:val="100"/>
          <w:position w:val="0"/>
          <w:sz w:val="22"/>
          <w:szCs w:val="22"/>
        </w:rPr>
        <w:t>亿元，深圳市顺 丰投资有限公司本次增资金额占本次增资总额的</w:t>
      </w:r>
      <w:r>
        <w:rPr>
          <w:rFonts w:ascii="Arial" w:eastAsia="Arial" w:hAnsi="Arial" w:cs="Arial"/>
          <w:b w:val="0"/>
          <w:bCs w:val="0"/>
          <w:color w:val="000000"/>
          <w:spacing w:val="0"/>
          <w:w w:val="100"/>
          <w:position w:val="0"/>
          <w:sz w:val="24"/>
          <w:szCs w:val="24"/>
        </w:rPr>
        <w:t>22%</w:t>
      </w:r>
      <w:r>
        <w:rPr>
          <w:b w:val="0"/>
          <w:bCs w:val="0"/>
          <w:color w:val="000000"/>
          <w:spacing w:val="0"/>
          <w:w w:val="100"/>
          <w:position w:val="0"/>
          <w:sz w:val="22"/>
          <w:szCs w:val="22"/>
        </w:rPr>
        <w:t>。截止</w:t>
      </w:r>
      <w:r>
        <w:rPr>
          <w:rFonts w:ascii="Arial" w:eastAsia="Arial" w:hAnsi="Arial" w:cs="Arial"/>
          <w:b w:val="0"/>
          <w:bCs w:val="0"/>
          <w:color w:val="000000"/>
          <w:spacing w:val="0"/>
          <w:w w:val="100"/>
          <w:position w:val="0"/>
          <w:sz w:val="24"/>
          <w:szCs w:val="24"/>
        </w:rPr>
        <w:t>2017</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 xml:space="preserve">15 </w:t>
      </w:r>
      <w:r>
        <w:rPr>
          <w:b w:val="0"/>
          <w:bCs w:val="0"/>
          <w:color w:val="000000"/>
          <w:spacing w:val="0"/>
          <w:w w:val="100"/>
          <w:position w:val="0"/>
          <w:sz w:val="22"/>
          <w:szCs w:val="22"/>
        </w:rPr>
        <w:t>日，股权认购协议已经所有交易方签署并生效。</w:t>
      </w:r>
    </w:p>
    <w:p>
      <w:pPr>
        <w:pStyle w:val="Style27"/>
        <w:keepNext/>
        <w:keepLines/>
        <w:widowControl w:val="0"/>
        <w:shd w:val="clear" w:color="auto" w:fill="auto"/>
        <w:bidi w:val="0"/>
        <w:spacing w:before="0" w:after="300" w:line="240" w:lineRule="auto"/>
        <w:ind w:left="0" w:right="0" w:firstLine="0"/>
        <w:jc w:val="both"/>
        <w:rPr>
          <w:sz w:val="22"/>
          <w:szCs w:val="22"/>
        </w:rPr>
      </w:pPr>
      <w:bookmarkStart w:id="1067" w:name="bookmark1067"/>
      <w:bookmarkStart w:id="1068" w:name="bookmark1068"/>
      <w:bookmarkStart w:id="1069" w:name="bookmark1069"/>
      <w:r>
        <w:rPr>
          <w:color w:val="000000"/>
          <w:spacing w:val="0"/>
          <w:w w:val="100"/>
          <w:position w:val="0"/>
          <w:sz w:val="22"/>
          <w:szCs w:val="22"/>
        </w:rPr>
        <w:t>十三企业合并</w:t>
      </w:r>
      <w:bookmarkEnd w:id="1067"/>
      <w:bookmarkEnd w:id="1068"/>
      <w:bookmarkEnd w:id="1069"/>
      <w:r>
        <w:rPr>
          <w:color w:val="000000"/>
          <w:spacing w:val="0"/>
          <w:w w:val="100"/>
          <w:position w:val="0"/>
          <w:sz w:val="22"/>
          <w:szCs w:val="22"/>
        </w:rPr>
        <w:t xml:space="preserve"> </w:t>
      </w:r>
      <w:r>
        <w:rPr>
          <w:rStyle w:val="CharStyle34"/>
          <w:sz w:val="22"/>
          <w:szCs w:val="22"/>
        </w:rPr>
        <w:t>见附注五</w:t>
      </w:r>
      <w:r>
        <w:rPr>
          <w:rStyle w:val="CharStyle34"/>
          <w:rFonts w:ascii="Arial" w:eastAsia="Arial" w:hAnsi="Arial" w:cs="Arial"/>
          <w:sz w:val="24"/>
          <w:szCs w:val="24"/>
        </w:rPr>
        <w:t>（1）</w:t>
      </w:r>
      <w:r>
        <w:rPr>
          <w:rStyle w:val="CharStyle34"/>
          <w:sz w:val="22"/>
          <w:szCs w:val="22"/>
        </w:rPr>
        <w:t>、</w:t>
      </w:r>
      <w:r>
        <w:rPr>
          <w:rStyle w:val="CharStyle34"/>
          <w:sz w:val="28"/>
          <w:szCs w:val="28"/>
        </w:rPr>
        <w:t>（</w:t>
      </w:r>
      <w:r>
        <w:rPr>
          <w:rStyle w:val="CharStyle34"/>
          <w:rFonts w:ascii="Arial" w:eastAsia="Arial" w:hAnsi="Arial" w:cs="Arial"/>
          <w:sz w:val="24"/>
          <w:szCs w:val="24"/>
        </w:rPr>
        <w:t>2）</w:t>
      </w:r>
      <w:r>
        <w:rPr>
          <w:rStyle w:val="CharStyle34"/>
          <w:sz w:val="22"/>
          <w:szCs w:val="22"/>
        </w:rPr>
        <w:t>。</w:t>
      </w:r>
    </w:p>
    <w:p>
      <w:pPr>
        <w:pStyle w:val="Style27"/>
        <w:keepNext/>
        <w:keepLines/>
        <w:widowControl w:val="0"/>
        <w:shd w:val="clear" w:color="auto" w:fill="auto"/>
        <w:bidi w:val="0"/>
        <w:spacing w:before="0" w:after="300" w:line="322" w:lineRule="exact"/>
        <w:ind w:left="0" w:right="0" w:firstLine="0"/>
        <w:jc w:val="both"/>
        <w:rPr>
          <w:sz w:val="22"/>
          <w:szCs w:val="22"/>
        </w:rPr>
      </w:pPr>
      <w:bookmarkStart w:id="1070" w:name="bookmark1070"/>
      <w:bookmarkStart w:id="1071" w:name="bookmark1071"/>
      <w:bookmarkStart w:id="1072" w:name="bookmark1072"/>
      <w:r>
        <w:rPr>
          <w:color w:val="000000"/>
          <w:spacing w:val="0"/>
          <w:w w:val="100"/>
          <w:position w:val="0"/>
          <w:sz w:val="22"/>
          <w:szCs w:val="22"/>
        </w:rPr>
        <w:t>十四金融风险</w:t>
      </w:r>
      <w:bookmarkEnd w:id="1070"/>
      <w:bookmarkEnd w:id="1071"/>
      <w:bookmarkEnd w:id="1072"/>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本集团的经营活动会面临各种金融风险：市场风险</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主要为外汇风险和利率风险</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、信 用风险和流动性风险。本集团整体的风险管理计划针对金融市场的不可预见性，力求 减少对本集团财务业绩的潜在不利影响。</w:t>
      </w:r>
    </w:p>
    <w:p>
      <w:pPr>
        <w:pStyle w:val="Style33"/>
        <w:keepNext w:val="0"/>
        <w:keepLines w:val="0"/>
        <w:widowControl w:val="0"/>
        <w:shd w:val="clear" w:color="auto" w:fill="auto"/>
        <w:tabs>
          <w:tab w:pos="682" w:val="left"/>
        </w:tabs>
        <w:bidi w:val="0"/>
        <w:spacing w:before="0" w:after="300" w:line="322" w:lineRule="exact"/>
        <w:ind w:left="0" w:right="0" w:firstLine="0"/>
        <w:jc w:val="both"/>
        <w:rPr>
          <w:sz w:val="22"/>
          <w:szCs w:val="22"/>
        </w:rPr>
      </w:pPr>
      <w:r>
        <w:rPr>
          <w:rFonts w:ascii="Arial" w:eastAsia="Arial" w:hAnsi="Arial" w:cs="Arial"/>
          <w:b w:val="0"/>
          <w:bCs w:val="0"/>
          <w:color w:val="000000"/>
          <w:spacing w:val="0"/>
          <w:w w:val="100"/>
          <w:position w:val="0"/>
          <w:sz w:val="24"/>
          <w:szCs w:val="24"/>
        </w:rPr>
        <w:t>（1）</w:t>
        <w:tab/>
      </w:r>
      <w:r>
        <w:rPr>
          <w:color w:val="000000"/>
          <w:spacing w:val="0"/>
          <w:w w:val="100"/>
          <w:position w:val="0"/>
          <w:sz w:val="22"/>
          <w:szCs w:val="22"/>
        </w:rPr>
        <w:t>市场风险</w:t>
      </w:r>
    </w:p>
    <w:p>
      <w:pPr>
        <w:pStyle w:val="Style33"/>
        <w:keepNext w:val="0"/>
        <w:keepLines w:val="0"/>
        <w:widowControl w:val="0"/>
        <w:shd w:val="clear" w:color="auto" w:fill="auto"/>
        <w:tabs>
          <w:tab w:pos="682" w:val="left"/>
        </w:tabs>
        <w:bidi w:val="0"/>
        <w:spacing w:before="0" w:after="300" w:line="322" w:lineRule="exact"/>
        <w:ind w:left="0" w:right="0" w:firstLine="0"/>
        <w:jc w:val="both"/>
        <w:rPr>
          <w:sz w:val="22"/>
          <w:szCs w:val="22"/>
        </w:rPr>
      </w:pPr>
      <w:r>
        <w:rPr>
          <w:rFonts w:ascii="Arial" w:eastAsia="Arial" w:hAnsi="Arial" w:cs="Arial"/>
          <w:b w:val="0"/>
          <w:bCs w:val="0"/>
          <w:color w:val="000000"/>
          <w:spacing w:val="0"/>
          <w:w w:val="100"/>
          <w:position w:val="0"/>
          <w:sz w:val="24"/>
          <w:szCs w:val="24"/>
        </w:rPr>
        <w:t>（a）</w:t>
        <w:tab/>
      </w:r>
      <w:r>
        <w:rPr>
          <w:b w:val="0"/>
          <w:bCs w:val="0"/>
          <w:color w:val="000000"/>
          <w:spacing w:val="0"/>
          <w:w w:val="100"/>
          <w:position w:val="0"/>
          <w:sz w:val="22"/>
          <w:szCs w:val="22"/>
        </w:rPr>
        <w:t>外汇风险</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本集团的主要经营位于中国大陆境内，主要业务以人民币结算，也有部分经营位于香 港、美国、韩国等国家</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地区，分别以港币、美元、韩元进行结算。但本集团已确认 的外币资产和负债及未来的外币交易依然存在外汇风险。本集团总部财务部门负责监 控公司外币交易和外币资产及负债的规模，以最大程度降低面临的外汇风险。</w:t>
      </w:r>
    </w:p>
    <w:p>
      <w:pPr>
        <w:pStyle w:val="Style33"/>
        <w:keepNext w:val="0"/>
        <w:keepLines w:val="0"/>
        <w:widowControl w:val="0"/>
        <w:shd w:val="clear" w:color="auto" w:fill="auto"/>
        <w:bidi w:val="0"/>
        <w:spacing w:before="0" w:after="400" w:line="326"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日，本集团以人民币作为记账本位币的公 司未持有重大的外币资产和负债，主要在香港地区以港币作为记账本位币的公司持有 外币资产和负债</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主要为美元及人民币</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，折算成香港地区公司记账本位币港币的金额 及折成财务报表列报货币人民币的金额列示如下：</w:t>
      </w:r>
    </w:p>
    <w:p>
      <w:pPr>
        <w:pStyle w:val="Style2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627"/>
        <w:gridCol w:w="1982"/>
        <w:gridCol w:w="1666"/>
        <w:gridCol w:w="1867"/>
        <w:gridCol w:w="1560"/>
      </w:tblGrid>
      <w:tr>
        <w:trPr>
          <w:trHeight w:val="854"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860"/>
              <w:jc w:val="left"/>
            </w:pPr>
            <w:r>
              <w:rPr>
                <w:color w:val="000000"/>
                <w:spacing w:val="0"/>
                <w:w w:val="100"/>
                <w:position w:val="0"/>
              </w:rPr>
              <w:t>人民币项目</w:t>
            </w:r>
          </w:p>
          <w:p>
            <w:pPr>
              <w:pStyle w:val="Style23"/>
              <w:keepNext w:val="0"/>
              <w:keepLines w:val="0"/>
              <w:widowControl w:val="0"/>
              <w:shd w:val="clear" w:color="auto" w:fill="auto"/>
              <w:bidi w:val="0"/>
              <w:spacing w:before="0" w:after="0" w:line="240" w:lineRule="auto"/>
              <w:ind w:left="1280" w:right="0" w:firstLine="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7"/>
                <w:szCs w:val="17"/>
              </w:rPr>
              <w:t>港币</w:t>
            </w:r>
            <w:r>
              <w:rPr>
                <w:color w:val="000000"/>
                <w:spacing w:val="0"/>
                <w:w w:val="100"/>
                <w:position w:val="0"/>
                <w:sz w:val="22"/>
                <w:szCs w:val="22"/>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美元项目</w:t>
            </w:r>
          </w:p>
          <w:p>
            <w:pPr>
              <w:pStyle w:val="Style23"/>
              <w:keepNext w:val="0"/>
              <w:keepLines w:val="0"/>
              <w:widowControl w:val="0"/>
              <w:shd w:val="clear" w:color="auto" w:fill="auto"/>
              <w:bidi w:val="0"/>
              <w:spacing w:before="0" w:after="0" w:line="240" w:lineRule="auto"/>
              <w:ind w:left="0" w:right="0" w:firstLine="86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7"/>
                <w:szCs w:val="17"/>
              </w:rPr>
              <w:t>港币</w:t>
            </w:r>
            <w:r>
              <w:rPr>
                <w:color w:val="000000"/>
                <w:spacing w:val="0"/>
                <w:w w:val="100"/>
                <w:position w:val="0"/>
                <w:sz w:val="22"/>
                <w:szCs w:val="22"/>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280" w:firstLine="0"/>
              <w:jc w:val="right"/>
            </w:pPr>
            <w:r>
              <w:rPr>
                <w:color w:val="000000"/>
                <w:spacing w:val="0"/>
                <w:w w:val="100"/>
                <w:position w:val="0"/>
              </w:rPr>
              <w:t>合计</w:t>
            </w:r>
          </w:p>
          <w:p>
            <w:pPr>
              <w:pStyle w:val="Style23"/>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18"/>
                <w:szCs w:val="18"/>
              </w:rPr>
              <w:t>（</w:t>
            </w:r>
            <w:r>
              <w:rPr>
                <w:color w:val="000000"/>
                <w:spacing w:val="0"/>
                <w:w w:val="100"/>
                <w:position w:val="0"/>
                <w:sz w:val="17"/>
                <w:szCs w:val="17"/>
              </w:rPr>
              <w:t>港币</w:t>
            </w:r>
            <w:r>
              <w:rPr>
                <w:color w:val="000000"/>
                <w:spacing w:val="0"/>
                <w:w w:val="100"/>
                <w:position w:val="0"/>
                <w:sz w:val="22"/>
                <w:szCs w:val="22"/>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合计</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r>
              <w:rPr>
                <w:color w:val="000000"/>
                <w:spacing w:val="0"/>
                <w:w w:val="100"/>
                <w:position w:val="0"/>
                <w:sz w:val="17"/>
                <w:szCs w:val="17"/>
              </w:rPr>
              <w:t>人民币</w:t>
            </w:r>
            <w:r>
              <w:rPr>
                <w:rFonts w:ascii="Arial" w:eastAsia="Arial" w:hAnsi="Arial" w:cs="Arial"/>
                <w:color w:val="000000"/>
                <w:spacing w:val="0"/>
                <w:w w:val="100"/>
                <w:position w:val="0"/>
                <w:sz w:val="18"/>
                <w:szCs w:val="18"/>
              </w:rPr>
              <w:t>）</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142,861,098.90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67,779,975.64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210,641,074.54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188,423,905.93</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3,507,738.44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7,437,760.61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10,945,499.05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9,790,930.02</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146,368,837.34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75,217,736.25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221,586,573.59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198,214,835.95</w:t>
            </w:r>
          </w:p>
        </w:tc>
      </w:tr>
      <w:tr>
        <w:trPr>
          <w:trHeight w:val="69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应付款项</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3,326,581.74</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7,118,644.68</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10,445,226.42</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9,343,427.32</w:t>
            </w:r>
          </w:p>
        </w:tc>
      </w:tr>
    </w:tbl>
    <w:p>
      <w:pPr>
        <w:pStyle w:val="Style27"/>
        <w:keepNext/>
        <w:keepLines/>
        <w:widowControl w:val="0"/>
        <w:shd w:val="clear" w:color="auto" w:fill="auto"/>
        <w:bidi w:val="0"/>
        <w:spacing w:before="0" w:after="360" w:line="240" w:lineRule="auto"/>
        <w:ind w:left="0" w:right="0" w:firstLine="0"/>
        <w:jc w:val="both"/>
      </w:pPr>
      <w:bookmarkStart w:id="1073" w:name="bookmark1073"/>
      <w:bookmarkStart w:id="1074" w:name="bookmark1074"/>
      <w:bookmarkStart w:id="1075" w:name="bookmark1075"/>
      <w:r>
        <w:rPr>
          <w:color w:val="000000"/>
          <w:spacing w:val="0"/>
          <w:w w:val="100"/>
          <w:position w:val="0"/>
          <w:sz w:val="22"/>
          <w:szCs w:val="22"/>
        </w:rPr>
        <w:t>十四金融风险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73"/>
      <w:bookmarkEnd w:id="1074"/>
      <w:bookmarkEnd w:id="1075"/>
    </w:p>
    <w:p>
      <w:pPr>
        <w:pStyle w:val="Style94"/>
        <w:keepNext w:val="0"/>
        <w:keepLines w:val="0"/>
        <w:widowControl w:val="0"/>
        <w:shd w:val="clear" w:color="auto" w:fill="auto"/>
        <w:tabs>
          <w:tab w:pos="686" w:val="left"/>
        </w:tabs>
        <w:bidi w:val="0"/>
        <w:spacing w:before="0" w:after="360" w:line="240" w:lineRule="auto"/>
        <w:ind w:left="0" w:right="0" w:firstLine="0"/>
        <w:jc w:val="both"/>
        <w:rPr>
          <w:sz w:val="28"/>
          <w:szCs w:val="28"/>
        </w:rPr>
      </w:pPr>
      <w:r>
        <w:rPr>
          <w:color w:val="000000"/>
          <w:spacing w:val="0"/>
          <w:w w:val="100"/>
          <w:position w:val="0"/>
          <w:sz w:val="24"/>
          <w:szCs w:val="24"/>
        </w:rPr>
        <w:t>（1）</w:t>
        <w:tab/>
      </w:r>
      <w:r>
        <w:rPr>
          <w:rFonts w:ascii="SimSun" w:eastAsia="SimSun" w:hAnsi="SimSun" w:cs="SimSun"/>
          <w:b/>
          <w:bCs/>
          <w:color w:val="000000"/>
          <w:spacing w:val="0"/>
          <w:w w:val="100"/>
          <w:position w:val="0"/>
          <w:sz w:val="22"/>
          <w:szCs w:val="22"/>
        </w:rPr>
        <w:t>市场风险</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94"/>
        <w:keepNext w:val="0"/>
        <w:keepLines w:val="0"/>
        <w:widowControl w:val="0"/>
        <w:shd w:val="clear" w:color="auto" w:fill="auto"/>
        <w:tabs>
          <w:tab w:pos="686" w:val="left"/>
        </w:tabs>
        <w:bidi w:val="0"/>
        <w:spacing w:before="0" w:after="400" w:line="240" w:lineRule="auto"/>
        <w:ind w:left="0" w:right="0" w:firstLine="0"/>
        <w:jc w:val="both"/>
        <w:rPr>
          <w:sz w:val="28"/>
          <w:szCs w:val="28"/>
        </w:rPr>
      </w:pPr>
      <w:r>
        <w:rPr>
          <w:color w:val="000000"/>
          <w:spacing w:val="0"/>
          <w:w w:val="100"/>
          <w:position w:val="0"/>
          <w:sz w:val="24"/>
          <w:szCs w:val="24"/>
        </w:rPr>
        <w:t>（a）</w:t>
        <w:tab/>
      </w:r>
      <w:r>
        <w:rPr>
          <w:rFonts w:ascii="SimSun" w:eastAsia="SimSun" w:hAnsi="SimSun" w:cs="SimSun"/>
          <w:color w:val="000000"/>
          <w:spacing w:val="0"/>
          <w:w w:val="100"/>
          <w:position w:val="0"/>
          <w:sz w:val="22"/>
          <w:szCs w:val="22"/>
        </w:rPr>
        <w:t>外汇风险</w:t>
      </w:r>
      <w:r>
        <w:rPr>
          <w:color w:val="000000"/>
          <w:spacing w:val="0"/>
          <w:w w:val="100"/>
          <w:position w:val="0"/>
          <w:sz w:val="24"/>
          <w:szCs w:val="24"/>
        </w:rPr>
        <w:t>（</w:t>
      </w:r>
      <w:r>
        <w:rPr>
          <w:rFonts w:ascii="SimSun" w:eastAsia="SimSun" w:hAnsi="SimSun" w:cs="SimSun"/>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622"/>
        <w:gridCol w:w="1982"/>
        <w:gridCol w:w="1670"/>
        <w:gridCol w:w="1858"/>
        <w:gridCol w:w="1560"/>
      </w:tblGrid>
      <w:tr>
        <w:trPr>
          <w:trHeight w:val="854"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880"/>
              <w:jc w:val="left"/>
            </w:pPr>
            <w:r>
              <w:rPr>
                <w:color w:val="000000"/>
                <w:spacing w:val="0"/>
                <w:w w:val="100"/>
                <w:position w:val="0"/>
              </w:rPr>
              <w:t>人民币项目</w:t>
            </w:r>
          </w:p>
          <w:p>
            <w:pPr>
              <w:pStyle w:val="Style23"/>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7"/>
                <w:szCs w:val="17"/>
              </w:rPr>
              <w:t>港币</w:t>
            </w:r>
            <w:r>
              <w:rPr>
                <w:color w:val="000000"/>
                <w:spacing w:val="0"/>
                <w:w w:val="100"/>
                <w:position w:val="0"/>
                <w:sz w:val="22"/>
                <w:szCs w:val="22"/>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美元项目</w:t>
            </w:r>
          </w:p>
          <w:p>
            <w:pPr>
              <w:pStyle w:val="Style23"/>
              <w:keepNext w:val="0"/>
              <w:keepLines w:val="0"/>
              <w:widowControl w:val="0"/>
              <w:shd w:val="clear" w:color="auto" w:fill="auto"/>
              <w:bidi w:val="0"/>
              <w:spacing w:before="0" w:after="0" w:line="240" w:lineRule="auto"/>
              <w:ind w:left="0" w:right="0" w:firstLine="86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7"/>
                <w:szCs w:val="17"/>
              </w:rPr>
              <w:t>港币</w:t>
            </w:r>
            <w:r>
              <w:rPr>
                <w:color w:val="000000"/>
                <w:spacing w:val="0"/>
                <w:w w:val="100"/>
                <w:position w:val="0"/>
                <w:sz w:val="22"/>
                <w:szCs w:val="22"/>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300" w:firstLine="0"/>
              <w:jc w:val="right"/>
            </w:pPr>
            <w:r>
              <w:rPr>
                <w:color w:val="000000"/>
                <w:spacing w:val="0"/>
                <w:w w:val="100"/>
                <w:position w:val="0"/>
              </w:rPr>
              <w:t>合计</w:t>
            </w:r>
          </w:p>
          <w:p>
            <w:pPr>
              <w:pStyle w:val="Style23"/>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18"/>
                <w:szCs w:val="18"/>
              </w:rPr>
              <w:t>（</w:t>
            </w:r>
            <w:r>
              <w:rPr>
                <w:color w:val="000000"/>
                <w:spacing w:val="0"/>
                <w:w w:val="100"/>
                <w:position w:val="0"/>
                <w:sz w:val="17"/>
                <w:szCs w:val="17"/>
              </w:rPr>
              <w:t>港币</w:t>
            </w:r>
            <w:r>
              <w:rPr>
                <w:color w:val="000000"/>
                <w:spacing w:val="0"/>
                <w:w w:val="100"/>
                <w:position w:val="0"/>
                <w:sz w:val="22"/>
                <w:szCs w:val="22"/>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合计</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r>
              <w:rPr>
                <w:color w:val="000000"/>
                <w:spacing w:val="0"/>
                <w:w w:val="100"/>
                <w:position w:val="0"/>
                <w:sz w:val="17"/>
                <w:szCs w:val="17"/>
              </w:rPr>
              <w:t>人民币</w:t>
            </w:r>
            <w:r>
              <w:rPr>
                <w:rFonts w:ascii="Arial" w:eastAsia="Arial" w:hAnsi="Arial" w:cs="Arial"/>
                <w:color w:val="000000"/>
                <w:spacing w:val="0"/>
                <w:w w:val="100"/>
                <w:position w:val="0"/>
                <w:sz w:val="18"/>
                <w:szCs w:val="18"/>
              </w:rPr>
              <w:t>）</w:t>
            </w:r>
          </w:p>
        </w:tc>
      </w:tr>
      <w:tr>
        <w:trPr>
          <w:trHeight w:val="47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36,769,112.06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13,457,050.88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50,226,162.94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42,079,503.32</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应收款项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175,541,928.40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10,951,530.37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186,493,458.77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156,244,473.54</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212,311,040.46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24,408,581.25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236,719,621.71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198,323,976.86</w:t>
            </w:r>
          </w:p>
        </w:tc>
      </w:tr>
      <w:tr>
        <w:trPr>
          <w:trHeight w:val="69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应付款项</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153,921,387.60</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23,938,055.15</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177,859,442.75</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149,010,826.22</w:t>
            </w:r>
          </w:p>
        </w:tc>
      </w:tr>
    </w:tbl>
    <w:p>
      <w:pPr>
        <w:widowControl w:val="0"/>
        <w:spacing w:after="299" w:line="1" w:lineRule="exact"/>
      </w:pPr>
    </w:p>
    <w:p>
      <w:pPr>
        <w:pStyle w:val="Style33"/>
        <w:keepNext w:val="0"/>
        <w:keepLines w:val="0"/>
        <w:widowControl w:val="0"/>
        <w:shd w:val="clear" w:color="auto" w:fill="auto"/>
        <w:bidi w:val="0"/>
        <w:spacing w:before="0" w:after="0" w:line="336"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日，对于本集团各类美元金融资产和美元金融负债，如果港币对 美元升值或贬值</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，其它因素保持不变，则本集团将减少或增加税前利润约港币</w:t>
      </w:r>
    </w:p>
    <w:p>
      <w:pPr>
        <w:pStyle w:val="Style94"/>
        <w:keepNext w:val="0"/>
        <w:keepLines w:val="0"/>
        <w:widowControl w:val="0"/>
        <w:shd w:val="clear" w:color="auto" w:fill="auto"/>
        <w:bidi w:val="0"/>
        <w:spacing w:before="0" w:after="300" w:line="326" w:lineRule="exact"/>
        <w:ind w:left="0" w:right="0" w:firstLine="0"/>
        <w:jc w:val="both"/>
        <w:rPr>
          <w:sz w:val="22"/>
          <w:szCs w:val="22"/>
        </w:rPr>
      </w:pPr>
      <w:r>
        <w:rPr>
          <w:color w:val="000000"/>
          <w:spacing w:val="0"/>
          <w:w w:val="100"/>
          <w:position w:val="0"/>
          <w:sz w:val="24"/>
          <w:szCs w:val="24"/>
        </w:rPr>
        <w:t>6,81</w:t>
      </w:r>
      <w:r>
        <w:rPr>
          <w:color w:val="000000"/>
          <w:spacing w:val="0"/>
          <w:w w:val="100"/>
          <w:position w:val="0"/>
          <w:sz w:val="24"/>
          <w:szCs w:val="24"/>
        </w:rPr>
        <w:t xml:space="preserve">0,000.00 </w:t>
      </w:r>
      <w:r>
        <w:rPr>
          <w:rFonts w:ascii="SimSun" w:eastAsia="SimSun" w:hAnsi="SimSun" w:cs="SimSun"/>
          <w:color w:val="000000"/>
          <w:spacing w:val="0"/>
          <w:w w:val="100"/>
          <w:position w:val="0"/>
          <w:sz w:val="22"/>
          <w:szCs w:val="22"/>
        </w:rPr>
        <w:t xml:space="preserve">元,折合人民币约 </w:t>
      </w:r>
      <w:r>
        <w:rPr>
          <w:color w:val="000000"/>
          <w:spacing w:val="0"/>
          <w:w w:val="100"/>
          <w:position w:val="0"/>
          <w:sz w:val="24"/>
          <w:szCs w:val="24"/>
        </w:rPr>
        <w:t xml:space="preserve">6,092,000.00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（2015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 xml:space="preserve">日：港币 </w:t>
      </w:r>
      <w:r>
        <w:rPr>
          <w:color w:val="000000"/>
          <w:spacing w:val="0"/>
          <w:w w:val="100"/>
          <w:position w:val="0"/>
          <w:sz w:val="24"/>
          <w:szCs w:val="24"/>
        </w:rPr>
        <w:t xml:space="preserve">47,000.00 </w:t>
      </w:r>
      <w:r>
        <w:rPr>
          <w:rFonts w:ascii="SimSun" w:eastAsia="SimSun" w:hAnsi="SimSun" w:cs="SimSun"/>
          <w:color w:val="000000"/>
          <w:spacing w:val="0"/>
          <w:w w:val="100"/>
          <w:position w:val="0"/>
          <w:sz w:val="22"/>
          <w:szCs w:val="22"/>
        </w:rPr>
        <w:t>元，折合人民币约</w:t>
      </w:r>
      <w:r>
        <w:rPr>
          <w:color w:val="000000"/>
          <w:spacing w:val="0"/>
          <w:w w:val="100"/>
          <w:position w:val="0"/>
          <w:sz w:val="24"/>
          <w:szCs w:val="24"/>
        </w:rPr>
        <w:t>39,000.00</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w:t>
      </w:r>
    </w:p>
    <w:p>
      <w:pPr>
        <w:pStyle w:val="Style33"/>
        <w:keepNext w:val="0"/>
        <w:keepLines w:val="0"/>
        <w:widowControl w:val="0"/>
        <w:shd w:val="clear" w:color="auto" w:fill="auto"/>
        <w:bidi w:val="0"/>
        <w:spacing w:before="0" w:after="300" w:line="318"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日，对于本集团各类人民币金融资产和人民币金融负债，如果港 币对人民币升值或贬值</w:t>
      </w:r>
      <w:r>
        <w:rPr>
          <w:rFonts w:ascii="Arial" w:eastAsia="Arial" w:hAnsi="Arial" w:cs="Arial"/>
          <w:b w:val="0"/>
          <w:bCs w:val="0"/>
          <w:color w:val="000000"/>
          <w:spacing w:val="0"/>
          <w:w w:val="100"/>
          <w:position w:val="0"/>
          <w:sz w:val="24"/>
          <w:szCs w:val="24"/>
        </w:rPr>
        <w:t>10%</w:t>
      </w:r>
      <w:r>
        <w:rPr>
          <w:b w:val="0"/>
          <w:bCs w:val="0"/>
          <w:color w:val="000000"/>
          <w:spacing w:val="0"/>
          <w:w w:val="100"/>
          <w:position w:val="0"/>
          <w:sz w:val="22"/>
          <w:szCs w:val="22"/>
        </w:rPr>
        <w:t>，其它因素保持不变，则本集团将减少或增加税前利润 约港币</w:t>
      </w:r>
      <w:r>
        <w:rPr>
          <w:rFonts w:ascii="Arial" w:eastAsia="Arial" w:hAnsi="Arial" w:cs="Arial"/>
          <w:b w:val="0"/>
          <w:bCs w:val="0"/>
          <w:color w:val="000000"/>
          <w:spacing w:val="0"/>
          <w:w w:val="100"/>
          <w:position w:val="0"/>
          <w:sz w:val="24"/>
          <w:szCs w:val="24"/>
        </w:rPr>
        <w:t>14,304,000.00</w:t>
      </w:r>
      <w:r>
        <w:rPr>
          <w:b w:val="0"/>
          <w:bCs w:val="0"/>
          <w:color w:val="000000"/>
          <w:spacing w:val="0"/>
          <w:w w:val="100"/>
          <w:position w:val="0"/>
          <w:sz w:val="22"/>
          <w:szCs w:val="22"/>
        </w:rPr>
        <w:t>元，折合人民币约</w:t>
      </w:r>
      <w:r>
        <w:rPr>
          <w:rFonts w:ascii="Arial" w:eastAsia="Arial" w:hAnsi="Arial" w:cs="Arial"/>
          <w:b w:val="0"/>
          <w:bCs w:val="0"/>
          <w:color w:val="000000"/>
          <w:spacing w:val="0"/>
          <w:w w:val="100"/>
          <w:position w:val="0"/>
          <w:sz w:val="24"/>
          <w:szCs w:val="24"/>
        </w:rPr>
        <w:t>12,796,000.00</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日：港 币</w:t>
      </w:r>
      <w:r>
        <w:rPr>
          <w:rFonts w:ascii="Arial" w:eastAsia="Arial" w:hAnsi="Arial" w:cs="Arial"/>
          <w:b w:val="0"/>
          <w:bCs w:val="0"/>
          <w:color w:val="000000"/>
          <w:spacing w:val="0"/>
          <w:w w:val="100"/>
          <w:position w:val="0"/>
          <w:sz w:val="24"/>
          <w:szCs w:val="24"/>
        </w:rPr>
        <w:t>5,839,000.00</w:t>
      </w:r>
      <w:r>
        <w:rPr>
          <w:b w:val="0"/>
          <w:bCs w:val="0"/>
          <w:color w:val="000000"/>
          <w:spacing w:val="0"/>
          <w:w w:val="100"/>
          <w:position w:val="0"/>
          <w:sz w:val="22"/>
          <w:szCs w:val="22"/>
        </w:rPr>
        <w:t>元，折合人民币约</w:t>
      </w:r>
      <w:r>
        <w:rPr>
          <w:rFonts w:ascii="Arial" w:eastAsia="Arial" w:hAnsi="Arial" w:cs="Arial"/>
          <w:b w:val="0"/>
          <w:bCs w:val="0"/>
          <w:color w:val="000000"/>
          <w:spacing w:val="0"/>
          <w:w w:val="100"/>
          <w:position w:val="0"/>
          <w:sz w:val="24"/>
          <w:szCs w:val="24"/>
        </w:rPr>
        <w:t>4,845,000.00</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300" w:line="322" w:lineRule="exact"/>
        <w:ind w:left="0" w:right="0" w:firstLine="0"/>
        <w:jc w:val="both"/>
        <w:rPr>
          <w:sz w:val="22"/>
          <w:szCs w:val="22"/>
        </w:rPr>
        <w:sectPr>
          <w:footnotePr>
            <w:pos w:val="pageBottom"/>
            <w:numFmt w:val="decimal"/>
            <w:numRestart w:val="continuous"/>
          </w:footnotePr>
          <w:pgSz w:w="11900" w:h="16840"/>
          <w:pgMar w:top="1758" w:right="1109" w:bottom="3856" w:left="1959" w:header="0" w:footer="3" w:gutter="0"/>
          <w:cols w:space="720"/>
          <w:noEndnote/>
          <w:rtlGutter w:val="0"/>
          <w:docGrid w:linePitch="360"/>
        </w:sectPr>
      </w:pPr>
      <w:r>
        <w:rPr>
          <w:b w:val="0"/>
          <w:bCs w:val="0"/>
          <w:color w:val="000000"/>
          <w:spacing w:val="0"/>
          <w:w w:val="100"/>
          <w:position w:val="0"/>
          <w:sz w:val="22"/>
          <w:szCs w:val="22"/>
        </w:rPr>
        <w:t>其他外币汇率的变动，对本集团经营活动的影响并不重大。</w:t>
      </w:r>
    </w:p>
    <w:p>
      <w:pPr>
        <w:pStyle w:val="Style27"/>
        <w:keepNext/>
        <w:keepLines/>
        <w:widowControl w:val="0"/>
        <w:shd w:val="clear" w:color="auto" w:fill="auto"/>
        <w:bidi w:val="0"/>
        <w:spacing w:before="0" w:after="300" w:line="317" w:lineRule="exact"/>
        <w:ind w:left="0" w:right="0" w:firstLine="0"/>
        <w:jc w:val="both"/>
        <w:rPr>
          <w:sz w:val="28"/>
          <w:szCs w:val="28"/>
        </w:rPr>
      </w:pPr>
      <w:bookmarkStart w:id="1076" w:name="bookmark1076"/>
      <w:bookmarkStart w:id="1077" w:name="bookmark1077"/>
      <w:bookmarkStart w:id="1078" w:name="bookmark1078"/>
      <w:r>
        <w:rPr>
          <w:color w:val="000000"/>
          <w:spacing w:val="0"/>
          <w:w w:val="100"/>
          <w:position w:val="0"/>
          <w:sz w:val="22"/>
          <w:szCs w:val="22"/>
        </w:rPr>
        <w:t>十四金融风险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76"/>
      <w:bookmarkEnd w:id="1077"/>
      <w:bookmarkEnd w:id="1078"/>
    </w:p>
    <w:p>
      <w:pPr>
        <w:pStyle w:val="Style94"/>
        <w:keepNext w:val="0"/>
        <w:keepLines w:val="0"/>
        <w:widowControl w:val="0"/>
        <w:shd w:val="clear" w:color="auto" w:fill="auto"/>
        <w:tabs>
          <w:tab w:pos="706" w:val="left"/>
        </w:tabs>
        <w:bidi w:val="0"/>
        <w:spacing w:before="0" w:after="300" w:line="317" w:lineRule="exact"/>
        <w:ind w:left="0" w:right="0" w:firstLine="0"/>
        <w:jc w:val="both"/>
        <w:rPr>
          <w:sz w:val="28"/>
          <w:szCs w:val="28"/>
        </w:rPr>
      </w:pPr>
      <w:bookmarkStart w:id="1079" w:name="bookmark1079"/>
      <w:r>
        <w:rPr>
          <w:color w:val="000000"/>
          <w:spacing w:val="0"/>
          <w:w w:val="100"/>
          <w:position w:val="0"/>
          <w:sz w:val="24"/>
          <w:szCs w:val="24"/>
        </w:rPr>
        <w:t>（</w:t>
      </w:r>
      <w:bookmarkEnd w:id="1079"/>
      <w:r>
        <w:rPr>
          <w:color w:val="000000"/>
          <w:spacing w:val="0"/>
          <w:w w:val="100"/>
          <w:position w:val="0"/>
          <w:sz w:val="24"/>
          <w:szCs w:val="24"/>
        </w:rPr>
        <w:t>1）</w:t>
        <w:tab/>
      </w:r>
      <w:r>
        <w:rPr>
          <w:rFonts w:ascii="SimSun" w:eastAsia="SimSun" w:hAnsi="SimSun" w:cs="SimSun"/>
          <w:b/>
          <w:bCs/>
          <w:color w:val="000000"/>
          <w:spacing w:val="0"/>
          <w:w w:val="100"/>
          <w:position w:val="0"/>
          <w:sz w:val="22"/>
          <w:szCs w:val="22"/>
        </w:rPr>
        <w:t>市场风险</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tabs>
          <w:tab w:pos="706" w:val="left"/>
        </w:tabs>
        <w:bidi w:val="0"/>
        <w:spacing w:before="0" w:after="300" w:line="317" w:lineRule="exact"/>
        <w:ind w:left="0" w:right="0" w:firstLine="0"/>
        <w:jc w:val="both"/>
        <w:rPr>
          <w:sz w:val="22"/>
          <w:szCs w:val="22"/>
        </w:rPr>
      </w:pPr>
      <w:r>
        <w:rPr>
          <w:rFonts w:ascii="Arial" w:eastAsia="Arial" w:hAnsi="Arial" w:cs="Arial"/>
          <w:b w:val="0"/>
          <w:bCs w:val="0"/>
          <w:color w:val="000000"/>
          <w:spacing w:val="0"/>
          <w:w w:val="100"/>
          <w:position w:val="0"/>
          <w:sz w:val="24"/>
          <w:szCs w:val="24"/>
        </w:rPr>
        <w:t>（b）</w:t>
        <w:tab/>
      </w:r>
      <w:r>
        <w:rPr>
          <w:b w:val="0"/>
          <w:bCs w:val="0"/>
          <w:color w:val="000000"/>
          <w:spacing w:val="0"/>
          <w:w w:val="100"/>
          <w:position w:val="0"/>
          <w:sz w:val="22"/>
          <w:szCs w:val="22"/>
        </w:rPr>
        <w:t>利率风险</w:t>
      </w:r>
    </w:p>
    <w:p>
      <w:pPr>
        <w:pStyle w:val="Style33"/>
        <w:keepNext w:val="0"/>
        <w:keepLines w:val="0"/>
        <w:widowControl w:val="0"/>
        <w:shd w:val="clear" w:color="auto" w:fill="auto"/>
        <w:bidi w:val="0"/>
        <w:spacing w:before="0" w:after="300" w:line="325" w:lineRule="exact"/>
        <w:ind w:left="0" w:right="0" w:firstLine="0"/>
        <w:jc w:val="both"/>
        <w:rPr>
          <w:sz w:val="22"/>
          <w:szCs w:val="22"/>
        </w:rPr>
      </w:pPr>
      <w:r>
        <w:rPr>
          <w:b w:val="0"/>
          <w:bCs w:val="0"/>
          <w:color w:val="000000"/>
          <w:spacing w:val="0"/>
          <w:w w:val="100"/>
          <w:position w:val="0"/>
          <w:sz w:val="22"/>
          <w:szCs w:val="22"/>
        </w:rPr>
        <w:t>本集团的利率风险主要产生于银行借款等长期带息债务。浮动利率的金融负债使本集 团面临现金流量利率风险，固定利率的金融负债使本集团面临公允价值利率风险。本 集团根据当时的市场环境来决定固定利率及浮动利率合同的相对比例。于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12 </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 xml:space="preserve">日，本集团长期带息债务主要为人民币计价的浮动利率合同，金额为 </w:t>
      </w:r>
      <w:r>
        <w:rPr>
          <w:rFonts w:ascii="Arial" w:eastAsia="Arial" w:hAnsi="Arial" w:cs="Arial"/>
          <w:b w:val="0"/>
          <w:bCs w:val="0"/>
          <w:color w:val="000000"/>
          <w:spacing w:val="0"/>
          <w:w w:val="100"/>
          <w:position w:val="0"/>
          <w:sz w:val="24"/>
          <w:szCs w:val="24"/>
        </w:rPr>
        <w:t xml:space="preserve">3,251,555,564.10 </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 xml:space="preserve">（2015 </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3,277,363,368.47 </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shd w:val="clear" w:color="auto" w:fill="auto"/>
        <w:bidi w:val="0"/>
        <w:spacing w:before="0" w:after="360" w:line="306" w:lineRule="exact"/>
        <w:ind w:left="0" w:right="0" w:firstLine="0"/>
        <w:jc w:val="both"/>
        <w:rPr>
          <w:sz w:val="22"/>
          <w:szCs w:val="22"/>
        </w:rPr>
      </w:pPr>
      <w:r>
        <w:rPr>
          <w:b w:val="0"/>
          <w:bCs w:val="0"/>
          <w:color w:val="000000"/>
          <w:spacing w:val="0"/>
          <w:w w:val="100"/>
          <w:position w:val="0"/>
          <w:sz w:val="22"/>
          <w:szCs w:val="22"/>
        </w:rPr>
        <w:t>本集团总部财务部门持续监控集团利率水平。利率上升会增加新增带息债务的成本以 及本集团尚未付清的以浮动利率计息的带息债务的利息支出，并对本集团的财务业绩 产生重大的不利影响，管理层会依据最新的市场状况及时做出调整，这些调整可能是 进行利率互换的安排来降低利率风险。</w:t>
      </w:r>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日，如果以浮动利率计算的借款利率上升或下降</w:t>
      </w:r>
      <w:r>
        <w:rPr>
          <w:rFonts w:ascii="Arial" w:eastAsia="Arial" w:hAnsi="Arial" w:cs="Arial"/>
          <w:b w:val="0"/>
          <w:bCs w:val="0"/>
          <w:color w:val="000000"/>
          <w:spacing w:val="0"/>
          <w:w w:val="100"/>
          <w:position w:val="0"/>
          <w:sz w:val="24"/>
          <w:szCs w:val="24"/>
        </w:rPr>
        <w:t>50</w:t>
      </w:r>
      <w:r>
        <w:rPr>
          <w:b w:val="0"/>
          <w:bCs w:val="0"/>
          <w:color w:val="000000"/>
          <w:spacing w:val="0"/>
          <w:w w:val="100"/>
          <w:position w:val="0"/>
          <w:sz w:val="22"/>
          <w:szCs w:val="22"/>
        </w:rPr>
        <w:t>个基点，而 其他因素保持不变，本集团的税前利润会减少或增加</w:t>
      </w:r>
      <w:r>
        <w:rPr>
          <w:rFonts w:ascii="Arial" w:eastAsia="Arial" w:hAnsi="Arial" w:cs="Arial"/>
          <w:b w:val="0"/>
          <w:bCs w:val="0"/>
          <w:color w:val="000000"/>
          <w:spacing w:val="0"/>
          <w:w w:val="100"/>
          <w:position w:val="0"/>
          <w:sz w:val="24"/>
          <w:szCs w:val="24"/>
        </w:rPr>
        <w:t>23,805,066.92</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 xml:space="preserve">12 </w:t>
      </w:r>
      <w:r>
        <w:rPr>
          <w:b w:val="0"/>
          <w:bCs w:val="0"/>
          <w:color w:val="000000"/>
          <w:spacing w:val="0"/>
          <w:w w:val="100"/>
          <w:position w:val="0"/>
          <w:sz w:val="22"/>
          <w:szCs w:val="22"/>
        </w:rPr>
        <w:t xml:space="preserve">月 </w:t>
      </w:r>
      <w:r>
        <w:rPr>
          <w:rFonts w:ascii="Arial" w:eastAsia="Arial" w:hAnsi="Arial" w:cs="Arial"/>
          <w:b w:val="0"/>
          <w:bCs w:val="0"/>
          <w:color w:val="000000"/>
          <w:spacing w:val="0"/>
          <w:w w:val="100"/>
          <w:position w:val="0"/>
          <w:sz w:val="24"/>
          <w:szCs w:val="24"/>
        </w:rPr>
        <w:t xml:space="preserve">31 </w:t>
      </w:r>
      <w:r>
        <w:rPr>
          <w:b w:val="0"/>
          <w:bCs w:val="0"/>
          <w:color w:val="000000"/>
          <w:spacing w:val="0"/>
          <w:w w:val="100"/>
          <w:position w:val="0"/>
          <w:sz w:val="22"/>
          <w:szCs w:val="22"/>
        </w:rPr>
        <w:t>日：</w:t>
      </w:r>
      <w:r>
        <w:rPr>
          <w:rFonts w:ascii="Arial" w:eastAsia="Arial" w:hAnsi="Arial" w:cs="Arial"/>
          <w:b w:val="0"/>
          <w:bCs w:val="0"/>
          <w:color w:val="000000"/>
          <w:spacing w:val="0"/>
          <w:w w:val="100"/>
          <w:position w:val="0"/>
          <w:sz w:val="24"/>
          <w:szCs w:val="24"/>
        </w:rPr>
        <w:t xml:space="preserve">16,386,816.84 </w:t>
      </w:r>
      <w:r>
        <w:rPr>
          <w:b w:val="0"/>
          <w:bCs w:val="0"/>
          <w:color w:val="000000"/>
          <w:spacing w:val="0"/>
          <w:w w:val="100"/>
          <w:position w:val="0"/>
          <w:sz w:val="22"/>
          <w:szCs w:val="22"/>
        </w:rPr>
        <w:t>元</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w:t>
      </w:r>
    </w:p>
    <w:p>
      <w:pPr>
        <w:pStyle w:val="Style33"/>
        <w:keepNext w:val="0"/>
        <w:keepLines w:val="0"/>
        <w:widowControl w:val="0"/>
        <w:shd w:val="clear" w:color="auto" w:fill="auto"/>
        <w:tabs>
          <w:tab w:pos="706" w:val="left"/>
        </w:tabs>
        <w:bidi w:val="0"/>
        <w:spacing w:before="0" w:after="300" w:line="317" w:lineRule="exact"/>
        <w:ind w:left="0" w:right="0" w:firstLine="0"/>
        <w:jc w:val="both"/>
        <w:rPr>
          <w:sz w:val="22"/>
          <w:szCs w:val="22"/>
        </w:rPr>
      </w:pPr>
      <w:bookmarkStart w:id="1080" w:name="bookmark1080"/>
      <w:r>
        <w:rPr>
          <w:rFonts w:ascii="Arial" w:eastAsia="Arial" w:hAnsi="Arial" w:cs="Arial"/>
          <w:b w:val="0"/>
          <w:bCs w:val="0"/>
          <w:color w:val="000000"/>
          <w:spacing w:val="0"/>
          <w:w w:val="100"/>
          <w:position w:val="0"/>
          <w:sz w:val="24"/>
          <w:szCs w:val="24"/>
        </w:rPr>
        <w:t>（</w:t>
      </w:r>
      <w:bookmarkEnd w:id="1080"/>
      <w:r>
        <w:rPr>
          <w:rFonts w:ascii="Arial" w:eastAsia="Arial" w:hAnsi="Arial" w:cs="Arial"/>
          <w:b w:val="0"/>
          <w:bCs w:val="0"/>
          <w:color w:val="000000"/>
          <w:spacing w:val="0"/>
          <w:w w:val="100"/>
          <w:position w:val="0"/>
          <w:sz w:val="24"/>
          <w:szCs w:val="24"/>
        </w:rPr>
        <w:t>2）</w:t>
        <w:tab/>
      </w:r>
      <w:r>
        <w:rPr>
          <w:color w:val="000000"/>
          <w:spacing w:val="0"/>
          <w:w w:val="100"/>
          <w:position w:val="0"/>
          <w:sz w:val="22"/>
          <w:szCs w:val="22"/>
        </w:rPr>
        <w:t>信用风险</w:t>
      </w:r>
    </w:p>
    <w:p>
      <w:pPr>
        <w:pStyle w:val="Style33"/>
        <w:keepNext w:val="0"/>
        <w:keepLines w:val="0"/>
        <w:widowControl w:val="0"/>
        <w:shd w:val="clear" w:color="auto" w:fill="auto"/>
        <w:bidi w:val="0"/>
        <w:spacing w:before="0" w:after="300" w:line="326" w:lineRule="exact"/>
        <w:ind w:left="0" w:right="0" w:firstLine="0"/>
        <w:jc w:val="both"/>
        <w:rPr>
          <w:sz w:val="22"/>
          <w:szCs w:val="22"/>
        </w:rPr>
      </w:pPr>
      <w:r>
        <w:rPr>
          <w:b w:val="0"/>
          <w:bCs w:val="0"/>
          <w:color w:val="000000"/>
          <w:spacing w:val="0"/>
          <w:w w:val="100"/>
          <w:position w:val="0"/>
          <w:sz w:val="22"/>
          <w:szCs w:val="22"/>
        </w:rPr>
        <w:t>本集团对信用风险按组合分类进行管理。信用风险主要产生于银行存款、应收账款、 应收保理款、客户贷款及垫款以及其他应收款等。</w:t>
      </w:r>
    </w:p>
    <w:p>
      <w:pPr>
        <w:pStyle w:val="Style33"/>
        <w:keepNext w:val="0"/>
        <w:keepLines w:val="0"/>
        <w:widowControl w:val="0"/>
        <w:shd w:val="clear" w:color="auto" w:fill="auto"/>
        <w:bidi w:val="0"/>
        <w:spacing w:before="0" w:after="360" w:line="317" w:lineRule="exact"/>
        <w:ind w:left="0" w:right="0" w:firstLine="0"/>
        <w:jc w:val="both"/>
        <w:rPr>
          <w:sz w:val="22"/>
          <w:szCs w:val="22"/>
        </w:rPr>
      </w:pPr>
      <w:r>
        <w:rPr>
          <w:b w:val="0"/>
          <w:bCs w:val="0"/>
          <w:color w:val="000000"/>
          <w:spacing w:val="0"/>
          <w:w w:val="100"/>
          <w:position w:val="0"/>
          <w:sz w:val="22"/>
          <w:szCs w:val="22"/>
        </w:rPr>
        <w:t>本集团银行存款主要存放于国有银行和其它大中型上市银行，本集团认为其不存在重 大的信用风险，因对方单位违约而出现重大损失的风险较低。</w:t>
      </w:r>
    </w:p>
    <w:tbl>
      <w:tblPr>
        <w:tblOverlap w:val="never"/>
        <w:jc w:val="center"/>
        <w:tblLayout w:type="fixed"/>
      </w:tblPr>
      <w:tblGrid>
        <w:gridCol w:w="2294"/>
        <w:gridCol w:w="3979"/>
        <w:gridCol w:w="2525"/>
      </w:tblGrid>
      <w:tr>
        <w:trPr>
          <w:trHeight w:val="4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20" w:firstLine="0"/>
              <w:jc w:val="right"/>
              <w:rPr>
                <w:sz w:val="24"/>
                <w:szCs w:val="24"/>
              </w:rPr>
            </w:pPr>
            <w:r>
              <w:rPr>
                <w:rFonts w:ascii="Arial" w:eastAsia="Arial" w:hAnsi="Arial" w:cs="Arial"/>
                <w:color w:val="000000"/>
                <w:spacing w:val="0"/>
                <w:w w:val="100"/>
                <w:position w:val="0"/>
                <w:sz w:val="24"/>
                <w:szCs w:val="24"/>
              </w:rPr>
              <w:t>657,589.59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640,084,915.28</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Arial" w:eastAsia="Arial" w:hAnsi="Arial" w:cs="Arial"/>
                <w:color w:val="000000"/>
                <w:spacing w:val="0"/>
                <w:w w:val="100"/>
                <w:position w:val="0"/>
                <w:sz w:val="24"/>
                <w:szCs w:val="24"/>
              </w:rPr>
              <w:t>896,653,352.72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1,059,123,509.18</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2,676,215,071.45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1,506,696,577.45</w:t>
            </w:r>
          </w:p>
        </w:tc>
      </w:tr>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3,097,901,400.59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8,772,632.75</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BBB+</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Arial" w:eastAsia="Arial" w:hAnsi="Arial" w:cs="Arial"/>
                <w:color w:val="000000"/>
                <w:spacing w:val="0"/>
                <w:w w:val="100"/>
                <w:position w:val="0"/>
                <w:sz w:val="24"/>
                <w:szCs w:val="24"/>
              </w:rPr>
              <w:t>112,313,036.90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203,419,034.54</w:t>
            </w:r>
          </w:p>
        </w:tc>
      </w:tr>
      <w:tr>
        <w:trPr>
          <w:trHeight w:val="29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BBB</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20" w:firstLine="0"/>
              <w:jc w:val="right"/>
              <w:rPr>
                <w:sz w:val="24"/>
                <w:szCs w:val="24"/>
              </w:rPr>
            </w:pPr>
            <w:r>
              <w:rPr>
                <w:rFonts w:ascii="Arial" w:eastAsia="Arial" w:hAnsi="Arial" w:cs="Arial"/>
                <w:color w:val="000000"/>
                <w:spacing w:val="0"/>
                <w:w w:val="100"/>
                <w:position w:val="0"/>
                <w:sz w:val="24"/>
                <w:szCs w:val="24"/>
              </w:rPr>
              <w:t>1,277,634.08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Arial" w:eastAsia="Arial" w:hAnsi="Arial" w:cs="Arial"/>
                <w:color w:val="000000"/>
                <w:spacing w:val="0"/>
                <w:w w:val="100"/>
                <w:position w:val="0"/>
                <w:sz w:val="24"/>
                <w:szCs w:val="24"/>
              </w:rPr>
              <w:t>6,785,018,085.33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Arial" w:eastAsia="Arial" w:hAnsi="Arial" w:cs="Arial"/>
                <w:color w:val="000000"/>
                <w:spacing w:val="0"/>
                <w:w w:val="100"/>
                <w:position w:val="0"/>
                <w:sz w:val="24"/>
                <w:szCs w:val="24"/>
              </w:rPr>
              <w:t>3,418,096,669.20</w:t>
            </w:r>
          </w:p>
        </w:tc>
      </w:tr>
    </w:tbl>
    <w:p>
      <w:pPr>
        <w:pStyle w:val="Style27"/>
        <w:keepNext/>
        <w:keepLines/>
        <w:widowControl w:val="0"/>
        <w:shd w:val="clear" w:color="auto" w:fill="auto"/>
        <w:bidi w:val="0"/>
        <w:spacing w:before="0" w:after="300" w:line="321" w:lineRule="exact"/>
        <w:ind w:left="0" w:right="0" w:firstLine="0"/>
        <w:jc w:val="both"/>
        <w:rPr>
          <w:sz w:val="28"/>
          <w:szCs w:val="28"/>
        </w:rPr>
      </w:pPr>
      <w:bookmarkStart w:id="1081" w:name="bookmark1081"/>
      <w:bookmarkStart w:id="1082" w:name="bookmark1082"/>
      <w:bookmarkStart w:id="1083" w:name="bookmark1083"/>
      <w:r>
        <w:rPr>
          <w:color w:val="000000"/>
          <w:spacing w:val="0"/>
          <w:w w:val="100"/>
          <w:position w:val="0"/>
          <w:sz w:val="22"/>
          <w:szCs w:val="22"/>
        </w:rPr>
        <w:t>十四金融风险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81"/>
      <w:bookmarkEnd w:id="1082"/>
      <w:bookmarkEnd w:id="1083"/>
    </w:p>
    <w:p>
      <w:pPr>
        <w:pStyle w:val="Style94"/>
        <w:keepNext w:val="0"/>
        <w:keepLines w:val="0"/>
        <w:widowControl w:val="0"/>
        <w:shd w:val="clear" w:color="auto" w:fill="auto"/>
        <w:bidi w:val="0"/>
        <w:spacing w:before="0" w:after="300" w:line="321" w:lineRule="exact"/>
        <w:ind w:left="0" w:right="0" w:firstLine="0"/>
        <w:jc w:val="both"/>
        <w:rPr>
          <w:sz w:val="28"/>
          <w:szCs w:val="28"/>
        </w:rPr>
      </w:pPr>
      <w:r>
        <w:rPr>
          <w:color w:val="000000"/>
          <w:spacing w:val="0"/>
          <w:w w:val="100"/>
          <w:position w:val="0"/>
          <w:sz w:val="24"/>
          <w:szCs w:val="24"/>
        </w:rPr>
        <w:t xml:space="preserve">（2） </w:t>
      </w:r>
      <w:r>
        <w:rPr>
          <w:rFonts w:ascii="SimSun" w:eastAsia="SimSun" w:hAnsi="SimSun" w:cs="SimSun"/>
          <w:b/>
          <w:bCs/>
          <w:color w:val="000000"/>
          <w:spacing w:val="0"/>
          <w:w w:val="100"/>
          <w:position w:val="0"/>
          <w:sz w:val="22"/>
          <w:szCs w:val="22"/>
        </w:rPr>
        <w:t>信用风险</w:t>
      </w:r>
      <w:r>
        <w:rPr>
          <w:color w:val="000000"/>
          <w:spacing w:val="0"/>
          <w:w w:val="100"/>
          <w:position w:val="0"/>
          <w:sz w:val="24"/>
          <w:szCs w:val="24"/>
        </w:rPr>
        <w:t>（</w:t>
      </w:r>
      <w:r>
        <w:rPr>
          <w:rFonts w:ascii="SimSun" w:eastAsia="SimSun" w:hAnsi="SimSun" w:cs="SimSun"/>
          <w:b/>
          <w:bCs/>
          <w:color w:val="000000"/>
          <w:spacing w:val="0"/>
          <w:w w:val="100"/>
          <w:position w:val="0"/>
          <w:sz w:val="22"/>
          <w:szCs w:val="22"/>
        </w:rPr>
        <w:t>续</w:t>
      </w:r>
      <w:r>
        <w:rPr>
          <w:rFonts w:ascii="SimSun" w:eastAsia="SimSun" w:hAnsi="SimSun" w:cs="SimSun"/>
          <w:color w:val="000000"/>
          <w:spacing w:val="0"/>
          <w:w w:val="100"/>
          <w:position w:val="0"/>
          <w:sz w:val="28"/>
          <w:szCs w:val="28"/>
        </w:rPr>
        <w:t>）</w:t>
      </w:r>
    </w:p>
    <w:p>
      <w:pPr>
        <w:pStyle w:val="Style33"/>
        <w:keepNext w:val="0"/>
        <w:keepLines w:val="0"/>
        <w:widowControl w:val="0"/>
        <w:shd w:val="clear" w:color="auto" w:fill="auto"/>
        <w:bidi w:val="0"/>
        <w:spacing w:before="0" w:after="300" w:line="331" w:lineRule="exact"/>
        <w:ind w:left="0" w:right="0" w:firstLine="0"/>
        <w:jc w:val="both"/>
        <w:rPr>
          <w:sz w:val="22"/>
          <w:szCs w:val="22"/>
        </w:rPr>
      </w:pPr>
      <w:r>
        <w:rPr>
          <w:b w:val="0"/>
          <w:bCs w:val="0"/>
          <w:color w:val="000000"/>
          <w:spacing w:val="0"/>
          <w:w w:val="100"/>
          <w:position w:val="0"/>
          <w:sz w:val="22"/>
          <w:szCs w:val="22"/>
        </w:rPr>
        <w:t>上述金融机构信用评级在</w:t>
      </w:r>
      <w:r>
        <w:rPr>
          <w:rFonts w:ascii="Arial" w:eastAsia="Arial" w:hAnsi="Arial" w:cs="Arial"/>
          <w:b w:val="0"/>
          <w:bCs w:val="0"/>
          <w:color w:val="000000"/>
          <w:spacing w:val="0"/>
          <w:w w:val="100"/>
          <w:position w:val="0"/>
          <w:sz w:val="24"/>
          <w:szCs w:val="24"/>
        </w:rPr>
        <w:t>AA-</w:t>
      </w:r>
      <w:r>
        <w:rPr>
          <w:b w:val="0"/>
          <w:bCs w:val="0"/>
          <w:color w:val="000000"/>
          <w:spacing w:val="0"/>
          <w:w w:val="100"/>
          <w:position w:val="0"/>
          <w:sz w:val="22"/>
          <w:szCs w:val="22"/>
        </w:rPr>
        <w:t>至</w:t>
      </w:r>
      <w:r>
        <w:rPr>
          <w:rFonts w:ascii="Arial" w:eastAsia="Arial" w:hAnsi="Arial" w:cs="Arial"/>
          <w:b w:val="0"/>
          <w:bCs w:val="0"/>
          <w:color w:val="000000"/>
          <w:spacing w:val="0"/>
          <w:w w:val="100"/>
          <w:position w:val="0"/>
          <w:sz w:val="24"/>
          <w:szCs w:val="24"/>
        </w:rPr>
        <w:t>BBB+</w:t>
      </w:r>
      <w:r>
        <w:rPr>
          <w:b w:val="0"/>
          <w:bCs w:val="0"/>
          <w:color w:val="000000"/>
          <w:spacing w:val="0"/>
          <w:w w:val="100"/>
          <w:position w:val="0"/>
          <w:sz w:val="22"/>
          <w:szCs w:val="22"/>
        </w:rPr>
        <w:t>之间均为中国的国有银行或大中型上市银行, 本集团认为其不存在重大的信用风险，不会产生因对方单位违约而导致的任何重大损 失。</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对于应收账款及其他应收款，其包括应收关联方款项和应收非关联方款项，对于应收 关联方款项，本集团认为其信用风险较低，对于应收非关联方款项，本集团会设定相 关政策以控制信用风险敞口并定期关注其信用和回收状况，对于信用和回收记录不良 的客户，本集团会采用催款、缩短信用期或取消信用期等方式，以确保本集团的整体 信用风险在可控的范围内。</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对于贷款，本集团根据中国银行业监督管理委员会（以下简称“中国银监会”）的《贷 款风险分类指引》和《关于非银行金融机构全面推行资产质量五级分类管理的通知》 制定了信贷资产五级分类制度，将信贷资产分类为正常、关注、次级、可疑和损失五 类，其中后三类贷款被视为不良信贷资产。于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日，本集团持有的贷 款主要为正常类。</w:t>
      </w:r>
    </w:p>
    <w:p>
      <w:pPr>
        <w:pStyle w:val="Style33"/>
        <w:keepNext w:val="0"/>
        <w:keepLines w:val="0"/>
        <w:widowControl w:val="0"/>
        <w:shd w:val="clear" w:color="auto" w:fill="auto"/>
        <w:bidi w:val="0"/>
        <w:spacing w:before="0" w:after="300" w:line="319" w:lineRule="exact"/>
        <w:ind w:left="0" w:right="0" w:firstLine="0"/>
        <w:jc w:val="both"/>
        <w:rPr>
          <w:sz w:val="22"/>
          <w:szCs w:val="22"/>
        </w:rPr>
        <w:sectPr>
          <w:footnotePr>
            <w:pos w:val="pageBottom"/>
            <w:numFmt w:val="decimal"/>
            <w:numRestart w:val="continuous"/>
          </w:footnotePr>
          <w:pgSz w:w="11900" w:h="16840"/>
          <w:pgMar w:top="1734" w:right="995" w:bottom="2915" w:left="1957" w:header="0" w:footer="3" w:gutter="0"/>
          <w:cols w:space="720"/>
          <w:noEndnote/>
          <w:rtlGutter w:val="0"/>
          <w:docGrid w:linePitch="360"/>
        </w:sectPr>
      </w:pPr>
      <w:r>
        <w:rPr>
          <w:b w:val="0"/>
          <w:bCs w:val="0"/>
          <w:color w:val="000000"/>
          <w:spacing w:val="0"/>
          <w:w w:val="100"/>
          <w:position w:val="0"/>
          <w:sz w:val="22"/>
          <w:szCs w:val="22"/>
        </w:rPr>
        <w:t>本集团负责其自身的现金流量预测。财务部门在现金流量预测的基础上，在集团层面 持续监控短期和长期的资金需求，以确保维持充裕的现金储备和可供随时变现的有价 证券，以满足短期和长期的资金需求。</w:t>
      </w:r>
    </w:p>
    <w:p>
      <w:pPr>
        <w:pStyle w:val="Style27"/>
        <w:keepNext/>
        <w:keepLines/>
        <w:widowControl w:val="0"/>
        <w:shd w:val="clear" w:color="auto" w:fill="auto"/>
        <w:bidi w:val="0"/>
        <w:spacing w:before="0" w:after="300" w:line="318" w:lineRule="exact"/>
        <w:ind w:left="0" w:right="0" w:firstLine="0"/>
        <w:jc w:val="left"/>
        <w:rPr>
          <w:sz w:val="28"/>
          <w:szCs w:val="28"/>
        </w:rPr>
      </w:pPr>
      <w:bookmarkStart w:id="1084" w:name="bookmark1084"/>
      <w:bookmarkStart w:id="1085" w:name="bookmark1085"/>
      <w:bookmarkStart w:id="1086" w:name="bookmark1086"/>
      <w:r>
        <w:rPr>
          <w:color w:val="000000"/>
          <w:spacing w:val="0"/>
          <w:w w:val="100"/>
          <w:position w:val="0"/>
          <w:sz w:val="22"/>
          <w:szCs w:val="22"/>
        </w:rPr>
        <w:t>十四金融风险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84"/>
      <w:bookmarkEnd w:id="1085"/>
      <w:bookmarkEnd w:id="1086"/>
    </w:p>
    <w:p>
      <w:pPr>
        <w:pStyle w:val="Style27"/>
        <w:keepNext/>
        <w:keepLines/>
        <w:widowControl w:val="0"/>
        <w:shd w:val="clear" w:color="auto" w:fill="auto"/>
        <w:bidi w:val="0"/>
        <w:spacing w:before="0" w:after="300" w:line="318" w:lineRule="exact"/>
        <w:ind w:left="0" w:right="0" w:firstLine="0"/>
        <w:jc w:val="left"/>
        <w:rPr>
          <w:sz w:val="22"/>
          <w:szCs w:val="22"/>
        </w:rPr>
      </w:pPr>
      <w:bookmarkStart w:id="1084" w:name="bookmark1084"/>
      <w:bookmarkStart w:id="1085" w:name="bookmark1085"/>
      <w:bookmarkStart w:id="1087" w:name="bookmark1087"/>
      <w:r>
        <w:rPr>
          <w:rFonts w:ascii="Arial" w:eastAsia="Arial" w:hAnsi="Arial" w:cs="Arial"/>
          <w:b w:val="0"/>
          <w:bCs w:val="0"/>
          <w:color w:val="000000"/>
          <w:spacing w:val="0"/>
          <w:w w:val="100"/>
          <w:position w:val="0"/>
          <w:sz w:val="24"/>
          <w:szCs w:val="24"/>
        </w:rPr>
        <w:t xml:space="preserve">(3) </w:t>
      </w:r>
      <w:r>
        <w:rPr>
          <w:color w:val="000000"/>
          <w:spacing w:val="0"/>
          <w:w w:val="100"/>
          <w:position w:val="0"/>
          <w:sz w:val="22"/>
          <w:szCs w:val="22"/>
        </w:rPr>
        <w:t>流动性风险</w:t>
      </w:r>
      <w:bookmarkEnd w:id="1084"/>
      <w:bookmarkEnd w:id="1085"/>
      <w:bookmarkEnd w:id="1087"/>
    </w:p>
    <w:p>
      <w:pPr>
        <w:pStyle w:val="Style33"/>
        <w:keepNext w:val="0"/>
        <w:keepLines w:val="0"/>
        <w:widowControl w:val="0"/>
        <w:shd w:val="clear" w:color="auto" w:fill="auto"/>
        <w:bidi w:val="0"/>
        <w:spacing w:before="0" w:after="300" w:line="318" w:lineRule="exact"/>
        <w:ind w:left="0" w:right="0" w:firstLine="0"/>
        <w:jc w:val="left"/>
        <w:rPr>
          <w:sz w:val="22"/>
          <w:szCs w:val="22"/>
        </w:rPr>
      </w:pPr>
      <w:r>
        <w:rPr>
          <w:b w:val="0"/>
          <w:bCs w:val="0"/>
          <w:color w:val="000000"/>
          <w:spacing w:val="0"/>
          <w:w w:val="100"/>
          <w:position w:val="0"/>
          <w:sz w:val="22"/>
          <w:szCs w:val="22"/>
        </w:rPr>
        <w:t>本集团内各子公司负责其自身的现金流量预测。总部财务部门在汇总各子公司现金流 量预测的基础上，在集团层面持续监控短期和长期的资金需求，以确保维持充裕的现 金储备和可供随时变现的有价证券；同时持续监控是否符合借款协议的规定，从主要 金融机构获得提供足够备用资金的承诺，以满足短期和长期的资金需求。</w:t>
      </w:r>
    </w:p>
    <w:p>
      <w:pPr>
        <w:pStyle w:val="Style33"/>
        <w:keepNext w:val="0"/>
        <w:keepLines w:val="0"/>
        <w:widowControl w:val="0"/>
        <w:shd w:val="clear" w:color="auto" w:fill="auto"/>
        <w:bidi w:val="0"/>
        <w:spacing w:before="0" w:after="440" w:line="318" w:lineRule="exact"/>
        <w:ind w:left="0" w:right="0" w:firstLine="0"/>
        <w:jc w:val="left"/>
        <w:rPr>
          <w:sz w:val="22"/>
          <w:szCs w:val="22"/>
        </w:rPr>
      </w:pPr>
      <w:r>
        <w:rPr>
          <w:b w:val="0"/>
          <w:bCs w:val="0"/>
          <w:color w:val="000000"/>
          <w:spacing w:val="0"/>
          <w:w w:val="100"/>
          <w:position w:val="0"/>
          <w:sz w:val="22"/>
          <w:szCs w:val="22"/>
        </w:rPr>
        <w:t>于资产负债表日，本集团各项金融负债以未折现的合同现金流量按到期日列示如下：</w:t>
      </w:r>
    </w:p>
    <w:p>
      <w:pPr>
        <w:pStyle w:val="Style29"/>
        <w:keepNext w:val="0"/>
        <w:keepLines w:val="0"/>
        <w:widowControl w:val="0"/>
        <w:shd w:val="clear" w:color="auto" w:fill="auto"/>
        <w:bidi w:val="0"/>
        <w:spacing w:before="0" w:after="0" w:line="240" w:lineRule="auto"/>
        <w:ind w:left="4603" w:right="0" w:firstLine="0"/>
        <w:jc w:val="left"/>
        <w:rPr>
          <w:sz w:val="13"/>
          <w:szCs w:val="13"/>
        </w:rPr>
      </w:pPr>
      <w:r>
        <w:rPr>
          <w:rFonts w:ascii="Arial" w:eastAsia="Arial" w:hAnsi="Arial" w:cs="Arial"/>
          <w:color w:val="000000"/>
          <w:spacing w:val="0"/>
          <w:w w:val="100"/>
          <w:position w:val="0"/>
          <w:sz w:val="14"/>
          <w:szCs w:val="14"/>
        </w:rPr>
        <w:t>2016</w:t>
      </w:r>
      <w:r>
        <w:rPr>
          <w:color w:val="000000"/>
          <w:spacing w:val="0"/>
          <w:w w:val="100"/>
          <w:position w:val="0"/>
          <w:sz w:val="13"/>
          <w:szCs w:val="13"/>
        </w:rPr>
        <w:t>年</w:t>
      </w: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bl>
      <w:tblPr>
        <w:tblOverlap w:val="never"/>
        <w:jc w:val="center"/>
        <w:tblLayout w:type="fixed"/>
      </w:tblPr>
      <w:tblGrid>
        <w:gridCol w:w="1642"/>
        <w:gridCol w:w="1426"/>
        <w:gridCol w:w="1474"/>
        <w:gridCol w:w="1464"/>
        <w:gridCol w:w="1416"/>
        <w:gridCol w:w="1454"/>
      </w:tblGrid>
      <w:tr>
        <w:trPr>
          <w:trHeight w:val="53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一年以内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一到二年</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二到五年</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五年以上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合计</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金融负债</w:t>
            </w: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以公允价值计量且其变动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计入当期损益的金融负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1,209,158.71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1,209,158.71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应付账款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5,259,177,206.37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5,259,177,206.37</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应付利息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13,899,791.33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13,899,791.33</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3,485,959,567.99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3,485,959,567.99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短期借款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5,466,278,976.31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5,466,278,976.31</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一年内到期的非流动负债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1,367,011,826.51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1,367,011,826.51</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2,927,295,045.86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1,132,693,620.39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1 ,418,893,822.39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5,478,882,488.64</w:t>
            </w: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长期应付款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6,075,000.00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6,075,000.00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14,850,000.00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27,000,000.00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15,593,536,527.22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2,933,370,045.86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1,138,768,620.39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 xml:space="preserve">1 </w:t>
            </w:r>
            <w:r>
              <w:rPr>
                <w:rFonts w:ascii="Arial" w:eastAsia="Arial" w:hAnsi="Arial" w:cs="Arial"/>
                <w:color w:val="000000"/>
                <w:spacing w:val="0"/>
                <w:w w:val="100"/>
                <w:position w:val="0"/>
                <w:sz w:val="14"/>
                <w:szCs w:val="14"/>
              </w:rPr>
              <w:t>,433,743,822.39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21,099,419,015.86</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r>
        <w:rPr>
          <w:color w:val="000000"/>
          <w:spacing w:val="0"/>
          <w:w w:val="100"/>
          <w:position w:val="0"/>
          <w:sz w:val="22"/>
          <w:szCs w:val="22"/>
        </w:rPr>
        <w:t>十四金融风险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88"/>
      <w:bookmarkEnd w:id="1089"/>
      <w:bookmarkEnd w:id="1090"/>
    </w:p>
    <w:p>
      <w:pPr>
        <w:pStyle w:val="Style27"/>
        <w:keepNext/>
        <w:keepLines/>
        <w:widowControl w:val="0"/>
        <w:shd w:val="clear" w:color="auto" w:fill="auto"/>
        <w:bidi w:val="0"/>
        <w:spacing w:before="0" w:after="420" w:line="240" w:lineRule="auto"/>
        <w:ind w:left="0" w:right="0" w:firstLine="0"/>
        <w:jc w:val="left"/>
      </w:pPr>
      <w:bookmarkStart w:id="1088" w:name="bookmark1088"/>
      <w:bookmarkStart w:id="1089" w:name="bookmark1089"/>
      <w:bookmarkStart w:id="1091" w:name="bookmark1091"/>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流动性风险</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88"/>
      <w:bookmarkEnd w:id="1089"/>
      <w:bookmarkEnd w:id="1091"/>
    </w:p>
    <w:p>
      <w:pPr>
        <w:pStyle w:val="Style29"/>
        <w:keepNext w:val="0"/>
        <w:keepLines w:val="0"/>
        <w:widowControl w:val="0"/>
        <w:shd w:val="clear" w:color="auto" w:fill="auto"/>
        <w:bidi w:val="0"/>
        <w:spacing w:before="0" w:after="0" w:line="240" w:lineRule="auto"/>
        <w:ind w:left="4603" w:right="0" w:firstLine="0"/>
        <w:jc w:val="left"/>
        <w:rPr>
          <w:sz w:val="13"/>
          <w:szCs w:val="13"/>
        </w:rPr>
      </w:pPr>
      <w:r>
        <w:rPr>
          <w:rFonts w:ascii="Arial" w:eastAsia="Arial" w:hAnsi="Arial" w:cs="Arial"/>
          <w:color w:val="000000"/>
          <w:spacing w:val="0"/>
          <w:w w:val="100"/>
          <w:position w:val="0"/>
          <w:sz w:val="14"/>
          <w:szCs w:val="14"/>
        </w:rPr>
        <w:t>2015</w:t>
      </w:r>
      <w:r>
        <w:rPr>
          <w:color w:val="000000"/>
          <w:spacing w:val="0"/>
          <w:w w:val="100"/>
          <w:position w:val="0"/>
          <w:sz w:val="13"/>
          <w:szCs w:val="13"/>
        </w:rPr>
        <w:t>年</w:t>
      </w: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bl>
      <w:tblPr>
        <w:tblOverlap w:val="never"/>
        <w:jc w:val="center"/>
        <w:tblLayout w:type="fixed"/>
      </w:tblPr>
      <w:tblGrid>
        <w:gridCol w:w="1618"/>
        <w:gridCol w:w="1406"/>
        <w:gridCol w:w="1464"/>
        <w:gridCol w:w="1541"/>
        <w:gridCol w:w="1378"/>
        <w:gridCol w:w="1349"/>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一年以内</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一到二年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二到五年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五年以上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合计</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金融负债</w:t>
            </w: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以公允价值计量且其变动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计入当期损益的金融负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98,865.95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98,865.95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应付账款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3,095,473,088.69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3,095,473,088.69</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应付票据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190,000,000.00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190,000,000.00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应付利息</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14,836,849.66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14,836,849.66</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2,434,631,184.49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2,434,631,184.49</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短期借款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6,717,702,778.14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6,717,702,778.14</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一年内到期的非流动负债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560,697,947.87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560,697,947.87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178,730,885.88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1,479,510,138.87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2,693,365,642.19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150,866,547.14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4,502,473,214.08</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长期应付款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2,558,931.37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4,895,346.96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7,454,278.33</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13,194,730,532.05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1,484,405,485.83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2,693,365,642.19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150,866,547.14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17,523,368,207.21</w:t>
            </w:r>
          </w:p>
        </w:tc>
      </w:tr>
    </w:tbl>
    <w:p>
      <w:pPr>
        <w:widowControl w:val="0"/>
        <w:spacing w:after="319" w:line="1" w:lineRule="exact"/>
      </w:pPr>
    </w:p>
    <w:p>
      <w:pPr>
        <w:pStyle w:val="Style27"/>
        <w:keepNext/>
        <w:keepLines/>
        <w:widowControl w:val="0"/>
        <w:shd w:val="clear" w:color="auto" w:fill="auto"/>
        <w:bidi w:val="0"/>
        <w:spacing w:before="0" w:line="322" w:lineRule="exact"/>
        <w:ind w:left="0" w:right="0" w:firstLine="0"/>
        <w:jc w:val="left"/>
        <w:rPr>
          <w:sz w:val="22"/>
          <w:szCs w:val="22"/>
        </w:rPr>
      </w:pPr>
      <w:bookmarkStart w:id="1092" w:name="bookmark1092"/>
      <w:bookmarkStart w:id="1093" w:name="bookmark1093"/>
      <w:bookmarkStart w:id="1094" w:name="bookmark1094"/>
      <w:r>
        <w:rPr>
          <w:color w:val="000000"/>
          <w:spacing w:val="0"/>
          <w:w w:val="100"/>
          <w:position w:val="0"/>
          <w:sz w:val="22"/>
          <w:szCs w:val="22"/>
        </w:rPr>
        <w:t>十五公允价值估计</w:t>
      </w:r>
      <w:bookmarkEnd w:id="1092"/>
      <w:bookmarkEnd w:id="1093"/>
      <w:bookmarkEnd w:id="1094"/>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公允价值计量结果所属的层次，由对公允价值计量整体而言具有重要意义的输入值所 属的最低层次决定：</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第一层次：相同资产或负债在活跃市场上未经调整的报价。</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第二层次：除第一层次输入值外相关资产或负债直接或间接可观察的输入值。</w:t>
      </w:r>
    </w:p>
    <w:p>
      <w:pPr>
        <w:pStyle w:val="Style33"/>
        <w:keepNext w:val="0"/>
        <w:keepLines w:val="0"/>
        <w:widowControl w:val="0"/>
        <w:shd w:val="clear" w:color="auto" w:fill="auto"/>
        <w:bidi w:val="0"/>
        <w:spacing w:before="0" w:after="320" w:line="322" w:lineRule="exact"/>
        <w:ind w:left="0" w:right="0" w:firstLine="0"/>
        <w:jc w:val="left"/>
        <w:rPr>
          <w:sz w:val="22"/>
          <w:szCs w:val="22"/>
        </w:rPr>
      </w:pPr>
      <w:r>
        <w:rPr>
          <w:b w:val="0"/>
          <w:bCs w:val="0"/>
          <w:color w:val="000000"/>
          <w:spacing w:val="0"/>
          <w:w w:val="100"/>
          <w:position w:val="0"/>
          <w:sz w:val="22"/>
          <w:szCs w:val="22"/>
        </w:rPr>
        <w:t>第三层次：相关资产或负债的不可观察输入值。</w:t>
      </w:r>
    </w:p>
    <w:p>
      <w:pPr>
        <w:pStyle w:val="Style33"/>
        <w:keepNext w:val="0"/>
        <w:keepLines w:val="0"/>
        <w:widowControl w:val="0"/>
        <w:shd w:val="clear" w:color="auto" w:fill="auto"/>
        <w:bidi w:val="0"/>
        <w:spacing w:before="0" w:after="320" w:line="322" w:lineRule="exact"/>
        <w:ind w:left="0" w:right="0" w:firstLine="0"/>
        <w:jc w:val="left"/>
        <w:rPr>
          <w:sz w:val="22"/>
          <w:szCs w:val="22"/>
        </w:rPr>
        <w:sectPr>
          <w:footnotePr>
            <w:pos w:val="pageBottom"/>
            <w:numFmt w:val="decimal"/>
            <w:numRestart w:val="continuous"/>
          </w:footnotePr>
          <w:pgSz w:w="11900" w:h="16840"/>
          <w:pgMar w:top="1734" w:right="902" w:bottom="4504" w:left="1926" w:header="0" w:footer="3" w:gutter="0"/>
          <w:cols w:space="720"/>
          <w:noEndnote/>
          <w:rtlGutter w:val="0"/>
          <w:docGrid w:linePitch="360"/>
        </w:sectPr>
      </w:pPr>
      <w:r>
        <w:rPr>
          <w:b w:val="0"/>
          <w:bCs w:val="0"/>
          <w:color w:val="000000"/>
          <w:spacing w:val="0"/>
          <w:w w:val="100"/>
          <w:position w:val="0"/>
          <w:sz w:val="22"/>
          <w:szCs w:val="22"/>
        </w:rPr>
        <w:t>本集团和本公司不以公允价值计量的金融资产和负债主要包括：应收款项和应付款项。</w:t>
      </w:r>
    </w:p>
    <w:p>
      <w:pPr>
        <w:pStyle w:val="Style27"/>
        <w:keepNext/>
        <w:keepLines/>
        <w:widowControl w:val="0"/>
        <w:shd w:val="clear" w:color="auto" w:fill="auto"/>
        <w:bidi w:val="0"/>
        <w:spacing w:before="0" w:after="360" w:line="240" w:lineRule="auto"/>
        <w:ind w:left="0" w:right="0" w:firstLine="0"/>
        <w:jc w:val="left"/>
        <w:rPr>
          <w:sz w:val="28"/>
          <w:szCs w:val="28"/>
        </w:rPr>
      </w:pPr>
      <w:bookmarkStart w:id="1095" w:name="bookmark1095"/>
      <w:bookmarkStart w:id="1096" w:name="bookmark1096"/>
      <w:bookmarkStart w:id="1097" w:name="bookmark1097"/>
      <w:r>
        <w:rPr>
          <w:color w:val="000000"/>
          <w:spacing w:val="0"/>
          <w:w w:val="100"/>
          <w:position w:val="0"/>
          <w:sz w:val="22"/>
          <w:szCs w:val="22"/>
        </w:rPr>
        <w:t>十五公允价值估计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095"/>
      <w:bookmarkEnd w:id="1096"/>
      <w:bookmarkEnd w:id="1097"/>
    </w:p>
    <w:p>
      <w:pPr>
        <w:pStyle w:val="Style27"/>
        <w:keepNext/>
        <w:keepLines/>
        <w:widowControl w:val="0"/>
        <w:shd w:val="clear" w:color="auto" w:fill="auto"/>
        <w:tabs>
          <w:tab w:pos="682" w:val="left"/>
        </w:tabs>
        <w:bidi w:val="0"/>
        <w:spacing w:before="0" w:after="360" w:line="240" w:lineRule="auto"/>
        <w:ind w:left="0" w:right="0" w:firstLine="0"/>
        <w:jc w:val="left"/>
        <w:rPr>
          <w:sz w:val="22"/>
          <w:szCs w:val="22"/>
        </w:rPr>
      </w:pPr>
      <w:bookmarkStart w:id="1095" w:name="bookmark1095"/>
      <w:bookmarkStart w:id="1096" w:name="bookmark1096"/>
      <w:bookmarkStart w:id="1098" w:name="bookmark1098"/>
      <w:r>
        <w:rPr>
          <w:rFonts w:ascii="Arial" w:eastAsia="Arial" w:hAnsi="Arial" w:cs="Arial"/>
          <w:b w:val="0"/>
          <w:bCs w:val="0"/>
          <w:color w:val="000000"/>
          <w:spacing w:val="0"/>
          <w:w w:val="100"/>
          <w:position w:val="0"/>
          <w:sz w:val="24"/>
          <w:szCs w:val="24"/>
        </w:rPr>
        <w:t>(1)</w:t>
        <w:tab/>
      </w:r>
      <w:r>
        <w:rPr>
          <w:color w:val="000000"/>
          <w:spacing w:val="0"/>
          <w:w w:val="100"/>
          <w:position w:val="0"/>
          <w:sz w:val="22"/>
          <w:szCs w:val="22"/>
        </w:rPr>
        <w:t>持续的以公允价值计量的资产和负债</w:t>
      </w:r>
      <w:bookmarkEnd w:id="1095"/>
      <w:bookmarkEnd w:id="1096"/>
      <w:bookmarkEnd w:id="1098"/>
    </w:p>
    <w:p>
      <w:pPr>
        <w:pStyle w:val="Style33"/>
        <w:keepNext w:val="0"/>
        <w:keepLines w:val="0"/>
        <w:widowControl w:val="0"/>
        <w:shd w:val="clear" w:color="auto" w:fill="auto"/>
        <w:bidi w:val="0"/>
        <w:spacing w:before="0" w:after="420" w:line="240" w:lineRule="auto"/>
        <w:ind w:left="0" w:right="0" w:firstLine="0"/>
        <w:jc w:val="left"/>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日，持续的以公允价值计量的资产按上述三个层次列示如下：</w:t>
      </w:r>
    </w:p>
    <w:p>
      <w:pPr>
        <w:pStyle w:val="Style33"/>
        <w:keepNext w:val="0"/>
        <w:keepLines w:val="0"/>
        <w:widowControl w:val="0"/>
        <w:shd w:val="clear" w:color="auto" w:fill="auto"/>
        <w:tabs>
          <w:tab w:pos="1694" w:val="left"/>
          <w:tab w:pos="3370" w:val="left"/>
          <w:tab w:pos="5467" w:val="left"/>
        </w:tabs>
        <w:bidi w:val="0"/>
        <w:spacing w:before="0" w:after="420" w:line="240" w:lineRule="auto"/>
        <w:ind w:left="0" w:right="0" w:firstLine="0"/>
        <w:jc w:val="right"/>
        <w:rPr>
          <w:sz w:val="19"/>
          <w:szCs w:val="19"/>
        </w:rPr>
      </w:pPr>
      <w:r>
        <w:rPr>
          <w:b w:val="0"/>
          <w:bCs w:val="0"/>
          <w:color w:val="000000"/>
          <w:spacing w:val="0"/>
          <w:w w:val="100"/>
          <w:position w:val="0"/>
          <w:sz w:val="19"/>
          <w:szCs w:val="19"/>
        </w:rPr>
        <w:t>第一层次</w:t>
        <w:tab/>
        <w:t>第二层次</w:t>
        <w:tab/>
        <w:t>第三层次</w:t>
        <w:tab/>
        <w:t>合计</w:t>
      </w:r>
    </w:p>
    <w:p>
      <w:pPr>
        <w:pStyle w:val="Style29"/>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金融资产</w:t>
      </w:r>
    </w:p>
    <w:p>
      <w:pPr>
        <w:pStyle w:val="Style29"/>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以公允价值计量且其</w:t>
      </w:r>
    </w:p>
    <w:p>
      <w:pPr>
        <w:pStyle w:val="Style29"/>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变动计入当期损益</w:t>
      </w:r>
    </w:p>
    <w:p>
      <w:pPr>
        <w:pStyle w:val="Style29"/>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的金融资产</w:t>
      </w:r>
      <w:r>
        <w:rPr>
          <w:rFonts w:ascii="Arial" w:eastAsia="Arial" w:hAnsi="Arial" w:cs="Arial"/>
          <w:color w:val="000000"/>
          <w:spacing w:val="0"/>
          <w:w w:val="100"/>
          <w:position w:val="0"/>
          <w:sz w:val="20"/>
          <w:szCs w:val="20"/>
        </w:rPr>
        <w:t>-</w:t>
      </w:r>
      <w:r>
        <w:rPr>
          <w:color w:val="000000"/>
          <w:spacing w:val="0"/>
          <w:w w:val="100"/>
          <w:position w:val="0"/>
          <w:sz w:val="19"/>
          <w:szCs w:val="19"/>
        </w:rPr>
        <w:t>交易性</w:t>
      </w:r>
    </w:p>
    <w:tbl>
      <w:tblPr>
        <w:tblOverlap w:val="never"/>
        <w:jc w:val="center"/>
        <w:tblLayout w:type="fixed"/>
      </w:tblPr>
      <w:tblGrid>
        <w:gridCol w:w="1910"/>
        <w:gridCol w:w="1771"/>
        <w:gridCol w:w="2434"/>
        <w:gridCol w:w="2520"/>
      </w:tblGrid>
      <w:tr>
        <w:trPr>
          <w:trHeight w:val="27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权益工具投资</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32,171,569.50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3"/>
              <w:keepNext w:val="0"/>
              <w:keepLines w:val="0"/>
              <w:widowControl w:val="0"/>
              <w:shd w:val="clear" w:color="auto" w:fill="auto"/>
              <w:tabs>
                <w:tab w:pos="1108"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32,171,569.50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可供出售金融资产</w:t>
            </w: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可供出售权益工具</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652,114,721.44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tabs>
                <w:tab w:pos="993"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65 2,114,721.44</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远期利率互换合约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1,631,847.54</w:t>
            </w:r>
          </w:p>
        </w:tc>
        <w:tc>
          <w:tcPr>
            <w:tcBorders/>
            <w:shd w:val="clear" w:color="auto" w:fill="FFFFFF"/>
            <w:vAlign w:val="bottom"/>
          </w:tcPr>
          <w:p>
            <w:pPr>
              <w:pStyle w:val="Style23"/>
              <w:keepNext w:val="0"/>
              <w:keepLines w:val="0"/>
              <w:widowControl w:val="0"/>
              <w:shd w:val="clear" w:color="auto" w:fill="auto"/>
              <w:tabs>
                <w:tab w:pos="1228"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1,631,847.54</w:t>
            </w:r>
          </w:p>
        </w:tc>
      </w:tr>
      <w:tr>
        <w:trPr>
          <w:trHeight w:val="36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金融资产合计</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684,286,290.94</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1,631,847.54</w:t>
            </w:r>
          </w:p>
        </w:tc>
        <w:tc>
          <w:tcPr>
            <w:tcBorders>
              <w:top w:val="single" w:sz="4"/>
              <w:bottom w:val="single" w:sz="4"/>
            </w:tcBorders>
            <w:shd w:val="clear" w:color="auto" w:fill="FFFFFF"/>
            <w:vAlign w:val="center"/>
          </w:tcPr>
          <w:p>
            <w:pPr>
              <w:pStyle w:val="Style23"/>
              <w:keepNext w:val="0"/>
              <w:keepLines w:val="0"/>
              <w:widowControl w:val="0"/>
              <w:shd w:val="clear" w:color="auto" w:fill="auto"/>
              <w:tabs>
                <w:tab w:pos="993"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68 5,918,138.48</w:t>
            </w:r>
          </w:p>
        </w:tc>
      </w:tr>
    </w:tbl>
    <w:p>
      <w:pPr>
        <w:widowControl w:val="0"/>
        <w:spacing w:after="359" w:line="1" w:lineRule="exact"/>
      </w:pPr>
    </w:p>
    <w:p>
      <w:pPr>
        <w:pStyle w:val="Style29"/>
        <w:keepNext w:val="0"/>
        <w:keepLines w:val="0"/>
        <w:widowControl w:val="0"/>
        <w:shd w:val="clear" w:color="auto" w:fill="auto"/>
        <w:tabs>
          <w:tab w:pos="4526" w:val="left"/>
          <w:tab w:pos="6226" w:val="left"/>
          <w:tab w:pos="8323" w:val="left"/>
        </w:tabs>
        <w:bidi w:val="0"/>
        <w:spacing w:before="0" w:after="0" w:line="240" w:lineRule="auto"/>
        <w:ind w:left="2832" w:right="0" w:firstLine="0"/>
        <w:jc w:val="left"/>
        <w:rPr>
          <w:sz w:val="19"/>
          <w:szCs w:val="19"/>
        </w:rPr>
      </w:pPr>
      <w:r>
        <w:rPr>
          <w:color w:val="000000"/>
          <w:spacing w:val="0"/>
          <w:w w:val="100"/>
          <w:position w:val="0"/>
          <w:sz w:val="19"/>
          <w:szCs w:val="19"/>
        </w:rPr>
        <w:t>第一层次</w:t>
        <w:tab/>
        <w:t>第二层次</w:t>
        <w:tab/>
        <w:t>第三层次</w:t>
        <w:tab/>
        <w:t>合计</w:t>
      </w:r>
    </w:p>
    <w:tbl>
      <w:tblPr>
        <w:tblOverlap w:val="never"/>
        <w:jc w:val="center"/>
        <w:tblLayout w:type="fixed"/>
      </w:tblPr>
      <w:tblGrid>
        <w:gridCol w:w="3144"/>
        <w:gridCol w:w="3302"/>
        <w:gridCol w:w="2419"/>
      </w:tblGrid>
      <w:tr>
        <w:trPr>
          <w:trHeight w:val="278"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金融负债</w:t>
            </w:r>
          </w:p>
        </w:tc>
      </w:tr>
      <w:tr>
        <w:trPr>
          <w:trHeight w:val="1291"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440" w:right="0" w:hanging="200"/>
              <w:jc w:val="both"/>
              <w:rPr>
                <w:sz w:val="19"/>
                <w:szCs w:val="19"/>
              </w:rPr>
            </w:pPr>
            <w:r>
              <w:rPr>
                <w:color w:val="000000"/>
                <w:spacing w:val="0"/>
                <w:w w:val="100"/>
                <w:position w:val="0"/>
                <w:sz w:val="19"/>
                <w:szCs w:val="19"/>
              </w:rPr>
              <w:t>以公允价值计量且其 变动计入当期损益 的金融负债</w:t>
            </w:r>
            <w:r>
              <w:rPr>
                <w:rFonts w:ascii="Arial" w:eastAsia="Arial" w:hAnsi="Arial" w:cs="Arial"/>
                <w:color w:val="000000"/>
                <w:spacing w:val="0"/>
                <w:w w:val="100"/>
                <w:position w:val="0"/>
                <w:sz w:val="20"/>
                <w:szCs w:val="20"/>
              </w:rPr>
              <w:t>-</w:t>
            </w:r>
            <w:r>
              <w:rPr>
                <w:color w:val="000000"/>
                <w:spacing w:val="0"/>
                <w:w w:val="100"/>
                <w:position w:val="0"/>
                <w:sz w:val="19"/>
                <w:szCs w:val="19"/>
              </w:rPr>
              <w:t>远期外 汇合约</w:t>
            </w:r>
          </w:p>
        </w:tc>
        <w:tc>
          <w:tcPr>
            <w:tcBorders>
              <w:bottom w:val="single" w:sz="4"/>
            </w:tcBorders>
            <w:shd w:val="clear" w:color="auto" w:fill="FFFFFF"/>
            <w:vAlign w:val="bottom"/>
          </w:tcPr>
          <w:p>
            <w:pPr>
              <w:pStyle w:val="Style23"/>
              <w:keepNext w:val="0"/>
              <w:keepLines w:val="0"/>
              <w:widowControl w:val="0"/>
              <w:shd w:val="clear" w:color="auto" w:fill="auto"/>
              <w:tabs>
                <w:tab w:pos="1028" w:val="left"/>
              </w:tabs>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1,209,158.71</w:t>
            </w:r>
          </w:p>
        </w:tc>
        <w:tc>
          <w:tcPr>
            <w:tcBorders>
              <w:bottom w:val="single" w:sz="4"/>
            </w:tcBorders>
            <w:shd w:val="clear" w:color="auto" w:fill="FFFFFF"/>
            <w:vAlign w:val="bottom"/>
          </w:tcPr>
          <w:p>
            <w:pPr>
              <w:pStyle w:val="Style23"/>
              <w:keepNext w:val="0"/>
              <w:keepLines w:val="0"/>
              <w:widowControl w:val="0"/>
              <w:shd w:val="clear" w:color="auto" w:fill="auto"/>
              <w:tabs>
                <w:tab w:pos="888"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rPr>
              <w:t>1,209,158.71</w:t>
            </w:r>
          </w:p>
        </w:tc>
      </w:tr>
    </w:tbl>
    <w:p>
      <w:pPr>
        <w:sectPr>
          <w:footnotePr>
            <w:pos w:val="pageBottom"/>
            <w:numFmt w:val="decimal"/>
            <w:numRestart w:val="continuous"/>
          </w:footnotePr>
          <w:pgSz w:w="11900" w:h="16840"/>
          <w:pgMar w:top="1714" w:right="1072" w:bottom="1714" w:left="1962" w:header="0" w:footer="3" w:gutter="0"/>
          <w:cols w:space="720"/>
          <w:noEndnote/>
          <w:rtlGutter w:val="0"/>
          <w:docGrid w:linePitch="360"/>
        </w:sectPr>
      </w:pPr>
    </w:p>
    <w:p>
      <w:pPr>
        <w:pStyle w:val="Style27"/>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r>
        <w:rPr>
          <w:color w:val="000000"/>
          <w:spacing w:val="0"/>
          <w:w w:val="100"/>
          <w:position w:val="0"/>
          <w:sz w:val="22"/>
          <w:szCs w:val="22"/>
        </w:rPr>
        <w:t>十五公允价值估计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99"/>
      <w:bookmarkEnd w:id="1100"/>
      <w:bookmarkEnd w:id="1101"/>
    </w:p>
    <w:p>
      <w:pPr>
        <w:pStyle w:val="Style27"/>
        <w:keepNext/>
        <w:keepLines/>
        <w:widowControl w:val="0"/>
        <w:shd w:val="clear" w:color="auto" w:fill="auto"/>
        <w:tabs>
          <w:tab w:pos="686" w:val="left"/>
        </w:tabs>
        <w:bidi w:val="0"/>
        <w:spacing w:before="0" w:after="380" w:line="240" w:lineRule="auto"/>
        <w:ind w:left="0" w:right="0" w:firstLine="0"/>
        <w:jc w:val="left"/>
        <w:rPr>
          <w:sz w:val="22"/>
          <w:szCs w:val="22"/>
        </w:rPr>
      </w:pPr>
      <w:bookmarkStart w:id="1099" w:name="bookmark1099"/>
      <w:bookmarkStart w:id="1100" w:name="bookmark1100"/>
      <w:bookmarkStart w:id="1102" w:name="bookmark1102"/>
      <w:r>
        <w:rPr>
          <w:rFonts w:ascii="Arial" w:eastAsia="Arial" w:hAnsi="Arial" w:cs="Arial"/>
          <w:b w:val="0"/>
          <w:bCs w:val="0"/>
          <w:color w:val="000000"/>
          <w:spacing w:val="0"/>
          <w:w w:val="100"/>
          <w:position w:val="0"/>
          <w:sz w:val="24"/>
          <w:szCs w:val="24"/>
        </w:rPr>
        <w:t>（1）</w:t>
        <w:tab/>
      </w:r>
      <w:r>
        <w:rPr>
          <w:color w:val="000000"/>
          <w:spacing w:val="0"/>
          <w:w w:val="100"/>
          <w:position w:val="0"/>
          <w:sz w:val="22"/>
          <w:szCs w:val="22"/>
        </w:rPr>
        <w:t>持续的以公允价值计量的资产和负债</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099"/>
      <w:bookmarkEnd w:id="1100"/>
      <w:bookmarkEnd w:id="1102"/>
      <w:r>
        <w:rPr>
          <w:rFonts w:ascii="Arial" w:eastAsia="Arial" w:hAnsi="Arial" w:cs="Arial"/>
          <w:b w:val="0"/>
          <w:bCs w:val="0"/>
          <w:color w:val="000000"/>
          <w:spacing w:val="0"/>
          <w:w w:val="100"/>
          <w:position w:val="0"/>
          <w:sz w:val="24"/>
          <w:szCs w:val="24"/>
        </w:rPr>
        <w:t xml:space="preserve"> </w:t>
      </w:r>
      <w:r>
        <w:rPr>
          <w:rStyle w:val="CharStyle34"/>
          <w:sz w:val="22"/>
          <w:szCs w:val="22"/>
        </w:rPr>
        <w:t>于</w:t>
      </w:r>
      <w:r>
        <w:rPr>
          <w:rStyle w:val="CharStyle34"/>
          <w:rFonts w:ascii="Arial" w:eastAsia="Arial" w:hAnsi="Arial" w:cs="Arial"/>
          <w:sz w:val="24"/>
          <w:szCs w:val="24"/>
        </w:rPr>
        <w:t>2015</w:t>
      </w:r>
      <w:r>
        <w:rPr>
          <w:rStyle w:val="CharStyle34"/>
          <w:sz w:val="22"/>
          <w:szCs w:val="22"/>
        </w:rPr>
        <w:t>年</w:t>
      </w:r>
      <w:r>
        <w:rPr>
          <w:rStyle w:val="CharStyle34"/>
          <w:rFonts w:ascii="Arial" w:eastAsia="Arial" w:hAnsi="Arial" w:cs="Arial"/>
          <w:sz w:val="24"/>
          <w:szCs w:val="24"/>
        </w:rPr>
        <w:t>12</w:t>
      </w:r>
      <w:r>
        <w:rPr>
          <w:rStyle w:val="CharStyle34"/>
          <w:sz w:val="22"/>
          <w:szCs w:val="22"/>
        </w:rPr>
        <w:t>月</w:t>
      </w:r>
      <w:r>
        <w:rPr>
          <w:rStyle w:val="CharStyle34"/>
          <w:rFonts w:ascii="Arial" w:eastAsia="Arial" w:hAnsi="Arial" w:cs="Arial"/>
          <w:sz w:val="24"/>
          <w:szCs w:val="24"/>
        </w:rPr>
        <w:t>31</w:t>
      </w:r>
      <w:r>
        <w:rPr>
          <w:rStyle w:val="CharStyle34"/>
          <w:sz w:val="22"/>
          <w:szCs w:val="22"/>
        </w:rPr>
        <w:t>日，持续的以公允价值计量的资产按上述三个层次列示如下:</w:t>
      </w:r>
    </w:p>
    <w:p>
      <w:pPr>
        <w:pStyle w:val="Style33"/>
        <w:keepNext w:val="0"/>
        <w:keepLines w:val="0"/>
        <w:widowControl w:val="0"/>
        <w:shd w:val="clear" w:color="auto" w:fill="auto"/>
        <w:tabs>
          <w:tab w:pos="1694" w:val="left"/>
          <w:tab w:pos="3370" w:val="left"/>
          <w:tab w:pos="5467" w:val="left"/>
        </w:tabs>
        <w:bidi w:val="0"/>
        <w:spacing w:before="0" w:after="320" w:line="240" w:lineRule="auto"/>
        <w:ind w:left="0" w:right="0" w:firstLine="0"/>
        <w:jc w:val="right"/>
        <w:rPr>
          <w:sz w:val="19"/>
          <w:szCs w:val="19"/>
        </w:rPr>
      </w:pPr>
      <w:r>
        <w:rPr>
          <w:b w:val="0"/>
          <w:bCs w:val="0"/>
          <w:color w:val="000000"/>
          <w:spacing w:val="0"/>
          <w:w w:val="100"/>
          <w:position w:val="0"/>
          <w:sz w:val="19"/>
          <w:szCs w:val="19"/>
        </w:rPr>
        <w:t>第一层次</w:t>
        <w:tab/>
        <w:t>第二层次</w:t>
        <w:tab/>
        <w:t>第三层次</w:t>
        <w:tab/>
        <w:t>合计</w:t>
      </w:r>
    </w:p>
    <w:p>
      <w:pPr>
        <w:pStyle w:val="Style29"/>
        <w:keepNext w:val="0"/>
        <w:keepLines w:val="0"/>
        <w:widowControl w:val="0"/>
        <w:shd w:val="clear" w:color="auto" w:fill="auto"/>
        <w:bidi w:val="0"/>
        <w:spacing w:before="0" w:after="0" w:line="319" w:lineRule="exact"/>
        <w:ind w:left="0" w:right="0" w:firstLine="0"/>
        <w:jc w:val="left"/>
        <w:rPr>
          <w:sz w:val="19"/>
          <w:szCs w:val="19"/>
        </w:rPr>
      </w:pPr>
      <w:r>
        <w:rPr>
          <w:color w:val="000000"/>
          <w:spacing w:val="0"/>
          <w:w w:val="100"/>
          <w:position w:val="0"/>
          <w:sz w:val="19"/>
          <w:szCs w:val="19"/>
        </w:rPr>
        <w:t>金融资产</w:t>
      </w:r>
    </w:p>
    <w:p>
      <w:pPr>
        <w:pStyle w:val="Style29"/>
        <w:keepNext w:val="0"/>
        <w:keepLines w:val="0"/>
        <w:widowControl w:val="0"/>
        <w:shd w:val="clear" w:color="auto" w:fill="auto"/>
        <w:bidi w:val="0"/>
        <w:spacing w:before="0" w:after="0" w:line="319" w:lineRule="exact"/>
        <w:ind w:left="0" w:right="0" w:firstLine="0"/>
        <w:jc w:val="left"/>
        <w:rPr>
          <w:sz w:val="19"/>
          <w:szCs w:val="19"/>
        </w:rPr>
      </w:pPr>
      <w:r>
        <w:rPr>
          <w:color w:val="000000"/>
          <w:spacing w:val="0"/>
          <w:w w:val="100"/>
          <w:position w:val="0"/>
          <w:sz w:val="19"/>
          <w:szCs w:val="19"/>
        </w:rPr>
        <w:t>以公允价值计量且其 变动计入当期损益 的金融资产</w:t>
      </w:r>
      <w:r>
        <w:rPr>
          <w:rFonts w:ascii="Arial" w:eastAsia="Arial" w:hAnsi="Arial" w:cs="Arial"/>
          <w:color w:val="000000"/>
          <w:spacing w:val="0"/>
          <w:w w:val="100"/>
          <w:position w:val="0"/>
          <w:sz w:val="20"/>
          <w:szCs w:val="20"/>
        </w:rPr>
        <w:t>-</w:t>
      </w:r>
      <w:r>
        <w:rPr>
          <w:color w:val="000000"/>
          <w:spacing w:val="0"/>
          <w:w w:val="100"/>
          <w:position w:val="0"/>
          <w:sz w:val="19"/>
          <w:szCs w:val="19"/>
        </w:rPr>
        <w:t>交易性</w:t>
      </w:r>
    </w:p>
    <w:tbl>
      <w:tblPr>
        <w:tblOverlap w:val="never"/>
        <w:jc w:val="center"/>
        <w:tblLayout w:type="fixed"/>
      </w:tblPr>
      <w:tblGrid>
        <w:gridCol w:w="2141"/>
        <w:gridCol w:w="1666"/>
        <w:gridCol w:w="2539"/>
        <w:gridCol w:w="2515"/>
      </w:tblGrid>
      <w:tr>
        <w:trPr>
          <w:trHeight w:val="28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权益工具投资</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190,969,191.62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3"/>
              <w:keepNext w:val="0"/>
              <w:keepLines w:val="0"/>
              <w:widowControl w:val="0"/>
              <w:shd w:val="clear" w:color="auto" w:fill="auto"/>
              <w:tabs>
                <w:tab w:pos="1002"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190,969,191.62</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开放式货币基金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170,214,660.58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tabs>
                <w:tab w:pos="1002"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170,214,660.58</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远期外汇合约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7,982,570.97</w:t>
            </w:r>
          </w:p>
        </w:tc>
        <w:tc>
          <w:tcPr>
            <w:tcBorders/>
            <w:shd w:val="clear" w:color="auto" w:fill="FFFFFF"/>
            <w:vAlign w:val="center"/>
          </w:tcPr>
          <w:p>
            <w:pPr>
              <w:pStyle w:val="Style23"/>
              <w:keepNext w:val="0"/>
              <w:keepLines w:val="0"/>
              <w:widowControl w:val="0"/>
              <w:shd w:val="clear" w:color="auto" w:fill="auto"/>
              <w:tabs>
                <w:tab w:pos="1218"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7,982,570.97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可供出售金融资产</w:t>
            </w: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可供出售权益工具</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92,568,538.65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97,918,587.22</w:t>
            </w:r>
          </w:p>
        </w:tc>
        <w:tc>
          <w:tcPr>
            <w:tcBorders/>
            <w:shd w:val="clear" w:color="auto" w:fill="FFFFFF"/>
            <w:vAlign w:val="bottom"/>
          </w:tcPr>
          <w:p>
            <w:pPr>
              <w:pStyle w:val="Style23"/>
              <w:keepNext w:val="0"/>
              <w:keepLines w:val="0"/>
              <w:widowControl w:val="0"/>
              <w:shd w:val="clear" w:color="auto" w:fill="auto"/>
              <w:tabs>
                <w:tab w:pos="1002"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190,487,125.87</w:t>
            </w:r>
          </w:p>
        </w:tc>
      </w:tr>
      <w:tr>
        <w:trPr>
          <w:trHeight w:val="36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金融资产合计</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453,752,390.85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105,901,158.19</w:t>
            </w:r>
          </w:p>
        </w:tc>
        <w:tc>
          <w:tcPr>
            <w:tcBorders>
              <w:top w:val="single" w:sz="4"/>
              <w:bottom w:val="single" w:sz="4"/>
            </w:tcBorders>
            <w:shd w:val="clear" w:color="auto" w:fill="FFFFFF"/>
            <w:vAlign w:val="center"/>
          </w:tcPr>
          <w:p>
            <w:pPr>
              <w:pStyle w:val="Style23"/>
              <w:keepNext w:val="0"/>
              <w:keepLines w:val="0"/>
              <w:widowControl w:val="0"/>
              <w:shd w:val="clear" w:color="auto" w:fill="auto"/>
              <w:tabs>
                <w:tab w:pos="993"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w:t>
              <w:tab/>
              <w:t>559,653,549.04</w:t>
            </w:r>
          </w:p>
        </w:tc>
      </w:tr>
    </w:tbl>
    <w:p>
      <w:pPr>
        <w:pStyle w:val="Style29"/>
        <w:keepNext w:val="0"/>
        <w:keepLines w:val="0"/>
        <w:widowControl w:val="0"/>
        <w:shd w:val="clear" w:color="auto" w:fill="auto"/>
        <w:tabs>
          <w:tab w:pos="1694" w:val="left"/>
          <w:tab w:pos="3370" w:val="left"/>
          <w:tab w:pos="5467" w:val="left"/>
        </w:tabs>
        <w:bidi w:val="0"/>
        <w:spacing w:before="0" w:after="0" w:line="240" w:lineRule="auto"/>
        <w:ind w:left="0" w:right="0" w:firstLine="0"/>
        <w:jc w:val="center"/>
        <w:rPr>
          <w:sz w:val="19"/>
          <w:szCs w:val="19"/>
        </w:rPr>
      </w:pPr>
      <w:r>
        <w:rPr>
          <w:color w:val="000000"/>
          <w:spacing w:val="0"/>
          <w:w w:val="100"/>
          <w:position w:val="0"/>
          <w:sz w:val="19"/>
          <w:szCs w:val="19"/>
        </w:rPr>
        <w:t>第一层次</w:t>
        <w:tab/>
        <w:t>第二层次</w:t>
        <w:tab/>
        <w:t>第三层次</w:t>
        <w:tab/>
        <w:t>合计</w:t>
      </w:r>
    </w:p>
    <w:p>
      <w:pPr>
        <w:widowControl w:val="0"/>
        <w:spacing w:after="319" w:line="1" w:lineRule="exact"/>
      </w:pPr>
    </w:p>
    <w:p>
      <w:pPr>
        <w:pStyle w:val="Style33"/>
        <w:keepNext w:val="0"/>
        <w:keepLines w:val="0"/>
        <w:widowControl w:val="0"/>
        <w:shd w:val="clear" w:color="auto" w:fill="auto"/>
        <w:bidi w:val="0"/>
        <w:spacing w:before="0" w:after="0" w:line="325" w:lineRule="exact"/>
        <w:ind w:left="0" w:right="0" w:firstLine="0"/>
        <w:jc w:val="left"/>
        <w:rPr>
          <w:sz w:val="19"/>
          <w:szCs w:val="19"/>
        </w:rPr>
      </w:pPr>
      <w:r>
        <w:rPr>
          <w:b w:val="0"/>
          <w:bCs w:val="0"/>
          <w:color w:val="000000"/>
          <w:spacing w:val="0"/>
          <w:w w:val="100"/>
          <w:position w:val="0"/>
          <w:sz w:val="19"/>
          <w:szCs w:val="19"/>
        </w:rPr>
        <w:t>金融负债</w:t>
      </w:r>
    </w:p>
    <w:p>
      <w:pPr>
        <w:pStyle w:val="Style33"/>
        <w:keepNext w:val="0"/>
        <w:keepLines w:val="0"/>
        <w:widowControl w:val="0"/>
        <w:shd w:val="clear" w:color="auto" w:fill="auto"/>
        <w:bidi w:val="0"/>
        <w:spacing w:before="0" w:after="320" w:line="325" w:lineRule="exact"/>
        <w:ind w:left="440" w:right="0" w:hanging="200"/>
        <w:jc w:val="both"/>
        <w:rPr>
          <w:sz w:val="19"/>
          <w:szCs w:val="19"/>
        </w:rPr>
      </w:pPr>
      <w:r>
        <mc:AlternateContent>
          <mc:Choice Requires="wps">
            <w:drawing>
              <wp:anchor distT="0" distB="0" distL="114300" distR="2272665" simplePos="0" relativeHeight="125829633" behindDoc="0" locked="0" layoutInCell="1" allowOverlap="1">
                <wp:simplePos x="0" y="0"/>
                <wp:positionH relativeFrom="page">
                  <wp:posOffset>4062730</wp:posOffset>
                </wp:positionH>
                <wp:positionV relativeFrom="paragraph">
                  <wp:posOffset>685800</wp:posOffset>
                </wp:positionV>
                <wp:extent cx="588010" cy="158750"/>
                <wp:wrapSquare wrapText="left"/>
                <wp:docPr id="730" name="Shape 730"/>
                <a:graphic xmlns:a="http://schemas.openxmlformats.org/drawingml/2006/main">
                  <a:graphicData uri="http://schemas.microsoft.com/office/word/2010/wordprocessingShape">
                    <wps:wsp>
                      <wps:cNvSpPr txBox="1"/>
                      <wps:spPr>
                        <a:xfrm>
                          <a:ext cx="588010" cy="158750"/>
                        </a:xfrm>
                        <a:prstGeom prst="rect"/>
                        <a:noFill/>
                      </wps:spPr>
                      <wps:txbx>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98,865.95</w:t>
                            </w:r>
                          </w:p>
                        </w:txbxContent>
                      </wps:txbx>
                      <wps:bodyPr wrap="none" lIns="0" tIns="0" rIns="0" bIns="0">
                        <a:noAutoFit/>
                      </wps:bodyPr>
                    </wps:wsp>
                  </a:graphicData>
                </a:graphic>
              </wp:anchor>
            </w:drawing>
          </mc:Choice>
          <mc:Fallback>
            <w:pict>
              <v:shape id="_x0000_s1756" type="#_x0000_t202" style="position:absolute;margin-left:319.90000000000003pt;margin-top:54.pt;width:46.300000000000004pt;height:12.5pt;z-index:-125829120;mso-wrap-distance-left:9.pt;mso-wrap-distance-right:178.95000000000002pt;mso-position-horizontal-relative:page" filled="f" stroked="f">
                <v:textbox inset="0,0,0,0">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98,865.95</w:t>
                      </w:r>
                    </w:p>
                  </w:txbxContent>
                </v:textbox>
                <w10:wrap type="square" side="left" anchorx="page"/>
              </v:shape>
            </w:pict>
          </mc:Fallback>
        </mc:AlternateContent>
      </w:r>
      <w:r>
        <mc:AlternateContent>
          <mc:Choice Requires="wps">
            <w:drawing>
              <wp:anchor distT="0" distB="0" distL="2272030" distR="114935" simplePos="0" relativeHeight="125829635" behindDoc="0" locked="0" layoutInCell="1" allowOverlap="1">
                <wp:simplePos x="0" y="0"/>
                <wp:positionH relativeFrom="page">
                  <wp:posOffset>6220460</wp:posOffset>
                </wp:positionH>
                <wp:positionV relativeFrom="paragraph">
                  <wp:posOffset>685800</wp:posOffset>
                </wp:positionV>
                <wp:extent cx="588010" cy="158750"/>
                <wp:wrapSquare wrapText="left"/>
                <wp:docPr id="732" name="Shape 732"/>
                <a:graphic xmlns:a="http://schemas.openxmlformats.org/drawingml/2006/main">
                  <a:graphicData uri="http://schemas.microsoft.com/office/word/2010/wordprocessingShape">
                    <wps:wsp>
                      <wps:cNvSpPr txBox="1"/>
                      <wps:spPr>
                        <a:xfrm>
                          <a:ext cx="588010" cy="158750"/>
                        </a:xfrm>
                        <a:prstGeom prst="rect"/>
                        <a:noFill/>
                      </wps:spPr>
                      <wps:txbx>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98,865.95</w:t>
                            </w:r>
                          </w:p>
                        </w:txbxContent>
                      </wps:txbx>
                      <wps:bodyPr wrap="none" lIns="0" tIns="0" rIns="0" bIns="0">
                        <a:noAutoFit/>
                      </wps:bodyPr>
                    </wps:wsp>
                  </a:graphicData>
                </a:graphic>
              </wp:anchor>
            </w:drawing>
          </mc:Choice>
          <mc:Fallback>
            <w:pict>
              <v:shape id="_x0000_s1758" type="#_x0000_t202" style="position:absolute;margin-left:489.80000000000001pt;margin-top:54.pt;width:46.300000000000004pt;height:12.5pt;z-index:-125829118;mso-wrap-distance-left:178.90000000000001pt;mso-wrap-distance-right:9.0500000000000007pt;mso-position-horizontal-relative:page" filled="f" stroked="f">
                <v:textbox inset="0,0,0,0">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98,865.95</w:t>
                      </w:r>
                    </w:p>
                  </w:txbxContent>
                </v:textbox>
                <w10:wrap type="square" side="left" anchorx="page"/>
              </v:shape>
            </w:pict>
          </mc:Fallback>
        </mc:AlternateContent>
      </w:r>
      <w:r>
        <w:rPr>
          <w:b w:val="0"/>
          <w:bCs w:val="0"/>
          <w:color w:val="000000"/>
          <w:spacing w:val="0"/>
          <w:w w:val="100"/>
          <w:position w:val="0"/>
          <w:sz w:val="19"/>
          <w:szCs w:val="19"/>
        </w:rPr>
        <w:t>以公允价值计量且其 变动计入当期损益 的金融负债</w:t>
      </w:r>
      <w:r>
        <w:rPr>
          <w:rFonts w:ascii="Arial" w:eastAsia="Arial" w:hAnsi="Arial" w:cs="Arial"/>
          <w:b w:val="0"/>
          <w:bCs w:val="0"/>
          <w:color w:val="000000"/>
          <w:spacing w:val="0"/>
          <w:w w:val="100"/>
          <w:position w:val="0"/>
          <w:sz w:val="20"/>
          <w:szCs w:val="20"/>
        </w:rPr>
        <w:t xml:space="preserve">- </w:t>
      </w:r>
      <w:r>
        <w:rPr>
          <w:b w:val="0"/>
          <w:bCs w:val="0"/>
          <w:color w:val="000000"/>
          <w:spacing w:val="0"/>
          <w:w w:val="100"/>
          <w:position w:val="0"/>
          <w:sz w:val="19"/>
          <w:szCs w:val="19"/>
        </w:rPr>
        <w:t>远期外汇合约</w:t>
      </w:r>
    </w:p>
    <w:p>
      <w:pPr>
        <w:pStyle w:val="Style33"/>
        <w:keepNext w:val="0"/>
        <w:keepLines w:val="0"/>
        <w:widowControl w:val="0"/>
        <w:shd w:val="clear" w:color="auto" w:fill="auto"/>
        <w:bidi w:val="0"/>
        <w:spacing w:before="0" w:after="320" w:line="317" w:lineRule="exact"/>
        <w:ind w:left="0" w:right="0" w:firstLine="0"/>
        <w:jc w:val="both"/>
        <w:rPr>
          <w:sz w:val="22"/>
          <w:szCs w:val="22"/>
        </w:rPr>
      </w:pPr>
      <w:r>
        <w:rPr>
          <w:b w:val="0"/>
          <w:bCs w:val="0"/>
          <w:color w:val="000000"/>
          <w:spacing w:val="0"/>
          <w:w w:val="100"/>
          <w:position w:val="0"/>
          <w:sz w:val="22"/>
          <w:szCs w:val="22"/>
        </w:rPr>
        <w:t>本集团以导致各层次之间转换的事项发生日为确认各层次之间转换的时点。本年度无 第一层次与第二层次间的转换。</w:t>
      </w:r>
    </w:p>
    <w:p>
      <w:pPr>
        <w:pStyle w:val="Style33"/>
        <w:keepNext w:val="0"/>
        <w:keepLines w:val="0"/>
        <w:widowControl w:val="0"/>
        <w:shd w:val="clear" w:color="auto" w:fill="auto"/>
        <w:bidi w:val="0"/>
        <w:spacing w:before="0" w:after="320" w:line="322" w:lineRule="exact"/>
        <w:ind w:left="0" w:right="0" w:firstLine="0"/>
        <w:jc w:val="both"/>
        <w:rPr>
          <w:sz w:val="22"/>
          <w:szCs w:val="22"/>
        </w:rPr>
        <w:sectPr>
          <w:footnotePr>
            <w:pos w:val="pageBottom"/>
            <w:numFmt w:val="decimal"/>
            <w:numRestart w:val="continuous"/>
          </w:footnotePr>
          <w:pgSz w:w="11900" w:h="16840"/>
          <w:pgMar w:top="1762" w:right="1076" w:bottom="1762" w:left="1962" w:header="0" w:footer="3" w:gutter="0"/>
          <w:cols w:space="720"/>
          <w:noEndnote/>
          <w:rtlGutter w:val="0"/>
          <w:docGrid w:linePitch="360"/>
        </w:sectPr>
      </w:pPr>
      <w:r>
        <w:rPr>
          <w:b w:val="0"/>
          <w:bCs w:val="0"/>
          <w:color w:val="000000"/>
          <w:spacing w:val="0"/>
          <w:w w:val="100"/>
          <w:position w:val="0"/>
          <w:sz w:val="22"/>
          <w:szCs w:val="22"/>
        </w:rPr>
        <w:t>对于在活跃市场上交易的金融工具，本集团以其活跃市场报价确定其公允价值；对于 不在活跃市场上交易的金融工具，本集团采用估值技术确定其公允价值。所使用的估 值模型主要为现金流量折现模型和市场可比公司模型等。估值技术的输入值主要包括 无风险利率、基准利率、汇率、信用点差、流动性溢价、</w:t>
      </w:r>
      <w:r>
        <w:rPr>
          <w:rFonts w:ascii="Arial" w:eastAsia="Arial" w:hAnsi="Arial" w:cs="Arial"/>
          <w:b w:val="0"/>
          <w:bCs w:val="0"/>
          <w:color w:val="000000"/>
          <w:spacing w:val="0"/>
          <w:w w:val="100"/>
          <w:position w:val="0"/>
          <w:sz w:val="24"/>
          <w:szCs w:val="24"/>
        </w:rPr>
        <w:t>EBITDA</w:t>
      </w:r>
      <w:r>
        <w:rPr>
          <w:b w:val="0"/>
          <w:bCs w:val="0"/>
          <w:color w:val="000000"/>
          <w:spacing w:val="0"/>
          <w:w w:val="100"/>
          <w:position w:val="0"/>
          <w:sz w:val="22"/>
          <w:szCs w:val="22"/>
        </w:rPr>
        <w:t>乘数、缺乏流动性 折价等。</w:t>
      </w:r>
    </w:p>
    <w:p>
      <w:pPr>
        <w:pStyle w:val="Style27"/>
        <w:keepNext/>
        <w:keepLines/>
        <w:widowControl w:val="0"/>
        <w:shd w:val="clear" w:color="auto" w:fill="auto"/>
        <w:bidi w:val="0"/>
        <w:spacing w:before="0" w:after="300" w:line="320" w:lineRule="exact"/>
        <w:ind w:left="0" w:right="0" w:firstLine="0"/>
        <w:jc w:val="both"/>
        <w:rPr>
          <w:sz w:val="28"/>
          <w:szCs w:val="28"/>
        </w:rPr>
      </w:pPr>
      <w:bookmarkStart w:id="1103" w:name="bookmark1103"/>
      <w:bookmarkStart w:id="1104" w:name="bookmark1104"/>
      <w:bookmarkStart w:id="1105" w:name="bookmark1105"/>
      <w:r>
        <w:rPr>
          <w:color w:val="000000"/>
          <w:spacing w:val="0"/>
          <w:w w:val="100"/>
          <w:position w:val="0"/>
          <w:sz w:val="22"/>
          <w:szCs w:val="22"/>
        </w:rPr>
        <w:t>十五公允价值估计</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b w:val="0"/>
          <w:bCs w:val="0"/>
          <w:color w:val="000000"/>
          <w:spacing w:val="0"/>
          <w:w w:val="100"/>
          <w:position w:val="0"/>
          <w:sz w:val="28"/>
          <w:szCs w:val="28"/>
        </w:rPr>
        <w:t>)</w:t>
      </w:r>
      <w:bookmarkEnd w:id="1103"/>
      <w:bookmarkEnd w:id="1104"/>
      <w:bookmarkEnd w:id="1105"/>
    </w:p>
    <w:p>
      <w:pPr>
        <w:pStyle w:val="Style27"/>
        <w:keepNext/>
        <w:keepLines/>
        <w:widowControl w:val="0"/>
        <w:numPr>
          <w:ilvl w:val="0"/>
          <w:numId w:val="101"/>
        </w:numPr>
        <w:shd w:val="clear" w:color="auto" w:fill="auto"/>
        <w:tabs>
          <w:tab w:pos="720" w:val="left"/>
        </w:tabs>
        <w:bidi w:val="0"/>
        <w:spacing w:before="0" w:after="300" w:line="320" w:lineRule="exact"/>
        <w:ind w:left="0" w:right="0" w:firstLine="0"/>
        <w:jc w:val="both"/>
        <w:rPr>
          <w:sz w:val="22"/>
          <w:szCs w:val="22"/>
        </w:rPr>
      </w:pPr>
      <w:bookmarkStart w:id="1103" w:name="bookmark1103"/>
      <w:bookmarkStart w:id="1104" w:name="bookmark1104"/>
      <w:bookmarkStart w:id="1106" w:name="bookmark1106"/>
      <w:bookmarkStart w:id="1107" w:name="bookmark1107"/>
      <w:bookmarkEnd w:id="1106"/>
      <w:r>
        <w:rPr>
          <w:color w:val="000000"/>
          <w:spacing w:val="0"/>
          <w:w w:val="100"/>
          <w:position w:val="0"/>
          <w:sz w:val="22"/>
          <w:szCs w:val="22"/>
        </w:rPr>
        <w:t>非持续的以公允价值计量的资产</w:t>
      </w:r>
      <w:bookmarkEnd w:id="1103"/>
      <w:bookmarkEnd w:id="1104"/>
      <w:bookmarkEnd w:id="1107"/>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 xml:space="preserve">持有待售的非流动资产，以原账面价值与公允价值减去处置费用孰低的金额计量。于 </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 xml:space="preserve">日，本集团无以公允价值减去处置费用计量的持有待售固定资产 </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日：无</w:t>
      </w:r>
      <w:r>
        <w:rPr>
          <w:rFonts w:ascii="Arial" w:eastAsia="Arial" w:hAnsi="Arial" w:cs="Arial"/>
          <w:b w:val="0"/>
          <w:bCs w:val="0"/>
          <w:color w:val="000000"/>
          <w:spacing w:val="0"/>
          <w:w w:val="100"/>
          <w:position w:val="0"/>
          <w:sz w:val="24"/>
          <w:szCs w:val="24"/>
        </w:rPr>
        <w:t>)</w:t>
      </w:r>
      <w:r>
        <w:rPr>
          <w:b w:val="0"/>
          <w:bCs w:val="0"/>
          <w:color w:val="000000"/>
          <w:spacing w:val="0"/>
          <w:w w:val="100"/>
          <w:position w:val="0"/>
          <w:sz w:val="22"/>
          <w:szCs w:val="22"/>
        </w:rPr>
        <w:t>。该等公允价值基于类似固定资产的最近市场交易价格进 行估值，属于第二层次的公允价值计量。</w:t>
      </w:r>
    </w:p>
    <w:p>
      <w:pPr>
        <w:pStyle w:val="Style27"/>
        <w:keepNext/>
        <w:keepLines/>
        <w:widowControl w:val="0"/>
        <w:numPr>
          <w:ilvl w:val="0"/>
          <w:numId w:val="101"/>
        </w:numPr>
        <w:shd w:val="clear" w:color="auto" w:fill="auto"/>
        <w:tabs>
          <w:tab w:pos="720" w:val="left"/>
        </w:tabs>
        <w:bidi w:val="0"/>
        <w:spacing w:before="0" w:after="300" w:line="320" w:lineRule="exact"/>
        <w:ind w:left="0" w:right="0" w:firstLine="0"/>
        <w:jc w:val="both"/>
        <w:rPr>
          <w:sz w:val="22"/>
          <w:szCs w:val="22"/>
        </w:rPr>
      </w:pPr>
      <w:bookmarkStart w:id="1108" w:name="bookmark1108"/>
      <w:bookmarkStart w:id="1109" w:name="bookmark1109"/>
      <w:bookmarkStart w:id="1110" w:name="bookmark1110"/>
      <w:bookmarkStart w:id="1111" w:name="bookmark1111"/>
      <w:bookmarkEnd w:id="1110"/>
      <w:r>
        <w:rPr>
          <w:color w:val="000000"/>
          <w:spacing w:val="0"/>
          <w:w w:val="100"/>
          <w:position w:val="0"/>
          <w:sz w:val="22"/>
          <w:szCs w:val="22"/>
        </w:rPr>
        <w:t>不以公允价值计量但披露其公允价值的资产和负债</w:t>
      </w:r>
      <w:bookmarkEnd w:id="1108"/>
      <w:bookmarkEnd w:id="1109"/>
      <w:bookmarkEnd w:id="1111"/>
    </w:p>
    <w:p>
      <w:pPr>
        <w:pStyle w:val="Style33"/>
        <w:keepNext w:val="0"/>
        <w:keepLines w:val="0"/>
        <w:widowControl w:val="0"/>
        <w:shd w:val="clear" w:color="auto" w:fill="auto"/>
        <w:bidi w:val="0"/>
        <w:spacing w:before="0" w:after="300" w:line="317" w:lineRule="exact"/>
        <w:ind w:left="0" w:right="0" w:firstLine="0"/>
        <w:jc w:val="both"/>
        <w:rPr>
          <w:sz w:val="22"/>
          <w:szCs w:val="22"/>
        </w:rPr>
      </w:pPr>
      <w:r>
        <w:rPr>
          <w:b w:val="0"/>
          <w:bCs w:val="0"/>
          <w:color w:val="000000"/>
          <w:spacing w:val="0"/>
          <w:w w:val="100"/>
          <w:position w:val="0"/>
          <w:sz w:val="22"/>
          <w:szCs w:val="22"/>
        </w:rPr>
        <w:t>本集团以摊余成本计量的金融资产和金融负债主要包括：应收款项、应收保理款、发 放贷款及垫款、长期应收款、短期借款、应付款项、长期借款、一年内到期的非流动 负债和长期应付款等。</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不以公允价值计量的金融资产和金融负债的账面价值与公允价值差异很小。</w:t>
      </w:r>
    </w:p>
    <w:p>
      <w:pPr>
        <w:pStyle w:val="Style33"/>
        <w:keepNext w:val="0"/>
        <w:keepLines w:val="0"/>
        <w:widowControl w:val="0"/>
        <w:shd w:val="clear" w:color="auto" w:fill="auto"/>
        <w:bidi w:val="0"/>
        <w:spacing w:before="0" w:after="300" w:line="319" w:lineRule="exact"/>
        <w:ind w:left="0" w:right="0" w:firstLine="0"/>
        <w:jc w:val="both"/>
        <w:rPr>
          <w:sz w:val="22"/>
          <w:szCs w:val="22"/>
        </w:rPr>
      </w:pPr>
      <w:r>
        <w:rPr>
          <w:b w:val="0"/>
          <w:bCs w:val="0"/>
          <w:color w:val="000000"/>
          <w:spacing w:val="0"/>
          <w:w w:val="100"/>
          <w:position w:val="0"/>
          <w:sz w:val="22"/>
          <w:szCs w:val="22"/>
        </w:rPr>
        <w:t>长期借款和长期应付款，以合同规定的未来现金流量按照市场上具有可比信用等级并 在相同条件下提供几乎相同现金流量的利率进行折现后的现值确定其公允价值，属于 第三层次。</w:t>
      </w:r>
    </w:p>
    <w:p>
      <w:pPr>
        <w:pStyle w:val="Style27"/>
        <w:keepNext/>
        <w:keepLines/>
        <w:widowControl w:val="0"/>
        <w:shd w:val="clear" w:color="auto" w:fill="auto"/>
        <w:bidi w:val="0"/>
        <w:spacing w:before="0" w:after="300" w:line="320" w:lineRule="exact"/>
        <w:ind w:left="0" w:right="0" w:firstLine="0"/>
        <w:jc w:val="both"/>
        <w:rPr>
          <w:sz w:val="22"/>
          <w:szCs w:val="22"/>
        </w:rPr>
      </w:pPr>
      <w:bookmarkStart w:id="1112" w:name="bookmark1112"/>
      <w:bookmarkStart w:id="1113" w:name="bookmark1113"/>
      <w:bookmarkStart w:id="1114" w:name="bookmark1114"/>
      <w:r>
        <w:rPr>
          <w:color w:val="000000"/>
          <w:spacing w:val="0"/>
          <w:w w:val="100"/>
          <w:position w:val="0"/>
          <w:sz w:val="22"/>
          <w:szCs w:val="22"/>
        </w:rPr>
        <w:t>十六资本管理</w:t>
      </w:r>
      <w:bookmarkEnd w:id="1112"/>
      <w:bookmarkEnd w:id="1113"/>
      <w:bookmarkEnd w:id="1114"/>
    </w:p>
    <w:p>
      <w:pPr>
        <w:pStyle w:val="Style33"/>
        <w:keepNext w:val="0"/>
        <w:keepLines w:val="0"/>
        <w:widowControl w:val="0"/>
        <w:shd w:val="clear" w:color="auto" w:fill="auto"/>
        <w:bidi w:val="0"/>
        <w:spacing w:before="0" w:after="300" w:line="326" w:lineRule="exact"/>
        <w:ind w:left="0" w:right="0" w:firstLine="0"/>
        <w:jc w:val="both"/>
        <w:rPr>
          <w:sz w:val="22"/>
          <w:szCs w:val="22"/>
        </w:rPr>
      </w:pPr>
      <w:r>
        <w:rPr>
          <w:b w:val="0"/>
          <w:bCs w:val="0"/>
          <w:color w:val="000000"/>
          <w:spacing w:val="0"/>
          <w:w w:val="100"/>
          <w:position w:val="0"/>
          <w:sz w:val="22"/>
          <w:szCs w:val="22"/>
        </w:rPr>
        <w:t>本集团资本管理政策的目标是为了保障本集团能够持续经营，从而为股东提供回报， 并使其他利益相关者获益，同时维持最佳的资本结构以降低资本成本。</w:t>
      </w:r>
    </w:p>
    <w:p>
      <w:pPr>
        <w:pStyle w:val="Style33"/>
        <w:keepNext w:val="0"/>
        <w:keepLines w:val="0"/>
        <w:widowControl w:val="0"/>
        <w:shd w:val="clear" w:color="auto" w:fill="auto"/>
        <w:bidi w:val="0"/>
        <w:spacing w:before="0" w:after="300" w:line="326" w:lineRule="exact"/>
        <w:ind w:left="0" w:right="0" w:firstLine="0"/>
        <w:jc w:val="both"/>
        <w:rPr>
          <w:sz w:val="22"/>
          <w:szCs w:val="22"/>
        </w:rPr>
      </w:pPr>
      <w:r>
        <w:rPr>
          <w:b w:val="0"/>
          <w:bCs w:val="0"/>
          <w:color w:val="000000"/>
          <w:spacing w:val="0"/>
          <w:w w:val="100"/>
          <w:position w:val="0"/>
          <w:sz w:val="22"/>
          <w:szCs w:val="22"/>
        </w:rPr>
        <w:t>为了维持或调整资本结构，本集团可能会调整支付给股东的股利金额、向股东返还资 本、发行新股或出售资产以减低债务。</w:t>
      </w:r>
    </w:p>
    <w:p>
      <w:pPr>
        <w:pStyle w:val="Style33"/>
        <w:keepNext w:val="0"/>
        <w:keepLines w:val="0"/>
        <w:widowControl w:val="0"/>
        <w:shd w:val="clear" w:color="auto" w:fill="auto"/>
        <w:bidi w:val="0"/>
        <w:spacing w:before="0" w:after="300" w:line="322" w:lineRule="exact"/>
        <w:ind w:left="0" w:right="0" w:firstLine="0"/>
        <w:jc w:val="both"/>
        <w:rPr>
          <w:sz w:val="22"/>
          <w:szCs w:val="22"/>
        </w:rPr>
      </w:pPr>
      <w:r>
        <w:rPr>
          <w:b w:val="0"/>
          <w:bCs w:val="0"/>
          <w:color w:val="000000"/>
          <w:spacing w:val="0"/>
          <w:w w:val="100"/>
          <w:position w:val="0"/>
          <w:sz w:val="22"/>
          <w:szCs w:val="22"/>
        </w:rPr>
        <w:t>本集团的总资本为合并资产负债表中所列示的所有者权益。本集团不受制于外部强制 性资本要求。</w:t>
      </w:r>
    </w:p>
    <w:p>
      <w:pPr>
        <w:pStyle w:val="Style33"/>
        <w:keepNext w:val="0"/>
        <w:keepLines w:val="0"/>
        <w:widowControl w:val="0"/>
        <w:shd w:val="clear" w:color="auto" w:fill="auto"/>
        <w:bidi w:val="0"/>
        <w:spacing w:before="0" w:after="300" w:line="320" w:lineRule="exact"/>
        <w:ind w:left="0" w:right="0" w:firstLine="0"/>
        <w:jc w:val="both"/>
        <w:rPr>
          <w:sz w:val="22"/>
          <w:szCs w:val="22"/>
        </w:rPr>
      </w:pPr>
      <w:r>
        <w:rPr>
          <w:b w:val="0"/>
          <w:bCs w:val="0"/>
          <w:color w:val="000000"/>
          <w:spacing w:val="0"/>
          <w:w w:val="100"/>
          <w:position w:val="0"/>
          <w:sz w:val="22"/>
          <w:szCs w:val="22"/>
        </w:rPr>
        <w:t>于</w:t>
      </w:r>
      <w:r>
        <w:rPr>
          <w:rFonts w:ascii="Arial" w:eastAsia="Arial" w:hAnsi="Arial" w:cs="Arial"/>
          <w:b w:val="0"/>
          <w:bCs w:val="0"/>
          <w:color w:val="000000"/>
          <w:spacing w:val="0"/>
          <w:w w:val="100"/>
          <w:position w:val="0"/>
          <w:sz w:val="24"/>
          <w:szCs w:val="24"/>
        </w:rPr>
        <w:t>2016</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日及</w:t>
      </w:r>
      <w:r>
        <w:rPr>
          <w:rFonts w:ascii="Arial" w:eastAsia="Arial" w:hAnsi="Arial" w:cs="Arial"/>
          <w:b w:val="0"/>
          <w:bCs w:val="0"/>
          <w:color w:val="000000"/>
          <w:spacing w:val="0"/>
          <w:w w:val="100"/>
          <w:position w:val="0"/>
          <w:sz w:val="24"/>
          <w:szCs w:val="24"/>
        </w:rPr>
        <w:t>2015</w:t>
      </w:r>
      <w:r>
        <w:rPr>
          <w:b w:val="0"/>
          <w:bCs w:val="0"/>
          <w:color w:val="000000"/>
          <w:spacing w:val="0"/>
          <w:w w:val="100"/>
          <w:position w:val="0"/>
          <w:sz w:val="22"/>
          <w:szCs w:val="22"/>
        </w:rPr>
        <w:t>年</w:t>
      </w:r>
      <w:r>
        <w:rPr>
          <w:rFonts w:ascii="Arial" w:eastAsia="Arial" w:hAnsi="Arial" w:cs="Arial"/>
          <w:b w:val="0"/>
          <w:bCs w:val="0"/>
          <w:color w:val="000000"/>
          <w:spacing w:val="0"/>
          <w:w w:val="100"/>
          <w:position w:val="0"/>
          <w:sz w:val="24"/>
          <w:szCs w:val="24"/>
        </w:rPr>
        <w:t>12</w:t>
      </w:r>
      <w:r>
        <w:rPr>
          <w:b w:val="0"/>
          <w:bCs w:val="0"/>
          <w:color w:val="000000"/>
          <w:spacing w:val="0"/>
          <w:w w:val="100"/>
          <w:position w:val="0"/>
          <w:sz w:val="22"/>
          <w:szCs w:val="22"/>
        </w:rPr>
        <w:t>月</w:t>
      </w:r>
      <w:r>
        <w:rPr>
          <w:rFonts w:ascii="Arial" w:eastAsia="Arial" w:hAnsi="Arial" w:cs="Arial"/>
          <w:b w:val="0"/>
          <w:bCs w:val="0"/>
          <w:color w:val="000000"/>
          <w:spacing w:val="0"/>
          <w:w w:val="100"/>
          <w:position w:val="0"/>
          <w:sz w:val="24"/>
          <w:szCs w:val="24"/>
        </w:rPr>
        <w:t>31</w:t>
      </w:r>
      <w:r>
        <w:rPr>
          <w:b w:val="0"/>
          <w:bCs w:val="0"/>
          <w:color w:val="000000"/>
          <w:spacing w:val="0"/>
          <w:w w:val="100"/>
          <w:position w:val="0"/>
          <w:sz w:val="22"/>
          <w:szCs w:val="22"/>
        </w:rPr>
        <w:t>日，本集团的资产负债比率列示如下：</w:t>
      </w:r>
    </w:p>
    <w:p>
      <w:pPr>
        <w:pStyle w:val="Style94"/>
        <w:keepNext w:val="0"/>
        <w:keepLines w:val="0"/>
        <w:widowControl w:val="0"/>
        <w:shd w:val="clear" w:color="auto" w:fill="auto"/>
        <w:bidi w:val="0"/>
        <w:spacing w:before="0" w:after="300" w:line="320" w:lineRule="exact"/>
        <w:ind w:left="0" w:right="240" w:firstLine="0"/>
        <w:jc w:val="right"/>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2015</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4"/>
        <w:keepNext w:val="0"/>
        <w:keepLines w:val="0"/>
        <w:widowControl w:val="0"/>
        <w:shd w:val="clear" w:color="auto" w:fill="auto"/>
        <w:tabs>
          <w:tab w:pos="5342" w:val="left"/>
          <w:tab w:pos="7834" w:val="left"/>
        </w:tabs>
        <w:bidi w:val="0"/>
        <w:spacing w:before="0" w:after="300" w:line="320" w:lineRule="exact"/>
        <w:ind w:left="0" w:right="0" w:firstLine="0"/>
        <w:jc w:val="left"/>
      </w:pPr>
      <w:r>
        <w:rPr>
          <w:rFonts w:ascii="SimSun" w:eastAsia="SimSun" w:hAnsi="SimSun" w:cs="SimSun"/>
          <w:color w:val="000000"/>
          <w:spacing w:val="0"/>
          <w:w w:val="100"/>
          <w:position w:val="0"/>
          <w:sz w:val="22"/>
          <w:szCs w:val="22"/>
        </w:rPr>
        <w:t>资产负债率</w:t>
        <w:tab/>
      </w:r>
      <w:r>
        <w:rPr>
          <w:color w:val="000000"/>
          <w:spacing w:val="0"/>
          <w:w w:val="100"/>
          <w:position w:val="0"/>
          <w:sz w:val="24"/>
          <w:szCs w:val="24"/>
        </w:rPr>
        <w:t>53.42%</w:t>
        <w:tab/>
        <w:t>60.37%</w:t>
      </w:r>
      <w:r>
        <w:br w:type="page"/>
      </w:r>
    </w:p>
    <w:p>
      <w:pPr>
        <w:pStyle w:val="Style33"/>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十七 公司财务报表主要项目附注</w:t>
      </w:r>
    </w:p>
    <w:p>
      <w:pPr>
        <w:pStyle w:val="Style29"/>
        <w:keepNext w:val="0"/>
        <w:keepLines w:val="0"/>
        <w:widowControl w:val="0"/>
        <w:shd w:val="clear" w:color="auto" w:fill="auto"/>
        <w:bidi w:val="0"/>
        <w:spacing w:before="0" w:after="0" w:line="240" w:lineRule="auto"/>
        <w:ind w:left="10" w:right="0" w:firstLine="0"/>
        <w:jc w:val="left"/>
        <w:rPr>
          <w:sz w:val="22"/>
          <w:szCs w:val="22"/>
        </w:rPr>
      </w:pPr>
      <w:r>
        <w:rPr>
          <w:rFonts w:ascii="Arial" w:eastAsia="Arial" w:hAnsi="Arial" w:cs="Arial"/>
          <w:color w:val="000000"/>
          <w:spacing w:val="0"/>
          <w:w w:val="100"/>
          <w:position w:val="0"/>
          <w:sz w:val="24"/>
          <w:szCs w:val="24"/>
        </w:rPr>
        <w:t xml:space="preserve">(1) </w:t>
      </w:r>
      <w:r>
        <w:rPr>
          <w:b/>
          <w:bCs/>
          <w:color w:val="000000"/>
          <w:spacing w:val="0"/>
          <w:w w:val="100"/>
          <w:position w:val="0"/>
          <w:sz w:val="22"/>
          <w:szCs w:val="22"/>
        </w:rPr>
        <w:t>应收股利</w:t>
      </w:r>
    </w:p>
    <w:tbl>
      <w:tblPr>
        <w:tblOverlap w:val="never"/>
        <w:jc w:val="center"/>
        <w:tblLayout w:type="fixed"/>
      </w:tblPr>
      <w:tblGrid>
        <w:gridCol w:w="3730"/>
        <w:gridCol w:w="2664"/>
        <w:gridCol w:w="2477"/>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应收泰森控股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800,000,000.00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r>
      <w:tr>
        <w:trPr>
          <w:trHeight w:val="830" w:hRule="exact"/>
        </w:trPr>
        <w:tc>
          <w:tcPr>
            <w:tcBorders/>
            <w:shd w:val="clear" w:color="auto" w:fill="FFFFFF"/>
            <w:vAlign w:val="bottom"/>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(2)</w:t>
              <w:tab/>
            </w:r>
            <w:r>
              <w:rPr>
                <w:b/>
                <w:bCs/>
                <w:color w:val="000000"/>
                <w:spacing w:val="0"/>
                <w:w w:val="100"/>
                <w:position w:val="0"/>
                <w:sz w:val="22"/>
                <w:szCs w:val="22"/>
              </w:rPr>
              <w:t>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13,179,087.61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151,173,811.04</w:t>
            </w:r>
          </w:p>
        </w:tc>
      </w:tr>
      <w:tr>
        <w:trPr>
          <w:trHeight w:val="64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减：坏账准备</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500" w:firstLine="0"/>
              <w:jc w:val="righ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(636,790.06)</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13,179,087.61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150,537,020.98</w:t>
            </w:r>
          </w:p>
        </w:tc>
      </w:tr>
      <w:tr>
        <w:trPr>
          <w:trHeight w:val="830" w:hRule="exact"/>
        </w:trPr>
        <w:tc>
          <w:tcPr>
            <w:tcBorders/>
            <w:shd w:val="clear" w:color="auto" w:fill="FFFFFF"/>
            <w:vAlign w:val="bottom"/>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(a)</w:t>
              <w:tab/>
            </w:r>
            <w:r>
              <w:rPr>
                <w:color w:val="000000"/>
                <w:spacing w:val="0"/>
                <w:w w:val="100"/>
                <w:position w:val="0"/>
                <w:sz w:val="22"/>
                <w:szCs w:val="22"/>
              </w:rPr>
              <w:t>其他应收款账龄分析如下：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一年以内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13,179,087.61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150,430,699.21</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一到二年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148,256.48</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二到三年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20,840.94</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三年及以上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574,014.41</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13,179,087.61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151,173,811.04</w:t>
            </w:r>
          </w:p>
        </w:tc>
      </w:tr>
      <w:tr>
        <w:trPr>
          <w:trHeight w:val="830" w:hRule="exact"/>
        </w:trPr>
        <w:tc>
          <w:tcPr>
            <w:tcBorders/>
            <w:shd w:val="clear" w:color="auto" w:fill="FFFFFF"/>
            <w:vAlign w:val="bottom"/>
          </w:tcPr>
          <w:p>
            <w:pPr>
              <w:pStyle w:val="Style23"/>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(3)</w:t>
              <w:tab/>
            </w:r>
            <w:r>
              <w:rPr>
                <w:b/>
                <w:bCs/>
                <w:color w:val="000000"/>
                <w:spacing w:val="0"/>
                <w:w w:val="100"/>
                <w:position w:val="0"/>
                <w:sz w:val="22"/>
                <w:szCs w:val="22"/>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w:t>
            </w:r>
          </w:p>
        </w:tc>
      </w:tr>
      <w:tr>
        <w:trPr>
          <w:trHeight w:val="4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子公司</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43,300,000,000.00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50,000,000.00</w:t>
            </w:r>
          </w:p>
        </w:tc>
      </w:tr>
      <w:tr>
        <w:trPr>
          <w:trHeight w:val="64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减：长期股权投资减值准备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43,300,000,000.00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50,000,000.00</w:t>
            </w:r>
          </w:p>
        </w:tc>
      </w:tr>
    </w:tbl>
    <w:p>
      <w:pPr>
        <w:pStyle w:val="Style29"/>
        <w:keepNext w:val="0"/>
        <w:keepLines w:val="0"/>
        <w:widowControl w:val="0"/>
        <w:shd w:val="clear" w:color="auto" w:fill="auto"/>
        <w:bidi w:val="0"/>
        <w:spacing w:before="0" w:after="0" w:line="240" w:lineRule="auto"/>
        <w:ind w:left="5" w:right="0" w:firstLine="0"/>
        <w:jc w:val="left"/>
        <w:rPr>
          <w:sz w:val="22"/>
          <w:szCs w:val="22"/>
        </w:rPr>
        <w:sectPr>
          <w:footnotePr>
            <w:pos w:val="pageBottom"/>
            <w:numFmt w:val="decimal"/>
            <w:numRestart w:val="continuous"/>
          </w:footnotePr>
          <w:pgSz w:w="11900" w:h="16840"/>
          <w:pgMar w:top="1724" w:right="1018" w:bottom="3102" w:left="1939" w:header="0" w:footer="3" w:gutter="0"/>
          <w:cols w:space="720"/>
          <w:noEndnote/>
          <w:rtlGutter w:val="0"/>
          <w:docGrid w:linePitch="360"/>
        </w:sectPr>
      </w:pPr>
      <w:r>
        <w:rPr>
          <w:color w:val="000000"/>
          <w:spacing w:val="0"/>
          <w:w w:val="100"/>
          <w:position w:val="0"/>
          <w:sz w:val="22"/>
          <w:szCs w:val="22"/>
        </w:rPr>
        <w:t>本公司不存在长期股权投资变现的重大限制。</w:t>
      </w:r>
    </w:p>
    <w:p>
      <w:pPr>
        <w:pStyle w:val="Style27"/>
        <w:keepNext/>
        <w:keepLines/>
        <w:widowControl w:val="0"/>
        <w:shd w:val="clear" w:color="auto" w:fill="auto"/>
        <w:bidi w:val="0"/>
        <w:spacing w:before="0" w:after="340" w:line="240" w:lineRule="auto"/>
        <w:ind w:left="0" w:right="0" w:firstLine="0"/>
        <w:jc w:val="left"/>
      </w:pPr>
      <w:bookmarkStart w:id="1115" w:name="bookmark1115"/>
      <w:bookmarkStart w:id="1116" w:name="bookmark1116"/>
      <w:bookmarkStart w:id="1117" w:name="bookmark1117"/>
      <w:r>
        <w:rPr>
          <w:color w:val="000000"/>
          <w:spacing w:val="0"/>
          <w:w w:val="100"/>
          <w:position w:val="0"/>
          <w:sz w:val="22"/>
          <w:szCs w:val="22"/>
        </w:rPr>
        <w:t>十七 公司财务报表主要项目附注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115"/>
      <w:bookmarkEnd w:id="1116"/>
      <w:bookmarkEnd w:id="1117"/>
    </w:p>
    <w:p>
      <w:pPr>
        <w:pStyle w:val="Style27"/>
        <w:keepNext/>
        <w:keepLines/>
        <w:widowControl w:val="0"/>
        <w:shd w:val="clear" w:color="auto" w:fill="auto"/>
        <w:bidi w:val="0"/>
        <w:spacing w:before="0" w:after="340" w:line="240" w:lineRule="auto"/>
        <w:ind w:left="0" w:right="0" w:firstLine="0"/>
        <w:jc w:val="left"/>
      </w:pPr>
      <w:bookmarkStart w:id="1115" w:name="bookmark1115"/>
      <w:bookmarkStart w:id="1116" w:name="bookmark1116"/>
      <w:bookmarkStart w:id="1118" w:name="bookmark1118"/>
      <w:r>
        <w:rPr>
          <w:rFonts w:ascii="Arial" w:eastAsia="Arial" w:hAnsi="Arial" w:cs="Arial"/>
          <w:b w:val="0"/>
          <w:bCs w:val="0"/>
          <w:color w:val="000000"/>
          <w:spacing w:val="0"/>
          <w:w w:val="100"/>
          <w:position w:val="0"/>
          <w:sz w:val="24"/>
          <w:szCs w:val="24"/>
        </w:rPr>
        <w:t>(3)</w:t>
      </w:r>
      <w:r>
        <w:rPr>
          <w:color w:val="000000"/>
          <w:spacing w:val="0"/>
          <w:w w:val="100"/>
          <w:position w:val="0"/>
          <w:sz w:val="22"/>
          <w:szCs w:val="22"/>
        </w:rPr>
        <w:t>长期股权投资</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115"/>
      <w:bookmarkEnd w:id="1116"/>
      <w:bookmarkEnd w:id="1118"/>
    </w:p>
    <w:p>
      <w:pPr>
        <w:pStyle w:val="Style94"/>
        <w:keepNext w:val="0"/>
        <w:keepLines w:val="0"/>
        <w:widowControl w:val="0"/>
        <w:shd w:val="clear" w:color="auto" w:fill="auto"/>
        <w:bidi w:val="0"/>
        <w:spacing w:before="0" w:after="440" w:line="240" w:lineRule="auto"/>
        <w:ind w:left="0" w:right="0" w:firstLine="0"/>
        <w:jc w:val="left"/>
        <w:rPr>
          <w:sz w:val="22"/>
          <w:szCs w:val="22"/>
        </w:rPr>
      </w:pPr>
      <w:r>
        <w:rPr>
          <w:color w:val="000000"/>
          <w:spacing w:val="0"/>
          <w:w w:val="100"/>
          <w:position w:val="0"/>
          <w:sz w:val="24"/>
          <w:szCs w:val="24"/>
        </w:rPr>
        <w:t xml:space="preserve">(a) </w:t>
      </w:r>
      <w:r>
        <w:rPr>
          <w:rFonts w:ascii="SimSun" w:eastAsia="SimSun" w:hAnsi="SimSun" w:cs="SimSun"/>
          <w:color w:val="000000"/>
          <w:spacing w:val="0"/>
          <w:w w:val="100"/>
          <w:position w:val="0"/>
          <w:sz w:val="22"/>
          <w:szCs w:val="22"/>
        </w:rPr>
        <w:t>子公司</w:t>
      </w:r>
    </w:p>
    <w:tbl>
      <w:tblPr>
        <w:tblOverlap w:val="never"/>
        <w:jc w:val="center"/>
        <w:tblLayout w:type="fixed"/>
      </w:tblPr>
      <w:tblGrid>
        <w:gridCol w:w="2899"/>
        <w:gridCol w:w="1330"/>
        <w:gridCol w:w="1258"/>
        <w:gridCol w:w="1493"/>
        <w:gridCol w:w="1382"/>
        <w:gridCol w:w="1416"/>
        <w:gridCol w:w="547"/>
        <w:gridCol w:w="566"/>
        <w:gridCol w:w="1320"/>
        <w:gridCol w:w="614"/>
        <w:gridCol w:w="1258"/>
      </w:tblGrid>
      <w:tr>
        <w:trPr>
          <w:trHeight w:val="73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800"/>
              <w:jc w:val="left"/>
              <w:rPr>
                <w:sz w:val="13"/>
                <w:szCs w:val="13"/>
              </w:rPr>
            </w:pPr>
            <w:r>
              <w:rPr>
                <w:color w:val="000000"/>
                <w:spacing w:val="0"/>
                <w:w w:val="100"/>
                <w:position w:val="0"/>
                <w:sz w:val="13"/>
                <w:szCs w:val="13"/>
              </w:rPr>
              <w:t>核算</w:t>
            </w:r>
          </w:p>
          <w:p>
            <w:pPr>
              <w:pStyle w:val="Style23"/>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方法</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640"/>
              <w:jc w:val="left"/>
              <w:rPr>
                <w:sz w:val="13"/>
                <w:szCs w:val="13"/>
              </w:rPr>
            </w:pPr>
            <w:r>
              <w:rPr>
                <w:rFonts w:ascii="Arial" w:eastAsia="Arial" w:hAnsi="Arial" w:cs="Arial"/>
                <w:color w:val="000000"/>
                <w:spacing w:val="0"/>
                <w:w w:val="100"/>
                <w:position w:val="0"/>
                <w:sz w:val="14"/>
                <w:szCs w:val="14"/>
              </w:rPr>
              <w:t xml:space="preserve">2015 </w:t>
            </w:r>
            <w:r>
              <w:rPr>
                <w:color w:val="000000"/>
                <w:spacing w:val="0"/>
                <w:w w:val="100"/>
                <w:position w:val="0"/>
                <w:sz w:val="13"/>
                <w:szCs w:val="13"/>
              </w:rPr>
              <w:t>年</w:t>
            </w:r>
          </w:p>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本年增加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本年减少</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right"/>
              <w:rPr>
                <w:sz w:val="13"/>
                <w:szCs w:val="13"/>
              </w:rPr>
            </w:pPr>
            <w:r>
              <w:rPr>
                <w:rFonts w:ascii="Arial" w:eastAsia="Arial" w:hAnsi="Arial" w:cs="Arial"/>
                <w:color w:val="000000"/>
                <w:spacing w:val="0"/>
                <w:w w:val="100"/>
                <w:position w:val="0"/>
                <w:sz w:val="14"/>
                <w:szCs w:val="14"/>
              </w:rPr>
              <w:t xml:space="preserve">2016 </w:t>
            </w:r>
            <w:r>
              <w:rPr>
                <w:color w:val="000000"/>
                <w:spacing w:val="0"/>
                <w:w w:val="100"/>
                <w:position w:val="0"/>
                <w:sz w:val="13"/>
                <w:szCs w:val="13"/>
              </w:rPr>
              <w:t>年</w:t>
            </w:r>
          </w:p>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Arial" w:eastAsia="Arial" w:hAnsi="Arial" w:cs="Arial"/>
                <w:color w:val="000000"/>
                <w:spacing w:val="0"/>
                <w:w w:val="100"/>
                <w:position w:val="0"/>
                <w:sz w:val="14"/>
                <w:szCs w:val="14"/>
              </w:rPr>
              <w:t>12</w:t>
            </w:r>
            <w:r>
              <w:rPr>
                <w:color w:val="000000"/>
                <w:spacing w:val="0"/>
                <w:w w:val="100"/>
                <w:position w:val="0"/>
                <w:sz w:val="13"/>
                <w:szCs w:val="13"/>
              </w:rPr>
              <w:t>月</w:t>
            </w:r>
            <w:r>
              <w:rPr>
                <w:rFonts w:ascii="Arial" w:eastAsia="Arial" w:hAnsi="Arial" w:cs="Arial"/>
                <w:color w:val="000000"/>
                <w:spacing w:val="0"/>
                <w:w w:val="100"/>
                <w:position w:val="0"/>
                <w:sz w:val="14"/>
                <w:szCs w:val="14"/>
              </w:rPr>
              <w:t>31</w:t>
            </w:r>
            <w:r>
              <w:rPr>
                <w:color w:val="000000"/>
                <w:spacing w:val="0"/>
                <w:w w:val="100"/>
                <w:position w:val="0"/>
                <w:sz w:val="13"/>
                <w:szCs w:val="13"/>
              </w:rPr>
              <w:t>日</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right"/>
              <w:rPr>
                <w:sz w:val="13"/>
                <w:szCs w:val="13"/>
              </w:rPr>
            </w:pPr>
            <w:r>
              <w:rPr>
                <w:color w:val="000000"/>
                <w:spacing w:val="0"/>
                <w:w w:val="100"/>
                <w:position w:val="0"/>
                <w:sz w:val="13"/>
                <w:szCs w:val="13"/>
              </w:rPr>
              <w:t>持股</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比例</w:t>
            </w:r>
          </w:p>
        </w:tc>
        <w:tc>
          <w:tcPr>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right"/>
              <w:rPr>
                <w:sz w:val="13"/>
                <w:szCs w:val="13"/>
              </w:rPr>
            </w:pPr>
            <w:r>
              <w:rPr>
                <w:color w:val="000000"/>
                <w:spacing w:val="0"/>
                <w:w w:val="100"/>
                <w:position w:val="0"/>
                <w:sz w:val="13"/>
                <w:szCs w:val="13"/>
              </w:rPr>
              <w:t>表决权</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比例</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持股比例与表决权</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比例不一致的说明</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减值</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准备</w:t>
            </w:r>
          </w:p>
        </w:tc>
        <w:tc>
          <w:tcPr>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right"/>
              <w:rPr>
                <w:sz w:val="13"/>
                <w:szCs w:val="13"/>
              </w:rPr>
            </w:pPr>
            <w:r>
              <w:rPr>
                <w:color w:val="000000"/>
                <w:spacing w:val="0"/>
                <w:w w:val="100"/>
                <w:position w:val="0"/>
                <w:sz w:val="13"/>
                <w:szCs w:val="13"/>
              </w:rPr>
              <w:t>本年宣告分派</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的现金股利</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重庆市隆泰稀土新材料有限责任公司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成本法</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50,000,000.00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10,324,312.86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(60,324,312.86)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不适用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14"/>
                <w:szCs w:val="14"/>
              </w:rPr>
            </w:pPr>
            <w:r>
              <w:rPr>
                <w:rFonts w:ascii="Arial" w:eastAsia="Arial" w:hAnsi="Arial" w:cs="Arial"/>
                <w:color w:val="000000"/>
                <w:spacing w:val="0"/>
                <w:w w:val="100"/>
                <w:position w:val="0"/>
                <w:sz w:val="14"/>
                <w:szCs w:val="14"/>
              </w:rPr>
              <w:t>-</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马鞍山市顺泰稀土新材料有限公司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成本法</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658,619,743.28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(658,619,743.28)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不适用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4"/>
                <w:szCs w:val="14"/>
              </w:rPr>
            </w:pPr>
            <w:r>
              <w:rPr>
                <w:rFonts w:ascii="Arial" w:eastAsia="Arial" w:hAnsi="Arial" w:cs="Arial"/>
                <w:color w:val="000000"/>
                <w:spacing w:val="0"/>
                <w:w w:val="100"/>
                <w:position w:val="0"/>
                <w:sz w:val="14"/>
                <w:szCs w:val="14"/>
              </w:rPr>
              <w:t>-</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泰森控股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成本法</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43 ,300,000,000.00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43,300,000,000.00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不适用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800,000,000.00</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50,000,000.00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43 ,968,944,056.14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(718,944,056.14)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43,300,000,000.00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800,000,000.00</w:t>
            </w:r>
          </w:p>
        </w:tc>
      </w:tr>
    </w:tbl>
    <w:p>
      <w:pPr>
        <w:widowControl w:val="0"/>
        <w:spacing w:after="5059" w:line="1" w:lineRule="exact"/>
      </w:pPr>
    </w:p>
    <w:p>
      <w:pPr>
        <w:pStyle w:val="Style23"/>
        <w:keepNext w:val="0"/>
        <w:keepLines w:val="0"/>
        <w:widowControl w:val="0"/>
        <w:shd w:val="clear" w:color="auto" w:fill="auto"/>
        <w:bidi w:val="0"/>
        <w:spacing w:before="0" w:after="0" w:line="240" w:lineRule="auto"/>
        <w:ind w:left="0" w:right="320" w:firstLine="0"/>
        <w:jc w:val="right"/>
        <w:rPr>
          <w:sz w:val="18"/>
          <w:szCs w:val="18"/>
        </w:rPr>
        <w:sectPr>
          <w:headerReference w:type="default" r:id="rId175"/>
          <w:footerReference w:type="default" r:id="rId176"/>
          <w:headerReference w:type="even" r:id="rId177"/>
          <w:footerReference w:type="even" r:id="rId178"/>
          <w:footnotePr>
            <w:pos w:val="pageBottom"/>
            <w:numFmt w:val="decimal"/>
            <w:numRestart w:val="continuous"/>
          </w:footnotePr>
          <w:pgSz w:w="16840" w:h="11900" w:orient="landscape"/>
          <w:pgMar w:top="1751" w:right="793" w:bottom="683" w:left="1964" w:header="0" w:footer="255" w:gutter="0"/>
          <w:pgNumType w:start="331"/>
          <w:cols w:space="720"/>
          <w:noEndnote/>
          <w:rtlGutter w:val="0"/>
          <w:docGrid w:linePitch="360"/>
        </w:sectPr>
      </w:pPr>
      <w:r>
        <w:rPr>
          <w:rFonts w:ascii="Arial" w:eastAsia="Arial" w:hAnsi="Arial" w:cs="Arial"/>
          <w:color w:val="000000"/>
          <w:spacing w:val="0"/>
          <w:w w:val="100"/>
          <w:position w:val="0"/>
          <w:sz w:val="18"/>
          <w:szCs w:val="18"/>
        </w:rPr>
        <w:t>-328 -</w:t>
      </w:r>
    </w:p>
    <w:p>
      <w:pPr>
        <w:pStyle w:val="Style27"/>
        <w:keepNext/>
        <w:keepLines/>
        <w:widowControl w:val="0"/>
        <w:shd w:val="clear" w:color="auto" w:fill="auto"/>
        <w:bidi w:val="0"/>
        <w:spacing w:before="320" w:after="340" w:line="240" w:lineRule="auto"/>
        <w:ind w:left="0" w:right="0" w:firstLine="0"/>
        <w:jc w:val="left"/>
      </w:pPr>
      <w:bookmarkStart w:id="1119" w:name="bookmark1119"/>
      <w:bookmarkStart w:id="1120" w:name="bookmark1120"/>
      <w:bookmarkStart w:id="1121" w:name="bookmark1121"/>
      <w:r>
        <w:rPr>
          <w:color w:val="000000"/>
          <w:spacing w:val="0"/>
          <w:w w:val="100"/>
          <w:position w:val="0"/>
          <w:sz w:val="22"/>
          <w:szCs w:val="22"/>
        </w:rPr>
        <w:t>十七 公司财务报表主要项目附注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119"/>
      <w:bookmarkEnd w:id="1120"/>
      <w:bookmarkEnd w:id="1121"/>
    </w:p>
    <w:p>
      <w:pPr>
        <w:pStyle w:val="Style27"/>
        <w:keepNext/>
        <w:keepLines/>
        <w:widowControl w:val="0"/>
        <w:numPr>
          <w:ilvl w:val="0"/>
          <w:numId w:val="103"/>
        </w:numPr>
        <w:shd w:val="clear" w:color="auto" w:fill="auto"/>
        <w:bidi w:val="0"/>
        <w:spacing w:before="0" w:after="0" w:line="240" w:lineRule="auto"/>
        <w:ind w:left="0" w:right="0" w:firstLine="0"/>
        <w:jc w:val="left"/>
        <w:rPr>
          <w:sz w:val="22"/>
          <w:szCs w:val="22"/>
        </w:r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758" w:right="5781" w:bottom="3424" w:left="1967" w:header="0" w:footer="3" w:gutter="0"/>
          <w:pgNumType w:start="329"/>
          <w:cols w:space="720"/>
          <w:noEndnote/>
          <w:rtlGutter w:val="0"/>
          <w:docGrid w:linePitch="360"/>
        </w:sectPr>
      </w:pPr>
      <w:bookmarkStart w:id="1119" w:name="bookmark1119"/>
      <w:bookmarkStart w:id="1120" w:name="bookmark1120"/>
      <w:bookmarkStart w:id="1122" w:name="bookmark1122"/>
      <w:bookmarkStart w:id="1123" w:name="bookmark1123"/>
      <w:bookmarkEnd w:id="1122"/>
      <w:r>
        <w:rPr>
          <w:color w:val="000000"/>
          <w:spacing w:val="0"/>
          <w:w w:val="100"/>
          <w:position w:val="0"/>
          <w:sz w:val="22"/>
          <w:szCs w:val="22"/>
        </w:rPr>
        <w:t>营业收入和营业成本</w:t>
      </w:r>
      <w:bookmarkEnd w:id="1119"/>
      <w:bookmarkEnd w:id="1120"/>
      <w:bookmarkEnd w:id="1123"/>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58" w:right="0" w:bottom="3424" w:left="0" w:header="0" w:footer="3" w:gutter="0"/>
          <w:cols w:space="720"/>
          <w:noEndnote/>
          <w:rtlGutter w:val="0"/>
          <w:docGrid w:linePitch="360"/>
        </w:sectPr>
      </w:pPr>
    </w:p>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p>
      <w:pPr>
        <w:pStyle w:val="Style94"/>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758" w:right="1207" w:bottom="3424" w:left="7079" w:header="0" w:footer="3" w:gutter="0"/>
          <w:cols w:num="2" w:space="1378"/>
          <w:noEndnote/>
          <w:rtlGutter w:val="0"/>
          <w:docGrid w:linePitch="360"/>
        </w:sect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right="0" w:bottom="3423" w:left="0" w:header="0" w:footer="3" w:gutter="0"/>
          <w:cols w:space="720"/>
          <w:noEndnote/>
          <w:rtlGutter w:val="0"/>
          <w:docGrid w:linePitch="360"/>
        </w:sectPr>
      </w:pPr>
    </w:p>
    <w:tbl>
      <w:tblPr>
        <w:tblOverlap w:val="never"/>
        <w:jc w:val="center"/>
        <w:tblLayout w:type="fixed"/>
      </w:tblPr>
      <w:tblGrid>
        <w:gridCol w:w="3000"/>
        <w:gridCol w:w="3634"/>
        <w:gridCol w:w="2227"/>
      </w:tblGrid>
      <w:tr>
        <w:trPr>
          <w:trHeight w:val="30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404,143,050.19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492,171,787.59</w:t>
            </w:r>
          </w:p>
        </w:tc>
      </w:tr>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其他业务收入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400" w:firstLine="0"/>
              <w:jc w:val="right"/>
              <w:rPr>
                <w:sz w:val="24"/>
                <w:szCs w:val="24"/>
              </w:rPr>
            </w:pPr>
            <w:r>
              <w:rPr>
                <w:rFonts w:ascii="Arial" w:eastAsia="Arial" w:hAnsi="Arial" w:cs="Arial"/>
                <w:color w:val="000000"/>
                <w:spacing w:val="0"/>
                <w:w w:val="100"/>
                <w:position w:val="0"/>
                <w:sz w:val="24"/>
                <w:szCs w:val="24"/>
              </w:rPr>
              <w:t>146,137.72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152,226.32</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404,289,187.91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492,324,013.91</w:t>
            </w:r>
          </w:p>
        </w:tc>
      </w:tr>
    </w:tbl>
    <w:p>
      <w:pPr>
        <w:pStyle w:val="Style33"/>
        <w:keepNext w:val="0"/>
        <w:keepLines w:val="0"/>
        <w:widowControl w:val="0"/>
        <w:shd w:val="clear" w:color="auto" w:fill="auto"/>
        <w:bidi w:val="0"/>
        <w:spacing w:before="0" w:after="380" w:line="240" w:lineRule="auto"/>
        <w:ind w:left="0" w:right="0" w:firstLine="0"/>
        <w:jc w:val="left"/>
        <w:rPr>
          <w:sz w:val="22"/>
          <w:szCs w:val="22"/>
        </w:rPr>
      </w:pPr>
      <w:r>
        <mc:AlternateContent>
          <mc:Choice Requires="wps">
            <w:drawing>
              <wp:anchor distT="152400" distB="0" distL="114300" distR="1699260" simplePos="0" relativeHeight="125829637" behindDoc="0" locked="0" layoutInCell="1" allowOverlap="1">
                <wp:simplePos x="0" y="0"/>
                <wp:positionH relativeFrom="page">
                  <wp:posOffset>4483100</wp:posOffset>
                </wp:positionH>
                <wp:positionV relativeFrom="margin">
                  <wp:posOffset>2261870</wp:posOffset>
                </wp:positionV>
                <wp:extent cx="709930" cy="189230"/>
                <wp:wrapTopAndBottom/>
                <wp:docPr id="750" name="Shape 750"/>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776" type="#_x0000_t202" style="position:absolute;margin-left:353.pt;margin-top:178.09999999999999pt;width:55.899999999999999pt;height:14.9pt;z-index:-125829116;mso-wrap-distance-left:9.pt;mso-wrap-distance-top:12.pt;mso-wrap-distance-right:133.80000000000001pt;mso-position-horizontal-relative:page;mso-position-vertical-relative:margin" filled="f" stroked="f">
                <v:textbox inset="0,0,0,0">
                  <w:txbxContent>
                    <w:p>
                      <w:pPr>
                        <w:pStyle w:val="Style9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年度</w:t>
                      </w:r>
                    </w:p>
                  </w:txbxContent>
                </v:textbox>
                <w10:wrap type="topAndBottom" anchorx="page" anchory="margin"/>
              </v:shape>
            </w:pict>
          </mc:Fallback>
        </mc:AlternateContent>
      </w:r>
      <w:r>
        <mc:AlternateContent>
          <mc:Choice Requires="wps">
            <w:drawing>
              <wp:anchor distT="152400" distB="0" distL="1699260" distR="114300" simplePos="0" relativeHeight="125829639" behindDoc="0" locked="0" layoutInCell="1" allowOverlap="1">
                <wp:simplePos x="0" y="0"/>
                <wp:positionH relativeFrom="page">
                  <wp:posOffset>6068060</wp:posOffset>
                </wp:positionH>
                <wp:positionV relativeFrom="margin">
                  <wp:posOffset>2261870</wp:posOffset>
                </wp:positionV>
                <wp:extent cx="709930" cy="189230"/>
                <wp:wrapTopAndBottom/>
                <wp:docPr id="752" name="Shape 752"/>
                <a:graphic xmlns:a="http://schemas.openxmlformats.org/drawingml/2006/main">
                  <a:graphicData uri="http://schemas.microsoft.com/office/word/2010/wordprocessingShape">
                    <wps:wsp>
                      <wps:cNvSpPr txBox="1"/>
                      <wps:spPr>
                        <a:xfrm>
                          <a:ext cx="70993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778" type="#_x0000_t202" style="position:absolute;margin-left:477.80000000000001pt;margin-top:178.09999999999999pt;width:55.899999999999999pt;height:14.9pt;z-index:-125829114;mso-wrap-distance-left:133.80000000000001pt;mso-wrap-distance-top:12.pt;mso-wrap-distance-right:9.pt;mso-position-horizontal-relative:page;mso-position-vertical-relative:margin" filled="f" stroked="f">
                <v:textbox inset="0,0,0,0">
                  <w:txbxContent>
                    <w:p>
                      <w:pPr>
                        <w:pStyle w:val="Style9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2015</w:t>
                      </w:r>
                      <w:r>
                        <w:rPr>
                          <w:rFonts w:ascii="SimSun" w:eastAsia="SimSun" w:hAnsi="SimSun" w:cs="SimSun"/>
                          <w:color w:val="000000"/>
                          <w:spacing w:val="0"/>
                          <w:w w:val="100"/>
                          <w:position w:val="0"/>
                          <w:sz w:val="22"/>
                          <w:szCs w:val="22"/>
                        </w:rPr>
                        <w:t>年度</w:t>
                      </w:r>
                    </w:p>
                  </w:txbxContent>
                </v:textbox>
                <w10:wrap type="topAndBottom" anchorx="page" anchory="margin"/>
              </v:shape>
            </w:pict>
          </mc:Fallback>
        </mc:AlternateContent>
      </w:r>
      <w:r>
        <mc:AlternateContent>
          <mc:Choice Requires="wps">
            <w:drawing>
              <wp:anchor distT="241300" distB="0" distL="114300" distR="4728845" simplePos="0" relativeHeight="125829641" behindDoc="0" locked="0" layoutInCell="1" allowOverlap="1">
                <wp:simplePos x="0" y="0"/>
                <wp:positionH relativeFrom="page">
                  <wp:posOffset>1228090</wp:posOffset>
                </wp:positionH>
                <wp:positionV relativeFrom="margin">
                  <wp:posOffset>2630170</wp:posOffset>
                </wp:positionV>
                <wp:extent cx="935990" cy="426720"/>
                <wp:wrapTopAndBottom/>
                <wp:docPr id="754" name="Shape 754"/>
                <a:graphic xmlns:a="http://schemas.openxmlformats.org/drawingml/2006/main">
                  <a:graphicData uri="http://schemas.microsoft.com/office/word/2010/wordprocessingShape">
                    <wps:wsp>
                      <wps:cNvSpPr txBox="1"/>
                      <wps:spPr>
                        <a:xfrm>
                          <a:ext cx="935990" cy="426720"/>
                        </a:xfrm>
                        <a:prstGeom prst="rect"/>
                        <a:noFill/>
                      </wps:spPr>
                      <wps:txbx>
                        <w:txbxContent>
                          <w:p>
                            <w:pPr>
                              <w:pStyle w:val="Style33"/>
                              <w:keepNext w:val="0"/>
                              <w:keepLines w:val="0"/>
                              <w:widowControl w:val="0"/>
                              <w:shd w:val="clear" w:color="auto" w:fill="auto"/>
                              <w:bidi w:val="0"/>
                              <w:spacing w:before="0" w:after="0" w:line="326" w:lineRule="exact"/>
                              <w:ind w:left="0" w:right="0" w:firstLine="0"/>
                              <w:jc w:val="center"/>
                              <w:rPr>
                                <w:sz w:val="22"/>
                                <w:szCs w:val="22"/>
                              </w:rPr>
                            </w:pPr>
                            <w:r>
                              <w:rPr>
                                <w:b w:val="0"/>
                                <w:bCs w:val="0"/>
                                <w:color w:val="000000"/>
                                <w:spacing w:val="0"/>
                                <w:w w:val="100"/>
                                <w:position w:val="0"/>
                                <w:sz w:val="22"/>
                                <w:szCs w:val="22"/>
                              </w:rPr>
                              <w:t>主营业务成本</w:t>
                              <w:br/>
                              <w:t>其他业务成本</w:t>
                            </w:r>
                          </w:p>
                        </w:txbxContent>
                      </wps:txbx>
                      <wps:bodyPr lIns="0" tIns="0" rIns="0" bIns="0">
                        <a:noAutoFit/>
                      </wps:bodyPr>
                    </wps:wsp>
                  </a:graphicData>
                </a:graphic>
              </wp:anchor>
            </w:drawing>
          </mc:Choice>
          <mc:Fallback>
            <w:pict>
              <v:shape id="_x0000_s1780" type="#_x0000_t202" style="position:absolute;margin-left:96.700000000000003pt;margin-top:207.09999999999999pt;width:73.700000000000003pt;height:33.600000000000001pt;z-index:-125829112;mso-wrap-distance-left:9.pt;mso-wrap-distance-top:19.pt;mso-wrap-distance-right:372.35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326" w:lineRule="exact"/>
                        <w:ind w:left="0" w:right="0" w:firstLine="0"/>
                        <w:jc w:val="center"/>
                        <w:rPr>
                          <w:sz w:val="22"/>
                          <w:szCs w:val="22"/>
                        </w:rPr>
                      </w:pPr>
                      <w:r>
                        <w:rPr>
                          <w:b w:val="0"/>
                          <w:bCs w:val="0"/>
                          <w:color w:val="000000"/>
                          <w:spacing w:val="0"/>
                          <w:w w:val="100"/>
                          <w:position w:val="0"/>
                          <w:sz w:val="22"/>
                          <w:szCs w:val="22"/>
                        </w:rPr>
                        <w:t>主营业务成本</w:t>
                        <w:br/>
                        <w:t>其他业务成本</w:t>
                      </w:r>
                    </w:p>
                  </w:txbxContent>
                </v:textbox>
                <w10:wrap type="topAndBottom" anchorx="page" anchory="margin"/>
              </v:shape>
            </w:pict>
          </mc:Fallback>
        </mc:AlternateContent>
      </w:r>
      <w:r>
        <mc:AlternateContent>
          <mc:Choice Requires="wps">
            <w:drawing>
              <wp:anchor distT="278130" distB="200660" distL="2994660" distR="1699260" simplePos="0" relativeHeight="125829643" behindDoc="0" locked="0" layoutInCell="1" allowOverlap="1">
                <wp:simplePos x="0" y="0"/>
                <wp:positionH relativeFrom="page">
                  <wp:posOffset>4108450</wp:posOffset>
                </wp:positionH>
                <wp:positionV relativeFrom="margin">
                  <wp:posOffset>2667000</wp:posOffset>
                </wp:positionV>
                <wp:extent cx="1085215" cy="189230"/>
                <wp:wrapTopAndBottom/>
                <wp:docPr id="756" name="Shape 756"/>
                <a:graphic xmlns:a="http://schemas.openxmlformats.org/drawingml/2006/main">
                  <a:graphicData uri="http://schemas.microsoft.com/office/word/2010/wordprocessingShape">
                    <wps:wsp>
                      <wps:cNvSpPr txBox="1"/>
                      <wps:spPr>
                        <a:xfrm>
                          <a:ext cx="1085215"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336,446,991.61</w:t>
                            </w:r>
                          </w:p>
                        </w:txbxContent>
                      </wps:txbx>
                      <wps:bodyPr wrap="none" lIns="0" tIns="0" rIns="0" bIns="0">
                        <a:noAutoFit/>
                      </wps:bodyPr>
                    </wps:wsp>
                  </a:graphicData>
                </a:graphic>
              </wp:anchor>
            </w:drawing>
          </mc:Choice>
          <mc:Fallback>
            <w:pict>
              <v:shape id="_x0000_s1782" type="#_x0000_t202" style="position:absolute;margin-left:323.5pt;margin-top:210.pt;width:85.450000000000003pt;height:14.9pt;z-index:-125829110;mso-wrap-distance-left:235.80000000000001pt;mso-wrap-distance-top:21.900000000000002pt;mso-wrap-distance-right:133.80000000000001pt;mso-wrap-distance-bottom:15.800000000000001pt;mso-position-horizontal-relative:page;mso-position-vertical-relative:margin"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336,446,991.61</w:t>
                      </w:r>
                    </w:p>
                  </w:txbxContent>
                </v:textbox>
                <w10:wrap type="topAndBottom" anchorx="page" anchory="margin"/>
              </v:shape>
            </w:pict>
          </mc:Fallback>
        </mc:AlternateContent>
      </w:r>
      <w:r>
        <mc:AlternateContent>
          <mc:Choice Requires="wps">
            <w:drawing>
              <wp:anchor distT="278130" distB="200660" distL="4576445" distR="114300" simplePos="0" relativeHeight="125829645" behindDoc="0" locked="0" layoutInCell="1" allowOverlap="1">
                <wp:simplePos x="0" y="0"/>
                <wp:positionH relativeFrom="page">
                  <wp:posOffset>5690235</wp:posOffset>
                </wp:positionH>
                <wp:positionV relativeFrom="margin">
                  <wp:posOffset>2667000</wp:posOffset>
                </wp:positionV>
                <wp:extent cx="1088390" cy="189230"/>
                <wp:wrapTopAndBottom/>
                <wp:docPr id="758" name="Shape 758"/>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409,701,963.71</w:t>
                            </w:r>
                          </w:p>
                        </w:txbxContent>
                      </wps:txbx>
                      <wps:bodyPr wrap="none" lIns="0" tIns="0" rIns="0" bIns="0">
                        <a:noAutoFit/>
                      </wps:bodyPr>
                    </wps:wsp>
                  </a:graphicData>
                </a:graphic>
              </wp:anchor>
            </w:drawing>
          </mc:Choice>
          <mc:Fallback>
            <w:pict>
              <v:shape id="_x0000_s1784" type="#_x0000_t202" style="position:absolute;margin-left:448.05000000000001pt;margin-top:210.pt;width:85.700000000000003pt;height:14.9pt;z-index:-125829108;mso-wrap-distance-left:360.35000000000002pt;mso-wrap-distance-top:21.900000000000002pt;mso-wrap-distance-right:9.pt;mso-wrap-distance-bottom:15.800000000000001pt;mso-position-horizontal-relative:page;mso-position-vertical-relative:margin" filled="f" stroked="f">
                <v:textbox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409,701,963.71</w:t>
                      </w:r>
                    </w:p>
                  </w:txbxContent>
                </v:textbox>
                <w10:wrap type="topAndBottom" anchorx="page" anchory="margin"/>
              </v:shape>
            </w:pict>
          </mc:Fallback>
        </mc:AlternateContent>
      </w:r>
      <w:r>
        <mc:AlternateContent>
          <mc:Choice Requires="wps">
            <w:drawing>
              <wp:anchor distT="76200" distB="0" distL="114300" distR="1699260" simplePos="0" relativeHeight="125829647" behindDoc="0" locked="0" layoutInCell="1" allowOverlap="1">
                <wp:simplePos x="0" y="0"/>
                <wp:positionH relativeFrom="page">
                  <wp:posOffset>4108450</wp:posOffset>
                </wp:positionH>
                <wp:positionV relativeFrom="margin">
                  <wp:posOffset>3078480</wp:posOffset>
                </wp:positionV>
                <wp:extent cx="1085215" cy="189230"/>
                <wp:wrapTopAndBottom/>
                <wp:docPr id="760" name="Shape 760"/>
                <a:graphic xmlns:a="http://schemas.openxmlformats.org/drawingml/2006/main">
                  <a:graphicData uri="http://schemas.microsoft.com/office/word/2010/wordprocessingShape">
                    <wps:wsp>
                      <wps:cNvSpPr txBox="1"/>
                      <wps:spPr>
                        <a:xfrm>
                          <a:ext cx="1085215" cy="18923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336,446,991.61</w:t>
                            </w:r>
                          </w:p>
                        </w:txbxContent>
                      </wps:txbx>
                      <wps:bodyPr wrap="none" lIns="0" tIns="0" rIns="0" bIns="0">
                        <a:noAutoFit/>
                      </wps:bodyPr>
                    </wps:wsp>
                  </a:graphicData>
                </a:graphic>
              </wp:anchor>
            </w:drawing>
          </mc:Choice>
          <mc:Fallback>
            <w:pict>
              <v:shape id="_x0000_s1786" type="#_x0000_t202" style="position:absolute;margin-left:323.5pt;margin-top:242.40000000000001pt;width:85.450000000000003pt;height:14.9pt;z-index:-125829106;mso-wrap-distance-left:9.pt;mso-wrap-distance-top:6.pt;mso-wrap-distance-right:133.80000000000001pt;mso-position-horizontal-relative:page;mso-position-vertical-relative:margin"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336,446,991.61</w:t>
                      </w:r>
                    </w:p>
                  </w:txbxContent>
                </v:textbox>
                <w10:wrap type="topAndBottom" anchorx="page" anchory="margin"/>
              </v:shape>
            </w:pict>
          </mc:Fallback>
        </mc:AlternateContent>
      </w:r>
      <w:r>
        <mc:AlternateContent>
          <mc:Choice Requires="wps">
            <w:drawing>
              <wp:anchor distT="76200" distB="0" distL="1696085" distR="114300" simplePos="0" relativeHeight="125829649" behindDoc="0" locked="0" layoutInCell="1" allowOverlap="1">
                <wp:simplePos x="0" y="0"/>
                <wp:positionH relativeFrom="page">
                  <wp:posOffset>5690235</wp:posOffset>
                </wp:positionH>
                <wp:positionV relativeFrom="margin">
                  <wp:posOffset>3078480</wp:posOffset>
                </wp:positionV>
                <wp:extent cx="1088390" cy="189230"/>
                <wp:wrapTopAndBottom/>
                <wp:docPr id="762" name="Shape 762"/>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409,701,963.71</w:t>
                            </w:r>
                          </w:p>
                        </w:txbxContent>
                      </wps:txbx>
                      <wps:bodyPr wrap="none" lIns="0" tIns="0" rIns="0" bIns="0">
                        <a:noAutoFit/>
                      </wps:bodyPr>
                    </wps:wsp>
                  </a:graphicData>
                </a:graphic>
              </wp:anchor>
            </w:drawing>
          </mc:Choice>
          <mc:Fallback>
            <w:pict>
              <v:shape id="_x0000_s1788" type="#_x0000_t202" style="position:absolute;margin-left:448.05000000000001pt;margin-top:242.40000000000001pt;width:85.700000000000003pt;height:14.9pt;z-index:-125829104;mso-wrap-distance-left:133.55000000000001pt;mso-wrap-distance-top:6.pt;mso-wrap-distance-right:9.pt;mso-position-horizontal-relative:page;mso-position-vertical-relative:margin" filled="f" stroked="f">
                <v:textbox inset="0,0,0,0">
                  <w:txbxContent>
                    <w:p>
                      <w:pPr>
                        <w:pStyle w:val="Style9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409,701,963.71</w:t>
                      </w:r>
                    </w:p>
                  </w:txbxContent>
                </v:textbox>
                <w10:wrap type="topAndBottom" anchorx="page" anchory="margin"/>
              </v:shape>
            </w:pict>
          </mc:Fallback>
        </mc:AlternateContent>
      </w:r>
      <w:r>
        <w:rPr>
          <w:rFonts w:ascii="Arial" w:eastAsia="Arial" w:hAnsi="Arial" w:cs="Arial"/>
          <w:b w:val="0"/>
          <w:bCs w:val="0"/>
          <w:color w:val="000000"/>
          <w:spacing w:val="0"/>
          <w:w w:val="100"/>
          <w:position w:val="0"/>
          <w:sz w:val="24"/>
          <w:szCs w:val="24"/>
        </w:rPr>
        <w:t>(a)</w:t>
      </w:r>
      <w:r>
        <w:rPr>
          <w:b w:val="0"/>
          <w:bCs w:val="0"/>
          <w:color w:val="000000"/>
          <w:spacing w:val="0"/>
          <w:w w:val="100"/>
          <w:position w:val="0"/>
          <w:sz w:val="22"/>
          <w:szCs w:val="22"/>
        </w:rPr>
        <w:t>主营业务收入和主营业务成本</w:t>
      </w:r>
    </w:p>
    <w:p>
      <w:pPr>
        <w:pStyle w:val="Style29"/>
        <w:keepNext w:val="0"/>
        <w:keepLines w:val="0"/>
        <w:widowControl w:val="0"/>
        <w:shd w:val="clear" w:color="auto" w:fill="auto"/>
        <w:tabs>
          <w:tab w:pos="6662" w:val="left"/>
        </w:tabs>
        <w:bidi w:val="0"/>
        <w:spacing w:before="0" w:after="0" w:line="240" w:lineRule="auto"/>
        <w:ind w:left="3038" w:right="0" w:firstLine="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w:t>
        <w:tab/>
      </w:r>
      <w:r>
        <w:rPr>
          <w:rFonts w:ascii="Arial" w:eastAsia="Arial" w:hAnsi="Arial" w:cs="Arial"/>
          <w:color w:val="000000"/>
          <w:spacing w:val="0"/>
          <w:w w:val="100"/>
          <w:position w:val="0"/>
          <w:sz w:val="20"/>
          <w:szCs w:val="20"/>
        </w:rPr>
        <w:t>2015</w:t>
      </w:r>
      <w:r>
        <w:rPr>
          <w:color w:val="000000"/>
          <w:spacing w:val="0"/>
          <w:w w:val="100"/>
          <w:position w:val="0"/>
          <w:sz w:val="19"/>
          <w:szCs w:val="19"/>
        </w:rPr>
        <w:t>年度</w:t>
      </w:r>
    </w:p>
    <w:tbl>
      <w:tblPr>
        <w:tblOverlap w:val="never"/>
        <w:jc w:val="center"/>
        <w:tblLayout w:type="fixed"/>
      </w:tblPr>
      <w:tblGrid>
        <w:gridCol w:w="1618"/>
        <w:gridCol w:w="1882"/>
        <w:gridCol w:w="1814"/>
        <w:gridCol w:w="1819"/>
        <w:gridCol w:w="1738"/>
      </w:tblGrid>
      <w:tr>
        <w:trPr>
          <w:trHeight w:val="52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80"/>
              <w:jc w:val="left"/>
              <w:rPr>
                <w:sz w:val="19"/>
                <w:szCs w:val="19"/>
              </w:rPr>
            </w:pPr>
            <w:r>
              <w:rPr>
                <w:color w:val="000000"/>
                <w:spacing w:val="0"/>
                <w:w w:val="100"/>
                <w:position w:val="0"/>
                <w:sz w:val="19"/>
                <w:szCs w:val="19"/>
              </w:rPr>
              <w:t>主营业务收入</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主营业务成本</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00"/>
              <w:jc w:val="left"/>
              <w:rPr>
                <w:sz w:val="19"/>
                <w:szCs w:val="19"/>
              </w:rPr>
            </w:pPr>
            <w:r>
              <w:rPr>
                <w:color w:val="000000"/>
                <w:spacing w:val="0"/>
                <w:w w:val="100"/>
                <w:position w:val="0"/>
                <w:sz w:val="19"/>
                <w:szCs w:val="19"/>
              </w:rPr>
              <w:t>主营业务收入</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主营业务成本</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钢绞线收入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328,665,404.49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269,030,044.73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406,363,274.48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335,726,242.45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PC</w:t>
            </w:r>
            <w:r>
              <w:rPr>
                <w:color w:val="000000"/>
                <w:spacing w:val="0"/>
                <w:w w:val="100"/>
                <w:position w:val="0"/>
                <w:sz w:val="19"/>
                <w:szCs w:val="19"/>
              </w:rPr>
              <w:t>钢绞线收入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9,945,622.96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10 ,135,262.41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9,596,436.65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10 ,184,630.59</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钢丝收入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65,532,022.74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57 ,281,684.47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76 ,212,076.46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63 ,791,090.67</w:t>
            </w:r>
          </w:p>
        </w:tc>
      </w:tr>
      <w:tr>
        <w:trPr>
          <w:trHeight w:val="38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404,143,050.19</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336,446,991.61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492,171,787.59</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409,701,963.71</w:t>
            </w:r>
          </w:p>
        </w:tc>
      </w:tr>
    </w:tbl>
    <w:p>
      <w:pPr>
        <w:widowControl w:val="0"/>
        <w:spacing w:after="339" w:line="1" w:lineRule="exact"/>
      </w:pPr>
    </w:p>
    <w:p>
      <w:pPr>
        <w:pStyle w:val="Style33"/>
        <w:keepNext w:val="0"/>
        <w:keepLines w:val="0"/>
        <w:widowControl w:val="0"/>
        <w:shd w:val="clear" w:color="auto" w:fill="auto"/>
        <w:bidi w:val="0"/>
        <w:spacing w:before="0" w:after="380" w:line="240" w:lineRule="auto"/>
        <w:ind w:left="0" w:right="0" w:firstLine="0"/>
        <w:jc w:val="left"/>
        <w:rPr>
          <w:sz w:val="22"/>
          <w:szCs w:val="22"/>
        </w:rPr>
      </w:pPr>
      <w:r>
        <w:rPr>
          <w:rFonts w:ascii="Arial" w:eastAsia="Arial" w:hAnsi="Arial" w:cs="Arial"/>
          <w:b w:val="0"/>
          <w:bCs w:val="0"/>
          <w:color w:val="000000"/>
          <w:spacing w:val="0"/>
          <w:w w:val="100"/>
          <w:position w:val="0"/>
          <w:sz w:val="24"/>
          <w:szCs w:val="24"/>
        </w:rPr>
        <w:t>(b)</w:t>
      </w:r>
      <w:r>
        <w:rPr>
          <w:b w:val="0"/>
          <w:bCs w:val="0"/>
          <w:color w:val="000000"/>
          <w:spacing w:val="0"/>
          <w:w w:val="100"/>
          <w:position w:val="0"/>
          <w:sz w:val="22"/>
          <w:szCs w:val="22"/>
        </w:rPr>
        <w:t>其他业务收入和其他业务成本</w:t>
      </w:r>
    </w:p>
    <w:tbl>
      <w:tblPr>
        <w:tblOverlap w:val="never"/>
        <w:jc w:val="center"/>
        <w:tblLayout w:type="fixed"/>
      </w:tblPr>
      <w:tblGrid>
        <w:gridCol w:w="1637"/>
        <w:gridCol w:w="3749"/>
        <w:gridCol w:w="3456"/>
      </w:tblGrid>
      <w:tr>
        <w:trPr>
          <w:trHeight w:val="264"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2015</w:t>
            </w:r>
            <w:r>
              <w:rPr>
                <w:color w:val="000000"/>
                <w:spacing w:val="0"/>
                <w:w w:val="100"/>
                <w:position w:val="0"/>
                <w:sz w:val="19"/>
                <w:szCs w:val="19"/>
              </w:rPr>
              <w:t>年度</w:t>
            </w:r>
          </w:p>
        </w:tc>
      </w:tr>
      <w:tr>
        <w:trPr>
          <w:trHeight w:val="514" w:hRule="exact"/>
        </w:trPr>
        <w:tc>
          <w:tcPr>
            <w:vMerge/>
            <w:tcBorders/>
            <w:shd w:val="clear" w:color="auto" w:fill="FFFFFF"/>
            <w:vAlign w:val="top"/>
          </w:tcPr>
          <w:p>
            <w:pPr/>
          </w:p>
        </w:tc>
        <w:tc>
          <w:tcPr>
            <w:tcBorders>
              <w:top w:val="single" w:sz="4"/>
            </w:tcBorders>
            <w:shd w:val="clear" w:color="auto" w:fill="FFFFFF"/>
            <w:vAlign w:val="top"/>
          </w:tcPr>
          <w:p>
            <w:pPr>
              <w:pStyle w:val="Style23"/>
              <w:keepNext w:val="0"/>
              <w:keepLines w:val="0"/>
              <w:widowControl w:val="0"/>
              <w:shd w:val="clear" w:color="auto" w:fill="auto"/>
              <w:tabs>
                <w:tab w:pos="2225" w:val="left"/>
              </w:tabs>
              <w:bidi w:val="0"/>
              <w:spacing w:before="80" w:after="0" w:line="240" w:lineRule="auto"/>
              <w:ind w:left="0" w:right="0" w:firstLine="420"/>
              <w:jc w:val="left"/>
              <w:rPr>
                <w:sz w:val="19"/>
                <w:szCs w:val="19"/>
              </w:rPr>
            </w:pPr>
            <w:r>
              <w:rPr>
                <w:color w:val="000000"/>
                <w:spacing w:val="0"/>
                <w:w w:val="100"/>
                <w:position w:val="0"/>
                <w:sz w:val="19"/>
                <w:szCs w:val="19"/>
              </w:rPr>
              <w:t>其他业务收入</w:t>
              <w:tab/>
              <w:t>其他业务成本</w:t>
            </w:r>
          </w:p>
        </w:tc>
        <w:tc>
          <w:tcPr>
            <w:tcBorders>
              <w:top w:val="single" w:sz="4"/>
            </w:tcBorders>
            <w:shd w:val="clear" w:color="auto" w:fill="FFFFFF"/>
            <w:vAlign w:val="top"/>
          </w:tcPr>
          <w:p>
            <w:pPr>
              <w:pStyle w:val="Style23"/>
              <w:keepNext w:val="0"/>
              <w:keepLines w:val="0"/>
              <w:widowControl w:val="0"/>
              <w:shd w:val="clear" w:color="auto" w:fill="auto"/>
              <w:tabs>
                <w:tab w:pos="2110" w:val="left"/>
              </w:tabs>
              <w:bidi w:val="0"/>
              <w:spacing w:before="80" w:after="0" w:line="240" w:lineRule="auto"/>
              <w:ind w:left="0" w:right="0" w:firstLine="300"/>
              <w:jc w:val="both"/>
              <w:rPr>
                <w:sz w:val="19"/>
                <w:szCs w:val="19"/>
              </w:rPr>
            </w:pPr>
            <w:r>
              <w:rPr>
                <w:color w:val="000000"/>
                <w:spacing w:val="0"/>
                <w:w w:val="100"/>
                <w:position w:val="0"/>
                <w:sz w:val="19"/>
                <w:szCs w:val="19"/>
              </w:rPr>
              <w:t>其他业务收入</w:t>
              <w:tab/>
              <w:t>其他业务成本</w:t>
            </w: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一废材料收入</w:t>
            </w:r>
          </w:p>
        </w:tc>
        <w:tc>
          <w:tcPr>
            <w:tcBorders/>
            <w:shd w:val="clear" w:color="auto" w:fill="FFFFFF"/>
            <w:vAlign w:val="bottom"/>
          </w:tcPr>
          <w:p>
            <w:pPr>
              <w:pStyle w:val="Style23"/>
              <w:keepNext w:val="0"/>
              <w:keepLines w:val="0"/>
              <w:widowControl w:val="0"/>
              <w:shd w:val="clear" w:color="auto" w:fill="auto"/>
              <w:tabs>
                <w:tab w:pos="1810" w:val="left"/>
              </w:tabs>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tab/>
              <w:t>-</w:t>
            </w:r>
          </w:p>
        </w:tc>
        <w:tc>
          <w:tcPr>
            <w:tcBorders/>
            <w:shd w:val="clear" w:color="auto" w:fill="FFFFFF"/>
            <w:vAlign w:val="bottom"/>
          </w:tcPr>
          <w:p>
            <w:pPr>
              <w:pStyle w:val="Style23"/>
              <w:keepNext w:val="0"/>
              <w:keepLines w:val="0"/>
              <w:widowControl w:val="0"/>
              <w:shd w:val="clear" w:color="auto" w:fill="auto"/>
              <w:tabs>
                <w:tab w:pos="2928" w:val="left"/>
              </w:tabs>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152,226.32</w:t>
              <w:tab/>
            </w:r>
            <w:r>
              <w:rPr>
                <w:rFonts w:ascii="Arial" w:eastAsia="Arial" w:hAnsi="Arial" w:cs="Arial"/>
                <w:color w:val="000000"/>
                <w:spacing w:val="0"/>
                <w:w w:val="100"/>
                <w:position w:val="0"/>
                <w:sz w:val="20"/>
                <w:szCs w:val="20"/>
              </w:rPr>
              <w:t>-</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3"/>
              <w:keepNext w:val="0"/>
              <w:keepLines w:val="0"/>
              <w:widowControl w:val="0"/>
              <w:shd w:val="clear" w:color="auto" w:fill="auto"/>
              <w:tabs>
                <w:tab w:pos="2448" w:val="left"/>
              </w:tabs>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146,137.72</w:t>
              <w:tab/>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tabs>
                <w:tab w:pos="1810" w:val="left"/>
              </w:tabs>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w:t>
              <w:tab/>
              <w:t>-</w:t>
            </w:r>
          </w:p>
        </w:tc>
      </w:tr>
      <w:tr>
        <w:trPr>
          <w:trHeight w:val="36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tabs>
                <w:tab w:pos="2448" w:val="left"/>
              </w:tabs>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146,137.72</w:t>
              <w:tab/>
            </w:r>
            <w:r>
              <w:rPr>
                <w:rFonts w:ascii="Arial" w:eastAsia="Arial" w:hAnsi="Arial" w:cs="Arial"/>
                <w:color w:val="000000"/>
                <w:spacing w:val="0"/>
                <w:w w:val="100"/>
                <w:position w:val="0"/>
                <w:sz w:val="20"/>
                <w:szCs w:val="2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tabs>
                <w:tab w:pos="2928" w:val="left"/>
              </w:tabs>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152,226.32</w:t>
              <w:tab/>
            </w: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3"/>
        <w:keepNext w:val="0"/>
        <w:keepLines w:val="0"/>
        <w:widowControl w:val="0"/>
        <w:shd w:val="clear" w:color="auto" w:fill="auto"/>
        <w:bidi w:val="0"/>
        <w:spacing w:before="0" w:after="360" w:line="240" w:lineRule="auto"/>
        <w:ind w:left="0" w:right="0" w:firstLine="0"/>
        <w:jc w:val="left"/>
        <w:rPr>
          <w:sz w:val="22"/>
          <w:szCs w:val="22"/>
        </w:rPr>
      </w:pPr>
      <w:r>
        <w:rPr>
          <w:b w:val="0"/>
          <w:bCs w:val="0"/>
          <w:color w:val="000000"/>
          <w:spacing w:val="0"/>
          <w:w w:val="100"/>
          <w:position w:val="0"/>
          <w:sz w:val="22"/>
          <w:szCs w:val="22"/>
        </w:rPr>
        <w:t>注：如附注一所述，本次重大资产重组完成后，本公司的主要业务变更为投资控股。</w:t>
      </w:r>
      <w:r>
        <w:br w:type="page"/>
      </w:r>
    </w:p>
    <w:p>
      <w:pPr>
        <w:pStyle w:val="Style33"/>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2"/>
          <w:szCs w:val="22"/>
        </w:rPr>
        <w:t>十七 公司财务报表主要项目附注</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4"/>
          <w:szCs w:val="24"/>
        </w:rPr>
        <w:t>(5)</w:t>
      </w:r>
      <w:r>
        <w:rPr>
          <w:b/>
          <w:bCs/>
          <w:color w:val="000000"/>
          <w:spacing w:val="0"/>
          <w:w w:val="100"/>
          <w:position w:val="0"/>
          <w:sz w:val="22"/>
          <w:szCs w:val="22"/>
        </w:rPr>
        <w:t>投资收益</w:t>
      </w:r>
    </w:p>
    <w:tbl>
      <w:tblPr>
        <w:tblOverlap w:val="never"/>
        <w:jc w:val="center"/>
        <w:tblLayout w:type="fixed"/>
      </w:tblPr>
      <w:tblGrid>
        <w:gridCol w:w="3946"/>
        <w:gridCol w:w="4915"/>
      </w:tblGrid>
      <w:tr>
        <w:trPr>
          <w:trHeight w:val="2866" w:hRule="exact"/>
        </w:trPr>
        <w:tc>
          <w:tcPr>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成本法核算的长期股权投资收益</w:t>
            </w:r>
          </w:p>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长期股权投资处置净损益</w:t>
            </w:r>
          </w:p>
          <w:p>
            <w:pPr>
              <w:pStyle w:val="Style23"/>
              <w:keepNext w:val="0"/>
              <w:keepLines w:val="0"/>
              <w:widowControl w:val="0"/>
              <w:shd w:val="clear" w:color="auto" w:fill="auto"/>
              <w:bidi w:val="0"/>
              <w:spacing w:before="0" w:after="0" w:line="326" w:lineRule="exact"/>
              <w:ind w:left="220" w:right="0" w:hanging="220"/>
              <w:jc w:val="left"/>
              <w:rPr>
                <w:sz w:val="22"/>
                <w:szCs w:val="22"/>
              </w:rPr>
            </w:pPr>
            <w:r>
              <w:rPr>
                <w:color w:val="000000"/>
                <w:spacing w:val="0"/>
                <w:w w:val="100"/>
                <w:position w:val="0"/>
                <w:sz w:val="22"/>
                <w:szCs w:val="22"/>
              </w:rPr>
              <w:t>可供出售金融资产持有期间取得的投 资收益</w:t>
            </w:r>
          </w:p>
          <w:p>
            <w:pPr>
              <w:pStyle w:val="Style23"/>
              <w:keepNext w:val="0"/>
              <w:keepLines w:val="0"/>
              <w:widowControl w:val="0"/>
              <w:shd w:val="clear" w:color="auto" w:fill="auto"/>
              <w:bidi w:val="0"/>
              <w:spacing w:before="0" w:after="0" w:line="302" w:lineRule="exact"/>
              <w:ind w:left="220" w:right="0" w:hanging="220"/>
              <w:jc w:val="left"/>
              <w:rPr>
                <w:sz w:val="22"/>
                <w:szCs w:val="22"/>
              </w:rPr>
            </w:pPr>
            <w:r>
              <w:rPr>
                <w:color w:val="000000"/>
                <w:spacing w:val="0"/>
                <w:w w:val="100"/>
                <w:position w:val="0"/>
                <w:sz w:val="22"/>
                <w:szCs w:val="22"/>
              </w:rPr>
              <w:t>处置可供出售金融资产等取得的投资 收益</w:t>
            </w:r>
          </w:p>
        </w:tc>
        <w:tc>
          <w:tcPr>
            <w:tcBorders>
              <w:bottom w:val="single" w:sz="4"/>
            </w:tcBorders>
            <w:shd w:val="clear" w:color="auto" w:fill="FFFFFF"/>
            <w:vAlign w:val="top"/>
          </w:tcPr>
          <w:p>
            <w:pPr>
              <w:pStyle w:val="Style23"/>
              <w:keepNext w:val="0"/>
              <w:keepLines w:val="0"/>
              <w:widowControl w:val="0"/>
              <w:shd w:val="clear" w:color="auto" w:fill="auto"/>
              <w:tabs>
                <w:tab w:pos="2491" w:val="left"/>
              </w:tabs>
              <w:bidi w:val="0"/>
              <w:spacing w:before="0" w:after="360" w:line="240" w:lineRule="auto"/>
              <w:ind w:left="0" w:right="16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tab/>
            </w: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p>
            <w:pPr>
              <w:pStyle w:val="Style23"/>
              <w:keepNext w:val="0"/>
              <w:keepLines w:val="0"/>
              <w:widowControl w:val="0"/>
              <w:shd w:val="clear" w:color="auto" w:fill="auto"/>
              <w:tabs>
                <w:tab w:pos="3306" w:val="left"/>
              </w:tabs>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800,000,000.00</w:t>
              <w:tab/>
              <w:t>1,007,575.03</w:t>
            </w:r>
          </w:p>
          <w:p>
            <w:pPr>
              <w:pStyle w:val="Style23"/>
              <w:keepNext w:val="0"/>
              <w:keepLines w:val="0"/>
              <w:widowControl w:val="0"/>
              <w:shd w:val="clear" w:color="auto" w:fill="auto"/>
              <w:tabs>
                <w:tab w:pos="4300" w:val="left"/>
              </w:tabs>
              <w:bidi w:val="0"/>
              <w:spacing w:before="0" w:after="360" w:line="240" w:lineRule="auto"/>
              <w:ind w:left="0" w:right="0" w:firstLine="700"/>
              <w:jc w:val="left"/>
              <w:rPr>
                <w:sz w:val="24"/>
                <w:szCs w:val="24"/>
              </w:rPr>
            </w:pPr>
            <w:r>
              <w:rPr>
                <w:rFonts w:ascii="Arial" w:eastAsia="Arial" w:hAnsi="Arial" w:cs="Arial"/>
                <w:color w:val="000000"/>
                <w:spacing w:val="0"/>
                <w:w w:val="100"/>
                <w:position w:val="0"/>
                <w:sz w:val="24"/>
                <w:szCs w:val="24"/>
              </w:rPr>
              <w:t>10,324,312.86</w:t>
              <w:tab/>
            </w:r>
            <w:r>
              <w:rPr>
                <w:rFonts w:ascii="Arial" w:eastAsia="Arial" w:hAnsi="Arial" w:cs="Arial"/>
                <w:color w:val="000000"/>
                <w:spacing w:val="0"/>
                <w:w w:val="100"/>
                <w:position w:val="0"/>
                <w:sz w:val="24"/>
                <w:szCs w:val="24"/>
              </w:rPr>
              <w:t>-</w:t>
            </w:r>
          </w:p>
          <w:p>
            <w:pPr>
              <w:pStyle w:val="Style23"/>
              <w:keepNext w:val="0"/>
              <w:keepLines w:val="0"/>
              <w:widowControl w:val="0"/>
              <w:shd w:val="clear" w:color="auto" w:fill="auto"/>
              <w:tabs>
                <w:tab w:pos="3671" w:val="left"/>
              </w:tabs>
              <w:bidi w:val="0"/>
              <w:spacing w:before="0" w:after="360" w:line="240" w:lineRule="auto"/>
              <w:ind w:left="1300" w:right="0" w:firstLine="0"/>
              <w:jc w:val="left"/>
              <w:rPr>
                <w:sz w:val="24"/>
                <w:szCs w:val="24"/>
              </w:rPr>
            </w:pPr>
            <w:r>
              <w:rPr>
                <w:rFonts w:ascii="Arial" w:eastAsia="Arial" w:hAnsi="Arial" w:cs="Arial"/>
                <w:color w:val="000000"/>
                <w:spacing w:val="0"/>
                <w:w w:val="100"/>
                <w:position w:val="0"/>
                <w:sz w:val="24"/>
                <w:szCs w:val="24"/>
              </w:rPr>
              <w:t>9,000.00</w:t>
              <w:tab/>
              <w:t>12,000.00</w:t>
            </w:r>
          </w:p>
          <w:p>
            <w:pPr>
              <w:pStyle w:val="Style23"/>
              <w:keepNext w:val="0"/>
              <w:keepLines w:val="0"/>
              <w:widowControl w:val="0"/>
              <w:shd w:val="clear" w:color="auto" w:fill="auto"/>
              <w:tabs>
                <w:tab w:leader="underscore" w:pos="1056" w:val="left"/>
                <w:tab w:pos="2491" w:val="left"/>
                <w:tab w:leader="underscore" w:pos="4210"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50,000.00</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p>
            <w:pPr>
              <w:pStyle w:val="Style23"/>
              <w:keepNext w:val="0"/>
              <w:keepLines w:val="0"/>
              <w:widowControl w:val="0"/>
              <w:shd w:val="clear" w:color="auto" w:fill="auto"/>
              <w:tabs>
                <w:tab w:pos="3306" w:val="left"/>
              </w:tabs>
              <w:bidi w:val="0"/>
              <w:spacing w:before="0" w:after="360" w:line="240" w:lineRule="auto"/>
              <w:ind w:left="0" w:right="0" w:firstLine="560"/>
              <w:jc w:val="left"/>
              <w:rPr>
                <w:sz w:val="24"/>
                <w:szCs w:val="24"/>
              </w:rPr>
            </w:pPr>
            <w:r>
              <w:rPr>
                <w:rFonts w:ascii="Arial" w:eastAsia="Arial" w:hAnsi="Arial" w:cs="Arial"/>
                <w:color w:val="000000"/>
                <w:spacing w:val="0"/>
                <w:w w:val="100"/>
                <w:position w:val="0"/>
                <w:sz w:val="24"/>
                <w:szCs w:val="24"/>
              </w:rPr>
              <w:t>810,383,312.86</w:t>
              <w:tab/>
              <w:t>1,019,575.03</w:t>
            </w:r>
          </w:p>
        </w:tc>
      </w:tr>
    </w:tbl>
    <w:p>
      <w:pPr>
        <w:spacing w:lineRule="exact" w:line="1"/>
        <w:rPr>
          <w:sz w:val="2"/>
          <w:szCs w:val="2"/>
        </w:rPr>
      </w:pPr>
      <w:r>
        <w:br w:type="page"/>
      </w:r>
    </w:p>
    <w:p>
      <w:pPr>
        <w:pStyle w:val="Style33"/>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财务报表补充资料</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-非经常性损益明细表</w:t>
      </w:r>
    </w:p>
    <w:tbl>
      <w:tblPr>
        <w:tblOverlap w:val="never"/>
        <w:jc w:val="center"/>
        <w:tblLayout w:type="fixed"/>
      </w:tblPr>
      <w:tblGrid>
        <w:gridCol w:w="4061"/>
        <w:gridCol w:w="2530"/>
        <w:gridCol w:w="2237"/>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400" w:firstLine="0"/>
              <w:jc w:val="right"/>
              <w:rPr>
                <w:sz w:val="22"/>
                <w:szCs w:val="22"/>
              </w:rPr>
            </w:pPr>
            <w:r>
              <w:rPr>
                <w:rFonts w:ascii="Arial" w:eastAsia="Arial" w:hAnsi="Arial" w:cs="Arial"/>
                <w:color w:val="000000"/>
                <w:spacing w:val="0"/>
                <w:w w:val="100"/>
                <w:position w:val="0"/>
                <w:sz w:val="24"/>
                <w:szCs w:val="24"/>
              </w:rPr>
              <w:t>2016</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4"/>
                <w:szCs w:val="24"/>
              </w:rPr>
              <w:t>2015</w:t>
            </w:r>
            <w:r>
              <w:rPr>
                <w:color w:val="000000"/>
                <w:spacing w:val="0"/>
                <w:w w:val="100"/>
                <w:position w:val="0"/>
                <w:sz w:val="22"/>
                <w:szCs w:val="22"/>
              </w:rPr>
              <w:t>年度</w:t>
            </w:r>
          </w:p>
        </w:tc>
      </w:tr>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2"/>
                <w:szCs w:val="22"/>
              </w:rPr>
              <w:t>处置非流动资产收益</w:t>
            </w:r>
            <w:r>
              <w:rPr>
                <w:rFonts w:ascii="Arial" w:eastAsia="Arial" w:hAnsi="Arial" w:cs="Arial"/>
                <w:color w:val="000000"/>
                <w:spacing w:val="0"/>
                <w:w w:val="100"/>
                <w:position w:val="0"/>
                <w:sz w:val="24"/>
                <w:szCs w:val="24"/>
              </w:rPr>
              <w:t>/（</w:t>
            </w:r>
            <w:r>
              <w:rPr>
                <w:color w:val="000000"/>
                <w:spacing w:val="0"/>
                <w:w w:val="100"/>
                <w:position w:val="0"/>
                <w:sz w:val="22"/>
                <w:szCs w:val="22"/>
              </w:rPr>
              <w:t>损失</w:t>
            </w:r>
            <w:r>
              <w:rPr>
                <w:color w:val="000000"/>
                <w:spacing w:val="0"/>
                <w:w w:val="100"/>
                <w:position w:val="0"/>
                <w:sz w:val="28"/>
                <w:szCs w:val="2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47,876,538.23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(12,619,915.69)</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计入当期损益的政府补助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266,016,957.54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288,169,008.14</w:t>
            </w:r>
          </w:p>
        </w:tc>
      </w:tr>
      <w:tr>
        <w:trPr>
          <w:trHeight w:val="1277" w:hRule="exact"/>
        </w:trPr>
        <w:tc>
          <w:tcPr>
            <w:tcBorders/>
            <w:shd w:val="clear" w:color="auto" w:fill="FFFFFF"/>
            <w:vAlign w:val="top"/>
          </w:tcPr>
          <w:p>
            <w:pPr>
              <w:pStyle w:val="Style23"/>
              <w:keepNext w:val="0"/>
              <w:keepLines w:val="0"/>
              <w:widowControl w:val="0"/>
              <w:shd w:val="clear" w:color="auto" w:fill="auto"/>
              <w:bidi w:val="0"/>
              <w:spacing w:before="0" w:after="0" w:line="317" w:lineRule="exact"/>
              <w:ind w:left="220" w:right="0" w:hanging="220"/>
              <w:jc w:val="left"/>
              <w:rPr>
                <w:sz w:val="22"/>
                <w:szCs w:val="22"/>
              </w:rPr>
            </w:pPr>
            <w:r>
              <w:rPr>
                <w:color w:val="000000"/>
                <w:spacing w:val="0"/>
                <w:w w:val="100"/>
                <w:position w:val="0"/>
                <w:sz w:val="22"/>
                <w:szCs w:val="22"/>
              </w:rPr>
              <w:t>企业取得子公司、联营企业及合营企业 的投资成本小于取得投资时应享有 被投资单位可辨认净资产公允价值 产生的收益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1,232,938,035.11</w:t>
            </w:r>
          </w:p>
        </w:tc>
        <w:tc>
          <w:tcPr>
            <w:tcBorders/>
            <w:shd w:val="clear" w:color="auto" w:fill="FFFFFF"/>
            <w:vAlign w:val="top"/>
          </w:tcPr>
          <w:p>
            <w:pPr>
              <w:widowControl w:val="0"/>
              <w:rPr>
                <w:sz w:val="10"/>
                <w:szCs w:val="10"/>
              </w:rPr>
            </w:pPr>
          </w:p>
        </w:tc>
      </w:tr>
      <w:tr>
        <w:trPr>
          <w:trHeight w:val="1613" w:hRule="exact"/>
        </w:trPr>
        <w:tc>
          <w:tcPr>
            <w:tcBorders/>
            <w:shd w:val="clear" w:color="auto" w:fill="FFFFFF"/>
            <w:vAlign w:val="bottom"/>
          </w:tcPr>
          <w:p>
            <w:pPr>
              <w:pStyle w:val="Style23"/>
              <w:keepNext w:val="0"/>
              <w:keepLines w:val="0"/>
              <w:widowControl w:val="0"/>
              <w:shd w:val="clear" w:color="auto" w:fill="auto"/>
              <w:bidi w:val="0"/>
              <w:spacing w:before="0" w:after="0" w:line="319" w:lineRule="exact"/>
              <w:ind w:left="220" w:right="0" w:hanging="220"/>
              <w:jc w:val="left"/>
              <w:rPr>
                <w:sz w:val="22"/>
                <w:szCs w:val="22"/>
              </w:rPr>
            </w:pPr>
            <w:r>
              <w:rPr>
                <w:color w:val="000000"/>
                <w:spacing w:val="0"/>
                <w:w w:val="100"/>
                <w:position w:val="0"/>
                <w:sz w:val="22"/>
                <w:szCs w:val="22"/>
              </w:rPr>
              <w:t xml:space="preserve">持有交易性金融资产、交易性金融负债 产生的公允价值变动损益，以及处 置交易性金融资产、交易性金融负 债和可供出售金融资产取得的投资 </w:t>
            </w:r>
            <w:r>
              <w:rPr>
                <w:rFonts w:ascii="Arial" w:eastAsia="Arial" w:hAnsi="Arial" w:cs="Arial"/>
                <w:color w:val="000000"/>
                <w:spacing w:val="0"/>
                <w:w w:val="100"/>
                <w:position w:val="0"/>
                <w:sz w:val="24"/>
                <w:szCs w:val="24"/>
              </w:rPr>
              <w:t>（</w:t>
            </w:r>
            <w:r>
              <w:rPr>
                <w:color w:val="000000"/>
                <w:spacing w:val="0"/>
                <w:w w:val="100"/>
                <w:position w:val="0"/>
                <w:sz w:val="22"/>
                <w:szCs w:val="22"/>
              </w:rPr>
              <w:t>亏损</w:t>
            </w:r>
            <w:r>
              <w:rPr>
                <w:rFonts w:ascii="Arial" w:eastAsia="Arial" w:hAnsi="Arial" w:cs="Arial"/>
                <w:color w:val="000000"/>
                <w:spacing w:val="0"/>
                <w:w w:val="100"/>
                <w:position w:val="0"/>
                <w:sz w:val="24"/>
                <w:szCs w:val="24"/>
              </w:rPr>
              <w:t>）/</w:t>
            </w:r>
            <w:r>
              <w:rPr>
                <w:color w:val="000000"/>
                <w:spacing w:val="0"/>
                <w:w w:val="100"/>
                <w:position w:val="0"/>
                <w:sz w:val="22"/>
                <w:szCs w:val="22"/>
              </w:rPr>
              <w:t>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(11,479,580.98)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149,998,963.47</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对外委托贷款取得的收益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25,058,217.58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21,883,266.80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其他营业外收支净额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5,184,650.70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12,545,019.80</w:t>
            </w:r>
          </w:p>
        </w:tc>
      </w:tr>
      <w:tr>
        <w:trPr>
          <w:trHeight w:val="629" w:hRule="exact"/>
        </w:trPr>
        <w:tc>
          <w:tcPr>
            <w:tcBorders/>
            <w:shd w:val="clear" w:color="auto" w:fill="FFFFFF"/>
            <w:vAlign w:val="bottom"/>
          </w:tcPr>
          <w:p>
            <w:pPr>
              <w:pStyle w:val="Style23"/>
              <w:keepNext w:val="0"/>
              <w:keepLines w:val="0"/>
              <w:widowControl w:val="0"/>
              <w:shd w:val="clear" w:color="auto" w:fill="auto"/>
              <w:bidi w:val="0"/>
              <w:spacing w:before="0" w:after="0" w:line="317" w:lineRule="exact"/>
              <w:ind w:left="220" w:right="0" w:hanging="220"/>
              <w:jc w:val="left"/>
              <w:rPr>
                <w:sz w:val="22"/>
                <w:szCs w:val="22"/>
              </w:rPr>
            </w:pPr>
            <w:r>
              <w:rPr>
                <w:color w:val="000000"/>
                <w:spacing w:val="0"/>
                <w:w w:val="100"/>
                <w:position w:val="0"/>
                <w:sz w:val="22"/>
                <w:szCs w:val="22"/>
              </w:rPr>
              <w:t>单独进行减值测试的应收款项减值准 备转回</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44,978,514.33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1,610,573,332.51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459,976,342.52</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减：所得税影响数</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(72,736,098.78)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(107,268,960.92)</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减：归属于少数股东的非经常性损益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20" w:firstLine="0"/>
              <w:jc w:val="right"/>
              <w:rPr>
                <w:sz w:val="24"/>
                <w:szCs w:val="24"/>
              </w:rPr>
            </w:pPr>
            <w:r>
              <w:rPr>
                <w:rFonts w:ascii="Arial" w:eastAsia="Arial" w:hAnsi="Arial" w:cs="Arial"/>
                <w:color w:val="000000"/>
                <w:spacing w:val="0"/>
                <w:w w:val="100"/>
                <w:position w:val="0"/>
                <w:sz w:val="24"/>
                <w:szCs w:val="24"/>
              </w:rPr>
              <w:t>(620,508.72)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(4,786,501.19)</w:t>
            </w:r>
          </w:p>
        </w:tc>
      </w:tr>
      <w:tr>
        <w:trPr>
          <w:trHeight w:val="33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归属于母公司股东的非经常性损益</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1,537,216,725.01</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347,920,880.41</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317" w:lineRule="exact"/>
              <w:ind w:left="940" w:right="0" w:hanging="940"/>
              <w:jc w:val="left"/>
              <w:rPr>
                <w:sz w:val="22"/>
                <w:szCs w:val="22"/>
              </w:rPr>
            </w:pPr>
            <w:r>
              <w:rPr>
                <w:color w:val="000000"/>
                <w:spacing w:val="0"/>
                <w:w w:val="100"/>
                <w:position w:val="0"/>
                <w:sz w:val="22"/>
                <w:szCs w:val="22"/>
              </w:rPr>
              <w:t>其中：持续经营业务产生的非经常性损 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1,537,216,725.01</w:t>
            </w:r>
          </w:p>
        </w:tc>
        <w:tc>
          <w:tcPr>
            <w:tcBorders>
              <w:top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343,823,004.31</w:t>
            </w:r>
          </w:p>
        </w:tc>
      </w:tr>
      <w:tr>
        <w:trPr>
          <w:trHeight w:val="634" w:hRule="exact"/>
        </w:trPr>
        <w:tc>
          <w:tcPr>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right"/>
              <w:rPr>
                <w:sz w:val="22"/>
                <w:szCs w:val="22"/>
              </w:rPr>
            </w:pPr>
            <w:r>
              <w:rPr>
                <w:color w:val="000000"/>
                <w:spacing w:val="0"/>
                <w:w w:val="100"/>
                <w:position w:val="0"/>
                <w:sz w:val="22"/>
                <w:szCs w:val="22"/>
              </w:rPr>
              <w:t>剥离业务产生的非经常性 损益</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Arial" w:eastAsia="Arial" w:hAnsi="Arial" w:cs="Arial"/>
                <w:color w:val="000000"/>
                <w:spacing w:val="0"/>
                <w:w w:val="100"/>
                <w:position w:val="0"/>
                <w:sz w:val="24"/>
                <w:szCs w:val="24"/>
              </w:rPr>
              <w:t>-</w:t>
            </w:r>
          </w:p>
        </w:tc>
        <w:tc>
          <w:tcPr>
            <w:tcBorders>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4,097,876.10</w:t>
            </w:r>
          </w:p>
        </w:tc>
      </w:tr>
    </w:tbl>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非经常性损益明细表编制基础</w:t>
      </w:r>
    </w:p>
    <w:p>
      <w:pPr>
        <w:widowControl w:val="0"/>
        <w:spacing w:after="339" w:line="1" w:lineRule="exact"/>
      </w:pPr>
    </w:p>
    <w:p>
      <w:pPr>
        <w:pStyle w:val="Style33"/>
        <w:keepNext w:val="0"/>
        <w:keepLines w:val="0"/>
        <w:widowControl w:val="0"/>
        <w:shd w:val="clear" w:color="auto" w:fill="auto"/>
        <w:bidi w:val="0"/>
        <w:spacing w:before="0" w:after="340" w:line="317" w:lineRule="exact"/>
        <w:ind w:left="0" w:right="0" w:firstLine="0"/>
        <w:jc w:val="left"/>
        <w:rPr>
          <w:sz w:val="22"/>
          <w:szCs w:val="22"/>
        </w:rPr>
        <w:sectPr>
          <w:footnotePr>
            <w:pos w:val="pageBottom"/>
            <w:numFmt w:val="decimal"/>
            <w:numRestart w:val="continuous"/>
          </w:footnotePr>
          <w:type w:val="continuous"/>
          <w:pgSz w:w="11900" w:h="16840"/>
          <w:pgMar w:top="1436" w:right="1014" w:bottom="3423" w:left="1924" w:header="0" w:footer="3" w:gutter="0"/>
          <w:cols w:space="720"/>
          <w:noEndnote/>
          <w:rtlGutter w:val="0"/>
          <w:docGrid w:linePitch="360"/>
        </w:sectPr>
      </w:pPr>
      <w:r>
        <w:rPr>
          <w:b w:val="0"/>
          <w:bCs w:val="0"/>
          <w:color w:val="000000"/>
          <w:spacing w:val="0"/>
          <w:w w:val="100"/>
          <w:position w:val="0"/>
          <w:sz w:val="22"/>
          <w:szCs w:val="22"/>
        </w:rPr>
        <w:t>根据中国证券监督管理委员会《公开发行证券的公司信息披露解释性公告第</w:t>
      </w:r>
      <w:r>
        <w:rPr>
          <w:rFonts w:ascii="Arial" w:eastAsia="Arial" w:hAnsi="Arial" w:cs="Arial"/>
          <w:b w:val="0"/>
          <w:bCs w:val="0"/>
          <w:color w:val="000000"/>
          <w:spacing w:val="0"/>
          <w:w w:val="100"/>
          <w:position w:val="0"/>
          <w:sz w:val="24"/>
          <w:szCs w:val="24"/>
        </w:rPr>
        <w:t>1</w:t>
      </w:r>
      <w:r>
        <w:rPr>
          <w:b w:val="0"/>
          <w:bCs w:val="0"/>
          <w:color w:val="000000"/>
          <w:spacing w:val="0"/>
          <w:w w:val="100"/>
          <w:position w:val="0"/>
          <w:sz w:val="22"/>
          <w:szCs w:val="22"/>
        </w:rPr>
        <w:t>号—— 非经常性损益</w:t>
      </w:r>
      <w:r>
        <w:rPr>
          <w:rFonts w:ascii="Arial" w:eastAsia="Arial" w:hAnsi="Arial" w:cs="Arial"/>
          <w:b w:val="0"/>
          <w:bCs w:val="0"/>
          <w:color w:val="000000"/>
          <w:spacing w:val="0"/>
          <w:w w:val="100"/>
          <w:position w:val="0"/>
          <w:sz w:val="24"/>
          <w:szCs w:val="24"/>
        </w:rPr>
        <w:t>［2008］</w:t>
      </w:r>
      <w:r>
        <w:rPr>
          <w:b w:val="0"/>
          <w:bCs w:val="0"/>
          <w:color w:val="000000"/>
          <w:spacing w:val="0"/>
          <w:w w:val="100"/>
          <w:position w:val="0"/>
          <w:sz w:val="22"/>
          <w:szCs w:val="22"/>
        </w:rPr>
        <w:t>》的规定，非经常性损益是指与公司正常经营业务无直接关系， 以及虽与正常经营业务相关，但由于其性质特殊和偶发性，影响报表使用人对公司经 营业绩和盈利能力作出正确判断的各项交易和事项产生的损益。</w:t>
      </w:r>
    </w:p>
    <w:p>
      <w:pPr>
        <w:pStyle w:val="Style27"/>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r>
        <w:rPr>
          <w:color w:val="000000"/>
          <w:spacing w:val="0"/>
          <w:w w:val="100"/>
          <w:position w:val="0"/>
          <w:sz w:val="22"/>
          <w:szCs w:val="22"/>
        </w:rPr>
        <w:t>财务报表补充资料</w:t>
      </w:r>
      <w:r>
        <w:rPr>
          <w:rFonts w:ascii="Arial" w:eastAsia="Arial" w:hAnsi="Arial" w:cs="Arial"/>
          <w:b w:val="0"/>
          <w:bCs w:val="0"/>
          <w:color w:val="000000"/>
          <w:spacing w:val="0"/>
          <w:w w:val="100"/>
          <w:position w:val="0"/>
          <w:sz w:val="24"/>
          <w:szCs w:val="24"/>
        </w:rPr>
        <w:t>(</w:t>
      </w:r>
      <w:r>
        <w:rPr>
          <w:color w:val="000000"/>
          <w:spacing w:val="0"/>
          <w:w w:val="100"/>
          <w:position w:val="0"/>
          <w:sz w:val="22"/>
          <w:szCs w:val="22"/>
        </w:rPr>
        <w:t>续</w:t>
      </w:r>
      <w:r>
        <w:rPr>
          <w:rFonts w:ascii="Arial" w:eastAsia="Arial" w:hAnsi="Arial" w:cs="Arial"/>
          <w:b w:val="0"/>
          <w:bCs w:val="0"/>
          <w:color w:val="000000"/>
          <w:spacing w:val="0"/>
          <w:w w:val="100"/>
          <w:position w:val="0"/>
          <w:sz w:val="24"/>
          <w:szCs w:val="24"/>
        </w:rPr>
        <w:t>)</w:t>
      </w:r>
      <w:bookmarkEnd w:id="1124"/>
      <w:bookmarkEnd w:id="1125"/>
      <w:bookmarkEnd w:id="1126"/>
    </w:p>
    <w:p>
      <w:pPr>
        <w:pStyle w:val="Style27"/>
        <w:keepNext/>
        <w:keepLines/>
        <w:widowControl w:val="0"/>
        <w:shd w:val="clear" w:color="auto" w:fill="auto"/>
        <w:bidi w:val="0"/>
        <w:spacing w:before="0" w:after="440" w:line="240" w:lineRule="auto"/>
        <w:ind w:left="0" w:right="0" w:firstLine="0"/>
        <w:jc w:val="left"/>
        <w:rPr>
          <w:sz w:val="22"/>
          <w:szCs w:val="22"/>
        </w:rPr>
      </w:pPr>
      <w:bookmarkStart w:id="1124" w:name="bookmark1124"/>
      <w:bookmarkStart w:id="1125" w:name="bookmark1125"/>
      <w:bookmarkStart w:id="1127" w:name="bookmark1127"/>
      <w:r>
        <w:rPr>
          <w:color w:val="000000"/>
          <w:spacing w:val="0"/>
          <w:w w:val="100"/>
          <w:position w:val="0"/>
          <w:sz w:val="22"/>
          <w:szCs w:val="22"/>
        </w:rPr>
        <w:t>二净资产收益率及每股收益</w:t>
      </w:r>
      <w:bookmarkEnd w:id="1124"/>
      <w:bookmarkEnd w:id="1125"/>
      <w:bookmarkEnd w:id="1127"/>
    </w:p>
    <w:p>
      <w:pPr>
        <w:pStyle w:val="Style11"/>
        <w:keepNext w:val="0"/>
        <w:keepLines w:val="0"/>
        <w:widowControl w:val="0"/>
        <w:shd w:val="clear" w:color="auto" w:fill="auto"/>
        <w:tabs>
          <w:tab w:pos="1584" w:val="left"/>
          <w:tab w:leader="underscore" w:pos="3926" w:val="left"/>
        </w:tabs>
        <w:bidi w:val="0"/>
        <w:spacing w:before="0" w:after="100" w:line="240" w:lineRule="auto"/>
        <w:ind w:left="0" w:right="0" w:firstLine="0"/>
        <w:jc w:val="center"/>
        <w:rPr>
          <w:sz w:val="16"/>
          <w:szCs w:val="16"/>
        </w:rPr>
      </w:pPr>
      <w:r>
        <w:rPr>
          <w:color w:val="000000"/>
          <w:spacing w:val="0"/>
          <w:w w:val="100"/>
          <w:position w:val="0"/>
          <w:sz w:val="16"/>
          <w:szCs w:val="16"/>
        </w:rPr>
        <w:t>加权平均</w:t>
        <w:tab/>
        <w:tab/>
      </w:r>
      <w:r>
        <w:rPr>
          <w:color w:val="000000"/>
          <w:spacing w:val="0"/>
          <w:w w:val="100"/>
          <w:position w:val="0"/>
          <w:sz w:val="16"/>
          <w:szCs w:val="16"/>
          <w:u w:val="single"/>
        </w:rPr>
        <w:t>每股收益</w:t>
      </w:r>
    </w:p>
    <w:p>
      <w:pPr>
        <w:pStyle w:val="Style29"/>
        <w:keepNext w:val="0"/>
        <w:keepLines w:val="0"/>
        <w:widowControl w:val="0"/>
        <w:shd w:val="clear" w:color="auto" w:fill="auto"/>
        <w:tabs>
          <w:tab w:pos="4258" w:val="left"/>
          <w:tab w:pos="6936" w:val="left"/>
        </w:tabs>
        <w:bidi w:val="0"/>
        <w:spacing w:before="0" w:after="0" w:line="240" w:lineRule="auto"/>
        <w:ind w:left="1598" w:right="0" w:firstLine="0"/>
        <w:jc w:val="left"/>
        <w:rPr>
          <w:sz w:val="16"/>
          <w:szCs w:val="16"/>
        </w:rPr>
      </w:pPr>
      <w:r>
        <w:rPr>
          <w:color w:val="000000"/>
          <w:spacing w:val="0"/>
          <w:w w:val="100"/>
          <w:position w:val="0"/>
          <w:sz w:val="16"/>
          <w:szCs w:val="16"/>
        </w:rPr>
        <w:t>净资产收益率</w:t>
      </w:r>
      <w:r>
        <w:rPr>
          <w:rFonts w:ascii="Arial" w:eastAsia="Arial" w:hAnsi="Arial" w:cs="Arial"/>
          <w:color w:val="000000"/>
          <w:spacing w:val="0"/>
          <w:w w:val="100"/>
          <w:position w:val="0"/>
          <w:sz w:val="16"/>
          <w:szCs w:val="16"/>
        </w:rPr>
        <w:t>(%)</w:t>
        <w:tab/>
      </w:r>
      <w:r>
        <w:rPr>
          <w:color w:val="000000"/>
          <w:spacing w:val="0"/>
          <w:w w:val="100"/>
          <w:position w:val="0"/>
          <w:sz w:val="16"/>
          <w:szCs w:val="16"/>
        </w:rPr>
        <w:t>基本每股收益</w:t>
        <w:tab/>
        <w:t>稀释每股收益</w:t>
      </w:r>
    </w:p>
    <w:tbl>
      <w:tblPr>
        <w:tblOverlap w:val="never"/>
        <w:jc w:val="center"/>
        <w:tblLayout w:type="fixed"/>
      </w:tblPr>
      <w:tblGrid>
        <w:gridCol w:w="1224"/>
        <w:gridCol w:w="1142"/>
        <w:gridCol w:w="1272"/>
        <w:gridCol w:w="1325"/>
        <w:gridCol w:w="1378"/>
        <w:gridCol w:w="1373"/>
        <w:gridCol w:w="1018"/>
      </w:tblGrid>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80" w:firstLine="0"/>
              <w:jc w:val="righ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r>
      <w:tr>
        <w:trPr>
          <w:trHeight w:val="1114" w:hRule="exact"/>
        </w:trPr>
        <w:tc>
          <w:tcPr>
            <w:tcBorders/>
            <w:shd w:val="clear" w:color="auto" w:fill="FFFFFF"/>
            <w:vAlign w:val="bottom"/>
          </w:tcPr>
          <w:p>
            <w:pPr>
              <w:pStyle w:val="Style23"/>
              <w:keepNext w:val="0"/>
              <w:keepLines w:val="0"/>
              <w:widowControl w:val="0"/>
              <w:shd w:val="clear" w:color="auto" w:fill="auto"/>
              <w:bidi w:val="0"/>
              <w:spacing w:before="0" w:after="0" w:line="322" w:lineRule="exact"/>
              <w:ind w:left="180" w:right="0" w:hanging="180"/>
              <w:jc w:val="both"/>
              <w:rPr>
                <w:sz w:val="16"/>
                <w:szCs w:val="16"/>
              </w:rPr>
            </w:pPr>
            <w:r>
              <w:rPr>
                <w:color w:val="000000"/>
                <w:spacing w:val="0"/>
                <w:w w:val="100"/>
                <w:position w:val="0"/>
                <w:sz w:val="16"/>
                <w:szCs w:val="16"/>
              </w:rPr>
              <w:t>归属于公司普 通股股东的 净利润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22.46%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7.83%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0.28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1.06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0.28</w:t>
            </w:r>
          </w:p>
        </w:tc>
      </w:tr>
      <w:tr>
        <w:trPr>
          <w:trHeight w:val="1598" w:hRule="exact"/>
        </w:trPr>
        <w:tc>
          <w:tcPr>
            <w:tcBorders/>
            <w:shd w:val="clear" w:color="auto" w:fill="FFFFFF"/>
            <w:vAlign w:val="center"/>
          </w:tcPr>
          <w:p>
            <w:pPr>
              <w:pStyle w:val="Style23"/>
              <w:keepNext w:val="0"/>
              <w:keepLines w:val="0"/>
              <w:widowControl w:val="0"/>
              <w:shd w:val="clear" w:color="auto" w:fill="auto"/>
              <w:bidi w:val="0"/>
              <w:spacing w:before="0" w:after="0" w:line="318" w:lineRule="exact"/>
              <w:ind w:left="180" w:right="0" w:hanging="180"/>
              <w:jc w:val="both"/>
              <w:rPr>
                <w:sz w:val="16"/>
                <w:szCs w:val="16"/>
              </w:rPr>
            </w:pPr>
            <w:r>
              <w:rPr>
                <w:color w:val="000000"/>
                <w:spacing w:val="0"/>
                <w:w w:val="100"/>
                <w:position w:val="0"/>
                <w:sz w:val="16"/>
                <w:szCs w:val="16"/>
              </w:rPr>
              <w:t>扣除非经常性 损益后归属 于公司普通 股股东的净 利润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14.20%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0.67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0.19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0.67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0.19</w:t>
            </w:r>
          </w:p>
        </w:tc>
      </w:tr>
      <w:tr>
        <w:trPr>
          <w:trHeight w:val="1920" w:hRule="exact"/>
        </w:trPr>
        <w:tc>
          <w:tcPr>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其中：</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9"/>
                <w:szCs w:val="19"/>
              </w:rPr>
              <w:t>一</w:t>
            </w:r>
            <w:r>
              <w:rPr>
                <w:color w:val="000000"/>
                <w:spacing w:val="0"/>
                <w:w w:val="100"/>
                <w:position w:val="0"/>
                <w:sz w:val="16"/>
                <w:szCs w:val="16"/>
              </w:rPr>
              <w:t>持续经营业</w:t>
            </w:r>
          </w:p>
          <w:p>
            <w:pPr>
              <w:pStyle w:val="Style23"/>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归属于公司普</w:t>
            </w:r>
          </w:p>
          <w:p>
            <w:pPr>
              <w:pStyle w:val="Style23"/>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通股股东的</w:t>
            </w:r>
          </w:p>
          <w:p>
            <w:pPr>
              <w:pStyle w:val="Style23"/>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净利润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22.46%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13.21%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0.50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1.06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0.50</w:t>
            </w:r>
          </w:p>
        </w:tc>
      </w:tr>
      <w:tr>
        <w:trPr>
          <w:trHeight w:val="1555" w:hRule="exact"/>
        </w:trPr>
        <w:tc>
          <w:tcPr>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left"/>
              <w:rPr>
                <w:sz w:val="16"/>
                <w:szCs w:val="16"/>
              </w:rPr>
            </w:pPr>
            <w:r>
              <w:rPr>
                <w:color w:val="000000"/>
                <w:spacing w:val="0"/>
                <w:w w:val="100"/>
                <w:position w:val="0"/>
                <w:sz w:val="16"/>
                <w:szCs w:val="16"/>
              </w:rPr>
              <w:t>扣除非经常性</w:t>
            </w:r>
          </w:p>
          <w:p>
            <w:pPr>
              <w:pStyle w:val="Style23"/>
              <w:keepNext w:val="0"/>
              <w:keepLines w:val="0"/>
              <w:widowControl w:val="0"/>
              <w:shd w:val="clear" w:color="auto" w:fill="auto"/>
              <w:bidi w:val="0"/>
              <w:spacing w:before="0" w:after="0" w:line="320" w:lineRule="exact"/>
              <w:ind w:left="180" w:right="0" w:firstLine="20"/>
              <w:jc w:val="both"/>
              <w:rPr>
                <w:sz w:val="16"/>
                <w:szCs w:val="16"/>
              </w:rPr>
            </w:pPr>
            <w:r>
              <w:rPr>
                <w:color w:val="000000"/>
                <w:spacing w:val="0"/>
                <w:w w:val="100"/>
                <w:position w:val="0"/>
                <w:sz w:val="16"/>
                <w:szCs w:val="16"/>
              </w:rPr>
              <w:t>损益后归属 于公司普通 股股东的净 利润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14.20%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10.90%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0.67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0.41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0.67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0.41</w:t>
            </w: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436" w:right="1014" w:bottom="3423" w:left="1924" w:header="0" w:footer="3" w:gutter="0"/>
          <w:cols w:space="720"/>
          <w:noEndnote/>
          <w:rtlGutter w:val="0"/>
          <w:docGrid w:linePitch="360"/>
        </w:sectPr>
      </w:pPr>
    </w:p>
    <w:p>
      <w:pPr>
        <w:pStyle w:val="Style8"/>
        <w:keepNext/>
        <w:keepLines/>
        <w:widowControl w:val="0"/>
        <w:shd w:val="clear" w:color="auto" w:fill="auto"/>
        <w:bidi w:val="0"/>
        <w:spacing w:before="0" w:after="600" w:line="240" w:lineRule="auto"/>
        <w:ind w:left="0" w:right="0" w:firstLine="0"/>
        <w:jc w:val="center"/>
      </w:pPr>
      <w:bookmarkStart w:id="1128" w:name="bookmark1128"/>
      <w:bookmarkStart w:id="1129" w:name="bookmark1129"/>
      <w:bookmarkStart w:id="1130" w:name="bookmark1130"/>
      <w:r>
        <w:rPr>
          <w:color w:val="000000"/>
          <w:spacing w:val="0"/>
          <w:w w:val="100"/>
          <w:position w:val="0"/>
        </w:rPr>
        <w:t>第十二节备查文件目录</w:t>
      </w:r>
      <w:bookmarkEnd w:id="1128"/>
      <w:bookmarkEnd w:id="1129"/>
      <w:bookmarkEnd w:id="1130"/>
    </w:p>
    <w:p>
      <w:pPr>
        <w:pStyle w:val="Style11"/>
        <w:keepNext w:val="0"/>
        <w:keepLines w:val="0"/>
        <w:widowControl w:val="0"/>
        <w:shd w:val="clear" w:color="auto" w:fill="auto"/>
        <w:tabs>
          <w:tab w:pos="531" w:val="left"/>
        </w:tabs>
        <w:bidi w:val="0"/>
        <w:spacing w:before="0" w:after="100" w:line="240" w:lineRule="auto"/>
        <w:ind w:left="0" w:right="0" w:firstLine="0"/>
        <w:jc w:val="left"/>
      </w:pPr>
      <w:bookmarkStart w:id="1131" w:name="bookmark1131"/>
      <w:bookmarkStart w:id="1132" w:name="bookmark1132"/>
      <w:r>
        <w:rPr>
          <w:color w:val="000000"/>
          <w:spacing w:val="0"/>
          <w:w w:val="100"/>
          <w:position w:val="0"/>
        </w:rPr>
        <w:t>（</w:t>
      </w:r>
      <w:bookmarkEnd w:id="1132"/>
      <w:r>
        <w:rPr>
          <w:color w:val="000000"/>
          <w:spacing w:val="0"/>
          <w:w w:val="100"/>
          <w:position w:val="0"/>
        </w:rPr>
        <w:t>一）</w:t>
        <w:tab/>
        <w:t>载有公司法定代表人、财务负责人、会计机构负责人签名并盖章的财务报表。</w:t>
      </w:r>
      <w:bookmarkEnd w:id="1131"/>
    </w:p>
    <w:p>
      <w:pPr>
        <w:pStyle w:val="Style11"/>
        <w:keepNext w:val="0"/>
        <w:keepLines w:val="0"/>
        <w:widowControl w:val="0"/>
        <w:shd w:val="clear" w:color="auto" w:fill="auto"/>
        <w:tabs>
          <w:tab w:pos="531" w:val="left"/>
        </w:tabs>
        <w:bidi w:val="0"/>
        <w:spacing w:before="0" w:after="100" w:line="240" w:lineRule="auto"/>
        <w:ind w:left="0" w:right="0" w:firstLine="0"/>
        <w:jc w:val="left"/>
      </w:pPr>
      <w:bookmarkStart w:id="1133" w:name="bookmark1133"/>
      <w:r>
        <w:rPr>
          <w:color w:val="000000"/>
          <w:spacing w:val="0"/>
          <w:w w:val="100"/>
          <w:position w:val="0"/>
        </w:rPr>
        <w:t>（</w:t>
      </w:r>
      <w:bookmarkEnd w:id="1133"/>
      <w:r>
        <w:rPr>
          <w:color w:val="000000"/>
          <w:spacing w:val="0"/>
          <w:w w:val="100"/>
          <w:position w:val="0"/>
        </w:rPr>
        <w:t>二）</w:t>
        <w:tab/>
        <w:t>载有会计师事务所盖章、注册会计师签名并盖章的审计报告原件。</w:t>
      </w:r>
    </w:p>
    <w:p>
      <w:pPr>
        <w:pStyle w:val="Style11"/>
        <w:keepNext w:val="0"/>
        <w:keepLines w:val="0"/>
        <w:widowControl w:val="0"/>
        <w:shd w:val="clear" w:color="auto" w:fill="auto"/>
        <w:tabs>
          <w:tab w:pos="531" w:val="left"/>
        </w:tabs>
        <w:bidi w:val="0"/>
        <w:spacing w:before="0" w:after="100" w:line="240" w:lineRule="auto"/>
        <w:ind w:left="0" w:right="0" w:firstLine="0"/>
        <w:jc w:val="left"/>
      </w:pPr>
      <w:bookmarkStart w:id="1134" w:name="bookmark1134"/>
      <w:r>
        <w:rPr>
          <w:color w:val="000000"/>
          <w:spacing w:val="0"/>
          <w:w w:val="100"/>
          <w:position w:val="0"/>
        </w:rPr>
        <w:t>（</w:t>
      </w:r>
      <w:bookmarkEnd w:id="1134"/>
      <w:r>
        <w:rPr>
          <w:color w:val="000000"/>
          <w:spacing w:val="0"/>
          <w:w w:val="100"/>
          <w:position w:val="0"/>
        </w:rPr>
        <w:t>三）</w:t>
        <w:tab/>
        <w:t>报告期内在中国证监会指定报纸上公开披露过的所有公司文件的正本及公告原稿。</w:t>
      </w:r>
    </w:p>
    <w:p>
      <w:pPr>
        <w:pStyle w:val="Style11"/>
        <w:keepNext w:val="0"/>
        <w:keepLines w:val="0"/>
        <w:widowControl w:val="0"/>
        <w:shd w:val="clear" w:color="auto" w:fill="auto"/>
        <w:tabs>
          <w:tab w:pos="531" w:val="left"/>
        </w:tabs>
        <w:bidi w:val="0"/>
        <w:spacing w:before="0" w:after="100" w:line="240" w:lineRule="auto"/>
        <w:ind w:left="0" w:right="0" w:firstLine="0"/>
        <w:jc w:val="left"/>
      </w:pPr>
      <w:bookmarkStart w:id="1135" w:name="bookmark1135"/>
      <w:r>
        <w:rPr>
          <w:color w:val="000000"/>
          <w:spacing w:val="0"/>
          <w:w w:val="100"/>
          <w:position w:val="0"/>
        </w:rPr>
        <w:t>（</w:t>
      </w:r>
      <w:bookmarkEnd w:id="1135"/>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11"/>
        <w:keepNext w:val="0"/>
        <w:keepLines w:val="0"/>
        <w:widowControl w:val="0"/>
        <w:shd w:val="clear" w:color="auto" w:fill="auto"/>
        <w:tabs>
          <w:tab w:pos="531" w:val="left"/>
        </w:tabs>
        <w:bidi w:val="0"/>
        <w:spacing w:before="0" w:after="100" w:line="240" w:lineRule="auto"/>
        <w:ind w:left="0" w:right="0" w:firstLine="0"/>
        <w:jc w:val="left"/>
      </w:pPr>
      <w:bookmarkStart w:id="1136" w:name="bookmark1136"/>
      <w:r>
        <w:rPr>
          <w:color w:val="000000"/>
          <w:spacing w:val="0"/>
          <w:w w:val="100"/>
          <w:position w:val="0"/>
        </w:rPr>
        <w:t>（</w:t>
      </w:r>
      <w:bookmarkEnd w:id="1136"/>
      <w:r>
        <w:rPr>
          <w:color w:val="000000"/>
          <w:spacing w:val="0"/>
          <w:w w:val="100"/>
          <w:position w:val="0"/>
        </w:rPr>
        <w:t>五）</w:t>
        <w:tab/>
        <w:t>以上备查文件的备置地点：公司董事会办公室。</w:t>
      </w:r>
    </w:p>
    <w:sectPr>
      <w:footnotePr>
        <w:pos w:val="pageBottom"/>
        <w:numFmt w:val="decimal"/>
        <w:numRestart w:val="continuous"/>
      </w:footnotePr>
      <w:pgSz w:w="11900" w:h="16840"/>
      <w:pgMar w:top="1887" w:right="1297" w:bottom="1887" w:left="18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6827520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7.60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6523355</wp:posOffset>
              </wp:positionH>
              <wp:positionV relativeFrom="page">
                <wp:posOffset>10166350</wp:posOffset>
              </wp:positionV>
              <wp:extent cx="326390" cy="82550"/>
              <wp:wrapNone/>
              <wp:docPr id="77" name="Shape 77"/>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03" type="#_x0000_t202" style="position:absolute;margin-left:513.64999999999998pt;margin-top:800.5pt;width:25.699999999999999pt;height:6.5pt;z-index:-1887440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6510020</wp:posOffset>
              </wp:positionH>
              <wp:positionV relativeFrom="page">
                <wp:posOffset>10140950</wp:posOffset>
              </wp:positionV>
              <wp:extent cx="328930" cy="82550"/>
              <wp:wrapNone/>
              <wp:docPr id="114" name="Shape 11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40" type="#_x0000_t202" style="position:absolute;margin-left:512.60000000000002pt;margin-top:798.5pt;width:25.900000000000002pt;height:6.5pt;z-index:-1887440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6510020</wp:posOffset>
              </wp:positionH>
              <wp:positionV relativeFrom="page">
                <wp:posOffset>10140950</wp:posOffset>
              </wp:positionV>
              <wp:extent cx="328930" cy="82550"/>
              <wp:wrapNone/>
              <wp:docPr id="121" name="Shape 121"/>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47" type="#_x0000_t202" style="position:absolute;margin-left:512.60000000000002pt;margin-top:798.5pt;width:25.900000000000002pt;height:6.5pt;z-index:-1887440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4300855</wp:posOffset>
              </wp:positionH>
              <wp:positionV relativeFrom="page">
                <wp:posOffset>7004050</wp:posOffset>
              </wp:positionV>
              <wp:extent cx="326390" cy="82550"/>
              <wp:wrapNone/>
              <wp:docPr id="147" name="Shape 147"/>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wps:txbx>
                    <wps:bodyPr wrap="none" lIns="0" tIns="0" rIns="0" bIns="0">
                      <a:spAutoFit/>
                    </wps:bodyPr>
                  </wps:wsp>
                </a:graphicData>
              </a:graphic>
            </wp:anchor>
          </w:drawing>
        </mc:Choice>
        <mc:Fallback>
          <w:pict>
            <v:shape id="_x0000_s1173" type="#_x0000_t202" style="position:absolute;margin-left:338.65000000000003pt;margin-top:551.5pt;width:25.699999999999999pt;height:6.5pt;z-index:-1887439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4300855</wp:posOffset>
              </wp:positionH>
              <wp:positionV relativeFrom="page">
                <wp:posOffset>7004050</wp:posOffset>
              </wp:positionV>
              <wp:extent cx="326390" cy="82550"/>
              <wp:wrapNone/>
              <wp:docPr id="151" name="Shape 151"/>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wps:txbx>
                    <wps:bodyPr wrap="none" lIns="0" tIns="0" rIns="0" bIns="0">
                      <a:spAutoFit/>
                    </wps:bodyPr>
                  </wps:wsp>
                </a:graphicData>
              </a:graphic>
            </wp:anchor>
          </w:drawing>
        </mc:Choice>
        <mc:Fallback>
          <w:pict>
            <v:shape id="_x0000_s1177" type="#_x0000_t202" style="position:absolute;margin-left:338.65000000000003pt;margin-top:551.5pt;width:25.699999999999999pt;height:6.5pt;z-index:-1887439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6506845</wp:posOffset>
              </wp:positionH>
              <wp:positionV relativeFrom="page">
                <wp:posOffset>10140950</wp:posOffset>
              </wp:positionV>
              <wp:extent cx="328930" cy="82550"/>
              <wp:wrapNone/>
              <wp:docPr id="158" name="Shape 158"/>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84" type="#_x0000_t202" style="position:absolute;margin-left:512.35000000000002pt;margin-top:798.5pt;width:25.900000000000002pt;height:6.5pt;z-index:-1887439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6827520</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7.60000000000002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9647555</wp:posOffset>
              </wp:positionH>
              <wp:positionV relativeFrom="page">
                <wp:posOffset>7004050</wp:posOffset>
              </wp:positionV>
              <wp:extent cx="326390" cy="82550"/>
              <wp:wrapNone/>
              <wp:docPr id="163" name="Shape 163"/>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89" type="#_x0000_t202" style="position:absolute;margin-left:759.64999999999998pt;margin-top:551.5pt;width:25.699999999999999pt;height:6.5pt;z-index:-1887439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6510020</wp:posOffset>
              </wp:positionH>
              <wp:positionV relativeFrom="page">
                <wp:posOffset>10140950</wp:posOffset>
              </wp:positionV>
              <wp:extent cx="328930" cy="82550"/>
              <wp:wrapNone/>
              <wp:docPr id="180" name="Shape 180"/>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06" type="#_x0000_t202" style="position:absolute;margin-left:512.60000000000002pt;margin-top:798.5pt;width:25.900000000000002pt;height:6.5pt;z-index:-1887439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6510020</wp:posOffset>
              </wp:positionH>
              <wp:positionV relativeFrom="page">
                <wp:posOffset>10140950</wp:posOffset>
              </wp:positionV>
              <wp:extent cx="328930" cy="82550"/>
              <wp:wrapNone/>
              <wp:docPr id="187" name="Shape 187"/>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13" type="#_x0000_t202" style="position:absolute;margin-left:512.60000000000002pt;margin-top:798.5pt;width:25.900000000000002pt;height:6.5pt;z-index:-1887439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6513195</wp:posOffset>
              </wp:positionH>
              <wp:positionV relativeFrom="page">
                <wp:posOffset>10195560</wp:posOffset>
              </wp:positionV>
              <wp:extent cx="328930" cy="82550"/>
              <wp:wrapNone/>
              <wp:docPr id="192" name="Shape 192"/>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18" type="#_x0000_t202" style="position:absolute;margin-left:512.85000000000002pt;margin-top:802.80000000000007pt;width:25.900000000000002pt;height:6.5pt;z-index:-1887439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6513195</wp:posOffset>
              </wp:positionH>
              <wp:positionV relativeFrom="page">
                <wp:posOffset>10195560</wp:posOffset>
              </wp:positionV>
              <wp:extent cx="328930" cy="82550"/>
              <wp:wrapNone/>
              <wp:docPr id="197" name="Shape 197"/>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23" type="#_x0000_t202" style="position:absolute;margin-left:512.85000000000002pt;margin-top:802.80000000000007pt;width:25.900000000000002pt;height:6.5pt;z-index:-1887439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6506845</wp:posOffset>
              </wp:positionH>
              <wp:positionV relativeFrom="page">
                <wp:posOffset>10140950</wp:posOffset>
              </wp:positionV>
              <wp:extent cx="328930" cy="82550"/>
              <wp:wrapNone/>
              <wp:docPr id="204" name="Shape 20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30" type="#_x0000_t202" style="position:absolute;margin-left:512.35000000000002pt;margin-top:798.5pt;width:25.900000000000002pt;height:6.5pt;z-index:-1887439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9647555</wp:posOffset>
              </wp:positionH>
              <wp:positionV relativeFrom="page">
                <wp:posOffset>7004050</wp:posOffset>
              </wp:positionV>
              <wp:extent cx="326390" cy="82550"/>
              <wp:wrapNone/>
              <wp:docPr id="209" name="Shape 209"/>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35" type="#_x0000_t202" style="position:absolute;margin-left:759.64999999999998pt;margin-top:551.5pt;width:25.699999999999999pt;height:6.5pt;z-index:-1887439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9647555</wp:posOffset>
              </wp:positionH>
              <wp:positionV relativeFrom="page">
                <wp:posOffset>7004050</wp:posOffset>
              </wp:positionV>
              <wp:extent cx="326390" cy="82550"/>
              <wp:wrapNone/>
              <wp:docPr id="214" name="Shape 214"/>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40" type="#_x0000_t202" style="position:absolute;margin-left:759.64999999999998pt;margin-top:551.5pt;width:25.699999999999999pt;height:6.5pt;z-index:-1887439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6570980</wp:posOffset>
              </wp:positionH>
              <wp:positionV relativeFrom="page">
                <wp:posOffset>10140950</wp:posOffset>
              </wp:positionV>
              <wp:extent cx="328930" cy="82550"/>
              <wp:wrapNone/>
              <wp:docPr id="221" name="Shape 221"/>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47" type="#_x0000_t202" style="position:absolute;margin-left:517.39999999999998pt;margin-top:798.5pt;width:25.900000000000002pt;height:6.5pt;z-index:-1887439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9647555</wp:posOffset>
              </wp:positionH>
              <wp:positionV relativeFrom="page">
                <wp:posOffset>7004050</wp:posOffset>
              </wp:positionV>
              <wp:extent cx="326390" cy="82550"/>
              <wp:wrapNone/>
              <wp:docPr id="226" name="Shape 226"/>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52" type="#_x0000_t202" style="position:absolute;margin-left:759.64999999999998pt;margin-top:551.5pt;width:25.699999999999999pt;height:6.5pt;z-index:-1887439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6771640</wp:posOffset>
              </wp:positionH>
              <wp:positionV relativeFrom="page">
                <wp:posOffset>9958070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3.2000000000000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6506845</wp:posOffset>
              </wp:positionH>
              <wp:positionV relativeFrom="page">
                <wp:posOffset>10140950</wp:posOffset>
              </wp:positionV>
              <wp:extent cx="328930" cy="82550"/>
              <wp:wrapNone/>
              <wp:docPr id="233" name="Shape 233"/>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59" type="#_x0000_t202" style="position:absolute;margin-left:512.35000000000002pt;margin-top:798.5pt;width:25.900000000000002pt;height:6.5pt;z-index:-1887439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6570980</wp:posOffset>
              </wp:positionH>
              <wp:positionV relativeFrom="page">
                <wp:posOffset>10140950</wp:posOffset>
              </wp:positionV>
              <wp:extent cx="328930" cy="82550"/>
              <wp:wrapNone/>
              <wp:docPr id="266" name="Shape 266"/>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92" type="#_x0000_t202" style="position:absolute;margin-left:517.39999999999998pt;margin-top:798.5pt;width:25.900000000000002pt;height:6.5pt;z-index:-1887439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6570980</wp:posOffset>
              </wp:positionH>
              <wp:positionV relativeFrom="page">
                <wp:posOffset>10140950</wp:posOffset>
              </wp:positionV>
              <wp:extent cx="328930" cy="82550"/>
              <wp:wrapNone/>
              <wp:docPr id="273" name="Shape 273"/>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99" type="#_x0000_t202" style="position:absolute;margin-left:517.39999999999998pt;margin-top:798.5pt;width:25.900000000000002pt;height:6.5pt;z-index:-1887439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6570980</wp:posOffset>
              </wp:positionH>
              <wp:positionV relativeFrom="page">
                <wp:posOffset>10140950</wp:posOffset>
              </wp:positionV>
              <wp:extent cx="328930" cy="82550"/>
              <wp:wrapNone/>
              <wp:docPr id="318" name="Shape 318"/>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44" type="#_x0000_t202" style="position:absolute;margin-left:517.39999999999998pt;margin-top:798.5pt;width:25.900000000000002pt;height:6.5pt;z-index:-1887439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6570980</wp:posOffset>
              </wp:positionH>
              <wp:positionV relativeFrom="page">
                <wp:posOffset>10140950</wp:posOffset>
              </wp:positionV>
              <wp:extent cx="328930" cy="82550"/>
              <wp:wrapNone/>
              <wp:docPr id="325" name="Shape 325"/>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51" type="#_x0000_t202" style="position:absolute;margin-left:517.39999999999998pt;margin-top:798.5pt;width:25.900000000000002pt;height:6.5pt;z-index:-1887439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6480810</wp:posOffset>
              </wp:positionH>
              <wp:positionV relativeFrom="page">
                <wp:posOffset>10140950</wp:posOffset>
              </wp:positionV>
              <wp:extent cx="328930" cy="82550"/>
              <wp:wrapNone/>
              <wp:docPr id="332" name="Shape 332"/>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58" type="#_x0000_t202" style="position:absolute;margin-left:510.30000000000001pt;margin-top:798.5pt;width:25.900000000000002pt;height:6.5pt;z-index:-1887439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6480810</wp:posOffset>
              </wp:positionH>
              <wp:positionV relativeFrom="page">
                <wp:posOffset>10140950</wp:posOffset>
              </wp:positionV>
              <wp:extent cx="328930" cy="82550"/>
              <wp:wrapNone/>
              <wp:docPr id="345" name="Shape 345"/>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71" type="#_x0000_t202" style="position:absolute;margin-left:510.30000000000001pt;margin-top:798.5pt;width:25.900000000000002pt;height:6.5pt;z-index:-1887438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6480810</wp:posOffset>
              </wp:positionH>
              <wp:positionV relativeFrom="page">
                <wp:posOffset>10140950</wp:posOffset>
              </wp:positionV>
              <wp:extent cx="328930" cy="82550"/>
              <wp:wrapNone/>
              <wp:docPr id="352" name="Shape 352"/>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78" type="#_x0000_t202" style="position:absolute;margin-left:510.30000000000001pt;margin-top:798.5pt;width:25.900000000000002pt;height:6.5pt;z-index:-1887438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6570980</wp:posOffset>
              </wp:positionH>
              <wp:positionV relativeFrom="page">
                <wp:posOffset>10140950</wp:posOffset>
              </wp:positionV>
              <wp:extent cx="328930" cy="82550"/>
              <wp:wrapNone/>
              <wp:docPr id="359" name="Shape 359"/>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85" type="#_x0000_t202" style="position:absolute;margin-left:517.39999999999998pt;margin-top:798.5pt;width:25.900000000000002pt;height:6.5pt;z-index:-1887438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6570980</wp:posOffset>
              </wp:positionH>
              <wp:positionV relativeFrom="page">
                <wp:posOffset>10140950</wp:posOffset>
              </wp:positionV>
              <wp:extent cx="328930" cy="82550"/>
              <wp:wrapNone/>
              <wp:docPr id="366" name="Shape 366"/>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92" type="#_x0000_t202" style="position:absolute;margin-left:517.39999999999998pt;margin-top:798.5pt;width:25.900000000000002pt;height:6.5pt;z-index:-1887438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6771640</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3.2000000000000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9647555</wp:posOffset>
              </wp:positionH>
              <wp:positionV relativeFrom="page">
                <wp:posOffset>7004050</wp:posOffset>
              </wp:positionV>
              <wp:extent cx="326390" cy="82550"/>
              <wp:wrapNone/>
              <wp:docPr id="379" name="Shape 379"/>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05" type="#_x0000_t202" style="position:absolute;margin-left:759.64999999999998pt;margin-top:551.5pt;width:25.699999999999999pt;height:6.5pt;z-index:-1887438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9647555</wp:posOffset>
              </wp:positionH>
              <wp:positionV relativeFrom="page">
                <wp:posOffset>7004050</wp:posOffset>
              </wp:positionV>
              <wp:extent cx="326390" cy="82550"/>
              <wp:wrapNone/>
              <wp:docPr id="384" name="Shape 384"/>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10" type="#_x0000_t202" style="position:absolute;margin-left:759.64999999999998pt;margin-top:551.5pt;width:25.699999999999999pt;height:6.5pt;z-index:-1887438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6570980</wp:posOffset>
              </wp:positionH>
              <wp:positionV relativeFrom="page">
                <wp:posOffset>10140950</wp:posOffset>
              </wp:positionV>
              <wp:extent cx="328930" cy="82550"/>
              <wp:wrapNone/>
              <wp:docPr id="403" name="Shape 403"/>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29" type="#_x0000_t202" style="position:absolute;margin-left:517.39999999999998pt;margin-top:798.5pt;width:25.900000000000002pt;height:6.5pt;z-index:-1887438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6570980</wp:posOffset>
              </wp:positionH>
              <wp:positionV relativeFrom="page">
                <wp:posOffset>10140950</wp:posOffset>
              </wp:positionV>
              <wp:extent cx="328930" cy="82550"/>
              <wp:wrapNone/>
              <wp:docPr id="410" name="Shape 410"/>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36" type="#_x0000_t202" style="position:absolute;margin-left:517.39999999999998pt;margin-top:798.5pt;width:25.900000000000002pt;height:6.5pt;z-index:-1887438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6570980</wp:posOffset>
              </wp:positionH>
              <wp:positionV relativeFrom="page">
                <wp:posOffset>10140950</wp:posOffset>
              </wp:positionV>
              <wp:extent cx="328930" cy="82550"/>
              <wp:wrapNone/>
              <wp:docPr id="417" name="Shape 417"/>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43" type="#_x0000_t202" style="position:absolute;margin-left:517.39999999999998pt;margin-top:798.5pt;width:25.900000000000002pt;height:6.5pt;z-index:-1887438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6570980</wp:posOffset>
              </wp:positionH>
              <wp:positionV relativeFrom="page">
                <wp:posOffset>10140950</wp:posOffset>
              </wp:positionV>
              <wp:extent cx="328930" cy="82550"/>
              <wp:wrapNone/>
              <wp:docPr id="424" name="Shape 42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50" type="#_x0000_t202" style="position:absolute;margin-left:517.39999999999998pt;margin-top:798.5pt;width:25.900000000000002pt;height:6.5pt;z-index:-1887438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6510655</wp:posOffset>
              </wp:positionH>
              <wp:positionV relativeFrom="page">
                <wp:posOffset>10140950</wp:posOffset>
              </wp:positionV>
              <wp:extent cx="328930" cy="82550"/>
              <wp:wrapNone/>
              <wp:docPr id="431" name="Shape 431"/>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57" type="#_x0000_t202" style="position:absolute;margin-left:512.64999999999998pt;margin-top:798.5pt;width:25.900000000000002pt;height:6.5pt;z-index:-1887438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6508750</wp:posOffset>
              </wp:positionH>
              <wp:positionV relativeFrom="page">
                <wp:posOffset>10151110</wp:posOffset>
              </wp:positionV>
              <wp:extent cx="328930" cy="82550"/>
              <wp:wrapNone/>
              <wp:docPr id="454" name="Shape 45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80" type="#_x0000_t202" style="position:absolute;margin-left:512.5pt;margin-top:799.30000000000007pt;width:25.900000000000002pt;height:6.5pt;z-index:-1887438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6508750</wp:posOffset>
              </wp:positionH>
              <wp:positionV relativeFrom="page">
                <wp:posOffset>10151110</wp:posOffset>
              </wp:positionV>
              <wp:extent cx="328930" cy="82550"/>
              <wp:wrapNone/>
              <wp:docPr id="461" name="Shape 461"/>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87" type="#_x0000_t202" style="position:absolute;margin-left:512.5pt;margin-top:799.30000000000007pt;width:25.900000000000002pt;height:6.5pt;z-index:-1887438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6510655</wp:posOffset>
              </wp:positionH>
              <wp:positionV relativeFrom="page">
                <wp:posOffset>10140950</wp:posOffset>
              </wp:positionV>
              <wp:extent cx="328930" cy="82550"/>
              <wp:wrapNone/>
              <wp:docPr id="468" name="Shape 468"/>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494" type="#_x0000_t202" style="position:absolute;margin-left:512.64999999999998pt;margin-top:798.5pt;width:25.900000000000002pt;height:6.5pt;z-index:-1887438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6523355</wp:posOffset>
              </wp:positionH>
              <wp:positionV relativeFrom="page">
                <wp:posOffset>10166350</wp:posOffset>
              </wp:positionV>
              <wp:extent cx="326390" cy="82550"/>
              <wp:wrapNone/>
              <wp:docPr id="38" name="Shape 38"/>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64" type="#_x0000_t202" style="position:absolute;margin-left:513.64999999999998pt;margin-top:800.5pt;width:25.699999999999999pt;height:6.5pt;z-index:-1887440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6515100</wp:posOffset>
              </wp:positionH>
              <wp:positionV relativeFrom="page">
                <wp:posOffset>10140950</wp:posOffset>
              </wp:positionV>
              <wp:extent cx="328930" cy="82550"/>
              <wp:wrapNone/>
              <wp:docPr id="477" name="Shape 477"/>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03" type="#_x0000_t202" style="position:absolute;margin-left:513.pt;margin-top:798.5pt;width:25.900000000000002pt;height:6.5pt;z-index:-1887438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6515100</wp:posOffset>
              </wp:positionH>
              <wp:positionV relativeFrom="page">
                <wp:posOffset>10140950</wp:posOffset>
              </wp:positionV>
              <wp:extent cx="328930" cy="82550"/>
              <wp:wrapNone/>
              <wp:docPr id="484" name="Shape 48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10" type="#_x0000_t202" style="position:absolute;margin-left:513.pt;margin-top:798.5pt;width:25.900000000000002pt;height:6.5pt;z-index:-1887438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9660890</wp:posOffset>
              </wp:positionH>
              <wp:positionV relativeFrom="page">
                <wp:posOffset>7013575</wp:posOffset>
              </wp:positionV>
              <wp:extent cx="326390" cy="82550"/>
              <wp:wrapNone/>
              <wp:docPr id="489" name="Shape 489"/>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15" type="#_x0000_t202" style="position:absolute;margin-left:760.70000000000005pt;margin-top:552.25pt;width:25.699999999999999pt;height:6.5pt;z-index:-1887438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6515100</wp:posOffset>
              </wp:positionH>
              <wp:positionV relativeFrom="page">
                <wp:posOffset>10140950</wp:posOffset>
              </wp:positionV>
              <wp:extent cx="328930" cy="82550"/>
              <wp:wrapNone/>
              <wp:docPr id="496" name="Shape 496"/>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22" type="#_x0000_t202" style="position:absolute;margin-left:513.pt;margin-top:798.5pt;width:25.900000000000002pt;height:6.5pt;z-index:-1887437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6510020</wp:posOffset>
              </wp:positionH>
              <wp:positionV relativeFrom="page">
                <wp:posOffset>10140950</wp:posOffset>
              </wp:positionV>
              <wp:extent cx="328930" cy="82550"/>
              <wp:wrapNone/>
              <wp:docPr id="503" name="Shape 503"/>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29" type="#_x0000_t202" style="position:absolute;margin-left:512.60000000000002pt;margin-top:798.5pt;width:25.900000000000002pt;height:6.5pt;z-index:-1887437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6510020</wp:posOffset>
              </wp:positionH>
              <wp:positionV relativeFrom="page">
                <wp:posOffset>10140950</wp:posOffset>
              </wp:positionV>
              <wp:extent cx="328930" cy="82550"/>
              <wp:wrapNone/>
              <wp:docPr id="510" name="Shape 510"/>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36" type="#_x0000_t202" style="position:absolute;margin-left:512.60000000000002pt;margin-top:798.5pt;width:25.900000000000002pt;height:6.5pt;z-index:-1887437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9660890</wp:posOffset>
              </wp:positionH>
              <wp:positionV relativeFrom="page">
                <wp:posOffset>7013575</wp:posOffset>
              </wp:positionV>
              <wp:extent cx="326390" cy="82550"/>
              <wp:wrapNone/>
              <wp:docPr id="515" name="Shape 515"/>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41" type="#_x0000_t202" style="position:absolute;margin-left:760.70000000000005pt;margin-top:552.25pt;width:25.699999999999999pt;height:6.5pt;z-index:-1887437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9660890</wp:posOffset>
              </wp:positionH>
              <wp:positionV relativeFrom="page">
                <wp:posOffset>7013575</wp:posOffset>
              </wp:positionV>
              <wp:extent cx="326390" cy="82550"/>
              <wp:wrapNone/>
              <wp:docPr id="520" name="Shape 520"/>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46" type="#_x0000_t202" style="position:absolute;margin-left:760.70000000000005pt;margin-top:552.25pt;width:25.699999999999999pt;height:6.5pt;z-index:-1887437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6523355</wp:posOffset>
              </wp:positionH>
              <wp:positionV relativeFrom="page">
                <wp:posOffset>10166350</wp:posOffset>
              </wp:positionV>
              <wp:extent cx="326390" cy="82550"/>
              <wp:wrapNone/>
              <wp:docPr id="43" name="Shape 43"/>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69" type="#_x0000_t202" style="position:absolute;margin-left:513.64999999999998pt;margin-top:800.5pt;width:25.699999999999999pt;height:6.5pt;z-index:-1887440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4295775</wp:posOffset>
              </wp:positionH>
              <wp:positionV relativeFrom="page">
                <wp:posOffset>7004050</wp:posOffset>
              </wp:positionV>
              <wp:extent cx="326390" cy="82550"/>
              <wp:wrapNone/>
              <wp:docPr id="531" name="Shape 531"/>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wps:txbx>
                    <wps:bodyPr wrap="none" lIns="0" tIns="0" rIns="0" bIns="0">
                      <a:spAutoFit/>
                    </wps:bodyPr>
                  </wps:wsp>
                </a:graphicData>
              </a:graphic>
            </wp:anchor>
          </w:drawing>
        </mc:Choice>
        <mc:Fallback>
          <w:pict>
            <v:shape id="_x0000_s1557" type="#_x0000_t202" style="position:absolute;margin-left:338.25pt;margin-top:551.5pt;width:25.699999999999999pt;height:6.5pt;z-index:-1887437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4295775</wp:posOffset>
              </wp:positionH>
              <wp:positionV relativeFrom="page">
                <wp:posOffset>7004050</wp:posOffset>
              </wp:positionV>
              <wp:extent cx="326390" cy="82550"/>
              <wp:wrapNone/>
              <wp:docPr id="536" name="Shape 536"/>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wps:txbx>
                    <wps:bodyPr wrap="none" lIns="0" tIns="0" rIns="0" bIns="0">
                      <a:spAutoFit/>
                    </wps:bodyPr>
                  </wps:wsp>
                </a:graphicData>
              </a:graphic>
            </wp:anchor>
          </w:drawing>
        </mc:Choice>
        <mc:Fallback>
          <w:pict>
            <v:shape id="_x0000_s1562" type="#_x0000_t202" style="position:absolute;margin-left:338.25pt;margin-top:551.5pt;width:25.699999999999999pt;height:6.5pt;z-index:-1887437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9645015</wp:posOffset>
              </wp:positionH>
              <wp:positionV relativeFrom="page">
                <wp:posOffset>7004050</wp:posOffset>
              </wp:positionV>
              <wp:extent cx="326390" cy="82550"/>
              <wp:wrapNone/>
              <wp:docPr id="545" name="Shape 545"/>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71" type="#_x0000_t202" style="position:absolute;margin-left:759.45000000000005pt;margin-top:551.5pt;width:25.699999999999999pt;height:6.5pt;z-index:-1887437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9645015</wp:posOffset>
              </wp:positionH>
              <wp:positionV relativeFrom="page">
                <wp:posOffset>7004050</wp:posOffset>
              </wp:positionV>
              <wp:extent cx="326390" cy="82550"/>
              <wp:wrapNone/>
              <wp:docPr id="550" name="Shape 550"/>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576" type="#_x0000_t202" style="position:absolute;margin-left:759.45000000000005pt;margin-top:551.5pt;width:25.699999999999999pt;height:6.5pt;z-index:-1887437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4300855</wp:posOffset>
              </wp:positionH>
              <wp:positionV relativeFrom="page">
                <wp:posOffset>7004050</wp:posOffset>
              </wp:positionV>
              <wp:extent cx="326390" cy="82550"/>
              <wp:wrapNone/>
              <wp:docPr id="563" name="Shape 563"/>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wps:txbx>
                    <wps:bodyPr wrap="none" lIns="0" tIns="0" rIns="0" bIns="0">
                      <a:spAutoFit/>
                    </wps:bodyPr>
                  </wps:wsp>
                </a:graphicData>
              </a:graphic>
            </wp:anchor>
          </w:drawing>
        </mc:Choice>
        <mc:Fallback>
          <w:pict>
            <v:shape id="_x0000_s1589" type="#_x0000_t202" style="position:absolute;margin-left:338.65000000000003pt;margin-top:551.5pt;width:25.699999999999999pt;height:6.5pt;z-index:-1887437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4300855</wp:posOffset>
              </wp:positionH>
              <wp:positionV relativeFrom="page">
                <wp:posOffset>7004050</wp:posOffset>
              </wp:positionV>
              <wp:extent cx="326390" cy="82550"/>
              <wp:wrapNone/>
              <wp:docPr id="568" name="Shape 568"/>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wps:txbx>
                    <wps:bodyPr wrap="none" lIns="0" tIns="0" rIns="0" bIns="0">
                      <a:spAutoFit/>
                    </wps:bodyPr>
                  </wps:wsp>
                </a:graphicData>
              </a:graphic>
            </wp:anchor>
          </w:drawing>
        </mc:Choice>
        <mc:Fallback>
          <w:pict>
            <v:shape id="_x0000_s1594" type="#_x0000_t202" style="position:absolute;margin-left:338.65000000000003pt;margin-top:551.5pt;width:25.699999999999999pt;height:6.5pt;z-index:-1887437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6510020</wp:posOffset>
              </wp:positionH>
              <wp:positionV relativeFrom="page">
                <wp:posOffset>10140950</wp:posOffset>
              </wp:positionV>
              <wp:extent cx="328930" cy="82550"/>
              <wp:wrapNone/>
              <wp:docPr id="575" name="Shape 575"/>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01" type="#_x0000_t202" style="position:absolute;margin-left:512.60000000000002pt;margin-top:798.5pt;width:25.900000000000002pt;height:6.5pt;z-index:-1887437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6510020</wp:posOffset>
              </wp:positionH>
              <wp:positionV relativeFrom="page">
                <wp:posOffset>10140950</wp:posOffset>
              </wp:positionV>
              <wp:extent cx="328930" cy="82550"/>
              <wp:wrapNone/>
              <wp:docPr id="582" name="Shape 582"/>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08" type="#_x0000_t202" style="position:absolute;margin-left:512.60000000000002pt;margin-top:798.5pt;width:25.900000000000002pt;height:6.5pt;z-index:-1887437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9653270</wp:posOffset>
              </wp:positionH>
              <wp:positionV relativeFrom="page">
                <wp:posOffset>7028180</wp:posOffset>
              </wp:positionV>
              <wp:extent cx="326390" cy="82550"/>
              <wp:wrapNone/>
              <wp:docPr id="56" name="Shape 56"/>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82" type="#_x0000_t202" style="position:absolute;margin-left:760.10000000000002pt;margin-top:553.39999999999998pt;width:25.699999999999999pt;height:6.5pt;z-index:-1887440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6510020</wp:posOffset>
              </wp:positionH>
              <wp:positionV relativeFrom="page">
                <wp:posOffset>10140950</wp:posOffset>
              </wp:positionV>
              <wp:extent cx="328930" cy="82550"/>
              <wp:wrapNone/>
              <wp:docPr id="593" name="Shape 593"/>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19" type="#_x0000_t202" style="position:absolute;margin-left:512.60000000000002pt;margin-top:798.5pt;width:25.900000000000002pt;height:6.5pt;z-index:-1887437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6507480</wp:posOffset>
              </wp:positionH>
              <wp:positionV relativeFrom="page">
                <wp:posOffset>10064750</wp:posOffset>
              </wp:positionV>
              <wp:extent cx="328930" cy="82550"/>
              <wp:wrapNone/>
              <wp:docPr id="600" name="Shape 600"/>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26" type="#_x0000_t202" style="position:absolute;margin-left:512.39999999999998pt;margin-top:792.5pt;width:25.900000000000002pt;height:6.5pt;z-index:-1887437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6510020</wp:posOffset>
              </wp:positionH>
              <wp:positionV relativeFrom="page">
                <wp:posOffset>10357485</wp:posOffset>
              </wp:positionV>
              <wp:extent cx="328930" cy="82550"/>
              <wp:wrapNone/>
              <wp:docPr id="605" name="Shape 605"/>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31" type="#_x0000_t202" style="position:absolute;margin-left:512.60000000000002pt;margin-top:815.55000000000007pt;width:25.900000000000002pt;height:6.5pt;z-index:-1887437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6510020</wp:posOffset>
              </wp:positionH>
              <wp:positionV relativeFrom="page">
                <wp:posOffset>10357485</wp:posOffset>
              </wp:positionV>
              <wp:extent cx="328930" cy="82550"/>
              <wp:wrapNone/>
              <wp:docPr id="640" name="Shape 640"/>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66" type="#_x0000_t202" style="position:absolute;margin-left:512.60000000000002pt;margin-top:815.55000000000007pt;width:25.900000000000002pt;height:6.5pt;z-index:-1887437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6510020</wp:posOffset>
              </wp:positionH>
              <wp:positionV relativeFrom="page">
                <wp:posOffset>10357485</wp:posOffset>
              </wp:positionV>
              <wp:extent cx="328930" cy="82550"/>
              <wp:wrapNone/>
              <wp:docPr id="645" name="Shape 645"/>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71" type="#_x0000_t202" style="position:absolute;margin-left:512.60000000000002pt;margin-top:815.55000000000007pt;width:25.900000000000002pt;height:6.5pt;z-index:-1887437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6497320</wp:posOffset>
              </wp:positionH>
              <wp:positionV relativeFrom="page">
                <wp:posOffset>10098405</wp:posOffset>
              </wp:positionV>
              <wp:extent cx="328930" cy="82550"/>
              <wp:wrapNone/>
              <wp:docPr id="664" name="Shape 66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90" type="#_x0000_t202" style="position:absolute;margin-left:511.60000000000002pt;margin-top:795.14999999999998pt;width:25.900000000000002pt;height:6.5pt;z-index:-1887437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6510020</wp:posOffset>
              </wp:positionH>
              <wp:positionV relativeFrom="page">
                <wp:posOffset>10140950</wp:posOffset>
              </wp:positionV>
              <wp:extent cx="328930" cy="82550"/>
              <wp:wrapNone/>
              <wp:docPr id="666" name="Shape 666"/>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92" type="#_x0000_t202" style="position:absolute;margin-left:512.60000000000002pt;margin-top:798.5pt;width:25.900000000000002pt;height:6.5pt;z-index:-1887437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6510020</wp:posOffset>
              </wp:positionH>
              <wp:positionV relativeFrom="page">
                <wp:posOffset>10357485</wp:posOffset>
              </wp:positionV>
              <wp:extent cx="328930" cy="82550"/>
              <wp:wrapNone/>
              <wp:docPr id="671" name="Shape 671"/>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697" type="#_x0000_t202" style="position:absolute;margin-left:512.60000000000002pt;margin-top:815.55000000000007pt;width:25.900000000000002pt;height:6.5pt;z-index:-1887437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6510020</wp:posOffset>
              </wp:positionH>
              <wp:positionV relativeFrom="page">
                <wp:posOffset>10357485</wp:posOffset>
              </wp:positionV>
              <wp:extent cx="328930" cy="82550"/>
              <wp:wrapNone/>
              <wp:docPr id="676" name="Shape 676"/>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02" type="#_x0000_t202" style="position:absolute;margin-left:512.60000000000002pt;margin-top:815.55000000000007pt;width:25.900000000000002pt;height:6.5pt;z-index:-1887436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6497320</wp:posOffset>
              </wp:positionH>
              <wp:positionV relativeFrom="page">
                <wp:posOffset>10098405</wp:posOffset>
              </wp:positionV>
              <wp:extent cx="328930" cy="82550"/>
              <wp:wrapNone/>
              <wp:docPr id="687" name="Shape 687"/>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13" type="#_x0000_t202" style="position:absolute;margin-left:511.60000000000002pt;margin-top:795.14999999999998pt;width:25.900000000000002pt;height:6.5pt;z-index:-1887436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9653270</wp:posOffset>
              </wp:positionH>
              <wp:positionV relativeFrom="page">
                <wp:posOffset>7028180</wp:posOffset>
              </wp:positionV>
              <wp:extent cx="326390" cy="82550"/>
              <wp:wrapNone/>
              <wp:docPr id="61" name="Shape 61"/>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87" type="#_x0000_t202" style="position:absolute;margin-left:760.10000000000002pt;margin-top:553.39999999999998pt;width:25.699999999999999pt;height:6.5pt;z-index:-1887440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6497320</wp:posOffset>
              </wp:positionH>
              <wp:positionV relativeFrom="page">
                <wp:posOffset>10098405</wp:posOffset>
              </wp:positionV>
              <wp:extent cx="328930" cy="82550"/>
              <wp:wrapNone/>
              <wp:docPr id="694" name="Shape 69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20" type="#_x0000_t202" style="position:absolute;margin-left:511.60000000000002pt;margin-top:795.14999999999998pt;width:25.900000000000002pt;height:6.5pt;z-index:-1887436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6510020</wp:posOffset>
              </wp:positionH>
              <wp:positionV relativeFrom="page">
                <wp:posOffset>10357485</wp:posOffset>
              </wp:positionV>
              <wp:extent cx="328930" cy="82550"/>
              <wp:wrapNone/>
              <wp:docPr id="699" name="Shape 699"/>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25" type="#_x0000_t202" style="position:absolute;margin-left:512.60000000000002pt;margin-top:815.55000000000007pt;width:25.900000000000002pt;height:6.5pt;z-index:-1887436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6510020</wp:posOffset>
              </wp:positionH>
              <wp:positionV relativeFrom="page">
                <wp:posOffset>10357485</wp:posOffset>
              </wp:positionV>
              <wp:extent cx="328930" cy="82550"/>
              <wp:wrapNone/>
              <wp:docPr id="704" name="Shape 704"/>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30" type="#_x0000_t202" style="position:absolute;margin-left:512.60000000000002pt;margin-top:815.55000000000007pt;width:25.900000000000002pt;height:6.5pt;z-index:-1887436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6510020</wp:posOffset>
              </wp:positionH>
              <wp:positionV relativeFrom="page">
                <wp:posOffset>10357485</wp:posOffset>
              </wp:positionV>
              <wp:extent cx="328930" cy="82550"/>
              <wp:wrapNone/>
              <wp:docPr id="743" name="Shape 743"/>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69" type="#_x0000_t202" style="position:absolute;margin-left:512.60000000000002pt;margin-top:815.55000000000007pt;width:25.900000000000002pt;height:6.5pt;z-index:-1887436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6510020</wp:posOffset>
              </wp:positionH>
              <wp:positionV relativeFrom="page">
                <wp:posOffset>10357485</wp:posOffset>
              </wp:positionV>
              <wp:extent cx="328930" cy="82550"/>
              <wp:wrapNone/>
              <wp:docPr id="748" name="Shape 748"/>
              <a:graphic xmlns:a="http://schemas.openxmlformats.org/drawingml/2006/main">
                <a:graphicData uri="http://schemas.microsoft.com/office/word/2010/wordprocessingShape">
                  <wps:wsp>
                    <wps:cNvSpPr txBox="1"/>
                    <wps:spPr>
                      <a:xfrm>
                        <a:ext cx="32893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774" type="#_x0000_t202" style="position:absolute;margin-left:512.60000000000002pt;margin-top:815.55000000000007pt;width:25.900000000000002pt;height:6.5pt;z-index:-1887436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6708140</wp:posOffset>
              </wp:positionH>
              <wp:positionV relativeFrom="page">
                <wp:posOffset>10022205</wp:posOffset>
              </wp:positionV>
              <wp:extent cx="161290" cy="79375"/>
              <wp:wrapNone/>
              <wp:docPr id="767" name="Shape 767"/>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28.20000000000005pt;margin-top:789.14999999999998pt;width:12.700000000000001pt;height:6.25pt;z-index:-1887436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6708140</wp:posOffset>
              </wp:positionH>
              <wp:positionV relativeFrom="page">
                <wp:posOffset>10022205</wp:posOffset>
              </wp:positionV>
              <wp:extent cx="161290" cy="79375"/>
              <wp:wrapNone/>
              <wp:docPr id="772" name="Shape 772"/>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8" type="#_x0000_t202" style="position:absolute;margin-left:528.20000000000005pt;margin-top:789.14999999999998pt;width:12.700000000000001pt;height:6.25pt;z-index:-1887436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6523355</wp:posOffset>
              </wp:positionH>
              <wp:positionV relativeFrom="page">
                <wp:posOffset>10166350</wp:posOffset>
              </wp:positionV>
              <wp:extent cx="326390" cy="82550"/>
              <wp:wrapNone/>
              <wp:docPr id="72" name="Shape 72"/>
              <a:graphic xmlns:a="http://schemas.openxmlformats.org/drawingml/2006/main">
                <a:graphicData uri="http://schemas.microsoft.com/office/word/2010/wordprocessingShape">
                  <wps:wsp>
                    <wps:cNvSpPr txBox="1"/>
                    <wps:spPr>
                      <a:xfrm>
                        <a:ext cx="326390" cy="825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98" type="#_x0000_t202" style="position:absolute;margin-left:513.64999999999998pt;margin-top:800.5pt;width:25.699999999999999pt;height:6.5pt;z-index:-1887440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fldSimple w:instr=" PAGE \* MERGEFORMAT ">
                      <w:r>
                        <w:rPr>
                          <w:rFonts w:ascii="Arial" w:eastAsia="Arial" w:hAnsi="Arial" w:cs="Arial"/>
                          <w:color w:val="000000"/>
                          <w:spacing w:val="0"/>
                          <w:w w:val="100"/>
                          <w:position w:val="0"/>
                          <w:sz w:val="18"/>
                          <w:szCs w:val="18"/>
                        </w:rPr>
                        <w:t>#</w:t>
                      </w:r>
                    </w:fldSimple>
                    <w:r>
                      <w:rPr>
                        <w:rFonts w:ascii="Arial" w:eastAsia="Arial" w:hAnsi="Arial" w:cs="Arial"/>
                        <w:color w:val="000000"/>
                        <w:spacing w:val="0"/>
                        <w:w w:val="100"/>
                        <w:position w:val="0"/>
                        <w:sz w:val="18"/>
                        <w:szCs w:val="18"/>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4648200</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6.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623570</wp:posOffset>
              </wp:positionV>
              <wp:extent cx="6229985" cy="0"/>
              <wp:wrapNone/>
              <wp:docPr id="3" name="Shape 3"/>
              <a:graphic xmlns:a="http://schemas.openxmlformats.org/drawingml/2006/main">
                <a:graphicData uri="http://schemas.microsoft.com/office/word/2010/wordprocessingShape">
                  <wps:wsp>
                    <wps:cNvCnPr/>
                    <wps:spPr>
                      <a:xfrm>
                        <a:ext cx="6229985" cy="0"/>
                      </a:xfrm>
                      <a:prstGeom prst="straightConnector1"/>
                      <a:ln w="12700">
                        <a:solidFill/>
                      </a:ln>
                    </wps:spPr>
                    <wps:bodyPr/>
                  </wps:wsp>
                </a:graphicData>
              </a:graphic>
            </wp:anchor>
          </w:drawing>
        </mc:Choice>
        <mc:Fallback>
          <w:pict>
            <v:shape o:spt="32" o:oned="true" path="m,l21600,21600e" style="position:absolute;margin-left:52.100000000000001pt;margin-top:49.100000000000001pt;width:490.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4627880</wp:posOffset>
              </wp:positionH>
              <wp:positionV relativeFrom="page">
                <wp:posOffset>489585</wp:posOffset>
              </wp:positionV>
              <wp:extent cx="2218690" cy="106680"/>
              <wp:wrapNone/>
              <wp:docPr id="74" name="Shape 7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364.40000000000003pt;margin-top:38.550000000000004pt;width:174.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635635</wp:posOffset>
              </wp:positionV>
              <wp:extent cx="5803265" cy="0"/>
              <wp:wrapNone/>
              <wp:docPr id="76" name="Shape 7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84.049999999999997pt;margin-top:50.050000000000004pt;width:456.94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7751445</wp:posOffset>
              </wp:positionH>
              <wp:positionV relativeFrom="page">
                <wp:posOffset>737235</wp:posOffset>
              </wp:positionV>
              <wp:extent cx="2218690" cy="106680"/>
              <wp:wrapNone/>
              <wp:docPr id="103" name="Shape 10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9" type="#_x0000_t202" style="position:absolute;margin-left:610.35000000000002pt;margin-top:58.050000000000004pt;width:174.7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1240790</wp:posOffset>
              </wp:positionH>
              <wp:positionV relativeFrom="page">
                <wp:posOffset>883285</wp:posOffset>
              </wp:positionV>
              <wp:extent cx="8754110" cy="0"/>
              <wp:wrapNone/>
              <wp:docPr id="105" name="Shape 105"/>
              <a:graphic xmlns:a="http://schemas.openxmlformats.org/drawingml/2006/main">
                <a:graphicData uri="http://schemas.microsoft.com/office/word/2010/wordprocessingShape">
                  <wps:wsp>
                    <wps:cNvCnPr/>
                    <wps:spPr>
                      <a:xfrm>
                        <a:ext cx="8754110" cy="0"/>
                      </a:xfrm>
                      <a:prstGeom prst="straightConnector1"/>
                      <a:ln w="12700">
                        <a:solidFill/>
                      </a:ln>
                    </wps:spPr>
                    <wps:bodyPr/>
                  </wps:wsp>
                </a:graphicData>
              </a:graphic>
            </wp:anchor>
          </w:drawing>
        </mc:Choice>
        <mc:Fallback>
          <w:pict>
            <v:shape o:spt="32" o:oned="true" path="m,l21600,21600e" style="position:absolute;margin-left:97.700000000000003pt;margin-top:69.549999999999997pt;width:689.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7751445</wp:posOffset>
              </wp:positionH>
              <wp:positionV relativeFrom="page">
                <wp:posOffset>737235</wp:posOffset>
              </wp:positionV>
              <wp:extent cx="2218690" cy="106680"/>
              <wp:wrapNone/>
              <wp:docPr id="106" name="Shape 10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2" type="#_x0000_t202" style="position:absolute;margin-left:610.35000000000002pt;margin-top:58.050000000000004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1240790</wp:posOffset>
              </wp:positionH>
              <wp:positionV relativeFrom="page">
                <wp:posOffset>883285</wp:posOffset>
              </wp:positionV>
              <wp:extent cx="8754110" cy="0"/>
              <wp:wrapNone/>
              <wp:docPr id="108" name="Shape 108"/>
              <a:graphic xmlns:a="http://schemas.openxmlformats.org/drawingml/2006/main">
                <a:graphicData uri="http://schemas.microsoft.com/office/word/2010/wordprocessingShape">
                  <wps:wsp>
                    <wps:cNvCnPr/>
                    <wps:spPr>
                      <a:xfrm>
                        <a:ext cx="8754110" cy="0"/>
                      </a:xfrm>
                      <a:prstGeom prst="straightConnector1"/>
                      <a:ln w="12700">
                        <a:solidFill/>
                      </a:ln>
                    </wps:spPr>
                    <wps:bodyPr/>
                  </wps:wsp>
                </a:graphicData>
              </a:graphic>
            </wp:anchor>
          </w:drawing>
        </mc:Choice>
        <mc:Fallback>
          <w:pict>
            <v:shape o:spt="32" o:oned="true" path="m,l21600,21600e" style="position:absolute;margin-left:97.700000000000003pt;margin-top:69.549999999999997pt;width:689.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4613910</wp:posOffset>
              </wp:positionH>
              <wp:positionV relativeFrom="page">
                <wp:posOffset>789940</wp:posOffset>
              </wp:positionV>
              <wp:extent cx="2218690" cy="106680"/>
              <wp:wrapNone/>
              <wp:docPr id="109" name="Shape 10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5" type="#_x0000_t202" style="position:absolute;margin-left:363.30000000000001pt;margin-top:62.200000000000003pt;width:174.70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1273810</wp:posOffset>
              </wp:positionH>
              <wp:positionV relativeFrom="page">
                <wp:posOffset>984885</wp:posOffset>
              </wp:positionV>
              <wp:extent cx="2020570" cy="155575"/>
              <wp:wrapNone/>
              <wp:docPr id="111" name="Shape 111"/>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137" type="#_x0000_t202" style="position:absolute;margin-left:100.3pt;margin-top:77.549999999999997pt;width:159.09999999999999pt;height:12.25pt;z-index:-1887440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113" name="Shape 113"/>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4613910</wp:posOffset>
              </wp:positionH>
              <wp:positionV relativeFrom="page">
                <wp:posOffset>789940</wp:posOffset>
              </wp:positionV>
              <wp:extent cx="2218690" cy="106680"/>
              <wp:wrapNone/>
              <wp:docPr id="116" name="Shape 1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363.30000000000001pt;margin-top:62.200000000000003pt;width:174.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1273810</wp:posOffset>
              </wp:positionH>
              <wp:positionV relativeFrom="page">
                <wp:posOffset>984885</wp:posOffset>
              </wp:positionV>
              <wp:extent cx="2020570" cy="155575"/>
              <wp:wrapNone/>
              <wp:docPr id="118" name="Shape 118"/>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144" type="#_x0000_t202" style="position:absolute;margin-left:100.3pt;margin-top:77.549999999999997pt;width:159.09999999999999pt;height:12.25pt;z-index:-1887440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120" name="Shape 120"/>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1270635</wp:posOffset>
              </wp:positionH>
              <wp:positionV relativeFrom="page">
                <wp:posOffset>981710</wp:posOffset>
              </wp:positionV>
              <wp:extent cx="2020570" cy="155575"/>
              <wp:wrapNone/>
              <wp:docPr id="141" name="Shape 141"/>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 合并财务报表项目附注（续）</w:t>
                          </w:r>
                        </w:p>
                      </w:txbxContent>
                    </wps:txbx>
                    <wps:bodyPr wrap="none" lIns="0" tIns="0" rIns="0" bIns="0">
                      <a:spAutoFit/>
                    </wps:bodyPr>
                  </wps:wsp>
                </a:graphicData>
              </a:graphic>
            </wp:anchor>
          </w:drawing>
        </mc:Choice>
        <mc:Fallback>
          <w:pict>
            <v:shape id="_x0000_s1167" type="#_x0000_t202" style="position:absolute;margin-left:100.05pt;margin-top:77.299999999999997pt;width:159.09999999999999pt;height:12.25pt;z-index:-1887440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 合并财务报表项目附注（续）</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1270635</wp:posOffset>
              </wp:positionH>
              <wp:positionV relativeFrom="page">
                <wp:posOffset>981710</wp:posOffset>
              </wp:positionV>
              <wp:extent cx="2020570" cy="155575"/>
              <wp:wrapNone/>
              <wp:docPr id="143" name="Shape 143"/>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 合并财务报表项目附注（续）</w:t>
                          </w:r>
                        </w:p>
                      </w:txbxContent>
                    </wps:txbx>
                    <wps:bodyPr wrap="none" lIns="0" tIns="0" rIns="0" bIns="0">
                      <a:spAutoFit/>
                    </wps:bodyPr>
                  </wps:wsp>
                </a:graphicData>
              </a:graphic>
            </wp:anchor>
          </w:drawing>
        </mc:Choice>
        <mc:Fallback>
          <w:pict>
            <v:shape id="_x0000_s1169" type="#_x0000_t202" style="position:absolute;margin-left:100.05pt;margin-top:77.299999999999997pt;width:159.09999999999999pt;height:12.25pt;z-index:-1887439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 合并财务报表项目附注（续）</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2404745</wp:posOffset>
              </wp:positionH>
              <wp:positionV relativeFrom="page">
                <wp:posOffset>786130</wp:posOffset>
              </wp:positionV>
              <wp:extent cx="2218690" cy="106680"/>
              <wp:wrapNone/>
              <wp:docPr id="145" name="Shape 14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189.34999999999999pt;margin-top:61.899999999999999pt;width:174.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2404745</wp:posOffset>
              </wp:positionH>
              <wp:positionV relativeFrom="page">
                <wp:posOffset>786130</wp:posOffset>
              </wp:positionV>
              <wp:extent cx="2218690" cy="106680"/>
              <wp:wrapNone/>
              <wp:docPr id="149" name="Shape 14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5" type="#_x0000_t202" style="position:absolute;margin-left:189.34999999999999pt;margin-top:61.899999999999999pt;width:174.70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4611370</wp:posOffset>
              </wp:positionH>
              <wp:positionV relativeFrom="page">
                <wp:posOffset>735330</wp:posOffset>
              </wp:positionV>
              <wp:extent cx="2218690" cy="106680"/>
              <wp:wrapNone/>
              <wp:docPr id="153" name="Shape 15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9" type="#_x0000_t202" style="position:absolute;margin-left:363.10000000000002pt;margin-top:57.899999999999999pt;width:174.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1270635</wp:posOffset>
              </wp:positionH>
              <wp:positionV relativeFrom="page">
                <wp:posOffset>930275</wp:posOffset>
              </wp:positionV>
              <wp:extent cx="2020570" cy="155575"/>
              <wp:wrapNone/>
              <wp:docPr id="155" name="Shape 155"/>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181" type="#_x0000_t202" style="position:absolute;margin-left:100.05pt;margin-top:73.25pt;width:159.09999999999999pt;height:12.25pt;z-index:-1887439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1203325</wp:posOffset>
              </wp:positionH>
              <wp:positionV relativeFrom="page">
                <wp:posOffset>885825</wp:posOffset>
              </wp:positionV>
              <wp:extent cx="5650865" cy="0"/>
              <wp:wrapNone/>
              <wp:docPr id="157" name="Shape 157"/>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4.75pt;margin-top:69.75pt;width:444.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4648200</wp:posOffset>
              </wp:positionH>
              <wp:positionV relativeFrom="page">
                <wp:posOffset>478790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6.pt;margin-top:37.7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623570</wp:posOffset>
              </wp:positionV>
              <wp:extent cx="6229985" cy="0"/>
              <wp:wrapNone/>
              <wp:docPr id="8" name="Shape 8"/>
              <a:graphic xmlns:a="http://schemas.openxmlformats.org/drawingml/2006/main">
                <a:graphicData uri="http://schemas.microsoft.com/office/word/2010/wordprocessingShape">
                  <wps:wsp>
                    <wps:cNvCnPr/>
                    <wps:spPr>
                      <a:xfrm>
                        <a:ext cx="6229985" cy="0"/>
                      </a:xfrm>
                      <a:prstGeom prst="straightConnector1"/>
                      <a:ln w="12700">
                        <a:solidFill/>
                      </a:ln>
                    </wps:spPr>
                    <wps:bodyPr/>
                  </wps:wsp>
                </a:graphicData>
              </a:graphic>
            </wp:anchor>
          </w:drawing>
        </mc:Choice>
        <mc:Fallback>
          <w:pict>
            <v:shape o:spt="32" o:oned="true" path="m,l21600,21600e" style="position:absolute;margin-left:52.100000000000001pt;margin-top:49.100000000000001pt;width:490.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7751445</wp:posOffset>
              </wp:positionH>
              <wp:positionV relativeFrom="page">
                <wp:posOffset>606425</wp:posOffset>
              </wp:positionV>
              <wp:extent cx="2218690" cy="106680"/>
              <wp:wrapNone/>
              <wp:docPr id="160" name="Shape 16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6" type="#_x0000_t202" style="position:absolute;margin-left:610.35000000000002pt;margin-top:47.75pt;width:174.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1210310</wp:posOffset>
              </wp:positionH>
              <wp:positionV relativeFrom="page">
                <wp:posOffset>937895</wp:posOffset>
              </wp:positionV>
              <wp:extent cx="8784590" cy="0"/>
              <wp:wrapNone/>
              <wp:docPr id="162" name="Shape 162"/>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299999999999997pt;margin-top:73.850000000000009pt;width:691.7000000000000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4613910</wp:posOffset>
              </wp:positionH>
              <wp:positionV relativeFrom="page">
                <wp:posOffset>789940</wp:posOffset>
              </wp:positionV>
              <wp:extent cx="2218690" cy="106680"/>
              <wp:wrapNone/>
              <wp:docPr id="175" name="Shape 17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1" type="#_x0000_t202" style="position:absolute;margin-left:363.30000000000001pt;margin-top:62.200000000000003pt;width:174.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1273810</wp:posOffset>
              </wp:positionH>
              <wp:positionV relativeFrom="page">
                <wp:posOffset>984885</wp:posOffset>
              </wp:positionV>
              <wp:extent cx="2020570" cy="155575"/>
              <wp:wrapNone/>
              <wp:docPr id="177" name="Shape 177"/>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03" type="#_x0000_t202" style="position:absolute;margin-left:100.3pt;margin-top:77.549999999999997pt;width:159.09999999999999pt;height:12.25pt;z-index:-1887439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179" name="Shape 179"/>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4613910</wp:posOffset>
              </wp:positionH>
              <wp:positionV relativeFrom="page">
                <wp:posOffset>789940</wp:posOffset>
              </wp:positionV>
              <wp:extent cx="2218690" cy="106680"/>
              <wp:wrapNone/>
              <wp:docPr id="182" name="Shape 18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8" type="#_x0000_t202" style="position:absolute;margin-left:363.30000000000001pt;margin-top:62.200000000000003pt;width:174.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1273810</wp:posOffset>
              </wp:positionH>
              <wp:positionV relativeFrom="page">
                <wp:posOffset>984885</wp:posOffset>
              </wp:positionV>
              <wp:extent cx="2020570" cy="155575"/>
              <wp:wrapNone/>
              <wp:docPr id="184" name="Shape 184"/>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10" type="#_x0000_t202" style="position:absolute;margin-left:100.3pt;margin-top:77.549999999999997pt;width:159.09999999999999pt;height:12.25pt;z-index:-1887439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186" name="Shape 186"/>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4617085</wp:posOffset>
              </wp:positionH>
              <wp:positionV relativeFrom="page">
                <wp:posOffset>844550</wp:posOffset>
              </wp:positionV>
              <wp:extent cx="2218690" cy="106680"/>
              <wp:wrapNone/>
              <wp:docPr id="189" name="Shape 18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5" type="#_x0000_t202" style="position:absolute;margin-left:363.55000000000001pt;margin-top:66.5pt;width:174.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1209675</wp:posOffset>
              </wp:positionH>
              <wp:positionV relativeFrom="page">
                <wp:posOffset>995045</wp:posOffset>
              </wp:positionV>
              <wp:extent cx="5650865" cy="0"/>
              <wp:wrapNone/>
              <wp:docPr id="191" name="Shape 191"/>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25pt;margin-top:78.350000000000009pt;width:444.94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4617085</wp:posOffset>
              </wp:positionH>
              <wp:positionV relativeFrom="page">
                <wp:posOffset>844550</wp:posOffset>
              </wp:positionV>
              <wp:extent cx="2218690" cy="106680"/>
              <wp:wrapNone/>
              <wp:docPr id="194" name="Shape 19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0" type="#_x0000_t202" style="position:absolute;margin-left:363.55000000000001pt;margin-top:66.5pt;width:174.7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1209675</wp:posOffset>
              </wp:positionH>
              <wp:positionV relativeFrom="page">
                <wp:posOffset>995045</wp:posOffset>
              </wp:positionV>
              <wp:extent cx="5650865" cy="0"/>
              <wp:wrapNone/>
              <wp:docPr id="196" name="Shape 196"/>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25pt;margin-top:78.350000000000009pt;width:444.94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4611370</wp:posOffset>
              </wp:positionH>
              <wp:positionV relativeFrom="page">
                <wp:posOffset>735330</wp:posOffset>
              </wp:positionV>
              <wp:extent cx="2218690" cy="106680"/>
              <wp:wrapNone/>
              <wp:docPr id="199" name="Shape 19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5" type="#_x0000_t202" style="position:absolute;margin-left:363.10000000000002pt;margin-top:57.899999999999999pt;width:174.70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1270635</wp:posOffset>
              </wp:positionH>
              <wp:positionV relativeFrom="page">
                <wp:posOffset>930275</wp:posOffset>
              </wp:positionV>
              <wp:extent cx="2020570" cy="155575"/>
              <wp:wrapNone/>
              <wp:docPr id="201" name="Shape 201"/>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27" type="#_x0000_t202" style="position:absolute;margin-left:100.05pt;margin-top:73.25pt;width:159.09999999999999pt;height:12.25pt;z-index:-1887439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1203325</wp:posOffset>
              </wp:positionH>
              <wp:positionV relativeFrom="page">
                <wp:posOffset>885825</wp:posOffset>
              </wp:positionV>
              <wp:extent cx="5650865" cy="0"/>
              <wp:wrapNone/>
              <wp:docPr id="203" name="Shape 203"/>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4.75pt;margin-top:69.75pt;width:444.94999999999999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7751445</wp:posOffset>
              </wp:positionH>
              <wp:positionV relativeFrom="page">
                <wp:posOffset>606425</wp:posOffset>
              </wp:positionV>
              <wp:extent cx="2218690" cy="106680"/>
              <wp:wrapNone/>
              <wp:docPr id="206" name="Shape 20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2" type="#_x0000_t202" style="position:absolute;margin-left:610.35000000000002pt;margin-top:47.75pt;width:174.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1210310</wp:posOffset>
              </wp:positionH>
              <wp:positionV relativeFrom="page">
                <wp:posOffset>937895</wp:posOffset>
              </wp:positionV>
              <wp:extent cx="8784590" cy="0"/>
              <wp:wrapNone/>
              <wp:docPr id="208" name="Shape 208"/>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299999999999997pt;margin-top:73.850000000000009pt;width:691.7000000000000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7751445</wp:posOffset>
              </wp:positionH>
              <wp:positionV relativeFrom="page">
                <wp:posOffset>606425</wp:posOffset>
              </wp:positionV>
              <wp:extent cx="2218690" cy="106680"/>
              <wp:wrapNone/>
              <wp:docPr id="211" name="Shape 21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7" type="#_x0000_t202" style="position:absolute;margin-left:610.35000000000002pt;margin-top:47.75pt;width:174.70000000000002pt;height:8.4000000000000004pt;z-index:-1887439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1210310</wp:posOffset>
              </wp:positionH>
              <wp:positionV relativeFrom="page">
                <wp:posOffset>937895</wp:posOffset>
              </wp:positionV>
              <wp:extent cx="8784590" cy="0"/>
              <wp:wrapNone/>
              <wp:docPr id="213" name="Shape 213"/>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299999999999997pt;margin-top:73.850000000000009pt;width:691.7000000000000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4674870</wp:posOffset>
              </wp:positionH>
              <wp:positionV relativeFrom="page">
                <wp:posOffset>789940</wp:posOffset>
              </wp:positionV>
              <wp:extent cx="2218690" cy="106680"/>
              <wp:wrapNone/>
              <wp:docPr id="216" name="Shape 2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2" type="#_x0000_t202" style="position:absolute;margin-left:368.10000000000002pt;margin-top:62.200000000000003pt;width:174.70000000000002pt;height:8.4000000000000004pt;z-index:-1887439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1334770</wp:posOffset>
              </wp:positionH>
              <wp:positionV relativeFrom="page">
                <wp:posOffset>984885</wp:posOffset>
              </wp:positionV>
              <wp:extent cx="2020570" cy="155575"/>
              <wp:wrapNone/>
              <wp:docPr id="218" name="Shape 218"/>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44" type="#_x0000_t202" style="position:absolute;margin-left:105.10000000000001pt;margin-top:77.549999999999997pt;width:159.09999999999999pt;height:12.25pt;z-index:-1887439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220" name="Shape 220"/>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7751445</wp:posOffset>
              </wp:positionH>
              <wp:positionV relativeFrom="page">
                <wp:posOffset>606425</wp:posOffset>
              </wp:positionV>
              <wp:extent cx="2218690" cy="106680"/>
              <wp:wrapNone/>
              <wp:docPr id="223" name="Shape 22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9" type="#_x0000_t202" style="position:absolute;margin-left:610.35000000000002pt;margin-top:47.75pt;width:174.7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1210310</wp:posOffset>
              </wp:positionH>
              <wp:positionV relativeFrom="page">
                <wp:posOffset>937895</wp:posOffset>
              </wp:positionV>
              <wp:extent cx="8784590" cy="0"/>
              <wp:wrapNone/>
              <wp:docPr id="225" name="Shape 225"/>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299999999999997pt;margin-top:73.850000000000009pt;width:691.700000000000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4625975</wp:posOffset>
              </wp:positionH>
              <wp:positionV relativeFrom="page">
                <wp:posOffset>561340</wp:posOffset>
              </wp:positionV>
              <wp:extent cx="2218690" cy="106680"/>
              <wp:wrapNone/>
              <wp:docPr id="11" name="Shape 1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64.25pt;margin-top:44.200000000000003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639445</wp:posOffset>
              </wp:positionH>
              <wp:positionV relativeFrom="page">
                <wp:posOffset>706120</wp:posOffset>
              </wp:positionV>
              <wp:extent cx="6229985" cy="0"/>
              <wp:wrapNone/>
              <wp:docPr id="13" name="Shape 13"/>
              <a:graphic xmlns:a="http://schemas.openxmlformats.org/drawingml/2006/main">
                <a:graphicData uri="http://schemas.microsoft.com/office/word/2010/wordprocessingShape">
                  <wps:wsp>
                    <wps:cNvCnPr/>
                    <wps:spPr>
                      <a:xfrm>
                        <a:ext cx="6229985" cy="0"/>
                      </a:xfrm>
                      <a:prstGeom prst="straightConnector1"/>
                      <a:ln w="12700">
                        <a:solidFill/>
                      </a:ln>
                    </wps:spPr>
                    <wps:bodyPr/>
                  </wps:wsp>
                </a:graphicData>
              </a:graphic>
            </wp:anchor>
          </w:drawing>
        </mc:Choice>
        <mc:Fallback>
          <w:pict>
            <v:shape o:spt="32" o:oned="true" path="m,l21600,21600e" style="position:absolute;margin-left:50.350000000000001pt;margin-top:55.600000000000001pt;width:490.5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4611370</wp:posOffset>
              </wp:positionH>
              <wp:positionV relativeFrom="page">
                <wp:posOffset>735330</wp:posOffset>
              </wp:positionV>
              <wp:extent cx="2218690" cy="106680"/>
              <wp:wrapNone/>
              <wp:docPr id="228" name="Shape 2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4" type="#_x0000_t202" style="position:absolute;margin-left:363.10000000000002pt;margin-top:57.899999999999999pt;width:174.70000000000002pt;height:8.4000000000000004pt;z-index:-1887439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1270635</wp:posOffset>
              </wp:positionH>
              <wp:positionV relativeFrom="page">
                <wp:posOffset>930275</wp:posOffset>
              </wp:positionV>
              <wp:extent cx="2020570" cy="155575"/>
              <wp:wrapNone/>
              <wp:docPr id="230" name="Shape 230"/>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56" type="#_x0000_t202" style="position:absolute;margin-left:100.05pt;margin-top:73.25pt;width:159.09999999999999pt;height:12.25pt;z-index:-1887439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1203325</wp:posOffset>
              </wp:positionH>
              <wp:positionV relativeFrom="page">
                <wp:posOffset>885825</wp:posOffset>
              </wp:positionV>
              <wp:extent cx="5650865" cy="0"/>
              <wp:wrapNone/>
              <wp:docPr id="232" name="Shape 232"/>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4.75pt;margin-top:69.75pt;width:444.94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4674870</wp:posOffset>
              </wp:positionH>
              <wp:positionV relativeFrom="page">
                <wp:posOffset>789940</wp:posOffset>
              </wp:positionV>
              <wp:extent cx="2218690" cy="106680"/>
              <wp:wrapNone/>
              <wp:docPr id="261" name="Shape 26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7" type="#_x0000_t202" style="position:absolute;margin-left:368.10000000000002pt;margin-top:62.200000000000003pt;width:174.70000000000002pt;height:8.4000000000000004pt;z-index:-1887439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1334770</wp:posOffset>
              </wp:positionH>
              <wp:positionV relativeFrom="page">
                <wp:posOffset>984885</wp:posOffset>
              </wp:positionV>
              <wp:extent cx="2020570" cy="155575"/>
              <wp:wrapNone/>
              <wp:docPr id="263" name="Shape 263"/>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89" type="#_x0000_t202" style="position:absolute;margin-left:105.10000000000001pt;margin-top:77.549999999999997pt;width:159.09999999999999pt;height:12.25pt;z-index:-1887439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265" name="Shape 265"/>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4674870</wp:posOffset>
              </wp:positionH>
              <wp:positionV relativeFrom="page">
                <wp:posOffset>789940</wp:posOffset>
              </wp:positionV>
              <wp:extent cx="2218690" cy="106680"/>
              <wp:wrapNone/>
              <wp:docPr id="268" name="Shape 26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4" type="#_x0000_t202" style="position:absolute;margin-left:368.10000000000002pt;margin-top:62.200000000000003pt;width:174.70000000000002pt;height:8.4000000000000004pt;z-index:-1887439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1334770</wp:posOffset>
              </wp:positionH>
              <wp:positionV relativeFrom="page">
                <wp:posOffset>984885</wp:posOffset>
              </wp:positionV>
              <wp:extent cx="2020570" cy="155575"/>
              <wp:wrapNone/>
              <wp:docPr id="270" name="Shape 270"/>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296" type="#_x0000_t202" style="position:absolute;margin-left:105.10000000000001pt;margin-top:77.549999999999997pt;width:159.09999999999999pt;height:12.25pt;z-index:-1887439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272" name="Shape 272"/>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4674870</wp:posOffset>
              </wp:positionH>
              <wp:positionV relativeFrom="page">
                <wp:posOffset>789940</wp:posOffset>
              </wp:positionV>
              <wp:extent cx="2218690" cy="106680"/>
              <wp:wrapNone/>
              <wp:docPr id="313" name="Shape 31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9" type="#_x0000_t202" style="position:absolute;margin-left:368.10000000000002pt;margin-top:62.200000000000003pt;width:174.70000000000002pt;height:8.4000000000000004pt;z-index:-1887439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1334770</wp:posOffset>
              </wp:positionH>
              <wp:positionV relativeFrom="page">
                <wp:posOffset>984885</wp:posOffset>
              </wp:positionV>
              <wp:extent cx="2020570" cy="155575"/>
              <wp:wrapNone/>
              <wp:docPr id="315" name="Shape 315"/>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41" type="#_x0000_t202" style="position:absolute;margin-left:105.10000000000001pt;margin-top:77.549999999999997pt;width:159.09999999999999pt;height:12.25pt;z-index:-1887439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317" name="Shape 317"/>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4674870</wp:posOffset>
              </wp:positionH>
              <wp:positionV relativeFrom="page">
                <wp:posOffset>789940</wp:posOffset>
              </wp:positionV>
              <wp:extent cx="2218690" cy="106680"/>
              <wp:wrapNone/>
              <wp:docPr id="320" name="Shape 32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6" type="#_x0000_t202" style="position:absolute;margin-left:368.10000000000002pt;margin-top:62.200000000000003pt;width:174.70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1334770</wp:posOffset>
              </wp:positionH>
              <wp:positionV relativeFrom="page">
                <wp:posOffset>984885</wp:posOffset>
              </wp:positionV>
              <wp:extent cx="2020570" cy="155575"/>
              <wp:wrapNone/>
              <wp:docPr id="322" name="Shape 322"/>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48" type="#_x0000_t202" style="position:absolute;margin-left:105.10000000000001pt;margin-top:77.549999999999997pt;width:159.09999999999999pt;height:12.25pt;z-index:-1887439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324" name="Shape 324"/>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4584700</wp:posOffset>
              </wp:positionH>
              <wp:positionV relativeFrom="page">
                <wp:posOffset>789940</wp:posOffset>
              </wp:positionV>
              <wp:extent cx="2218690" cy="106680"/>
              <wp:wrapNone/>
              <wp:docPr id="327" name="Shape 32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3" type="#_x0000_t202" style="position:absolute;margin-left:361.pt;margin-top:62.200000000000003pt;width:174.70000000000002pt;height:8.4000000000000004pt;z-index:-1887439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1243965</wp:posOffset>
              </wp:positionH>
              <wp:positionV relativeFrom="page">
                <wp:posOffset>984885</wp:posOffset>
              </wp:positionV>
              <wp:extent cx="2020570" cy="155575"/>
              <wp:wrapNone/>
              <wp:docPr id="329" name="Shape 329"/>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55" type="#_x0000_t202" style="position:absolute;margin-left:97.950000000000003pt;margin-top:77.549999999999997pt;width:159.09999999999999pt;height:12.25pt;z-index:-1887439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1177290</wp:posOffset>
              </wp:positionH>
              <wp:positionV relativeFrom="page">
                <wp:posOffset>940435</wp:posOffset>
              </wp:positionV>
              <wp:extent cx="5650865" cy="0"/>
              <wp:wrapNone/>
              <wp:docPr id="331" name="Shape 331"/>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2.700000000000003pt;margin-top:74.049999999999997pt;width:444.94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4584700</wp:posOffset>
              </wp:positionH>
              <wp:positionV relativeFrom="page">
                <wp:posOffset>789940</wp:posOffset>
              </wp:positionV>
              <wp:extent cx="2218690" cy="106680"/>
              <wp:wrapNone/>
              <wp:docPr id="340" name="Shape 34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6" type="#_x0000_t202" style="position:absolute;margin-left:361.pt;margin-top:62.200000000000003pt;width:174.70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1243965</wp:posOffset>
              </wp:positionH>
              <wp:positionV relativeFrom="page">
                <wp:posOffset>984885</wp:posOffset>
              </wp:positionV>
              <wp:extent cx="2020570" cy="155575"/>
              <wp:wrapNone/>
              <wp:docPr id="342" name="Shape 342"/>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68" type="#_x0000_t202" style="position:absolute;margin-left:97.950000000000003pt;margin-top:77.549999999999997pt;width:159.09999999999999pt;height:12.25pt;z-index:-1887438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1177290</wp:posOffset>
              </wp:positionH>
              <wp:positionV relativeFrom="page">
                <wp:posOffset>940435</wp:posOffset>
              </wp:positionV>
              <wp:extent cx="5650865" cy="0"/>
              <wp:wrapNone/>
              <wp:docPr id="344" name="Shape 344"/>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2.700000000000003pt;margin-top:74.049999999999997pt;width:444.94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4584700</wp:posOffset>
              </wp:positionH>
              <wp:positionV relativeFrom="page">
                <wp:posOffset>789940</wp:posOffset>
              </wp:positionV>
              <wp:extent cx="2218690" cy="106680"/>
              <wp:wrapNone/>
              <wp:docPr id="347" name="Shape 3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3" type="#_x0000_t202" style="position:absolute;margin-left:361.pt;margin-top:62.200000000000003pt;width:174.70000000000002pt;height:8.4000000000000004pt;z-index:-1887438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1243965</wp:posOffset>
              </wp:positionH>
              <wp:positionV relativeFrom="page">
                <wp:posOffset>984885</wp:posOffset>
              </wp:positionV>
              <wp:extent cx="2020570" cy="155575"/>
              <wp:wrapNone/>
              <wp:docPr id="349" name="Shape 349"/>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75" type="#_x0000_t202" style="position:absolute;margin-left:97.950000000000003pt;margin-top:77.549999999999997pt;width:159.09999999999999pt;height:12.25pt;z-index:-1887438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1177290</wp:posOffset>
              </wp:positionH>
              <wp:positionV relativeFrom="page">
                <wp:posOffset>940435</wp:posOffset>
              </wp:positionV>
              <wp:extent cx="5650865" cy="0"/>
              <wp:wrapNone/>
              <wp:docPr id="351" name="Shape 351"/>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2.700000000000003pt;margin-top:74.049999999999997pt;width:444.94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4674870</wp:posOffset>
              </wp:positionH>
              <wp:positionV relativeFrom="page">
                <wp:posOffset>789940</wp:posOffset>
              </wp:positionV>
              <wp:extent cx="2218690" cy="106680"/>
              <wp:wrapNone/>
              <wp:docPr id="354" name="Shape 35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0" type="#_x0000_t202" style="position:absolute;margin-left:368.10000000000002pt;margin-top:62.200000000000003pt;width:174.70000000000002pt;height:8.4000000000000004pt;z-index:-1887438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1334770</wp:posOffset>
              </wp:positionH>
              <wp:positionV relativeFrom="page">
                <wp:posOffset>984885</wp:posOffset>
              </wp:positionV>
              <wp:extent cx="2020570" cy="155575"/>
              <wp:wrapNone/>
              <wp:docPr id="356" name="Shape 356"/>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82" type="#_x0000_t202" style="position:absolute;margin-left:105.10000000000001pt;margin-top:77.549999999999997pt;width:159.09999999999999pt;height:12.25pt;z-index:-1887438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358" name="Shape 358"/>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4674870</wp:posOffset>
              </wp:positionH>
              <wp:positionV relativeFrom="page">
                <wp:posOffset>789940</wp:posOffset>
              </wp:positionV>
              <wp:extent cx="2218690" cy="106680"/>
              <wp:wrapNone/>
              <wp:docPr id="361" name="Shape 36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7" type="#_x0000_t202" style="position:absolute;margin-left:368.10000000000002pt;margin-top:62.200000000000003pt;width:174.70000000000002pt;height:8.4000000000000004pt;z-index:-1887438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1334770</wp:posOffset>
              </wp:positionH>
              <wp:positionV relativeFrom="page">
                <wp:posOffset>984885</wp:posOffset>
              </wp:positionV>
              <wp:extent cx="2020570" cy="155575"/>
              <wp:wrapNone/>
              <wp:docPr id="363" name="Shape 363"/>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389" type="#_x0000_t202" style="position:absolute;margin-left:105.10000000000001pt;margin-top:77.549999999999997pt;width:159.09999999999999pt;height:12.25pt;z-index:-1887438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365" name="Shape 365"/>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4625975</wp:posOffset>
              </wp:positionH>
              <wp:positionV relativeFrom="page">
                <wp:posOffset>561340</wp:posOffset>
              </wp:positionV>
              <wp:extent cx="2218690" cy="106680"/>
              <wp:wrapNone/>
              <wp:docPr id="16" name="Shape 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64.25pt;margin-top:44.200000000000003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顺丰控股股份有限公司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639445</wp:posOffset>
              </wp:positionH>
              <wp:positionV relativeFrom="page">
                <wp:posOffset>706120</wp:posOffset>
              </wp:positionV>
              <wp:extent cx="6229985" cy="0"/>
              <wp:wrapNone/>
              <wp:docPr id="18" name="Shape 18"/>
              <a:graphic xmlns:a="http://schemas.openxmlformats.org/drawingml/2006/main">
                <a:graphicData uri="http://schemas.microsoft.com/office/word/2010/wordprocessingShape">
                  <wps:wsp>
                    <wps:cNvCnPr/>
                    <wps:spPr>
                      <a:xfrm>
                        <a:ext cx="6229985" cy="0"/>
                      </a:xfrm>
                      <a:prstGeom prst="straightConnector1"/>
                      <a:ln w="12700">
                        <a:solidFill/>
                      </a:ln>
                    </wps:spPr>
                    <wps:bodyPr/>
                  </wps:wsp>
                </a:graphicData>
              </a:graphic>
            </wp:anchor>
          </w:drawing>
        </mc:Choice>
        <mc:Fallback>
          <w:pict>
            <v:shape o:spt="32" o:oned="true" path="m,l21600,21600e" style="position:absolute;margin-left:50.350000000000001pt;margin-top:55.600000000000001pt;width:490.5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7751445</wp:posOffset>
              </wp:positionH>
              <wp:positionV relativeFrom="page">
                <wp:posOffset>786130</wp:posOffset>
              </wp:positionV>
              <wp:extent cx="2218690" cy="106680"/>
              <wp:wrapNone/>
              <wp:docPr id="376" name="Shape 3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2" type="#_x0000_t202" style="position:absolute;margin-left:610.35000000000002pt;margin-top:61.899999999999999pt;width:174.70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1210310</wp:posOffset>
              </wp:positionH>
              <wp:positionV relativeFrom="page">
                <wp:posOffset>937895</wp:posOffset>
              </wp:positionV>
              <wp:extent cx="8784590" cy="0"/>
              <wp:wrapNone/>
              <wp:docPr id="378" name="Shape 378"/>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299999999999997pt;margin-top:73.850000000000009pt;width:691.7000000000000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7751445</wp:posOffset>
              </wp:positionH>
              <wp:positionV relativeFrom="page">
                <wp:posOffset>786130</wp:posOffset>
              </wp:positionV>
              <wp:extent cx="2218690" cy="106680"/>
              <wp:wrapNone/>
              <wp:docPr id="381" name="Shape 3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7" type="#_x0000_t202" style="position:absolute;margin-left:610.35000000000002pt;margin-top:61.899999999999999pt;width:174.70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1210310</wp:posOffset>
              </wp:positionH>
              <wp:positionV relativeFrom="page">
                <wp:posOffset>937895</wp:posOffset>
              </wp:positionV>
              <wp:extent cx="8784590" cy="0"/>
              <wp:wrapNone/>
              <wp:docPr id="383" name="Shape 383"/>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299999999999997pt;margin-top:73.850000000000009pt;width:691.7000000000000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4674870</wp:posOffset>
              </wp:positionH>
              <wp:positionV relativeFrom="page">
                <wp:posOffset>789940</wp:posOffset>
              </wp:positionV>
              <wp:extent cx="2218690" cy="106680"/>
              <wp:wrapNone/>
              <wp:docPr id="398" name="Shape 39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4" type="#_x0000_t202" style="position:absolute;margin-left:368.10000000000002pt;margin-top:62.200000000000003pt;width:174.70000000000002pt;height:8.4000000000000004pt;z-index:-1887438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1334770</wp:posOffset>
              </wp:positionH>
              <wp:positionV relativeFrom="page">
                <wp:posOffset>984885</wp:posOffset>
              </wp:positionV>
              <wp:extent cx="2020570" cy="155575"/>
              <wp:wrapNone/>
              <wp:docPr id="400" name="Shape 400"/>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426" type="#_x0000_t202" style="position:absolute;margin-left:105.10000000000001pt;margin-top:77.549999999999997pt;width:159.09999999999999pt;height:12.25pt;z-index:-1887438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402" name="Shape 402"/>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4674870</wp:posOffset>
              </wp:positionH>
              <wp:positionV relativeFrom="page">
                <wp:posOffset>789940</wp:posOffset>
              </wp:positionV>
              <wp:extent cx="2218690" cy="106680"/>
              <wp:wrapNone/>
              <wp:docPr id="405" name="Shape 40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1" type="#_x0000_t202" style="position:absolute;margin-left:368.10000000000002pt;margin-top:62.200000000000003pt;width:174.70000000000002pt;height:8.4000000000000004pt;z-index:-1887438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1334770</wp:posOffset>
              </wp:positionH>
              <wp:positionV relativeFrom="page">
                <wp:posOffset>984885</wp:posOffset>
              </wp:positionV>
              <wp:extent cx="2020570" cy="155575"/>
              <wp:wrapNone/>
              <wp:docPr id="407" name="Shape 407"/>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433" type="#_x0000_t202" style="position:absolute;margin-left:105.10000000000001pt;margin-top:77.549999999999997pt;width:159.09999999999999pt;height:12.25pt;z-index:-1887438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409" name="Shape 409"/>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4674870</wp:posOffset>
              </wp:positionH>
              <wp:positionV relativeFrom="page">
                <wp:posOffset>789940</wp:posOffset>
              </wp:positionV>
              <wp:extent cx="2218690" cy="106680"/>
              <wp:wrapNone/>
              <wp:docPr id="412" name="Shape 4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8" type="#_x0000_t202" style="position:absolute;margin-left:368.10000000000002pt;margin-top:62.200000000000003pt;width:174.70000000000002pt;height:8.4000000000000004pt;z-index:-1887438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1334770</wp:posOffset>
              </wp:positionH>
              <wp:positionV relativeFrom="page">
                <wp:posOffset>984885</wp:posOffset>
              </wp:positionV>
              <wp:extent cx="2020570" cy="155575"/>
              <wp:wrapNone/>
              <wp:docPr id="414" name="Shape 414"/>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440" type="#_x0000_t202" style="position:absolute;margin-left:105.10000000000001pt;margin-top:77.549999999999997pt;width:159.09999999999999pt;height:12.25pt;z-index:-1887438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416" name="Shape 416"/>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4674870</wp:posOffset>
              </wp:positionH>
              <wp:positionV relativeFrom="page">
                <wp:posOffset>789940</wp:posOffset>
              </wp:positionV>
              <wp:extent cx="2218690" cy="106680"/>
              <wp:wrapNone/>
              <wp:docPr id="419" name="Shape 41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5" type="#_x0000_t202" style="position:absolute;margin-left:368.10000000000002pt;margin-top:62.200000000000003pt;width:174.70000000000002pt;height:8.4000000000000004pt;z-index:-1887438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1334770</wp:posOffset>
              </wp:positionH>
              <wp:positionV relativeFrom="page">
                <wp:posOffset>984885</wp:posOffset>
              </wp:positionV>
              <wp:extent cx="2020570" cy="155575"/>
              <wp:wrapNone/>
              <wp:docPr id="421" name="Shape 421"/>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447" type="#_x0000_t202" style="position:absolute;margin-left:105.10000000000001pt;margin-top:77.549999999999997pt;width:159.09999999999999pt;height:12.25pt;z-index:-1887438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1267460</wp:posOffset>
              </wp:positionH>
              <wp:positionV relativeFrom="page">
                <wp:posOffset>940435</wp:posOffset>
              </wp:positionV>
              <wp:extent cx="5650865" cy="0"/>
              <wp:wrapNone/>
              <wp:docPr id="423" name="Shape 423"/>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9.799999999999997pt;margin-top:74.049999999999997pt;width:444.94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4615180</wp:posOffset>
              </wp:positionH>
              <wp:positionV relativeFrom="page">
                <wp:posOffset>784860</wp:posOffset>
              </wp:positionV>
              <wp:extent cx="2218690" cy="106680"/>
              <wp:wrapNone/>
              <wp:docPr id="426" name="Shape 42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2" type="#_x0000_t202" style="position:absolute;margin-left:363.40000000000003pt;margin-top:61.800000000000004pt;width:174.70000000000002pt;height:8.4000000000000004pt;z-index:-1887438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1274445</wp:posOffset>
              </wp:positionH>
              <wp:positionV relativeFrom="page">
                <wp:posOffset>979805</wp:posOffset>
              </wp:positionV>
              <wp:extent cx="2020570" cy="155575"/>
              <wp:wrapNone/>
              <wp:docPr id="428" name="Shape 428"/>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454" type="#_x0000_t202" style="position:absolute;margin-left:100.35000000000001pt;margin-top:77.150000000000006pt;width:159.09999999999999pt;height:12.25pt;z-index:-1887438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1207135</wp:posOffset>
              </wp:positionH>
              <wp:positionV relativeFrom="page">
                <wp:posOffset>940435</wp:posOffset>
              </wp:positionV>
              <wp:extent cx="5650865" cy="0"/>
              <wp:wrapNone/>
              <wp:docPr id="430" name="Shape 430"/>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049999999999997pt;margin-top:74.049999999999997pt;width:444.94999999999999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4613275</wp:posOffset>
              </wp:positionH>
              <wp:positionV relativeFrom="page">
                <wp:posOffset>800100</wp:posOffset>
              </wp:positionV>
              <wp:extent cx="2218690" cy="106680"/>
              <wp:wrapNone/>
              <wp:docPr id="449" name="Shape 44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5" type="#_x0000_t202" style="position:absolute;margin-left:363.25pt;margin-top:63.pt;width:174.70000000000002pt;height:8.4000000000000004pt;z-index:-1887438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1266190</wp:posOffset>
              </wp:positionH>
              <wp:positionV relativeFrom="page">
                <wp:posOffset>995045</wp:posOffset>
              </wp:positionV>
              <wp:extent cx="1313815" cy="140335"/>
              <wp:wrapNone/>
              <wp:docPr id="451" name="Shape 451"/>
              <a:graphic xmlns:a="http://schemas.openxmlformats.org/drawingml/2006/main">
                <a:graphicData uri="http://schemas.microsoft.com/office/word/2010/wordprocessingShape">
                  <wps:wsp>
                    <wps:cNvSpPr txBox="1"/>
                    <wps:spPr>
                      <a:xfrm>
                        <a:ext cx="1313815"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五合并范围的变更</w:t>
                          </w:r>
                        </w:p>
                      </w:txbxContent>
                    </wps:txbx>
                    <wps:bodyPr wrap="none" lIns="0" tIns="0" rIns="0" bIns="0">
                      <a:spAutoFit/>
                    </wps:bodyPr>
                  </wps:wsp>
                </a:graphicData>
              </a:graphic>
            </wp:anchor>
          </w:drawing>
        </mc:Choice>
        <mc:Fallback>
          <w:pict>
            <v:shape id="_x0000_s1477" type="#_x0000_t202" style="position:absolute;margin-left:99.700000000000003pt;margin-top:78.350000000000009pt;width:103.45pt;height:11.050000000000001pt;z-index:-1887438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五合并范围的变更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1205230</wp:posOffset>
              </wp:positionH>
              <wp:positionV relativeFrom="page">
                <wp:posOffset>950595</wp:posOffset>
              </wp:positionV>
              <wp:extent cx="5650865" cy="0"/>
              <wp:wrapNone/>
              <wp:docPr id="453" name="Shape 453"/>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4.900000000000006pt;margin-top:74.850000000000009pt;width:444.94999999999999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4613275</wp:posOffset>
              </wp:positionH>
              <wp:positionV relativeFrom="page">
                <wp:posOffset>800100</wp:posOffset>
              </wp:positionV>
              <wp:extent cx="2218690" cy="106680"/>
              <wp:wrapNone/>
              <wp:docPr id="456" name="Shape 45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2" type="#_x0000_t202" style="position:absolute;margin-left:363.25pt;margin-top:63.pt;width:174.70000000000002pt;height:8.4000000000000004pt;z-index:-1887438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1266190</wp:posOffset>
              </wp:positionH>
              <wp:positionV relativeFrom="page">
                <wp:posOffset>995045</wp:posOffset>
              </wp:positionV>
              <wp:extent cx="1313815" cy="140335"/>
              <wp:wrapNone/>
              <wp:docPr id="458" name="Shape 458"/>
              <a:graphic xmlns:a="http://schemas.openxmlformats.org/drawingml/2006/main">
                <a:graphicData uri="http://schemas.microsoft.com/office/word/2010/wordprocessingShape">
                  <wps:wsp>
                    <wps:cNvSpPr txBox="1"/>
                    <wps:spPr>
                      <a:xfrm>
                        <a:ext cx="1313815" cy="14033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五合并范围的变更</w:t>
                          </w:r>
                        </w:p>
                      </w:txbxContent>
                    </wps:txbx>
                    <wps:bodyPr wrap="none" lIns="0" tIns="0" rIns="0" bIns="0">
                      <a:spAutoFit/>
                    </wps:bodyPr>
                  </wps:wsp>
                </a:graphicData>
              </a:graphic>
            </wp:anchor>
          </w:drawing>
        </mc:Choice>
        <mc:Fallback>
          <w:pict>
            <v:shape id="_x0000_s1484" type="#_x0000_t202" style="position:absolute;margin-left:99.700000000000003pt;margin-top:78.350000000000009pt;width:103.45pt;height:11.050000000000001pt;z-index:-1887438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五合并范围的变更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1205230</wp:posOffset>
              </wp:positionH>
              <wp:positionV relativeFrom="page">
                <wp:posOffset>950595</wp:posOffset>
              </wp:positionV>
              <wp:extent cx="5650865" cy="0"/>
              <wp:wrapNone/>
              <wp:docPr id="460" name="Shape 460"/>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4.900000000000006pt;margin-top:74.850000000000009pt;width:444.94999999999999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4615180</wp:posOffset>
              </wp:positionH>
              <wp:positionV relativeFrom="page">
                <wp:posOffset>784860</wp:posOffset>
              </wp:positionV>
              <wp:extent cx="2218690" cy="106680"/>
              <wp:wrapNone/>
              <wp:docPr id="463" name="Shape 46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9" type="#_x0000_t202" style="position:absolute;margin-left:363.40000000000003pt;margin-top:61.800000000000004pt;width:174.70000000000002pt;height:8.4000000000000004pt;z-index:-1887438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1274445</wp:posOffset>
              </wp:positionH>
              <wp:positionV relativeFrom="page">
                <wp:posOffset>979805</wp:posOffset>
              </wp:positionV>
              <wp:extent cx="2020570" cy="155575"/>
              <wp:wrapNone/>
              <wp:docPr id="465" name="Shape 465"/>
              <a:graphic xmlns:a="http://schemas.openxmlformats.org/drawingml/2006/main">
                <a:graphicData uri="http://schemas.microsoft.com/office/word/2010/wordprocessingShape">
                  <wps:wsp>
                    <wps:cNvSpPr txBox="1"/>
                    <wps:spPr>
                      <a:xfrm>
                        <a:ext cx="202057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491" type="#_x0000_t202" style="position:absolute;margin-left:100.35000000000001pt;margin-top:77.150000000000006pt;width:159.09999999999999pt;height:12.25pt;z-index:-1887438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1207135</wp:posOffset>
              </wp:positionH>
              <wp:positionV relativeFrom="page">
                <wp:posOffset>940435</wp:posOffset>
              </wp:positionV>
              <wp:extent cx="5650865" cy="0"/>
              <wp:wrapNone/>
              <wp:docPr id="467" name="Shape 467"/>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049999999999997pt;margin-top:74.049999999999997pt;width:444.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4627880</wp:posOffset>
              </wp:positionH>
              <wp:positionV relativeFrom="page">
                <wp:posOffset>489585</wp:posOffset>
              </wp:positionV>
              <wp:extent cx="2218690" cy="106680"/>
              <wp:wrapNone/>
              <wp:docPr id="35" name="Shape 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64.40000000000003pt;margin-top:38.550000000000004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635635</wp:posOffset>
              </wp:positionV>
              <wp:extent cx="5803265" cy="0"/>
              <wp:wrapNone/>
              <wp:docPr id="37" name="Shape 37"/>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84.049999999999997pt;margin-top:50.050000000000004pt;width:456.94999999999999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4618990</wp:posOffset>
              </wp:positionH>
              <wp:positionV relativeFrom="page">
                <wp:posOffset>784860</wp:posOffset>
              </wp:positionV>
              <wp:extent cx="2218690" cy="106680"/>
              <wp:wrapNone/>
              <wp:docPr id="472" name="Shape 47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8" type="#_x0000_t202" style="position:absolute;margin-left:363.69999999999999pt;margin-top:61.800000000000004pt;width:174.70000000000002pt;height:8.4000000000000004pt;z-index:-1887438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1272540</wp:posOffset>
              </wp:positionH>
              <wp:positionV relativeFrom="page">
                <wp:posOffset>979805</wp:posOffset>
              </wp:positionV>
              <wp:extent cx="1569720" cy="155575"/>
              <wp:wrapNone/>
              <wp:docPr id="474" name="Shape 474"/>
              <a:graphic xmlns:a="http://schemas.openxmlformats.org/drawingml/2006/main">
                <a:graphicData uri="http://schemas.microsoft.com/office/word/2010/wordprocessingShape">
                  <wps:wsp>
                    <wps:cNvSpPr txBox="1"/>
                    <wps:spPr>
                      <a:xfrm>
                        <a:ext cx="156972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500" type="#_x0000_t202" style="position:absolute;margin-left:100.2pt;margin-top:77.150000000000006pt;width:123.60000000000001pt;height:12.25pt;z-index:-1887438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1211580</wp:posOffset>
              </wp:positionH>
              <wp:positionV relativeFrom="page">
                <wp:posOffset>935355</wp:posOffset>
              </wp:positionV>
              <wp:extent cx="5650865" cy="0"/>
              <wp:wrapNone/>
              <wp:docPr id="476" name="Shape 476"/>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400000000000006pt;margin-top:73.650000000000006pt;width:444.94999999999999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4618990</wp:posOffset>
              </wp:positionH>
              <wp:positionV relativeFrom="page">
                <wp:posOffset>784860</wp:posOffset>
              </wp:positionV>
              <wp:extent cx="2218690" cy="106680"/>
              <wp:wrapNone/>
              <wp:docPr id="479" name="Shape 47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5" type="#_x0000_t202" style="position:absolute;margin-left:363.69999999999999pt;margin-top:61.800000000000004pt;width:174.70000000000002pt;height:8.4000000000000004pt;z-index:-1887438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1272540</wp:posOffset>
              </wp:positionH>
              <wp:positionV relativeFrom="page">
                <wp:posOffset>979805</wp:posOffset>
              </wp:positionV>
              <wp:extent cx="1569720" cy="155575"/>
              <wp:wrapNone/>
              <wp:docPr id="481" name="Shape 481"/>
              <a:graphic xmlns:a="http://schemas.openxmlformats.org/drawingml/2006/main">
                <a:graphicData uri="http://schemas.microsoft.com/office/word/2010/wordprocessingShape">
                  <wps:wsp>
                    <wps:cNvSpPr txBox="1"/>
                    <wps:spPr>
                      <a:xfrm>
                        <a:ext cx="156972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507" type="#_x0000_t202" style="position:absolute;margin-left:100.2pt;margin-top:77.150000000000006pt;width:123.60000000000001pt;height:12.25pt;z-index:-1887438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1211580</wp:posOffset>
              </wp:positionH>
              <wp:positionV relativeFrom="page">
                <wp:posOffset>935355</wp:posOffset>
              </wp:positionV>
              <wp:extent cx="5650865" cy="0"/>
              <wp:wrapNone/>
              <wp:docPr id="483" name="Shape 483"/>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400000000000006pt;margin-top:73.650000000000006pt;width:444.94999999999999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7764780</wp:posOffset>
              </wp:positionH>
              <wp:positionV relativeFrom="page">
                <wp:posOffset>781050</wp:posOffset>
              </wp:positionV>
              <wp:extent cx="2218690" cy="106680"/>
              <wp:wrapNone/>
              <wp:docPr id="486" name="Shape 48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2" type="#_x0000_t202" style="position:absolute;margin-left:611.39999999999998pt;margin-top:61.5pt;width:174.70000000000002pt;height:8.4000000000000004pt;z-index:-1887438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1223645</wp:posOffset>
              </wp:positionH>
              <wp:positionV relativeFrom="page">
                <wp:posOffset>948055</wp:posOffset>
              </wp:positionV>
              <wp:extent cx="8784590" cy="0"/>
              <wp:wrapNone/>
              <wp:docPr id="488" name="Shape 488"/>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6.350000000000009pt;margin-top:74.650000000000006pt;width:691.7000000000000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4618990</wp:posOffset>
              </wp:positionH>
              <wp:positionV relativeFrom="page">
                <wp:posOffset>784860</wp:posOffset>
              </wp:positionV>
              <wp:extent cx="2218690" cy="106680"/>
              <wp:wrapNone/>
              <wp:docPr id="491" name="Shape 49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7" type="#_x0000_t202" style="position:absolute;margin-left:363.69999999999999pt;margin-top:61.800000000000004pt;width:174.70000000000002pt;height:8.4000000000000004pt;z-index:-1887438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1272540</wp:posOffset>
              </wp:positionH>
              <wp:positionV relativeFrom="page">
                <wp:posOffset>979805</wp:posOffset>
              </wp:positionV>
              <wp:extent cx="1569720" cy="155575"/>
              <wp:wrapNone/>
              <wp:docPr id="493" name="Shape 493"/>
              <a:graphic xmlns:a="http://schemas.openxmlformats.org/drawingml/2006/main">
                <a:graphicData uri="http://schemas.microsoft.com/office/word/2010/wordprocessingShape">
                  <wps:wsp>
                    <wps:cNvSpPr txBox="1"/>
                    <wps:spPr>
                      <a:xfrm>
                        <a:ext cx="156972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519" type="#_x0000_t202" style="position:absolute;margin-left:100.2pt;margin-top:77.150000000000006pt;width:123.60000000000001pt;height:12.25pt;z-index:-1887438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1211580</wp:posOffset>
              </wp:positionH>
              <wp:positionV relativeFrom="page">
                <wp:posOffset>935355</wp:posOffset>
              </wp:positionV>
              <wp:extent cx="5650865" cy="0"/>
              <wp:wrapNone/>
              <wp:docPr id="495" name="Shape 495"/>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400000000000006pt;margin-top:73.650000000000006pt;width:444.94999999999999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4613910</wp:posOffset>
              </wp:positionH>
              <wp:positionV relativeFrom="page">
                <wp:posOffset>789940</wp:posOffset>
              </wp:positionV>
              <wp:extent cx="2218690" cy="106680"/>
              <wp:wrapNone/>
              <wp:docPr id="498" name="Shape 49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4" type="#_x0000_t202" style="position:absolute;margin-left:363.30000000000001pt;margin-top:62.200000000000003pt;width:174.70000000000002pt;height:8.4000000000000004pt;z-index:-1887437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1267460</wp:posOffset>
              </wp:positionH>
              <wp:positionV relativeFrom="page">
                <wp:posOffset>984885</wp:posOffset>
              </wp:positionV>
              <wp:extent cx="1569720" cy="155575"/>
              <wp:wrapNone/>
              <wp:docPr id="500" name="Shape 500"/>
              <a:graphic xmlns:a="http://schemas.openxmlformats.org/drawingml/2006/main">
                <a:graphicData uri="http://schemas.microsoft.com/office/word/2010/wordprocessingShape">
                  <wps:wsp>
                    <wps:cNvSpPr txBox="1"/>
                    <wps:spPr>
                      <a:xfrm>
                        <a:ext cx="156972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526" type="#_x0000_t202" style="position:absolute;margin-left:99.799999999999997pt;margin-top:77.549999999999997pt;width:123.60000000000001pt;height:12.25pt;z-index:-1887437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502" name="Shape 502"/>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4613910</wp:posOffset>
              </wp:positionH>
              <wp:positionV relativeFrom="page">
                <wp:posOffset>789940</wp:posOffset>
              </wp:positionV>
              <wp:extent cx="2218690" cy="106680"/>
              <wp:wrapNone/>
              <wp:docPr id="505" name="Shape 50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1" type="#_x0000_t202" style="position:absolute;margin-left:363.30000000000001pt;margin-top:62.200000000000003pt;width:174.70000000000002pt;height:8.4000000000000004pt;z-index:-1887437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1267460</wp:posOffset>
              </wp:positionH>
              <wp:positionV relativeFrom="page">
                <wp:posOffset>984885</wp:posOffset>
              </wp:positionV>
              <wp:extent cx="1569720" cy="155575"/>
              <wp:wrapNone/>
              <wp:docPr id="507" name="Shape 507"/>
              <a:graphic xmlns:a="http://schemas.openxmlformats.org/drawingml/2006/main">
                <a:graphicData uri="http://schemas.microsoft.com/office/word/2010/wordprocessingShape">
                  <wps:wsp>
                    <wps:cNvSpPr txBox="1"/>
                    <wps:spPr>
                      <a:xfrm>
                        <a:ext cx="1569720"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533" type="#_x0000_t202" style="position:absolute;margin-left:99.799999999999997pt;margin-top:77.549999999999997pt;width:123.60000000000001pt;height:12.25pt;z-index:-1887437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五合并范围的变更</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509" name="Shape 509"/>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7764780</wp:posOffset>
              </wp:positionH>
              <wp:positionV relativeFrom="page">
                <wp:posOffset>781050</wp:posOffset>
              </wp:positionV>
              <wp:extent cx="2218690" cy="106680"/>
              <wp:wrapNone/>
              <wp:docPr id="512" name="Shape 5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8" type="#_x0000_t202" style="position:absolute;margin-left:611.39999999999998pt;margin-top:61.5pt;width:174.70000000000002pt;height:8.4000000000000004pt;z-index:-1887437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1223645</wp:posOffset>
              </wp:positionH>
              <wp:positionV relativeFrom="page">
                <wp:posOffset>948055</wp:posOffset>
              </wp:positionV>
              <wp:extent cx="8784590" cy="0"/>
              <wp:wrapNone/>
              <wp:docPr id="514" name="Shape 514"/>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6.350000000000009pt;margin-top:74.650000000000006pt;width:691.7000000000000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7764780</wp:posOffset>
              </wp:positionH>
              <wp:positionV relativeFrom="page">
                <wp:posOffset>781050</wp:posOffset>
              </wp:positionV>
              <wp:extent cx="2218690" cy="106680"/>
              <wp:wrapNone/>
              <wp:docPr id="517" name="Shape 51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3" type="#_x0000_t202" style="position:absolute;margin-left:611.39999999999998pt;margin-top:61.5pt;width:174.70000000000002pt;height:8.4000000000000004pt;z-index:-1887437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1223645</wp:posOffset>
              </wp:positionH>
              <wp:positionV relativeFrom="page">
                <wp:posOffset>948055</wp:posOffset>
              </wp:positionV>
              <wp:extent cx="8784590" cy="0"/>
              <wp:wrapNone/>
              <wp:docPr id="519" name="Shape 519"/>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6.350000000000009pt;margin-top:74.650000000000006pt;width:691.7000000000000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4627880</wp:posOffset>
              </wp:positionH>
              <wp:positionV relativeFrom="page">
                <wp:posOffset>489585</wp:posOffset>
              </wp:positionV>
              <wp:extent cx="2218690" cy="106680"/>
              <wp:wrapNone/>
              <wp:docPr id="40" name="Shape 4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6" type="#_x0000_t202" style="position:absolute;margin-left:364.40000000000003pt;margin-top:38.550000000000004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635635</wp:posOffset>
              </wp:positionV>
              <wp:extent cx="5803265" cy="0"/>
              <wp:wrapNone/>
              <wp:docPr id="42" name="Shape 42"/>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84.049999999999997pt;margin-top:50.050000000000004pt;width:456.94999999999999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2399665</wp:posOffset>
              </wp:positionH>
              <wp:positionV relativeFrom="page">
                <wp:posOffset>786130</wp:posOffset>
              </wp:positionV>
              <wp:extent cx="2218690" cy="106680"/>
              <wp:wrapNone/>
              <wp:docPr id="528" name="Shape 5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4" type="#_x0000_t202" style="position:absolute;margin-left:188.95000000000002pt;margin-top:61.899999999999999pt;width:174.70000000000002pt;height:8.4000000000000004pt;z-index:-1887437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-5080</wp:posOffset>
              </wp:positionH>
              <wp:positionV relativeFrom="page">
                <wp:posOffset>937895</wp:posOffset>
              </wp:positionV>
              <wp:extent cx="4648200" cy="0"/>
              <wp:wrapNone/>
              <wp:docPr id="530" name="Shape 530"/>
              <a:graphic xmlns:a="http://schemas.openxmlformats.org/drawingml/2006/main">
                <a:graphicData uri="http://schemas.microsoft.com/office/word/2010/wordprocessingShape">
                  <wps:wsp>
                    <wps:cNvCnPr/>
                    <wps:spPr>
                      <a:xfrm>
                        <a:ext cx="4648200" cy="0"/>
                      </a:xfrm>
                      <a:prstGeom prst="straightConnector1"/>
                      <a:ln w="12700">
                        <a:solidFill/>
                      </a:ln>
                    </wps:spPr>
                    <wps:bodyPr/>
                  </wps:wsp>
                </a:graphicData>
              </a:graphic>
            </wp:anchor>
          </w:drawing>
        </mc:Choice>
        <mc:Fallback>
          <w:pict>
            <v:shape o:spt="32" o:oned="true" path="m,l21600,21600e" style="position:absolute;margin-left:-0.40000000000000002pt;margin-top:73.850000000000009pt;width:366.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2399665</wp:posOffset>
              </wp:positionH>
              <wp:positionV relativeFrom="page">
                <wp:posOffset>786130</wp:posOffset>
              </wp:positionV>
              <wp:extent cx="2218690" cy="106680"/>
              <wp:wrapNone/>
              <wp:docPr id="533" name="Shape 53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9" type="#_x0000_t202" style="position:absolute;margin-left:188.95000000000002pt;margin-top:61.899999999999999pt;width:174.70000000000002pt;height:8.4000000000000004pt;z-index:-1887437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-5080</wp:posOffset>
              </wp:positionH>
              <wp:positionV relativeFrom="page">
                <wp:posOffset>937895</wp:posOffset>
              </wp:positionV>
              <wp:extent cx="4648200" cy="0"/>
              <wp:wrapNone/>
              <wp:docPr id="535" name="Shape 535"/>
              <a:graphic xmlns:a="http://schemas.openxmlformats.org/drawingml/2006/main">
                <a:graphicData uri="http://schemas.microsoft.com/office/word/2010/wordprocessingShape">
                  <wps:wsp>
                    <wps:cNvCnPr/>
                    <wps:spPr>
                      <a:xfrm>
                        <a:ext cx="4648200" cy="0"/>
                      </a:xfrm>
                      <a:prstGeom prst="straightConnector1"/>
                      <a:ln w="12700">
                        <a:solidFill/>
                      </a:ln>
                    </wps:spPr>
                    <wps:bodyPr/>
                  </wps:wsp>
                </a:graphicData>
              </a:graphic>
            </wp:anchor>
          </w:drawing>
        </mc:Choice>
        <mc:Fallback>
          <w:pict>
            <v:shape o:spt="32" o:oned="true" path="m,l21600,21600e" style="position:absolute;margin-left:-0.40000000000000002pt;margin-top:73.850000000000009pt;width:366.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7748905</wp:posOffset>
              </wp:positionH>
              <wp:positionV relativeFrom="page">
                <wp:posOffset>786130</wp:posOffset>
              </wp:positionV>
              <wp:extent cx="2218690" cy="106680"/>
              <wp:wrapNone/>
              <wp:docPr id="542" name="Shape 5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8" type="#_x0000_t202" style="position:absolute;margin-left:610.14999999999998pt;margin-top:61.899999999999999pt;width:174.70000000000002pt;height:8.4000000000000004pt;z-index:-1887437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1207770</wp:posOffset>
              </wp:positionH>
              <wp:positionV relativeFrom="page">
                <wp:posOffset>937895</wp:posOffset>
              </wp:positionV>
              <wp:extent cx="8784590" cy="0"/>
              <wp:wrapNone/>
              <wp:docPr id="544" name="Shape 544"/>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100000000000009pt;margin-top:73.850000000000009pt;width:691.7000000000000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7748905</wp:posOffset>
              </wp:positionH>
              <wp:positionV relativeFrom="page">
                <wp:posOffset>786130</wp:posOffset>
              </wp:positionV>
              <wp:extent cx="2218690" cy="106680"/>
              <wp:wrapNone/>
              <wp:docPr id="547" name="Shape 5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3" type="#_x0000_t202" style="position:absolute;margin-left:610.14999999999998pt;margin-top:61.899999999999999pt;width:174.70000000000002pt;height:8.4000000000000004pt;z-index:-1887437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1207770</wp:posOffset>
              </wp:positionH>
              <wp:positionV relativeFrom="page">
                <wp:posOffset>937895</wp:posOffset>
              </wp:positionV>
              <wp:extent cx="8784590" cy="0"/>
              <wp:wrapNone/>
              <wp:docPr id="549" name="Shape 549"/>
              <a:graphic xmlns:a="http://schemas.openxmlformats.org/drawingml/2006/main">
                <a:graphicData uri="http://schemas.microsoft.com/office/word/2010/wordprocessingShape">
                  <wps:wsp>
                    <wps:cNvCnPr/>
                    <wps:spPr>
                      <a:xfrm>
                        <a:ext cx="8784590" cy="0"/>
                      </a:xfrm>
                      <a:prstGeom prst="straightConnector1"/>
                      <a:ln w="12700">
                        <a:solidFill/>
                      </a:ln>
                    </wps:spPr>
                    <wps:bodyPr/>
                  </wps:wsp>
                </a:graphicData>
              </a:graphic>
            </wp:anchor>
          </w:drawing>
        </mc:Choice>
        <mc:Fallback>
          <w:pict>
            <v:shape o:spt="32" o:oned="true" path="m,l21600,21600e" style="position:absolute;margin-left:95.100000000000009pt;margin-top:73.850000000000009pt;width:691.7000000000000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1262380</wp:posOffset>
              </wp:positionH>
              <wp:positionV relativeFrom="page">
                <wp:posOffset>982980</wp:posOffset>
              </wp:positionV>
              <wp:extent cx="1871345" cy="155575"/>
              <wp:wrapNone/>
              <wp:docPr id="552" name="Shape 552"/>
              <a:graphic xmlns:a="http://schemas.openxmlformats.org/drawingml/2006/main">
                <a:graphicData uri="http://schemas.microsoft.com/office/word/2010/wordprocessingShape">
                  <wps:wsp>
                    <wps:cNvSpPr txBox="1"/>
                    <wps:spPr>
                      <a:xfrm>
                        <a:ext cx="187134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六在其他主体中的权益（续）</w:t>
                          </w:r>
                        </w:p>
                      </w:txbxContent>
                    </wps:txbx>
                    <wps:bodyPr wrap="none" lIns="0" tIns="0" rIns="0" bIns="0">
                      <a:spAutoFit/>
                    </wps:bodyPr>
                  </wps:wsp>
                </a:graphicData>
              </a:graphic>
            </wp:anchor>
          </w:drawing>
        </mc:Choice>
        <mc:Fallback>
          <w:pict>
            <v:shape id="_x0000_s1578" type="#_x0000_t202" style="position:absolute;margin-left:99.400000000000006pt;margin-top:77.400000000000006pt;width:147.34999999999999pt;height:12.25pt;z-index:-1887437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六在其他主体中的权益（续）</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1262380</wp:posOffset>
              </wp:positionH>
              <wp:positionV relativeFrom="page">
                <wp:posOffset>982980</wp:posOffset>
              </wp:positionV>
              <wp:extent cx="1871345" cy="155575"/>
              <wp:wrapNone/>
              <wp:docPr id="554" name="Shape 554"/>
              <a:graphic xmlns:a="http://schemas.openxmlformats.org/drawingml/2006/main">
                <a:graphicData uri="http://schemas.microsoft.com/office/word/2010/wordprocessingShape">
                  <wps:wsp>
                    <wps:cNvSpPr txBox="1"/>
                    <wps:spPr>
                      <a:xfrm>
                        <a:ext cx="187134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六在其他主体中的权益（续）</w:t>
                          </w:r>
                        </w:p>
                      </w:txbxContent>
                    </wps:txbx>
                    <wps:bodyPr wrap="none" lIns="0" tIns="0" rIns="0" bIns="0">
                      <a:spAutoFit/>
                    </wps:bodyPr>
                  </wps:wsp>
                </a:graphicData>
              </a:graphic>
            </wp:anchor>
          </w:drawing>
        </mc:Choice>
        <mc:Fallback>
          <w:pict>
            <v:shape id="_x0000_s1580" type="#_x0000_t202" style="position:absolute;margin-left:99.400000000000006pt;margin-top:77.400000000000006pt;width:147.34999999999999pt;height:12.25pt;z-index:-1887437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六在其他主体中的权益（续）</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2404745</wp:posOffset>
              </wp:positionH>
              <wp:positionV relativeFrom="page">
                <wp:posOffset>786130</wp:posOffset>
              </wp:positionV>
              <wp:extent cx="2218690" cy="106680"/>
              <wp:wrapNone/>
              <wp:docPr id="560" name="Shape 56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6" type="#_x0000_t202" style="position:absolute;margin-left:189.34999999999999pt;margin-top:61.899999999999999pt;width:174.70000000000002pt;height:8.4000000000000004pt;z-index:-1887437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937895</wp:posOffset>
              </wp:positionV>
              <wp:extent cx="4648200" cy="0"/>
              <wp:wrapNone/>
              <wp:docPr id="562" name="Shape 562"/>
              <a:graphic xmlns:a="http://schemas.openxmlformats.org/drawingml/2006/main">
                <a:graphicData uri="http://schemas.microsoft.com/office/word/2010/wordprocessingShape">
                  <wps:wsp>
                    <wps:cNvCnPr/>
                    <wps:spPr>
                      <a:xfrm>
                        <a:ext cx="4648200" cy="0"/>
                      </a:xfrm>
                      <a:prstGeom prst="straightConnector1"/>
                      <a:ln w="12700">
                        <a:solidFill/>
                      </a:ln>
                    </wps:spPr>
                    <wps:bodyPr/>
                  </wps:wsp>
                </a:graphicData>
              </a:graphic>
            </wp:anchor>
          </w:drawing>
        </mc:Choice>
        <mc:Fallback>
          <w:pict>
            <v:shape o:spt="32" o:oned="true" path="m,l21600,21600e" style="position:absolute;margin-left:0;margin-top:73.850000000000009pt;width:366.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2404745</wp:posOffset>
              </wp:positionH>
              <wp:positionV relativeFrom="page">
                <wp:posOffset>786130</wp:posOffset>
              </wp:positionV>
              <wp:extent cx="2218690" cy="106680"/>
              <wp:wrapNone/>
              <wp:docPr id="565" name="Shape 56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1" type="#_x0000_t202" style="position:absolute;margin-left:189.34999999999999pt;margin-top:61.899999999999999pt;width:174.70000000000002pt;height:8.4000000000000004pt;z-index:-1887437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937895</wp:posOffset>
              </wp:positionV>
              <wp:extent cx="4648200" cy="0"/>
              <wp:wrapNone/>
              <wp:docPr id="567" name="Shape 567"/>
              <a:graphic xmlns:a="http://schemas.openxmlformats.org/drawingml/2006/main">
                <a:graphicData uri="http://schemas.microsoft.com/office/word/2010/wordprocessingShape">
                  <wps:wsp>
                    <wps:cNvCnPr/>
                    <wps:spPr>
                      <a:xfrm>
                        <a:ext cx="4648200" cy="0"/>
                      </a:xfrm>
                      <a:prstGeom prst="straightConnector1"/>
                      <a:ln w="12700">
                        <a:solidFill/>
                      </a:ln>
                    </wps:spPr>
                    <wps:bodyPr/>
                  </wps:wsp>
                </a:graphicData>
              </a:graphic>
            </wp:anchor>
          </w:drawing>
        </mc:Choice>
        <mc:Fallback>
          <w:pict>
            <v:shape o:spt="32" o:oned="true" path="m,l21600,21600e" style="position:absolute;margin-left:0;margin-top:73.850000000000009pt;width:366.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4613910</wp:posOffset>
              </wp:positionH>
              <wp:positionV relativeFrom="page">
                <wp:posOffset>713105</wp:posOffset>
              </wp:positionV>
              <wp:extent cx="2218690" cy="106680"/>
              <wp:wrapNone/>
              <wp:docPr id="570" name="Shape 57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6" type="#_x0000_t202" style="position:absolute;margin-left:363.30000000000001pt;margin-top:56.149999999999999pt;width:174.70000000000002pt;height:8.4000000000000004pt;z-index:-1887437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1270635</wp:posOffset>
              </wp:positionH>
              <wp:positionV relativeFrom="page">
                <wp:posOffset>908685</wp:posOffset>
              </wp:positionV>
              <wp:extent cx="1871345" cy="155575"/>
              <wp:wrapNone/>
              <wp:docPr id="572" name="Shape 572"/>
              <a:graphic xmlns:a="http://schemas.openxmlformats.org/drawingml/2006/main">
                <a:graphicData uri="http://schemas.microsoft.com/office/word/2010/wordprocessingShape">
                  <wps:wsp>
                    <wps:cNvSpPr txBox="1"/>
                    <wps:spPr>
                      <a:xfrm>
                        <a:ext cx="187134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598" type="#_x0000_t202" style="position:absolute;margin-left:100.05pt;margin-top:71.549999999999997pt;width:147.34999999999999pt;height:12.25pt;z-index:-1887437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574" name="Shape 574"/>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4613910</wp:posOffset>
              </wp:positionH>
              <wp:positionV relativeFrom="page">
                <wp:posOffset>713105</wp:posOffset>
              </wp:positionV>
              <wp:extent cx="2218690" cy="106680"/>
              <wp:wrapNone/>
              <wp:docPr id="577" name="Shape 57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3" type="#_x0000_t202" style="position:absolute;margin-left:363.30000000000001pt;margin-top:56.149999999999999pt;width:174.70000000000002pt;height:8.4000000000000004pt;z-index:-1887437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1270635</wp:posOffset>
              </wp:positionH>
              <wp:positionV relativeFrom="page">
                <wp:posOffset>908685</wp:posOffset>
              </wp:positionV>
              <wp:extent cx="1871345" cy="155575"/>
              <wp:wrapNone/>
              <wp:docPr id="579" name="Shape 579"/>
              <a:graphic xmlns:a="http://schemas.openxmlformats.org/drawingml/2006/main">
                <a:graphicData uri="http://schemas.microsoft.com/office/word/2010/wordprocessingShape">
                  <wps:wsp>
                    <wps:cNvSpPr txBox="1"/>
                    <wps:spPr>
                      <a:xfrm>
                        <a:ext cx="187134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605" type="#_x0000_t202" style="position:absolute;margin-left:100.05pt;margin-top:71.549999999999997pt;width:147.34999999999999pt;height:12.25pt;z-index:-1887437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581" name="Shape 581"/>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7757795</wp:posOffset>
              </wp:positionH>
              <wp:positionV relativeFrom="page">
                <wp:posOffset>761365</wp:posOffset>
              </wp:positionV>
              <wp:extent cx="2218690" cy="106680"/>
              <wp:wrapNone/>
              <wp:docPr id="53" name="Shape 5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610.85000000000002pt;margin-top:59.950000000000003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913765</wp:posOffset>
              </wp:positionV>
              <wp:extent cx="8930640" cy="0"/>
              <wp:wrapNone/>
              <wp:docPr id="55" name="Shape 55"/>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84.299999999999997pt;margin-top:71.950000000000003pt;width:703.2000000000000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4613910</wp:posOffset>
              </wp:positionH>
              <wp:positionV relativeFrom="page">
                <wp:posOffset>713105</wp:posOffset>
              </wp:positionV>
              <wp:extent cx="2218690" cy="106680"/>
              <wp:wrapNone/>
              <wp:docPr id="588" name="Shape 5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4" type="#_x0000_t202" style="position:absolute;margin-left:363.30000000000001pt;margin-top:56.149999999999999pt;width:174.70000000000002pt;height:8.4000000000000004pt;z-index:-1887437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1270635</wp:posOffset>
              </wp:positionH>
              <wp:positionV relativeFrom="page">
                <wp:posOffset>908685</wp:posOffset>
              </wp:positionV>
              <wp:extent cx="1871345" cy="155575"/>
              <wp:wrapNone/>
              <wp:docPr id="590" name="Shape 590"/>
              <a:graphic xmlns:a="http://schemas.openxmlformats.org/drawingml/2006/main">
                <a:graphicData uri="http://schemas.microsoft.com/office/word/2010/wordprocessingShape">
                  <wps:wsp>
                    <wps:cNvSpPr txBox="1"/>
                    <wps:spPr>
                      <a:xfrm>
                        <a:ext cx="187134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616" type="#_x0000_t202" style="position:absolute;margin-left:100.05pt;margin-top:71.549999999999997pt;width:147.34999999999999pt;height:12.25pt;z-index:-1887437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1206500</wp:posOffset>
              </wp:positionH>
              <wp:positionV relativeFrom="page">
                <wp:posOffset>940435</wp:posOffset>
              </wp:positionV>
              <wp:extent cx="5650865" cy="0"/>
              <wp:wrapNone/>
              <wp:docPr id="592" name="Shape 592"/>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5.pt;margin-top:74.049999999999997pt;width:444.94999999999999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4611370</wp:posOffset>
              </wp:positionH>
              <wp:positionV relativeFrom="page">
                <wp:posOffset>713105</wp:posOffset>
              </wp:positionV>
              <wp:extent cx="2218690" cy="106680"/>
              <wp:wrapNone/>
              <wp:docPr id="595" name="Shape 59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1" type="#_x0000_t202" style="position:absolute;margin-left:363.10000000000002pt;margin-top:56.149999999999999pt;width:174.70000000000002pt;height:8.4000000000000004pt;z-index:-1887437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1268095</wp:posOffset>
              </wp:positionH>
              <wp:positionV relativeFrom="page">
                <wp:posOffset>908685</wp:posOffset>
              </wp:positionV>
              <wp:extent cx="1871345" cy="155575"/>
              <wp:wrapNone/>
              <wp:docPr id="597" name="Shape 597"/>
              <a:graphic xmlns:a="http://schemas.openxmlformats.org/drawingml/2006/main">
                <a:graphicData uri="http://schemas.microsoft.com/office/word/2010/wordprocessingShape">
                  <wps:wsp>
                    <wps:cNvSpPr txBox="1"/>
                    <wps:spPr>
                      <a:xfrm>
                        <a:ext cx="187134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623" type="#_x0000_t202" style="position:absolute;margin-left:99.850000000000009pt;margin-top:71.549999999999997pt;width:147.34999999999999pt;height:12.25pt;z-index:-1887437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六在其他主体中的权益</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1203960</wp:posOffset>
              </wp:positionH>
              <wp:positionV relativeFrom="page">
                <wp:posOffset>864235</wp:posOffset>
              </wp:positionV>
              <wp:extent cx="5650865" cy="0"/>
              <wp:wrapNone/>
              <wp:docPr id="599" name="Shape 599"/>
              <a:graphic xmlns:a="http://schemas.openxmlformats.org/drawingml/2006/main">
                <a:graphicData uri="http://schemas.microsoft.com/office/word/2010/wordprocessingShape">
                  <wps:wsp>
                    <wps:cNvCnPr/>
                    <wps:spPr>
                      <a:xfrm>
                        <a:ext cx="5650865" cy="0"/>
                      </a:xfrm>
                      <a:prstGeom prst="straightConnector1"/>
                      <a:ln w="12700">
                        <a:solidFill/>
                      </a:ln>
                    </wps:spPr>
                    <wps:bodyPr/>
                  </wps:wsp>
                </a:graphicData>
              </a:graphic>
            </wp:anchor>
          </w:drawing>
        </mc:Choice>
        <mc:Fallback>
          <w:pict>
            <v:shape o:spt="32" o:oned="true" path="m,l21600,21600e" style="position:absolute;margin-left:94.799999999999997pt;margin-top:68.049999999999997pt;width:444.94999999999999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4613910</wp:posOffset>
              </wp:positionH>
              <wp:positionV relativeFrom="page">
                <wp:posOffset>721360</wp:posOffset>
              </wp:positionV>
              <wp:extent cx="2218690" cy="106680"/>
              <wp:wrapNone/>
              <wp:docPr id="602" name="Shape 60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8" type="#_x0000_t202" style="position:absolute;margin-left:363.30000000000001pt;margin-top:56.800000000000004pt;width:174.70000000000002pt;height:8.4000000000000004pt;z-index:-1887437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604" name="Shape 604"/>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4613910</wp:posOffset>
              </wp:positionH>
              <wp:positionV relativeFrom="page">
                <wp:posOffset>721360</wp:posOffset>
              </wp:positionV>
              <wp:extent cx="2218690" cy="106680"/>
              <wp:wrapNone/>
              <wp:docPr id="637" name="Shape 63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3" type="#_x0000_t202" style="position:absolute;margin-left:363.30000000000001pt;margin-top:56.800000000000004pt;width:174.70000000000002pt;height:8.4000000000000004pt;z-index:-1887437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639" name="Shape 639"/>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4613910</wp:posOffset>
              </wp:positionH>
              <wp:positionV relativeFrom="page">
                <wp:posOffset>721360</wp:posOffset>
              </wp:positionV>
              <wp:extent cx="2218690" cy="106680"/>
              <wp:wrapNone/>
              <wp:docPr id="642" name="Shape 6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8" type="#_x0000_t202" style="position:absolute;margin-left:363.30000000000001pt;margin-top:56.800000000000004pt;width:174.70000000000002pt;height:8.4000000000000004pt;z-index:-1887437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644" name="Shape 644"/>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4601845</wp:posOffset>
              </wp:positionH>
              <wp:positionV relativeFrom="page">
                <wp:posOffset>674370</wp:posOffset>
              </wp:positionV>
              <wp:extent cx="2218690" cy="106680"/>
              <wp:wrapNone/>
              <wp:docPr id="659" name="Shape 65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5" type="#_x0000_t202" style="position:absolute;margin-left:362.35000000000002pt;margin-top:53.100000000000001pt;width:174.70000000000002pt;height:8.4000000000000004pt;z-index:-1887437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1252220</wp:posOffset>
              </wp:positionH>
              <wp:positionV relativeFrom="page">
                <wp:posOffset>863600</wp:posOffset>
              </wp:positionV>
              <wp:extent cx="1877695" cy="155575"/>
              <wp:wrapNone/>
              <wp:docPr id="661" name="Shape 661"/>
              <a:graphic xmlns:a="http://schemas.openxmlformats.org/drawingml/2006/main">
                <a:graphicData uri="http://schemas.microsoft.com/office/word/2010/wordprocessingShape">
                  <wps:wsp>
                    <wps:cNvSpPr txBox="1"/>
                    <wps:spPr>
                      <a:xfrm>
                        <a:ext cx="187769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687" type="#_x0000_t202" style="position:absolute;margin-left:98.600000000000009pt;margin-top:68.pt;width:147.84999999999999pt;height:12.25pt;z-index:-1887437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1224280</wp:posOffset>
              </wp:positionH>
              <wp:positionV relativeFrom="page">
                <wp:posOffset>843280</wp:posOffset>
              </wp:positionV>
              <wp:extent cx="5620385" cy="0"/>
              <wp:wrapNone/>
              <wp:docPr id="663" name="Shape 663"/>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6.400000000000006pt;margin-top:66.400000000000006pt;width:442.55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4613910</wp:posOffset>
              </wp:positionH>
              <wp:positionV relativeFrom="page">
                <wp:posOffset>721360</wp:posOffset>
              </wp:positionV>
              <wp:extent cx="2218690" cy="106680"/>
              <wp:wrapNone/>
              <wp:docPr id="668" name="Shape 66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4" type="#_x0000_t202" style="position:absolute;margin-left:363.30000000000001pt;margin-top:56.800000000000004pt;width:174.70000000000002pt;height:8.4000000000000004pt;z-index:-1887437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670" name="Shape 670"/>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4613910</wp:posOffset>
              </wp:positionH>
              <wp:positionV relativeFrom="page">
                <wp:posOffset>721360</wp:posOffset>
              </wp:positionV>
              <wp:extent cx="2218690" cy="106680"/>
              <wp:wrapNone/>
              <wp:docPr id="673" name="Shape 67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9" type="#_x0000_t202" style="position:absolute;margin-left:363.30000000000001pt;margin-top:56.800000000000004pt;width:174.70000000000002pt;height:8.4000000000000004pt;z-index:-1887437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675" name="Shape 675"/>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4601845</wp:posOffset>
              </wp:positionH>
              <wp:positionV relativeFrom="page">
                <wp:posOffset>674370</wp:posOffset>
              </wp:positionV>
              <wp:extent cx="2218690" cy="106680"/>
              <wp:wrapNone/>
              <wp:docPr id="682" name="Shape 68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8" type="#_x0000_t202" style="position:absolute;margin-left:362.35000000000002pt;margin-top:53.100000000000001pt;width:174.70000000000002pt;height:8.4000000000000004pt;z-index:-1887436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1252220</wp:posOffset>
              </wp:positionH>
              <wp:positionV relativeFrom="page">
                <wp:posOffset>863600</wp:posOffset>
              </wp:positionV>
              <wp:extent cx="1877695" cy="155575"/>
              <wp:wrapNone/>
              <wp:docPr id="684" name="Shape 684"/>
              <a:graphic xmlns:a="http://schemas.openxmlformats.org/drawingml/2006/main">
                <a:graphicData uri="http://schemas.microsoft.com/office/word/2010/wordprocessingShape">
                  <wps:wsp>
                    <wps:cNvSpPr txBox="1"/>
                    <wps:spPr>
                      <a:xfrm>
                        <a:ext cx="187769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710" type="#_x0000_t202" style="position:absolute;margin-left:98.600000000000009pt;margin-top:68.pt;width:147.84999999999999pt;height:12.25pt;z-index:-1887436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1224280</wp:posOffset>
              </wp:positionH>
              <wp:positionV relativeFrom="page">
                <wp:posOffset>843280</wp:posOffset>
              </wp:positionV>
              <wp:extent cx="5620385" cy="0"/>
              <wp:wrapNone/>
              <wp:docPr id="686" name="Shape 686"/>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6.400000000000006pt;margin-top:66.400000000000006pt;width:442.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7757795</wp:posOffset>
              </wp:positionH>
              <wp:positionV relativeFrom="page">
                <wp:posOffset>761365</wp:posOffset>
              </wp:positionV>
              <wp:extent cx="2218690" cy="106680"/>
              <wp:wrapNone/>
              <wp:docPr id="58" name="Shape 5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4" type="#_x0000_t202" style="position:absolute;margin-left:610.85000000000002pt;margin-top:59.950000000000003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913765</wp:posOffset>
              </wp:positionV>
              <wp:extent cx="8930640" cy="0"/>
              <wp:wrapNone/>
              <wp:docPr id="60" name="Shape 60"/>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84.299999999999997pt;margin-top:71.950000000000003pt;width:703.2000000000000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4601845</wp:posOffset>
              </wp:positionH>
              <wp:positionV relativeFrom="page">
                <wp:posOffset>674370</wp:posOffset>
              </wp:positionV>
              <wp:extent cx="2218690" cy="106680"/>
              <wp:wrapNone/>
              <wp:docPr id="689" name="Shape 68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5" type="#_x0000_t202" style="position:absolute;margin-left:362.35000000000002pt;margin-top:53.100000000000001pt;width:174.70000000000002pt;height:8.4000000000000004pt;z-index:-1887436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1252220</wp:posOffset>
              </wp:positionH>
              <wp:positionV relativeFrom="page">
                <wp:posOffset>863600</wp:posOffset>
              </wp:positionV>
              <wp:extent cx="1877695" cy="155575"/>
              <wp:wrapNone/>
              <wp:docPr id="691" name="Shape 691"/>
              <a:graphic xmlns:a="http://schemas.openxmlformats.org/drawingml/2006/main">
                <a:graphicData uri="http://schemas.microsoft.com/office/word/2010/wordprocessingShape">
                  <wps:wsp>
                    <wps:cNvSpPr txBox="1"/>
                    <wps:spPr>
                      <a:xfrm>
                        <a:ext cx="1877695" cy="1555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wps:txbx>
                    <wps:bodyPr wrap="none" lIns="0" tIns="0" rIns="0" bIns="0">
                      <a:spAutoFit/>
                    </wps:bodyPr>
                  </wps:wsp>
                </a:graphicData>
              </a:graphic>
            </wp:anchor>
          </w:drawing>
        </mc:Choice>
        <mc:Fallback>
          <w:pict>
            <v:shape id="_x0000_s1717" type="#_x0000_t202" style="position:absolute;margin-left:98.600000000000009pt;margin-top:68.pt;width:147.84999999999999pt;height:12.25pt;z-index:-1887436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八关联方关系及其交易</w:t>
                    </w:r>
                    <w:r>
                      <w:rPr>
                        <w:rFonts w:ascii="Arial" w:eastAsia="Arial" w:hAnsi="Arial" w:cs="Arial"/>
                        <w:color w:val="000000"/>
                        <w:spacing w:val="0"/>
                        <w:w w:val="100"/>
                        <w:position w:val="0"/>
                        <w:sz w:val="24"/>
                        <w:szCs w:val="24"/>
                      </w:rPr>
                      <w:t>(</w:t>
                    </w:r>
                    <w:r>
                      <w:rPr>
                        <w:b/>
                        <w:bCs/>
                        <w:color w:val="000000"/>
                        <w:spacing w:val="0"/>
                        <w:w w:val="100"/>
                        <w:position w:val="0"/>
                        <w:sz w:val="22"/>
                        <w:szCs w:val="22"/>
                      </w:rPr>
                      <w:t>续</w:t>
                    </w:r>
                    <w:r>
                      <w:rPr>
                        <w:rFonts w:ascii="Arial" w:eastAsia="Arial" w:hAnsi="Arial" w:cs="Arial"/>
                        <w:color w:val="000000"/>
                        <w:spacing w:val="0"/>
                        <w:w w:val="100"/>
                        <w:position w:val="0"/>
                        <w:sz w:val="24"/>
                        <w:szCs w:val="24"/>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1224280</wp:posOffset>
              </wp:positionH>
              <wp:positionV relativeFrom="page">
                <wp:posOffset>843280</wp:posOffset>
              </wp:positionV>
              <wp:extent cx="5620385" cy="0"/>
              <wp:wrapNone/>
              <wp:docPr id="693" name="Shape 693"/>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6.400000000000006pt;margin-top:66.400000000000006pt;width:442.55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4613910</wp:posOffset>
              </wp:positionH>
              <wp:positionV relativeFrom="page">
                <wp:posOffset>721360</wp:posOffset>
              </wp:positionV>
              <wp:extent cx="2218690" cy="106680"/>
              <wp:wrapNone/>
              <wp:docPr id="696" name="Shape 69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2" type="#_x0000_t202" style="position:absolute;margin-left:363.30000000000001pt;margin-top:56.800000000000004pt;width:174.70000000000002pt;height:8.4000000000000004pt;z-index:-1887436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698" name="Shape 698"/>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4613910</wp:posOffset>
              </wp:positionH>
              <wp:positionV relativeFrom="page">
                <wp:posOffset>721360</wp:posOffset>
              </wp:positionV>
              <wp:extent cx="2218690" cy="106680"/>
              <wp:wrapNone/>
              <wp:docPr id="701" name="Shape 70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7" type="#_x0000_t202" style="position:absolute;margin-left:363.30000000000001pt;margin-top:56.800000000000004pt;width:174.70000000000002pt;height:8.4000000000000004pt;z-index:-1887436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703" name="Shape 703"/>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7751445</wp:posOffset>
              </wp:positionH>
              <wp:positionV relativeFrom="page">
                <wp:posOffset>737235</wp:posOffset>
              </wp:positionV>
              <wp:extent cx="2218690" cy="106680"/>
              <wp:wrapNone/>
              <wp:docPr id="734" name="Shape 73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0" type="#_x0000_t202" style="position:absolute;margin-left:610.35000000000002pt;margin-top:58.050000000000004pt;width:174.70000000000002pt;height:8.4000000000000004pt;z-index:-1887436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1240790</wp:posOffset>
              </wp:positionH>
              <wp:positionV relativeFrom="page">
                <wp:posOffset>883285</wp:posOffset>
              </wp:positionV>
              <wp:extent cx="8754110" cy="0"/>
              <wp:wrapNone/>
              <wp:docPr id="736" name="Shape 736"/>
              <a:graphic xmlns:a="http://schemas.openxmlformats.org/drawingml/2006/main">
                <a:graphicData uri="http://schemas.microsoft.com/office/word/2010/wordprocessingShape">
                  <wps:wsp>
                    <wps:cNvCnPr/>
                    <wps:spPr>
                      <a:xfrm>
                        <a:ext cx="8754110" cy="0"/>
                      </a:xfrm>
                      <a:prstGeom prst="straightConnector1"/>
                      <a:ln w="12700">
                        <a:solidFill/>
                      </a:ln>
                    </wps:spPr>
                    <wps:bodyPr/>
                  </wps:wsp>
                </a:graphicData>
              </a:graphic>
            </wp:anchor>
          </w:drawing>
        </mc:Choice>
        <mc:Fallback>
          <w:pict>
            <v:shape o:spt="32" o:oned="true" path="m,l21600,21600e" style="position:absolute;margin-left:97.700000000000003pt;margin-top:69.549999999999997pt;width:689.30000000000007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7751445</wp:posOffset>
              </wp:positionH>
              <wp:positionV relativeFrom="page">
                <wp:posOffset>737235</wp:posOffset>
              </wp:positionV>
              <wp:extent cx="2218690" cy="106680"/>
              <wp:wrapNone/>
              <wp:docPr id="737" name="Shape 73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3" type="#_x0000_t202" style="position:absolute;margin-left:610.35000000000002pt;margin-top:58.050000000000004pt;width:174.70000000000002pt;height:8.4000000000000004pt;z-index:-1887436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1240790</wp:posOffset>
              </wp:positionH>
              <wp:positionV relativeFrom="page">
                <wp:posOffset>883285</wp:posOffset>
              </wp:positionV>
              <wp:extent cx="8754110" cy="0"/>
              <wp:wrapNone/>
              <wp:docPr id="739" name="Shape 739"/>
              <a:graphic xmlns:a="http://schemas.openxmlformats.org/drawingml/2006/main">
                <a:graphicData uri="http://schemas.microsoft.com/office/word/2010/wordprocessingShape">
                  <wps:wsp>
                    <wps:cNvCnPr/>
                    <wps:spPr>
                      <a:xfrm>
                        <a:ext cx="8754110" cy="0"/>
                      </a:xfrm>
                      <a:prstGeom prst="straightConnector1"/>
                      <a:ln w="12700">
                        <a:solidFill/>
                      </a:ln>
                    </wps:spPr>
                    <wps:bodyPr/>
                  </wps:wsp>
                </a:graphicData>
              </a:graphic>
            </wp:anchor>
          </w:drawing>
        </mc:Choice>
        <mc:Fallback>
          <w:pict>
            <v:shape o:spt="32" o:oned="true" path="m,l21600,21600e" style="position:absolute;margin-left:97.700000000000003pt;margin-top:69.549999999999997pt;width:689.30000000000007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4613910</wp:posOffset>
              </wp:positionH>
              <wp:positionV relativeFrom="page">
                <wp:posOffset>721360</wp:posOffset>
              </wp:positionV>
              <wp:extent cx="2218690" cy="106680"/>
              <wp:wrapNone/>
              <wp:docPr id="740" name="Shape 74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6" type="#_x0000_t202" style="position:absolute;margin-left:363.30000000000001pt;margin-top:56.800000000000004pt;width:174.70000000000002pt;height:8.4000000000000004pt;z-index:-1887436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742" name="Shape 742"/>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4613910</wp:posOffset>
              </wp:positionH>
              <wp:positionV relativeFrom="page">
                <wp:posOffset>721360</wp:posOffset>
              </wp:positionV>
              <wp:extent cx="2218690" cy="106680"/>
              <wp:wrapNone/>
              <wp:docPr id="745" name="Shape 74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1" type="#_x0000_t202" style="position:absolute;margin-left:363.30000000000001pt;margin-top:56.800000000000004pt;width:174.70000000000002pt;height:8.4000000000000004pt;z-index:-1887436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1236980</wp:posOffset>
              </wp:positionH>
              <wp:positionV relativeFrom="page">
                <wp:posOffset>885825</wp:posOffset>
              </wp:positionV>
              <wp:extent cx="5620385" cy="0"/>
              <wp:wrapNone/>
              <wp:docPr id="747" name="Shape 747"/>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97.400000000000006pt;margin-top:69.75pt;width:442.55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4422140</wp:posOffset>
              </wp:positionH>
              <wp:positionV relativeFrom="page">
                <wp:posOffset>741045</wp:posOffset>
              </wp:positionV>
              <wp:extent cx="2218690" cy="106680"/>
              <wp:wrapNone/>
              <wp:docPr id="764" name="Shape 76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0" type="#_x0000_t202" style="position:absolute;margin-left:348.19999999999999pt;margin-top:58.350000000000001pt;width:174.70000000000002pt;height:8.4000000000000004pt;z-index:-1887436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1273810</wp:posOffset>
              </wp:positionH>
              <wp:positionV relativeFrom="page">
                <wp:posOffset>885825</wp:posOffset>
              </wp:positionV>
              <wp:extent cx="5391785" cy="0"/>
              <wp:wrapNone/>
              <wp:docPr id="766" name="Shape 766"/>
              <a:graphic xmlns:a="http://schemas.openxmlformats.org/drawingml/2006/main">
                <a:graphicData uri="http://schemas.microsoft.com/office/word/2010/wordprocessingShape">
                  <wps:wsp>
                    <wps:cNvCnPr/>
                    <wps:spPr>
                      <a:xfrm>
                        <a:ext cx="5391785" cy="0"/>
                      </a:xfrm>
                      <a:prstGeom prst="straightConnector1"/>
                      <a:ln w="12700">
                        <a:solidFill/>
                      </a:ln>
                    </wps:spPr>
                    <wps:bodyPr/>
                  </wps:wsp>
                </a:graphicData>
              </a:graphic>
            </wp:anchor>
          </w:drawing>
        </mc:Choice>
        <mc:Fallback>
          <w:pict>
            <v:shape o:spt="32" o:oned="true" path="m,l21600,21600e" style="position:absolute;margin-left:100.3pt;margin-top:69.75pt;width:424.55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4422140</wp:posOffset>
              </wp:positionH>
              <wp:positionV relativeFrom="page">
                <wp:posOffset>741045</wp:posOffset>
              </wp:positionV>
              <wp:extent cx="2218690" cy="106680"/>
              <wp:wrapNone/>
              <wp:docPr id="769" name="Shape 76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5" type="#_x0000_t202" style="position:absolute;margin-left:348.19999999999999pt;margin-top:58.350000000000001pt;width:174.70000000000002pt;height:8.4000000000000004pt;z-index:-1887436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1273810</wp:posOffset>
              </wp:positionH>
              <wp:positionV relativeFrom="page">
                <wp:posOffset>885825</wp:posOffset>
              </wp:positionV>
              <wp:extent cx="5391785" cy="0"/>
              <wp:wrapNone/>
              <wp:docPr id="771" name="Shape 771"/>
              <a:graphic xmlns:a="http://schemas.openxmlformats.org/drawingml/2006/main">
                <a:graphicData uri="http://schemas.microsoft.com/office/word/2010/wordprocessingShape">
                  <wps:wsp>
                    <wps:cNvCnPr/>
                    <wps:spPr>
                      <a:xfrm>
                        <a:ext cx="5391785" cy="0"/>
                      </a:xfrm>
                      <a:prstGeom prst="straightConnector1"/>
                      <a:ln w="12700">
                        <a:solidFill/>
                      </a:ln>
                    </wps:spPr>
                    <wps:bodyPr/>
                  </wps:wsp>
                </a:graphicData>
              </a:graphic>
            </wp:anchor>
          </w:drawing>
        </mc:Choice>
        <mc:Fallback>
          <w:pict>
            <v:shape o:spt="32" o:oned="true" path="m,l21600,21600e" style="position:absolute;margin-left:100.3pt;margin-top:69.75pt;width:424.5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4627880</wp:posOffset>
              </wp:positionH>
              <wp:positionV relativeFrom="page">
                <wp:posOffset>489585</wp:posOffset>
              </wp:positionV>
              <wp:extent cx="2218690" cy="106680"/>
              <wp:wrapNone/>
              <wp:docPr id="69" name="Shape 6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5" type="#_x0000_t202" style="position:absolute;margin-left:364.40000000000003pt;margin-top:38.550000000000004pt;width:174.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顺丰控股股份有限公司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635635</wp:posOffset>
              </wp:positionV>
              <wp:extent cx="5803265" cy="0"/>
              <wp:wrapNone/>
              <wp:docPr id="71" name="Shape 7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84.049999999999997pt;margin-top:50.050000000000004pt;width:456.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8"/>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6"/>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25"/>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9"/>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56">
    <w:multiLevelType w:val="multilevel"/>
    <w:lvl w:ilvl="0">
      <w:start w:val="16"/>
      <w:numFmt w:val="decimal"/>
      <w:lvlText w:val="99,965,955.%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84"/>
      <w:numFmt w:val="decimal"/>
      <w:lvlText w:val="121,142,994.%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76">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6"/>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9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图片标题_"/>
    <w:basedOn w:val="DefaultParagraphFont"/>
    <w:link w:val="Style37"/>
    <w:rPr>
      <w:rFonts w:ascii="SimHei" w:eastAsia="SimHei" w:hAnsi="SimHei" w:cs="SimHei"/>
      <w:b/>
      <w:bCs/>
      <w:i w:val="0"/>
      <w:iCs w:val="0"/>
      <w:smallCaps w:val="0"/>
      <w:strike w:val="0"/>
      <w:color w:val="1B191B"/>
      <w:sz w:val="16"/>
      <w:szCs w:val="16"/>
      <w:u w:val="none"/>
      <w:shd w:val="clear" w:color="auto" w:fill="auto"/>
    </w:rPr>
  </w:style>
  <w:style w:type="character" w:customStyle="1" w:styleId="CharStyle64">
    <w:name w:val="页眉或页脚_"/>
    <w:basedOn w:val="DefaultParagraphFont"/>
    <w:link w:val="Style63"/>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正文文本 (7)_"/>
    <w:basedOn w:val="DefaultParagraphFont"/>
    <w:link w:val="Style73"/>
    <w:rPr>
      <w:rFonts w:ascii="SimHei" w:eastAsia="SimHei" w:hAnsi="SimHei" w:cs="SimHei"/>
      <w:b w:val="0"/>
      <w:bCs w:val="0"/>
      <w:i w:val="0"/>
      <w:iCs w:val="0"/>
      <w:smallCaps w:val="0"/>
      <w:strike w:val="0"/>
      <w:sz w:val="19"/>
      <w:szCs w:val="19"/>
      <w:u w:val="none"/>
      <w:shd w:val="clear" w:color="auto" w:fill="auto"/>
    </w:rPr>
  </w:style>
  <w:style w:type="character" w:customStyle="1" w:styleId="CharStyle95">
    <w:name w:val="正文文本 (8)_"/>
    <w:basedOn w:val="DefaultParagraphFont"/>
    <w:link w:val="Style94"/>
    <w:rPr>
      <w:rFonts w:ascii="Arial" w:eastAsia="Arial" w:hAnsi="Arial" w:cs="Arial"/>
      <w:b w:val="0"/>
      <w:bCs w:val="0"/>
      <w:i w:val="0"/>
      <w:iCs w:val="0"/>
      <w:smallCaps w:val="0"/>
      <w:strike w:val="0"/>
      <w:u w:val="none"/>
      <w:shd w:val="clear" w:color="auto" w:fill="auto"/>
    </w:rPr>
  </w:style>
  <w:style w:type="character" w:customStyle="1" w:styleId="CharStyle130">
    <w:name w:val="正文文本 (9)_"/>
    <w:basedOn w:val="DefaultParagraphFont"/>
    <w:link w:val="Style129"/>
    <w:rPr>
      <w:rFonts w:ascii="Arial" w:eastAsia="Arial" w:hAnsi="Arial" w:cs="Arial"/>
      <w:b w:val="0"/>
      <w:bCs w:val="0"/>
      <w:i w:val="0"/>
      <w:iCs w:val="0"/>
      <w:smallCaps w:val="0"/>
      <w:strike w:val="0"/>
      <w:sz w:val="14"/>
      <w:szCs w:val="14"/>
      <w:u w:val="none"/>
      <w:shd w:val="clear" w:color="auto" w:fill="auto"/>
    </w:rPr>
  </w:style>
  <w:style w:type="paragraph" w:customStyle="1" w:styleId="Style2">
    <w:name w:val="标题 #1"/>
    <w:basedOn w:val="Normal"/>
    <w:link w:val="CharStyle3"/>
    <w:pPr>
      <w:widowControl w:val="0"/>
      <w:shd w:val="clear" w:color="auto" w:fill="auto"/>
      <w:spacing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61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w:basedOn w:val="Normal"/>
    <w:link w:val="CharStyle12"/>
    <w:pPr>
      <w:widowControl w:val="0"/>
      <w:shd w:val="clear" w:color="auto" w:fill="auto"/>
      <w:spacing w:after="1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正文文本 (4)"/>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4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spacing w:after="1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3)"/>
    <w:basedOn w:val="Normal"/>
    <w:link w:val="CharStyle34"/>
    <w:pPr>
      <w:widowControl w:val="0"/>
      <w:shd w:val="clear" w:color="auto" w:fill="auto"/>
      <w:spacing w:after="370"/>
    </w:pPr>
    <w:rPr>
      <w:rFonts w:ascii="SimSun" w:eastAsia="SimSun" w:hAnsi="SimSun" w:cs="SimSun"/>
      <w:b/>
      <w:bCs/>
      <w:i w:val="0"/>
      <w:iCs w:val="0"/>
      <w:smallCaps w:val="0"/>
      <w:strike w:val="0"/>
      <w:sz w:val="20"/>
      <w:szCs w:val="20"/>
      <w:u w:val="none"/>
      <w:shd w:val="clear" w:color="auto" w:fill="auto"/>
    </w:rPr>
  </w:style>
  <w:style w:type="paragraph" w:customStyle="1" w:styleId="Style37">
    <w:name w:val="图片标题"/>
    <w:basedOn w:val="Normal"/>
    <w:link w:val="CharStyle38"/>
    <w:pPr>
      <w:widowControl w:val="0"/>
      <w:shd w:val="clear" w:color="auto" w:fill="auto"/>
    </w:pPr>
    <w:rPr>
      <w:rFonts w:ascii="SimHei" w:eastAsia="SimHei" w:hAnsi="SimHei" w:cs="SimHei"/>
      <w:b/>
      <w:bCs/>
      <w:i w:val="0"/>
      <w:iCs w:val="0"/>
      <w:smallCaps w:val="0"/>
      <w:strike w:val="0"/>
      <w:color w:val="1B191B"/>
      <w:sz w:val="16"/>
      <w:szCs w:val="16"/>
      <w:u w:val="none"/>
      <w:shd w:val="clear" w:color="auto" w:fill="auto"/>
    </w:rPr>
  </w:style>
  <w:style w:type="paragraph" w:customStyle="1" w:styleId="Style63">
    <w:name w:val="页眉或页脚"/>
    <w:basedOn w:val="Normal"/>
    <w:link w:val="CharStyle6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正文文本 (7)"/>
    <w:basedOn w:val="Normal"/>
    <w:link w:val="CharStyle74"/>
    <w:pPr>
      <w:widowControl w:val="0"/>
      <w:shd w:val="clear" w:color="auto" w:fill="auto"/>
      <w:spacing w:after="360"/>
    </w:pPr>
    <w:rPr>
      <w:rFonts w:ascii="SimHei" w:eastAsia="SimHei" w:hAnsi="SimHei" w:cs="SimHei"/>
      <w:b w:val="0"/>
      <w:bCs w:val="0"/>
      <w:i w:val="0"/>
      <w:iCs w:val="0"/>
      <w:smallCaps w:val="0"/>
      <w:strike w:val="0"/>
      <w:sz w:val="19"/>
      <w:szCs w:val="19"/>
      <w:u w:val="none"/>
      <w:shd w:val="clear" w:color="auto" w:fill="auto"/>
    </w:rPr>
  </w:style>
  <w:style w:type="paragraph" w:customStyle="1" w:styleId="Style94">
    <w:name w:val="正文文本 (8)"/>
    <w:basedOn w:val="Normal"/>
    <w:link w:val="CharStyle95"/>
    <w:pPr>
      <w:widowControl w:val="0"/>
      <w:shd w:val="clear" w:color="auto" w:fill="auto"/>
      <w:spacing w:after="280" w:line="276" w:lineRule="auto"/>
    </w:pPr>
    <w:rPr>
      <w:rFonts w:ascii="Arial" w:eastAsia="Arial" w:hAnsi="Arial" w:cs="Arial"/>
      <w:b w:val="0"/>
      <w:bCs w:val="0"/>
      <w:i w:val="0"/>
      <w:iCs w:val="0"/>
      <w:smallCaps w:val="0"/>
      <w:strike w:val="0"/>
      <w:u w:val="none"/>
      <w:shd w:val="clear" w:color="auto" w:fill="auto"/>
    </w:rPr>
  </w:style>
  <w:style w:type="paragraph" w:customStyle="1" w:styleId="Style129">
    <w:name w:val="正文文本 (9)"/>
    <w:basedOn w:val="Normal"/>
    <w:link w:val="CharStyle130"/>
    <w:pPr>
      <w:widowControl w:val="0"/>
      <w:shd w:val="clear" w:color="auto" w:fill="auto"/>
    </w:pPr>
    <w:rPr>
      <w:rFonts w:ascii="Arial" w:eastAsia="Arial" w:hAnsi="Arial" w:cs="Arial"/>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 Id="rId177" Type="http://schemas.openxmlformats.org/officeDocument/2006/relationships/header" Target="header84.xml"/><Relationship Id="rId178" Type="http://schemas.openxmlformats.org/officeDocument/2006/relationships/footer" Target="footer84.xml"/><Relationship Id="rId179" Type="http://schemas.openxmlformats.org/officeDocument/2006/relationships/header" Target="header85.xml"/><Relationship Id="rId180" Type="http://schemas.openxmlformats.org/officeDocument/2006/relationships/footer" Target="footer85.xml"/><Relationship Id="rId181" Type="http://schemas.openxmlformats.org/officeDocument/2006/relationships/header" Target="header86.xml"/><Relationship Id="rId182" Type="http://schemas.openxmlformats.org/officeDocument/2006/relationships/footer" Target="footer86.xml"/><Relationship Id="rId183" Type="http://schemas.openxmlformats.org/officeDocument/2006/relationships/header" Target="header87.xml"/><Relationship Id="rId184" Type="http://schemas.openxmlformats.org/officeDocument/2006/relationships/footer" Target="footer87.xml"/><Relationship Id="rId185" Type="http://schemas.openxmlformats.org/officeDocument/2006/relationships/header" Target="header88.xml"/><Relationship Id="rId186" Type="http://schemas.openxmlformats.org/officeDocument/2006/relationships/footer" Target="footer88.xml"/></Relationships>
</file>

<file path=docProps/core.xml><?xml version="1.0" encoding="utf-8"?>
<cp:coreProperties xmlns:cp="http://schemas.openxmlformats.org/package/2006/metadata/core-properties" xmlns:dc="http://purl.org/dc/elements/1.1/">
  <dc:title>顺丰控股股份有限公司2016年年度报告全文</dc:title>
  <dc:subject/>
  <dc:creator>顺丰控股股份有限公司</dc:creator>
  <cp:keywords/>
</cp:coreProperties>
</file>