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header17.xml" ContentType="application/vnd.openxmlformats-officedocument.wordprocessingml.header+xml"/>
  <Override PartName="/word/footer32.xml" ContentType="application/vnd.openxmlformats-officedocument.wordprocessingml.footer+xml"/>
  <Override PartName="/word/header18.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9.xml" ContentType="application/vnd.openxmlformats-officedocument.wordprocessingml.header+xml"/>
  <Override PartName="/word/footer35.xml" ContentType="application/vnd.openxmlformats-officedocument.wordprocessingml.footer+xml"/>
  <Override PartName="/word/header2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tabs>
          <w:tab w:pos="6334" w:val="left" w:leader="none"/>
        </w:tabs>
        <w:spacing w:before="14"/>
        <w:ind w:left="575" w:right="1123" w:firstLine="0"/>
        <w:jc w:val="left"/>
        <w:rPr>
          <w:rFonts w:ascii="宋体" w:hAnsi="宋体" w:cs="宋体" w:eastAsia="宋体" w:hint="default"/>
          <w:sz w:val="28"/>
          <w:szCs w:val="28"/>
        </w:rPr>
      </w:pPr>
      <w:r>
        <w:rPr/>
        <w:pict>
          <v:group style="position:absolute;margin-left:55.200001pt;margin-top:-89.888412pt;width:484.9pt;height:.1pt;mso-position-horizontal-relative:page;mso-position-vertical-relative:paragraph;z-index:0" coordorigin="1104,-1798" coordsize="9698,2">
            <v:shape style="position:absolute;left:1104;top:-1798;width:9698;height:2" coordorigin="1104,-1798" coordsize="9698,0" path="m1104,-1798l10802,-1798e" filled="false" stroked="true" strokeweight=".72pt" strokecolor="#000000">
              <v:path arrowok="t"/>
            </v:shape>
            <w10:wrap type="none"/>
          </v:group>
        </w:pict>
      </w:r>
      <w:r>
        <w:rPr>
          <w:rFonts w:ascii="宋体" w:hAnsi="宋体" w:cs="宋体" w:eastAsia="宋体" w:hint="default"/>
          <w:b/>
          <w:bCs/>
          <w:spacing w:val="-1"/>
          <w:sz w:val="28"/>
          <w:szCs w:val="28"/>
        </w:rPr>
        <w:t>证券代码：</w:t>
      </w:r>
      <w:r>
        <w:rPr>
          <w:rFonts w:ascii="Times New Roman" w:hAnsi="Times New Roman" w:cs="Times New Roman" w:eastAsia="Times New Roman" w:hint="default"/>
          <w:b/>
          <w:bCs/>
          <w:spacing w:val="-1"/>
          <w:sz w:val="28"/>
          <w:szCs w:val="28"/>
        </w:rPr>
        <w:t>002369</w:t>
        <w:tab/>
      </w:r>
      <w:r>
        <w:rPr>
          <w:rFonts w:ascii="宋体" w:hAnsi="宋体" w:cs="宋体" w:eastAsia="宋体" w:hint="default"/>
          <w:b/>
          <w:bCs/>
          <w:sz w:val="28"/>
          <w:szCs w:val="28"/>
        </w:rPr>
        <w:t>证券简称：卓翼科技</w:t>
      </w:r>
      <w:r>
        <w:rPr>
          <w:rFonts w:ascii="宋体" w:hAnsi="宋体" w:cs="宋体" w:eastAsia="宋体" w:hint="default"/>
          <w:sz w:val="28"/>
          <w:szCs w:val="28"/>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5"/>
        <w:rPr>
          <w:rFonts w:ascii="宋体" w:hAnsi="宋体" w:cs="宋体" w:eastAsia="宋体" w:hint="default"/>
          <w:b/>
          <w:bCs/>
          <w:sz w:val="43"/>
          <w:szCs w:val="43"/>
        </w:rPr>
      </w:pPr>
    </w:p>
    <w:p>
      <w:pPr>
        <w:spacing w:before="0"/>
        <w:ind w:left="0" w:right="979" w:firstLine="0"/>
        <w:jc w:val="center"/>
        <w:rPr>
          <w:rFonts w:ascii="宋体" w:hAnsi="宋体" w:cs="宋体" w:eastAsia="宋体" w:hint="default"/>
          <w:sz w:val="44"/>
          <w:szCs w:val="44"/>
        </w:rPr>
      </w:pPr>
      <w:r>
        <w:rPr>
          <w:rFonts w:ascii="宋体" w:hAnsi="宋体" w:cs="宋体" w:eastAsia="宋体" w:hint="default"/>
          <w:b/>
          <w:bCs/>
          <w:sz w:val="44"/>
          <w:szCs w:val="44"/>
        </w:rPr>
        <w:t>深圳市卓翼科技股份有限公司</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line="1683" w:lineRule="exact"/>
        <w:ind w:left="2978" w:right="0" w:firstLine="0"/>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2523176" cy="106870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523176" cy="1068704"/>
                    </a:xfrm>
                    <a:prstGeom prst="rect">
                      <a:avLst/>
                    </a:prstGeom>
                  </pic:spPr>
                </pic:pic>
              </a:graphicData>
            </a:graphic>
          </wp:inline>
        </w:drawing>
      </w:r>
      <w:r>
        <w:rPr>
          <w:rFonts w:ascii="宋体" w:hAnsi="宋体" w:cs="宋体" w:eastAsia="宋体" w:hint="default"/>
          <w:position w:val="-33"/>
          <w:sz w:val="20"/>
          <w:szCs w:val="20"/>
        </w:rPr>
      </w:r>
    </w:p>
    <w:p>
      <w:pPr>
        <w:spacing w:before="342"/>
        <w:ind w:left="0" w:right="797"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2012</w:t>
      </w:r>
      <w:r>
        <w:rPr>
          <w:rFonts w:ascii="Times New Roman" w:hAnsi="Times New Roman" w:cs="Times New Roman" w:eastAsia="Times New Roman" w:hint="default"/>
          <w:b/>
          <w:bCs/>
          <w:spacing w:val="-7"/>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67"/>
          <w:szCs w:val="67"/>
        </w:rPr>
      </w:pPr>
    </w:p>
    <w:p>
      <w:pPr>
        <w:pStyle w:val="Heading1"/>
        <w:spacing w:line="240" w:lineRule="auto"/>
        <w:ind w:right="982"/>
        <w:jc w:val="center"/>
        <w:rPr>
          <w:b w:val="0"/>
          <w:bCs w:val="0"/>
        </w:rPr>
      </w:pPr>
      <w:r>
        <w:rPr/>
        <w:t>披露日期：</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82"/>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月</w:t>
      </w:r>
      <w:r>
        <w:rPr>
          <w:spacing w:val="-8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w:t>
      </w:r>
      <w:r>
        <w:rPr>
          <w:b w:val="0"/>
          <w:bCs w:val="0"/>
        </w:rPr>
      </w:r>
    </w:p>
    <w:p>
      <w:pPr>
        <w:spacing w:after="0" w:line="240" w:lineRule="auto"/>
        <w:jc w:val="cente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3"/>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公司负责人田昱、主管会计工作负责人曾兆豪及会计机构负责人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文国桥声明：保证年度报告中财务报告的真实、准确、完整。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123"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tbl>
      <w:tblPr>
        <w:tblW w:w="0" w:type="auto"/>
        <w:jc w:val="left"/>
        <w:tblInd w:w="117" w:type="dxa"/>
        <w:tblLayout w:type="fixed"/>
        <w:tblCellMar>
          <w:top w:w="0" w:type="dxa"/>
          <w:left w:w="0" w:type="dxa"/>
          <w:bottom w:w="0" w:type="dxa"/>
          <w:right w:w="0" w:type="dxa"/>
        </w:tblCellMar>
        <w:tblLook w:val="01E0"/>
      </w:tblPr>
      <w:tblGrid>
        <w:gridCol w:w="819"/>
        <w:gridCol w:w="8605"/>
        <w:gridCol w:w="280"/>
      </w:tblGrid>
      <w:tr>
        <w:trPr>
          <w:trHeight w:val="475"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第一节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 w:right="-7"/>
              <w:jc w:val="left"/>
              <w:rPr>
                <w:rFonts w:ascii="宋体" w:hAnsi="宋体" w:cs="宋体" w:eastAsia="宋体" w:hint="default"/>
                <w:sz w:val="24"/>
                <w:szCs w:val="24"/>
              </w:rPr>
            </w:pPr>
            <w:r>
              <w:rPr>
                <w:rFonts w:ascii="宋体" w:hAnsi="宋体" w:cs="宋体" w:eastAsia="宋体" w:hint="default"/>
                <w:b/>
                <w:bCs/>
                <w:spacing w:val="2"/>
                <w:w w:val="95"/>
                <w:sz w:val="24"/>
                <w:szCs w:val="24"/>
              </w:rPr>
              <w:t>重要提示、目录和释义</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5" w:right="0"/>
              <w:jc w:val="center"/>
              <w:rPr>
                <w:rFonts w:ascii="宋体" w:hAnsi="宋体" w:cs="宋体" w:eastAsia="宋体" w:hint="default"/>
                <w:sz w:val="24"/>
                <w:szCs w:val="24"/>
              </w:rPr>
            </w:pPr>
            <w:r>
              <w:rPr>
                <w:rFonts w:ascii="宋体"/>
                <w:b/>
                <w:w w:val="99"/>
                <w:sz w:val="24"/>
              </w:rPr>
              <w:t>2</w:t>
            </w:r>
            <w:r>
              <w:rPr>
                <w:rFonts w:ascii="宋体"/>
                <w:sz w:val="24"/>
              </w:rPr>
            </w:r>
          </w:p>
        </w:tc>
      </w:tr>
      <w:tr>
        <w:trPr>
          <w:trHeight w:val="5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b/>
                <w:bCs/>
                <w:sz w:val="24"/>
                <w:szCs w:val="24"/>
              </w:rPr>
              <w:t>第二节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1" w:right="-7"/>
              <w:jc w:val="left"/>
              <w:rPr>
                <w:rFonts w:ascii="宋体" w:hAnsi="宋体" w:cs="宋体" w:eastAsia="宋体" w:hint="default"/>
                <w:sz w:val="24"/>
                <w:szCs w:val="24"/>
              </w:rPr>
            </w:pPr>
            <w:r>
              <w:rPr>
                <w:rFonts w:ascii="宋体" w:hAnsi="宋体" w:cs="宋体" w:eastAsia="宋体" w:hint="default"/>
                <w:b/>
                <w:bCs/>
                <w:sz w:val="24"/>
                <w:szCs w:val="24"/>
              </w:rPr>
              <w:t>公司简介</w:t>
            </w:r>
            <w:r>
              <w:rPr>
                <w:rFonts w:ascii="宋体" w:hAnsi="宋体" w:cs="宋体" w:eastAsia="宋体" w:hint="default"/>
                <w:b/>
                <w:bCs/>
                <w:spacing w:val="-60"/>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5" w:right="0"/>
              <w:jc w:val="center"/>
              <w:rPr>
                <w:rFonts w:ascii="宋体" w:hAnsi="宋体" w:cs="宋体" w:eastAsia="宋体" w:hint="default"/>
                <w:sz w:val="24"/>
                <w:szCs w:val="24"/>
              </w:rPr>
            </w:pPr>
            <w:r>
              <w:rPr>
                <w:rFonts w:ascii="宋体"/>
                <w:b/>
                <w:w w:val="99"/>
                <w:sz w:val="24"/>
              </w:rPr>
              <w:t>6</w:t>
            </w:r>
            <w:r>
              <w:rPr>
                <w:rFonts w:ascii="宋体"/>
                <w:sz w:val="24"/>
              </w:rPr>
            </w:r>
          </w:p>
        </w:tc>
      </w:tr>
      <w:tr>
        <w:trPr>
          <w:trHeight w:val="5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4"/>
                <w:szCs w:val="24"/>
              </w:rPr>
            </w:pPr>
            <w:r>
              <w:rPr>
                <w:rFonts w:ascii="宋体" w:hAnsi="宋体" w:cs="宋体" w:eastAsia="宋体" w:hint="default"/>
                <w:b/>
                <w:bCs/>
                <w:sz w:val="24"/>
                <w:szCs w:val="24"/>
              </w:rPr>
              <w:t>第三节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1" w:right="-7"/>
              <w:jc w:val="left"/>
              <w:rPr>
                <w:rFonts w:ascii="宋体" w:hAnsi="宋体" w:cs="宋体" w:eastAsia="宋体" w:hint="default"/>
                <w:sz w:val="24"/>
                <w:szCs w:val="24"/>
              </w:rPr>
            </w:pPr>
            <w:r>
              <w:rPr>
                <w:rFonts w:ascii="宋体" w:hAnsi="宋体" w:cs="宋体" w:eastAsia="宋体" w:hint="default"/>
                <w:b/>
                <w:bCs/>
                <w:spacing w:val="2"/>
                <w:w w:val="95"/>
                <w:sz w:val="24"/>
                <w:szCs w:val="24"/>
              </w:rPr>
              <w:t>会计数据和财务指标摘要</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5" w:right="0"/>
              <w:jc w:val="center"/>
              <w:rPr>
                <w:rFonts w:ascii="宋体" w:hAnsi="宋体" w:cs="宋体" w:eastAsia="宋体" w:hint="default"/>
                <w:sz w:val="24"/>
                <w:szCs w:val="24"/>
              </w:rPr>
            </w:pPr>
            <w:r>
              <w:rPr>
                <w:rFonts w:ascii="宋体"/>
                <w:b/>
                <w:w w:val="99"/>
                <w:sz w:val="24"/>
              </w:rPr>
              <w:t>8</w:t>
            </w:r>
            <w:r>
              <w:rPr>
                <w:rFonts w:ascii="宋体"/>
                <w:sz w:val="24"/>
              </w:rPr>
            </w:r>
          </w:p>
        </w:tc>
      </w:tr>
      <w:tr>
        <w:trPr>
          <w:trHeight w:val="509"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b/>
                <w:bCs/>
                <w:sz w:val="24"/>
                <w:szCs w:val="24"/>
              </w:rPr>
              <w:t>第四节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1" w:right="0"/>
              <w:jc w:val="left"/>
              <w:rPr>
                <w:rFonts w:ascii="宋体" w:hAnsi="宋体" w:cs="宋体" w:eastAsia="宋体" w:hint="default"/>
                <w:sz w:val="24"/>
                <w:szCs w:val="24"/>
              </w:rPr>
            </w:pPr>
            <w:r>
              <w:rPr>
                <w:rFonts w:ascii="宋体" w:hAnsi="宋体" w:cs="宋体" w:eastAsia="宋体" w:hint="default"/>
                <w:b/>
                <w:bCs/>
                <w:sz w:val="24"/>
                <w:szCs w:val="24"/>
              </w:rPr>
              <w:t>董事会报告</w:t>
            </w:r>
            <w:r>
              <w:rPr>
                <w:rFonts w:ascii="宋体" w:hAnsi="宋体" w:cs="宋体" w:eastAsia="宋体" w:hint="default"/>
                <w:b/>
                <w:bCs/>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4"/>
                <w:szCs w:val="24"/>
              </w:rPr>
            </w:pPr>
            <w:r>
              <w:rPr>
                <w:rFonts w:ascii="宋体"/>
                <w:b/>
                <w:sz w:val="24"/>
              </w:rPr>
              <w:t>11</w:t>
            </w:r>
            <w:r>
              <w:rPr>
                <w:rFonts w:ascii="宋体"/>
                <w:sz w:val="24"/>
              </w:rPr>
            </w:r>
          </w:p>
        </w:tc>
      </w:tr>
      <w:tr>
        <w:trPr>
          <w:trHeight w:val="5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b/>
                <w:bCs/>
                <w:sz w:val="24"/>
                <w:szCs w:val="24"/>
              </w:rPr>
              <w:t>第五节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1" w:right="0"/>
              <w:jc w:val="left"/>
              <w:rPr>
                <w:rFonts w:ascii="宋体" w:hAnsi="宋体" w:cs="宋体" w:eastAsia="宋体" w:hint="default"/>
                <w:sz w:val="24"/>
                <w:szCs w:val="24"/>
              </w:rPr>
            </w:pPr>
            <w:r>
              <w:rPr>
                <w:rFonts w:ascii="宋体" w:hAnsi="宋体" w:cs="宋体" w:eastAsia="宋体" w:hint="default"/>
                <w:b/>
                <w:bCs/>
                <w:sz w:val="24"/>
                <w:szCs w:val="24"/>
              </w:rPr>
              <w:t>重要事项</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4"/>
                <w:szCs w:val="24"/>
              </w:rPr>
            </w:pPr>
            <w:r>
              <w:rPr>
                <w:rFonts w:ascii="宋体"/>
                <w:b/>
                <w:sz w:val="24"/>
              </w:rPr>
              <w:t>32</w:t>
            </w:r>
            <w:r>
              <w:rPr>
                <w:rFonts w:ascii="宋体"/>
                <w:sz w:val="24"/>
              </w:rPr>
            </w:r>
          </w:p>
        </w:tc>
      </w:tr>
      <w:tr>
        <w:trPr>
          <w:trHeight w:val="5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4"/>
                <w:szCs w:val="24"/>
              </w:rPr>
            </w:pPr>
            <w:r>
              <w:rPr>
                <w:rFonts w:ascii="宋体" w:hAnsi="宋体" w:cs="宋体" w:eastAsia="宋体" w:hint="default"/>
                <w:b/>
                <w:bCs/>
                <w:sz w:val="24"/>
                <w:szCs w:val="24"/>
              </w:rPr>
              <w:t>第六节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1" w:right="0"/>
              <w:jc w:val="left"/>
              <w:rPr>
                <w:rFonts w:ascii="宋体" w:hAnsi="宋体" w:cs="宋体" w:eastAsia="宋体" w:hint="default"/>
                <w:sz w:val="24"/>
                <w:szCs w:val="24"/>
              </w:rPr>
            </w:pPr>
            <w:r>
              <w:rPr>
                <w:rFonts w:ascii="宋体" w:hAnsi="宋体" w:cs="宋体" w:eastAsia="宋体" w:hint="default"/>
                <w:b/>
                <w:bCs/>
                <w:spacing w:val="2"/>
                <w:sz w:val="24"/>
                <w:szCs w:val="24"/>
              </w:rPr>
              <w:t>股份变动及股东情况</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center"/>
              <w:rPr>
                <w:rFonts w:ascii="宋体" w:hAnsi="宋体" w:cs="宋体" w:eastAsia="宋体" w:hint="default"/>
                <w:sz w:val="24"/>
                <w:szCs w:val="24"/>
              </w:rPr>
            </w:pPr>
            <w:r>
              <w:rPr>
                <w:rFonts w:ascii="宋体"/>
                <w:b/>
                <w:sz w:val="24"/>
              </w:rPr>
              <w:t>43</w:t>
            </w:r>
            <w:r>
              <w:rPr>
                <w:rFonts w:ascii="宋体"/>
                <w:sz w:val="24"/>
              </w:rPr>
            </w:r>
          </w:p>
        </w:tc>
      </w:tr>
      <w:tr>
        <w:trPr>
          <w:trHeight w:val="509"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b/>
                <w:bCs/>
                <w:sz w:val="24"/>
                <w:szCs w:val="24"/>
              </w:rPr>
              <w:t>第七节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1" w:right="0"/>
              <w:jc w:val="left"/>
              <w:rPr>
                <w:rFonts w:ascii="宋体" w:hAnsi="宋体" w:cs="宋体" w:eastAsia="宋体" w:hint="default"/>
                <w:sz w:val="24"/>
                <w:szCs w:val="24"/>
              </w:rPr>
            </w:pPr>
            <w:r>
              <w:rPr>
                <w:rFonts w:ascii="宋体" w:hAnsi="宋体" w:cs="宋体" w:eastAsia="宋体" w:hint="default"/>
                <w:b/>
                <w:bCs/>
                <w:w w:val="95"/>
                <w:sz w:val="24"/>
                <w:szCs w:val="24"/>
              </w:rPr>
              <w:t>董事、监事、高级管理人员和员工情况  </w:t>
            </w:r>
            <w:r>
              <w:rPr>
                <w:rFonts w:ascii="宋体" w:hAnsi="宋体" w:cs="宋体" w:eastAsia="宋体" w:hint="default"/>
                <w:b/>
                <w:bCs/>
                <w:spacing w:val="85"/>
                <w:w w:val="95"/>
                <w:sz w:val="24"/>
                <w:szCs w:val="24"/>
              </w:rPr>
              <w:t> </w:t>
            </w:r>
            <w:r>
              <w:rPr>
                <w:rFonts w:ascii="宋体" w:hAnsi="宋体" w:cs="宋体" w:eastAsia="宋体" w:hint="default"/>
                <w:b/>
                <w:bCs/>
                <w:spacing w:val="2"/>
                <w:w w:val="95"/>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4"/>
                <w:szCs w:val="24"/>
              </w:rPr>
            </w:pPr>
            <w:r>
              <w:rPr>
                <w:rFonts w:ascii="宋体"/>
                <w:b/>
                <w:sz w:val="24"/>
              </w:rPr>
              <w:t>48</w:t>
            </w:r>
            <w:r>
              <w:rPr>
                <w:rFonts w:ascii="宋体"/>
                <w:sz w:val="24"/>
              </w:rPr>
            </w:r>
          </w:p>
        </w:tc>
      </w:tr>
      <w:tr>
        <w:trPr>
          <w:trHeight w:val="5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b/>
                <w:bCs/>
                <w:sz w:val="24"/>
                <w:szCs w:val="24"/>
              </w:rPr>
              <w:t>第八节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1" w:right="0"/>
              <w:jc w:val="left"/>
              <w:rPr>
                <w:rFonts w:ascii="宋体" w:hAnsi="宋体" w:cs="宋体" w:eastAsia="宋体" w:hint="default"/>
                <w:sz w:val="24"/>
                <w:szCs w:val="24"/>
              </w:rPr>
            </w:pPr>
            <w:r>
              <w:rPr>
                <w:rFonts w:ascii="宋体" w:hAnsi="宋体" w:cs="宋体" w:eastAsia="宋体" w:hint="default"/>
                <w:b/>
                <w:bCs/>
                <w:sz w:val="24"/>
                <w:szCs w:val="24"/>
              </w:rPr>
              <w:t>公司治理</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4"/>
                <w:szCs w:val="24"/>
              </w:rPr>
            </w:pPr>
            <w:r>
              <w:rPr>
                <w:rFonts w:ascii="宋体"/>
                <w:b/>
                <w:sz w:val="24"/>
              </w:rPr>
              <w:t>54</w:t>
            </w:r>
            <w:r>
              <w:rPr>
                <w:rFonts w:ascii="宋体"/>
                <w:sz w:val="24"/>
              </w:rPr>
            </w:r>
          </w:p>
        </w:tc>
      </w:tr>
      <w:tr>
        <w:trPr>
          <w:trHeight w:val="508"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4"/>
                <w:szCs w:val="24"/>
              </w:rPr>
            </w:pPr>
            <w:r>
              <w:rPr>
                <w:rFonts w:ascii="宋体" w:hAnsi="宋体" w:cs="宋体" w:eastAsia="宋体" w:hint="default"/>
                <w:b/>
                <w:bCs/>
                <w:sz w:val="24"/>
                <w:szCs w:val="24"/>
              </w:rPr>
              <w:t>第九节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1" w:right="0"/>
              <w:jc w:val="left"/>
              <w:rPr>
                <w:rFonts w:ascii="宋体" w:hAnsi="宋体" w:cs="宋体" w:eastAsia="宋体" w:hint="default"/>
                <w:sz w:val="24"/>
                <w:szCs w:val="24"/>
              </w:rPr>
            </w:pPr>
            <w:r>
              <w:rPr>
                <w:rFonts w:ascii="宋体" w:hAnsi="宋体" w:cs="宋体" w:eastAsia="宋体" w:hint="default"/>
                <w:b/>
                <w:bCs/>
                <w:sz w:val="24"/>
                <w:szCs w:val="24"/>
              </w:rPr>
              <w:t>内部控制</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center"/>
              <w:rPr>
                <w:rFonts w:ascii="宋体" w:hAnsi="宋体" w:cs="宋体" w:eastAsia="宋体" w:hint="default"/>
                <w:sz w:val="24"/>
                <w:szCs w:val="24"/>
              </w:rPr>
            </w:pPr>
            <w:r>
              <w:rPr>
                <w:rFonts w:ascii="宋体"/>
                <w:b/>
                <w:sz w:val="24"/>
              </w:rPr>
              <w:t>61</w:t>
            </w:r>
            <w:r>
              <w:rPr>
                <w:rFonts w:ascii="宋体"/>
                <w:sz w:val="24"/>
              </w:rPr>
            </w:r>
          </w:p>
        </w:tc>
      </w:tr>
      <w:tr>
        <w:trPr>
          <w:trHeight w:val="474"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b/>
                <w:bCs/>
                <w:sz w:val="24"/>
                <w:szCs w:val="24"/>
              </w:rPr>
              <w:t>第十节</w:t>
            </w:r>
            <w:r>
              <w:rPr>
                <w:rFonts w:ascii="宋体" w:hAnsi="宋体" w:cs="宋体" w:eastAsia="宋体" w:hint="default"/>
                <w:sz w:val="24"/>
                <w:szCs w:val="24"/>
              </w:rPr>
            </w:r>
          </w:p>
        </w:tc>
        <w:tc>
          <w:tcPr>
            <w:tcW w:w="860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1" w:right="0"/>
              <w:jc w:val="left"/>
              <w:rPr>
                <w:rFonts w:ascii="宋体" w:hAnsi="宋体" w:cs="宋体" w:eastAsia="宋体" w:hint="default"/>
                <w:sz w:val="24"/>
                <w:szCs w:val="24"/>
              </w:rPr>
            </w:pPr>
            <w:r>
              <w:rPr>
                <w:rFonts w:ascii="宋体" w:hAnsi="宋体" w:cs="宋体" w:eastAsia="宋体" w:hint="default"/>
                <w:b/>
                <w:bCs/>
                <w:sz w:val="24"/>
                <w:szCs w:val="24"/>
              </w:rPr>
              <w:t>财务报告</w:t>
            </w:r>
            <w:r>
              <w:rPr>
                <w:rFonts w:ascii="宋体" w:hAnsi="宋体" w:cs="宋体" w:eastAsia="宋体" w:hint="default"/>
                <w:b/>
                <w:bCs/>
                <w:spacing w:val="-59"/>
                <w:sz w:val="24"/>
                <w:szCs w:val="24"/>
              </w:rPr>
              <w:t> </w:t>
            </w:r>
            <w:r>
              <w:rPr>
                <w:rFonts w:ascii="宋体" w:hAnsi="宋体" w:cs="宋体" w:eastAsia="宋体" w:hint="default"/>
                <w:b/>
                <w:bCs/>
                <w:spacing w:val="2"/>
                <w:sz w:val="24"/>
                <w:szCs w:val="24"/>
              </w:rPr>
              <w:t>............................................................</w:t>
            </w:r>
            <w:r>
              <w:rPr>
                <w:rFonts w:ascii="宋体" w:hAnsi="宋体" w:cs="宋体" w:eastAsia="宋体" w:hint="default"/>
                <w:sz w:val="24"/>
                <w:szCs w:val="24"/>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center"/>
              <w:rPr>
                <w:rFonts w:ascii="宋体" w:hAnsi="宋体" w:cs="宋体" w:eastAsia="宋体" w:hint="default"/>
                <w:sz w:val="24"/>
                <w:szCs w:val="24"/>
              </w:rPr>
            </w:pPr>
            <w:r>
              <w:rPr>
                <w:rFonts w:ascii="宋体"/>
                <w:b/>
                <w:sz w:val="24"/>
              </w:rPr>
              <w:t>64</w:t>
            </w:r>
            <w:r>
              <w:rPr>
                <w:rFonts w:ascii="宋体"/>
                <w:sz w:val="24"/>
              </w:rPr>
            </w:r>
          </w:p>
        </w:tc>
      </w:tr>
    </w:tbl>
    <w:p>
      <w:pPr>
        <w:spacing w:line="240" w:lineRule="auto" w:before="3"/>
        <w:rPr>
          <w:rFonts w:ascii="宋体" w:hAnsi="宋体" w:cs="宋体" w:eastAsia="宋体" w:hint="default"/>
          <w:b/>
          <w:bCs/>
          <w:sz w:val="5"/>
          <w:szCs w:val="5"/>
        </w:rPr>
      </w:pPr>
    </w:p>
    <w:p>
      <w:pPr>
        <w:pStyle w:val="Heading2"/>
        <w:tabs>
          <w:tab w:pos="9783" w:val="right" w:leader="dot"/>
        </w:tabs>
        <w:spacing w:line="240" w:lineRule="auto" w:before="26"/>
        <w:ind w:right="0"/>
        <w:jc w:val="left"/>
        <w:rPr>
          <w:rFonts w:ascii="宋体" w:hAnsi="宋体" w:cs="宋体" w:eastAsia="宋体" w:hint="default"/>
          <w:b w:val="0"/>
          <w:bCs w:val="0"/>
        </w:rPr>
      </w:pPr>
      <w:r>
        <w:rPr/>
        <w:t>第十一节</w:t>
      </w:r>
      <w:r>
        <w:rPr>
          <w:spacing w:val="-2"/>
        </w:rPr>
        <w:t> </w:t>
      </w:r>
      <w:r>
        <w:rPr/>
        <w:t>备查文件目录</w:t>
      </w:r>
      <w:r>
        <w:rPr>
          <w:rFonts w:ascii="宋体" w:hAnsi="宋体" w:cs="宋体" w:eastAsia="宋体" w:hint="default"/>
        </w:rPr>
        <w:tab/>
        <w:t>170</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5" w:footer="1340" w:top="1060" w:bottom="154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11"/>
        <w:gridCol w:w="5424"/>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本公司、公司、卓翼科技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深圳市卓翼科技股份有限公司股东大会、董事会、监事会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卓达科技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卓翼科技（香港）有限公司，系公司香港全资子公司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福瑞康</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42"/>
        <w:ind w:left="0" w:right="978" w:firstLine="0"/>
        <w:jc w:val="center"/>
        <w:rPr>
          <w:rFonts w:ascii="宋体" w:hAnsi="宋体" w:cs="宋体" w:eastAsia="宋体" w:hint="default"/>
          <w:sz w:val="44"/>
          <w:szCs w:val="44"/>
        </w:rPr>
      </w:pPr>
      <w:r>
        <w:rPr>
          <w:rFonts w:ascii="宋体" w:hAnsi="宋体" w:cs="宋体" w:eastAsia="宋体" w:hint="default"/>
          <w:b/>
          <w:bCs/>
          <w:spacing w:val="2"/>
          <w:sz w:val="44"/>
          <w:szCs w:val="44"/>
        </w:rPr>
        <w:t>重大风险提示</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9"/>
        <w:rPr>
          <w:rFonts w:ascii="宋体" w:hAnsi="宋体" w:cs="宋体" w:eastAsia="宋体" w:hint="default"/>
          <w:b/>
          <w:bCs/>
          <w:sz w:val="32"/>
          <w:szCs w:val="32"/>
        </w:rPr>
      </w:pPr>
    </w:p>
    <w:p>
      <w:pPr>
        <w:spacing w:line="408" w:lineRule="auto" w:before="0"/>
        <w:ind w:left="152" w:right="982" w:firstLine="562"/>
        <w:jc w:val="left"/>
        <w:rPr>
          <w:rFonts w:ascii="宋体" w:hAnsi="宋体" w:cs="宋体" w:eastAsia="宋体" w:hint="default"/>
          <w:sz w:val="28"/>
          <w:szCs w:val="28"/>
        </w:rPr>
      </w:pP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敬请投资者注意投资风险。</w:t>
      </w:r>
      <w:r>
        <w:rPr>
          <w:rFonts w:ascii="宋体" w:hAnsi="宋体" w:cs="宋体" w:eastAsia="宋体" w:hint="default"/>
          <w:sz w:val="28"/>
          <w:szCs w:val="28"/>
        </w:rPr>
      </w:r>
    </w:p>
    <w:p>
      <w:pPr>
        <w:spacing w:line="398"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spacing w:val="-8"/>
          <w:w w:val="100"/>
          <w:sz w:val="28"/>
          <w:szCs w:val="28"/>
        </w:rPr>
        <w:t>《证券时报》、《中国证券报》和巨潮资讯网（</w:t>
      </w:r>
      <w:hyperlink r:id="rId9">
        <w:r>
          <w:rPr>
            <w:rFonts w:ascii="Times New Roman" w:hAnsi="Times New Roman" w:cs="Times New Roman" w:eastAsia="Times New Roman" w:hint="default"/>
            <w:b/>
            <w:bCs/>
            <w:spacing w:val="-8"/>
            <w:w w:val="100"/>
            <w:sz w:val="28"/>
            <w:szCs w:val="28"/>
          </w:rPr>
          <w:t>www.cninfo.com.cn</w:t>
        </w:r>
      </w:hyperlink>
      <w:r>
        <w:rPr>
          <w:rFonts w:ascii="宋体" w:hAnsi="宋体" w:cs="宋体" w:eastAsia="宋体" w:hint="default"/>
          <w:b/>
          <w:bCs/>
          <w:spacing w:val="-8"/>
          <w:w w:val="100"/>
          <w:sz w:val="28"/>
          <w:szCs w:val="28"/>
        </w:rPr>
        <w:t>）为公司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指定信息披露媒体，公司所有信息均以在上述指定媒体刊登的信息为准，敬请</w:t>
      </w:r>
      <w:r>
        <w:rPr>
          <w:rFonts w:ascii="宋体" w:hAnsi="宋体" w:cs="宋体" w:eastAsia="宋体" w:hint="default"/>
          <w:b/>
          <w:bCs/>
          <w:w w:val="99"/>
          <w:sz w:val="28"/>
          <w:szCs w:val="28"/>
        </w:rPr>
        <w:t> </w:t>
      </w:r>
      <w:r>
        <w:rPr>
          <w:rFonts w:ascii="宋体" w:hAnsi="宋体" w:cs="宋体" w:eastAsia="宋体" w:hint="default"/>
          <w:b/>
          <w:bCs/>
          <w:sz w:val="28"/>
          <w:szCs w:val="28"/>
        </w:rPr>
        <w:t>投资者注意投资风险。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992272"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976"/>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6"/>
        <w:gridCol w:w="217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002369</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ZOWEE TECH. CO.,</w:t>
            </w:r>
            <w:r>
              <w:rPr>
                <w:rFonts w:ascii="Times New Roman"/>
                <w:spacing w:val="-5"/>
                <w:sz w:val="18"/>
              </w:rPr>
              <w:t> </w:t>
            </w:r>
            <w:r>
              <w:rPr>
                <w:rFonts w:ascii="Times New Roman"/>
                <w:spacing w:val="-6"/>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ZOWEE</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田昱</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www.zowee.com.cn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message@zowee.com.cn</w:t>
              </w:r>
            </w:hyperlink>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79"/>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刘芷然</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深圳市南山区西丽平山民企科技园５栋</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深圳市南山区西丽平山民企科技园５栋</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0755-26997888</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0755-26997888</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0755-26511004</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0755-26511004</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message@zowee.com.cn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message@zowee.com.cn</w:t>
              </w:r>
            </w:hyperlink>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8"/>
        <w:gridCol w:w="5841"/>
      </w:tblGrid>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5"/>
        <w:gridCol w:w="1592"/>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4403012134424</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440301758625661</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75862566-1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2" w:type="dxa"/>
            <w:vMerge w:val="restart"/>
            <w:tcBorders>
              <w:top w:val="single" w:sz="4" w:space="0" w:color="000000"/>
              <w:left w:val="single" w:sz="4" w:space="0" w:color="000000"/>
              <w:right w:val="single" w:sz="4" w:space="0" w:color="000000"/>
            </w:tcBorders>
            <w:shd w:val="clear" w:color="auto" w:fill="C6ECCC"/>
          </w:tcPr>
          <w:p>
            <w:pPr>
              <w:pStyle w:val="TableParagraph"/>
              <w:spacing w:line="314"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440301102730527</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440301758625661</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75862566-1</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vMerge/>
            <w:tcBorders>
              <w:left w:val="single" w:sz="9" w:space="0" w:color="D2D2D2"/>
              <w:right w:val="single" w:sz="4" w:space="0" w:color="000000"/>
            </w:tcBorders>
          </w:tcPr>
          <w:p>
            <w:pPr/>
          </w:p>
        </w:tc>
        <w:tc>
          <w:tcPr>
            <w:tcW w:w="1592" w:type="dxa"/>
            <w:vMerge/>
            <w:tcBorders>
              <w:left w:val="single" w:sz="4" w:space="0" w:color="000000"/>
              <w:right w:val="single" w:sz="4" w:space="0" w:color="000000"/>
            </w:tcBorders>
            <w:shd w:val="clear" w:color="auto" w:fill="C6ECCC"/>
          </w:tcPr>
          <w:p>
            <w:pPr/>
          </w:p>
        </w:tc>
        <w:tc>
          <w:tcPr>
            <w:tcW w:w="1596"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c>
          <w:tcPr>
            <w:tcW w:w="1594" w:type="dxa"/>
            <w:vMerge/>
            <w:tcBorders>
              <w:left w:val="single" w:sz="4" w:space="0" w:color="000000"/>
              <w:right w:val="single" w:sz="4" w:space="0" w:color="000000"/>
            </w:tcBorders>
            <w:shd w:val="clear" w:color="auto" w:fill="C6ECCC"/>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shd w:val="clear" w:color="auto" w:fill="C6ECCC"/>
          </w:tcPr>
          <w:p>
            <w:pPr/>
          </w:p>
        </w:tc>
        <w:tc>
          <w:tcPr>
            <w:tcW w:w="1596"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715"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邱俊洲、张晓义</w:t>
            </w:r>
          </w:p>
        </w:tc>
      </w:tr>
    </w:tbl>
    <w:p>
      <w:pPr>
        <w:pStyle w:val="BodyText"/>
        <w:spacing w:line="240" w:lineRule="auto" w:before="49"/>
        <w:ind w:right="1123"/>
        <w:jc w:val="left"/>
      </w:pPr>
      <w:r>
        <w:rPr/>
        <w:t>公司聘请的报告期内履行持续督导职责的保荐机构</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08"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44"/>
              <w:ind w:left="23"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蔡剑、罗红雨</w:t>
            </w:r>
          </w:p>
        </w:tc>
        <w:tc>
          <w:tcPr>
            <w:tcW w:w="23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23"/>
        <w:jc w:val="left"/>
      </w:pPr>
      <w:r>
        <w:rPr/>
        <w:t>公司聘请的报告期内履行持续督导职责的财务顾问</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340" w:top="1060" w:bottom="1540" w:left="980" w:right="0"/>
        </w:sectPr>
      </w:pPr>
    </w:p>
    <w:p>
      <w:pPr>
        <w:pStyle w:val="BodyText"/>
        <w:spacing w:line="240" w:lineRule="auto" w:before="44"/>
        <w:ind w:right="-20"/>
        <w:jc w:val="left"/>
      </w:pPr>
      <w:r>
        <w:rPr/>
        <w:t>公司是否因会计政策变更及会计差错更正等追溯调整或重述以前年度会计数据</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6273" w:space="264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1,469,818,733.52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1,237,597,176.77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870,540,964.56</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98,495,682.76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73,951,392.23</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79,796,520.23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98,490,405.55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72,578,781.86</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62,396,032.97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92,658,770.32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42,634,487.92</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12.29%</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1,920,388,173.01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1,351,044,845.61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1,107,931,646.88</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1,312,355,034.74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768,502,045.44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740,006,362.68</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4"/>
        <w:gridCol w:w="1742"/>
        <w:gridCol w:w="2004"/>
        <w:gridCol w:w="1769"/>
        <w:gridCol w:w="1771"/>
      </w:tblGrid>
      <w:tr>
        <w:trPr>
          <w:trHeight w:val="204" w:hRule="exact"/>
        </w:trPr>
        <w:tc>
          <w:tcPr>
            <w:tcW w:w="2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4"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4"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84,938,989.30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98,495,682.76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1,312,355,034.74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768,502,045.44</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84,938,989.30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98,495,682.76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1,312,355,034.74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768,502,045.44</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pStyle w:val="BodyText"/>
        <w:spacing w:line="240" w:lineRule="auto" w:before="8"/>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3"/>
        <w:gridCol w:w="1710"/>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-1,758,418.21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-244,609.59</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6,089,366.00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1,647,805.00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1,596,421.00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3"/>
        <w:gridCol w:w="1710"/>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合并日的当期净损益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5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-39,457.98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125,133.10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256,834.22</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907,438.95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9,242.68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236,035.26</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5,142,469.07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5,277.21</w:t>
            </w:r>
          </w:p>
        </w:tc>
        <w:tc>
          <w:tcPr>
            <w:tcW w:w="15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1,372,610.37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79"/>
        <w:jc w:val="left"/>
      </w:pPr>
      <w:r>
        <w:rPr/>
        <w:t>报告期内，全球经济形势持续低迷，欧债危机矛盾深化，新兴经济体和发展中国家也面临通货膨胀和经济增速回落的 </w:t>
      </w:r>
      <w:r>
        <w:rPr>
          <w:spacing w:val="-2"/>
        </w:rPr>
        <w:t>压力。在此背景下，中国国内经济增速放缓，公司管理层围绕董事会确定的发展战略，按照公司整体经营目标，利用公司在</w:t>
      </w:r>
      <w:r>
        <w:rPr>
          <w:spacing w:val="-67"/>
        </w:rPr>
        <w:t> </w:t>
      </w:r>
      <w:r>
        <w:rPr>
          <w:spacing w:val="-67"/>
        </w:rPr>
      </w:r>
      <w:r>
        <w:rPr/>
        <w:t>人才、技术、资金、市场、管理、产品等方面积累的优势积极应对，通过导入新产品和开拓新市场，加强新产品研发力度，</w:t>
      </w:r>
      <w:r>
        <w:rPr>
          <w:spacing w:val="-86"/>
        </w:rPr>
        <w:t> </w:t>
      </w:r>
      <w:r>
        <w:rPr>
          <w:spacing w:val="-86"/>
        </w:rPr>
      </w:r>
      <w:r>
        <w:rPr>
          <w:spacing w:val="-2"/>
        </w:rPr>
        <w:t>深化经营思路，创新精细化管理，不断优化流程，全面提升产品质量、服务品质和成本管理水平等手段，稳步有序地推进各</w:t>
      </w:r>
      <w:r>
        <w:rPr>
          <w:spacing w:val="-67"/>
        </w:rPr>
        <w:t> </w:t>
      </w:r>
      <w:r>
        <w:rPr>
          <w:spacing w:val="-67"/>
        </w:rPr>
      </w:r>
      <w:r>
        <w:rPr/>
        <w:t>项工作，确保了公司持续健康稳定的发展。</w:t>
      </w:r>
    </w:p>
    <w:p>
      <w:pPr>
        <w:pStyle w:val="BodyText"/>
        <w:spacing w:line="314" w:lineRule="auto" w:before="19"/>
        <w:ind w:right="1123" w:firstLine="379"/>
        <w:jc w:val="left"/>
      </w:pPr>
      <w:r>
        <w:rPr/>
        <w:t>受国内外宏观经济环境不景气及公司所处行业市场竞争激烈等因素综合影响，同时，为保证公司核心竞争力，公司继 </w:t>
      </w:r>
      <w:r>
        <w:rPr>
          <w:spacing w:val="-2"/>
        </w:rPr>
        <w:t>续保持了对研发及销售队伍方面的投入。报告期内，公司移动终端产品市场的逐步扩大，为公司的发展提供了更多的市场机</w:t>
      </w:r>
      <w:r>
        <w:rPr>
          <w:spacing w:val="-66"/>
        </w:rPr>
        <w:t> </w:t>
      </w:r>
      <w:r>
        <w:rPr>
          <w:spacing w:val="-66"/>
        </w:rPr>
      </w:r>
      <w:r>
        <w:rPr>
          <w:spacing w:val="-2"/>
        </w:rPr>
        <w:t>会，但由于公司坏账准备提取比例调整，及公司导入新产品和新市场开拓等因素，导致公司的营业成本、管理费用和销售费</w:t>
      </w:r>
      <w:r>
        <w:rPr>
          <w:spacing w:val="-65"/>
        </w:rPr>
        <w:t> </w:t>
      </w:r>
      <w:r>
        <w:rPr>
          <w:spacing w:val="-65"/>
        </w:rPr>
      </w:r>
      <w:r>
        <w:rPr/>
        <w:t>用有一定幅度的增加。报告期内，公司实现营业总收入</w:t>
      </w:r>
      <w:r>
        <w:rPr>
          <w:rFonts w:ascii="Times New Roman" w:hAnsi="Times New Roman" w:cs="Times New Roman" w:eastAsia="Times New Roman" w:hint="default"/>
        </w:rPr>
        <w:t>1,469,818,733.52</w:t>
      </w:r>
      <w:r>
        <w:rPr/>
        <w:t>元，比上年同期增长</w:t>
      </w:r>
      <w:r>
        <w:rPr>
          <w:rFonts w:ascii="Times New Roman" w:hAnsi="Times New Roman" w:cs="Times New Roman" w:eastAsia="Times New Roman" w:hint="default"/>
        </w:rPr>
        <w:t>18.76%</w:t>
      </w:r>
      <w:r>
        <w:rPr/>
        <w:t>；实现营业利润 </w:t>
      </w:r>
      <w:r>
        <w:rPr>
          <w:rFonts w:ascii="Times New Roman" w:hAnsi="Times New Roman" w:cs="Times New Roman" w:eastAsia="Times New Roman" w:hint="default"/>
        </w:rPr>
        <w:t>91,700,141.93</w:t>
      </w:r>
      <w:r>
        <w:rPr/>
        <w:t>元，比上年同期下降</w:t>
      </w:r>
      <w:r>
        <w:rPr>
          <w:rFonts w:ascii="Times New Roman" w:hAnsi="Times New Roman" w:cs="Times New Roman" w:eastAsia="Times New Roman" w:hint="default"/>
        </w:rPr>
        <w:t>19.04%</w:t>
      </w:r>
      <w:r>
        <w:rPr/>
        <w:t>；实现归属于上市公司股东的净利润</w:t>
      </w:r>
      <w:r>
        <w:rPr>
          <w:rFonts w:ascii="Times New Roman" w:hAnsi="Times New Roman" w:cs="Times New Roman" w:eastAsia="Times New Roman" w:hint="default"/>
        </w:rPr>
        <w:t>84,938,989.30</w:t>
      </w:r>
      <w:r>
        <w:rPr/>
        <w:t>元，比上年同期下降</w:t>
      </w:r>
      <w:r>
        <w:rPr>
          <w:rFonts w:ascii="Times New Roman" w:hAnsi="Times New Roman" w:cs="Times New Roman" w:eastAsia="Times New Roman" w:hint="default"/>
        </w:rPr>
        <w:t>13.76%</w:t>
      </w:r>
      <w:r>
        <w:rPr/>
        <w:t>。</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3" w:firstLine="360"/>
        <w:jc w:val="left"/>
      </w:pPr>
      <w:r>
        <w:rPr>
          <w:spacing w:val="-1"/>
        </w:rPr>
        <w:t>本公司全年实现总营业收入</w:t>
      </w:r>
      <w:r>
        <w:rPr>
          <w:rFonts w:ascii="Times New Roman" w:hAnsi="Times New Roman" w:cs="Times New Roman" w:eastAsia="Times New Roman" w:hint="default"/>
          <w:spacing w:val="-1"/>
        </w:rPr>
        <w:t>1,469,818,733.52</w:t>
      </w:r>
      <w:r>
        <w:rPr>
          <w:spacing w:val="-1"/>
        </w:rPr>
        <w:t>元</w:t>
      </w:r>
      <w:r>
        <w:rPr>
          <w:rFonts w:ascii="Times New Roman" w:hAnsi="Times New Roman" w:cs="Times New Roman" w:eastAsia="Times New Roman" w:hint="default"/>
          <w:spacing w:val="-1"/>
        </w:rPr>
        <w:t>,</w:t>
      </w:r>
      <w:r>
        <w:rPr>
          <w:spacing w:val="-1"/>
        </w:rPr>
        <w:t>其中主营业务收入</w:t>
      </w:r>
      <w:r>
        <w:rPr>
          <w:rFonts w:ascii="Times New Roman" w:hAnsi="Times New Roman" w:cs="Times New Roman" w:eastAsia="Times New Roman" w:hint="default"/>
          <w:spacing w:val="-1"/>
        </w:rPr>
        <w:t>1,451,389,524.56</w:t>
      </w:r>
      <w:r>
        <w:rPr>
          <w:spacing w:val="-1"/>
        </w:rPr>
        <w:t>元</w:t>
      </w:r>
      <w:r>
        <w:rPr>
          <w:rFonts w:ascii="Times New Roman" w:hAnsi="Times New Roman" w:cs="Times New Roman" w:eastAsia="Times New Roman" w:hint="default"/>
          <w:spacing w:val="-1"/>
        </w:rPr>
        <w:t>,</w:t>
      </w:r>
      <w:r>
        <w:rPr>
          <w:spacing w:val="-1"/>
        </w:rPr>
        <w:t>比去年同期增长</w:t>
      </w:r>
      <w:r>
        <w:rPr>
          <w:rFonts w:ascii="Times New Roman" w:hAnsi="Times New Roman" w:cs="Times New Roman" w:eastAsia="Times New Roman" w:hint="default"/>
          <w:spacing w:val="-1"/>
        </w:rPr>
        <w:t>18.42%</w:t>
      </w:r>
      <w:r>
        <w:rPr>
          <w:spacing w:val="-1"/>
        </w:rPr>
        <w:t>，实现归属</w:t>
      </w:r>
      <w:r>
        <w:rPr/>
        <w:t> 于母公司的净利润</w:t>
      </w:r>
      <w:r>
        <w:rPr>
          <w:rFonts w:ascii="Times New Roman" w:hAnsi="Times New Roman" w:cs="Times New Roman" w:eastAsia="Times New Roman" w:hint="default"/>
        </w:rPr>
        <w:t>87,311,613.02</w:t>
      </w:r>
      <w:r>
        <w:rPr/>
        <w:t>元，比去年同期下降</w:t>
      </w:r>
      <w:r>
        <w:rPr>
          <w:rFonts w:ascii="Times New Roman" w:hAnsi="Times New Roman" w:cs="Times New Roman" w:eastAsia="Times New Roman" w:hint="default"/>
        </w:rPr>
        <w:t>5.64%</w:t>
      </w:r>
      <w:r>
        <w:rPr/>
        <w:t>。</w:t>
      </w:r>
    </w:p>
    <w:p>
      <w:pPr>
        <w:spacing w:line="240" w:lineRule="auto" w:before="7"/>
        <w:rPr>
          <w:rFonts w:ascii="宋体" w:hAnsi="宋体" w:cs="宋体" w:eastAsia="宋体" w:hint="default"/>
          <w:sz w:val="8"/>
          <w:szCs w:val="8"/>
        </w:rPr>
      </w:pPr>
    </w:p>
    <w:p>
      <w:pPr>
        <w:spacing w:line="2985" w:lineRule="exact"/>
        <w:ind w:left="18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5629275" cy="18954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629275" cy="1895475"/>
                    </a:xfrm>
                    <a:prstGeom prst="rect">
                      <a:avLst/>
                    </a:prstGeom>
                  </pic:spPr>
                </pic:pic>
              </a:graphicData>
            </a:graphic>
          </wp:inline>
        </w:drawing>
      </w:r>
      <w:r>
        <w:rPr>
          <w:rFonts w:ascii="宋体" w:hAnsi="宋体" w:cs="宋体" w:eastAsia="宋体" w:hint="default"/>
          <w:position w:val="-59"/>
          <w:sz w:val="20"/>
          <w:szCs w:val="20"/>
        </w:rPr>
      </w:r>
    </w:p>
    <w:p>
      <w:pPr>
        <w:pStyle w:val="BodyText"/>
        <w:spacing w:line="240" w:lineRule="auto" w:before="118"/>
        <w:ind w:right="1123"/>
        <w:jc w:val="left"/>
      </w:pPr>
      <w:r>
        <w:rPr/>
        <w:t>变动原因分析：</w:t>
      </w:r>
    </w:p>
    <w:p>
      <w:pPr>
        <w:pStyle w:val="BodyText"/>
        <w:spacing w:line="240" w:lineRule="auto" w:before="115"/>
        <w:ind w:left="513" w:right="1123"/>
        <w:jc w:val="left"/>
      </w:pPr>
      <w:r>
        <w:rPr>
          <w:rFonts w:ascii="Times New Roman" w:hAnsi="Times New Roman" w:cs="Times New Roman" w:eastAsia="Times New Roman" w:hint="default"/>
        </w:rPr>
        <w:t>1</w:t>
      </w:r>
      <w:r>
        <w:rPr/>
        <w:t>、销售费用比去年同期增长</w:t>
      </w:r>
      <w:r>
        <w:rPr>
          <w:rFonts w:ascii="Times New Roman" w:hAnsi="Times New Roman" w:cs="Times New Roman" w:eastAsia="Times New Roman" w:hint="default"/>
        </w:rPr>
        <w:t>78.03%,</w:t>
      </w:r>
      <w:r>
        <w:rPr/>
        <w:t>主要因本年度人员架构调整及加大市场业务推广所致。</w:t>
      </w:r>
    </w:p>
    <w:p>
      <w:pPr>
        <w:pStyle w:val="BodyText"/>
        <w:spacing w:line="340" w:lineRule="auto" w:before="104"/>
        <w:ind w:right="0" w:firstLine="360"/>
        <w:jc w:val="left"/>
      </w:pPr>
      <w:r>
        <w:rPr>
          <w:rFonts w:ascii="Times New Roman" w:hAnsi="Times New Roman" w:cs="Times New Roman" w:eastAsia="Times New Roman" w:hint="default"/>
          <w:spacing w:val="-2"/>
        </w:rPr>
        <w:t>2</w:t>
      </w:r>
      <w:r>
        <w:rPr>
          <w:spacing w:val="-2"/>
        </w:rPr>
        <w:t>、财务费用比去年同期增长</w:t>
      </w:r>
      <w:r>
        <w:rPr>
          <w:rFonts w:ascii="Times New Roman" w:hAnsi="Times New Roman" w:cs="Times New Roman" w:eastAsia="Times New Roman" w:hint="default"/>
          <w:spacing w:val="-2"/>
        </w:rPr>
        <w:t>169.66.00%,</w:t>
      </w:r>
      <w:r>
        <w:rPr>
          <w:spacing w:val="-2"/>
        </w:rPr>
        <w:t>主要因本期贴现利息增加，同时募集资金陆续使用导致定期存款利息减少所致。</w:t>
      </w:r>
      <w:r>
        <w:rPr/>
        <w:t> 公司回顾总结前期披露的发展战略和经营计划在报告期内的进展情况</w:t>
      </w:r>
    </w:p>
    <w:p>
      <w:pPr>
        <w:pStyle w:val="BodyText"/>
        <w:spacing w:line="309" w:lineRule="auto" w:before="39"/>
        <w:ind w:right="1128" w:firstLine="362"/>
        <w:jc w:val="both"/>
      </w:pPr>
      <w:r>
        <w:rPr>
          <w:spacing w:val="-2"/>
        </w:rPr>
        <w:t>报告期内，公司深化落实公司发展战略，严格按照公司期初制定的经营计划开展生产经营活动。</w:t>
      </w:r>
      <w:r>
        <w:rPr>
          <w:rFonts w:ascii="Times New Roman" w:hAnsi="Times New Roman" w:cs="Times New Roman" w:eastAsia="Times New Roman" w:hint="default"/>
          <w:spacing w:val="-2"/>
        </w:rPr>
        <w:t>2012</w:t>
      </w:r>
      <w:r>
        <w:rPr>
          <w:spacing w:val="-2"/>
        </w:rPr>
        <w:t>年度，公司进一步</w:t>
      </w:r>
      <w:r>
        <w:rPr/>
        <w:t> </w:t>
      </w:r>
      <w:r>
        <w:rPr>
          <w:spacing w:val="-2"/>
        </w:rPr>
        <w:t>加强了市场开拓，扩大了移动终端产品市场，引进了新的客户和新的产品，加强了研发及销售队伍方面的投入，进一步完善</w:t>
      </w:r>
      <w:r>
        <w:rPr>
          <w:spacing w:val="-65"/>
        </w:rPr>
        <w:t> </w:t>
      </w:r>
      <w:r>
        <w:rPr>
          <w:spacing w:val="-65"/>
        </w:rPr>
      </w:r>
      <w:r>
        <w:rPr/>
        <w:t>了服务体系建设，完成了非公开发行股票，基本上完成了</w:t>
      </w:r>
      <w:r>
        <w:rPr>
          <w:rFonts w:ascii="Times New Roman" w:hAnsi="Times New Roman" w:cs="Times New Roman" w:eastAsia="Times New Roman" w:hint="default"/>
        </w:rPr>
        <w:t>2011</w:t>
      </w:r>
      <w:r>
        <w:rPr/>
        <w:t>年度报告中披露的经营计划目标。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1123"/>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说明</w:t>
      </w:r>
    </w:p>
    <w:p>
      <w:pPr>
        <w:pStyle w:val="BodyText"/>
        <w:spacing w:line="300" w:lineRule="auto" w:before="115"/>
        <w:ind w:right="1123" w:firstLine="346"/>
        <w:jc w:val="left"/>
      </w:pPr>
      <w:r>
        <w:rPr/>
        <w:t>报告期内，本公司生产产品约</w:t>
      </w:r>
      <w:r>
        <w:rPr>
          <w:rFonts w:ascii="Times New Roman" w:hAnsi="Times New Roman" w:cs="Times New Roman" w:eastAsia="Times New Roman" w:hint="default"/>
        </w:rPr>
        <w:t>2914.05</w:t>
      </w:r>
      <w:r>
        <w:rPr/>
        <w:t>万件，销售产品约</w:t>
      </w:r>
      <w:r>
        <w:rPr>
          <w:rFonts w:ascii="Times New Roman" w:hAnsi="Times New Roman" w:cs="Times New Roman" w:eastAsia="Times New Roman" w:hint="default"/>
        </w:rPr>
        <w:t>2805.34</w:t>
      </w:r>
      <w:r>
        <w:rPr/>
        <w:t>万件，同比上期分别增长</w:t>
      </w:r>
      <w:r>
        <w:rPr>
          <w:rFonts w:ascii="Times New Roman" w:hAnsi="Times New Roman" w:cs="Times New Roman" w:eastAsia="Times New Roman" w:hint="default"/>
        </w:rPr>
        <w:t>19.25%</w:t>
      </w:r>
      <w:r>
        <w:rPr/>
        <w:t>、</w:t>
      </w:r>
      <w:r>
        <w:rPr>
          <w:rFonts w:ascii="Times New Roman" w:hAnsi="Times New Roman" w:cs="Times New Roman" w:eastAsia="Times New Roman" w:hint="default"/>
        </w:rPr>
        <w:t>9.82%</w:t>
      </w:r>
      <w:r>
        <w:rPr/>
        <w:t>，主要原因是 报告期内加大了产品的研发和生产力度。</w:t>
      </w:r>
    </w:p>
    <w:p>
      <w:pPr>
        <w:pStyle w:val="BodyText"/>
        <w:spacing w:line="240" w:lineRule="auto" w:before="31"/>
        <w:ind w:left="498" w:right="1123"/>
        <w:jc w:val="left"/>
      </w:pPr>
      <w:r>
        <w:rPr/>
        <w:t>实现主营业务收入</w:t>
      </w:r>
      <w:r>
        <w:rPr>
          <w:rFonts w:ascii="Times New Roman" w:hAnsi="Times New Roman" w:cs="Times New Roman" w:eastAsia="Times New Roman" w:hint="default"/>
        </w:rPr>
        <w:t>145,138.95</w:t>
      </w:r>
      <w:r>
        <w:rPr/>
        <w:t>万元，比去年同期增长</w:t>
      </w:r>
      <w:r>
        <w:rPr>
          <w:rFonts w:ascii="Times New Roman" w:hAnsi="Times New Roman" w:cs="Times New Roman" w:eastAsia="Times New Roman" w:hint="default"/>
        </w:rPr>
        <w:t>18.42%</w:t>
      </w:r>
      <w:r>
        <w:rPr/>
        <w:t>，主要原因是公司移动终端产品市场的逐步扩大。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23"/>
        <w:jc w:val="left"/>
      </w:pPr>
      <w:r>
        <w:rPr/>
        <w:t>公司实物销售收入是否大于劳务收入</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6"/>
        <w:gridCol w:w="1891"/>
        <w:gridCol w:w="1926"/>
        <w:gridCol w:w="1913"/>
        <w:gridCol w:w="1916"/>
      </w:tblGrid>
      <w:tr>
        <w:trPr>
          <w:trHeight w:val="403"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6" w:type="dxa"/>
            <w:vMerge w:val="restart"/>
            <w:tcBorders>
              <w:top w:val="single" w:sz="4" w:space="0" w:color="000000"/>
              <w:left w:val="single" w:sz="4" w:space="0" w:color="000000"/>
              <w:right w:val="single" w:sz="10" w:space="0" w:color="D2D2D2"/>
            </w:tcBorders>
            <w:shd w:val="clear" w:color="auto" w:fill="C6ECCC"/>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65" w:right="0"/>
              <w:jc w:val="left"/>
              <w:rPr>
                <w:rFonts w:ascii="宋体" w:hAnsi="宋体" w:cs="宋体" w:eastAsia="宋体" w:hint="default"/>
                <w:sz w:val="18"/>
                <w:szCs w:val="18"/>
              </w:rPr>
            </w:pPr>
            <w:r>
              <w:rPr>
                <w:rFonts w:ascii="宋体" w:hAnsi="宋体" w:cs="宋体" w:eastAsia="宋体" w:hint="default"/>
                <w:sz w:val="18"/>
                <w:szCs w:val="18"/>
              </w:rPr>
              <w:t>通讯及设备制造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28,053,413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25,545,609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w:t>
            </w:r>
          </w:p>
        </w:tc>
      </w:tr>
      <w:tr>
        <w:trPr>
          <w:trHeight w:val="404" w:hRule="exact"/>
        </w:trPr>
        <w:tc>
          <w:tcPr>
            <w:tcW w:w="1926" w:type="dxa"/>
            <w:vMerge/>
            <w:tcBorders>
              <w:left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29,140,452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24,436,763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19.25%</w:t>
            </w:r>
          </w:p>
        </w:tc>
      </w:tr>
      <w:tr>
        <w:trPr>
          <w:trHeight w:val="401" w:hRule="exact"/>
        </w:trPr>
        <w:tc>
          <w:tcPr>
            <w:tcW w:w="1926" w:type="dxa"/>
            <w:vMerge/>
            <w:tcBorders>
              <w:left w:val="single" w:sz="4" w:space="0" w:color="000000"/>
              <w:bottom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-39.65%</w:t>
            </w:r>
          </w:p>
        </w:tc>
      </w:tr>
    </w:tbl>
    <w:p>
      <w:pPr>
        <w:pStyle w:val="BodyText"/>
        <w:spacing w:line="240" w:lineRule="auto" w:before="49"/>
        <w:ind w:right="112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right="44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本报告期产品库存量减少</w:t>
      </w:r>
      <w:r>
        <w:rPr>
          <w:rFonts w:ascii="Times New Roman" w:hAnsi="Times New Roman" w:cs="Times New Roman" w:eastAsia="Times New Roman" w:hint="default"/>
        </w:rPr>
        <w:t>39.65%</w:t>
      </w:r>
      <w:r>
        <w:rPr/>
        <w:t>，主要因为公司移动终端产品市场的逐步扩大。</w:t>
      </w:r>
    </w:p>
    <w:p>
      <w:pPr>
        <w:spacing w:line="240" w:lineRule="auto" w:before="7"/>
        <w:rPr>
          <w:rFonts w:ascii="宋体" w:hAnsi="宋体" w:cs="宋体" w:eastAsia="宋体" w:hint="default"/>
          <w:sz w:val="25"/>
          <w:szCs w:val="25"/>
        </w:rPr>
      </w:pPr>
    </w:p>
    <w:p>
      <w:pPr>
        <w:pStyle w:val="BodyText"/>
        <w:spacing w:line="240" w:lineRule="auto"/>
        <w:ind w:right="1123"/>
        <w:jc w:val="left"/>
      </w:pPr>
      <w:r>
        <w:rPr/>
        <w:t>公司重大的在手订单情况</w:t>
      </w:r>
    </w:p>
    <w:p>
      <w:pPr>
        <w:pStyle w:val="BodyText"/>
        <w:spacing w:line="338" w:lineRule="auto" w:before="117"/>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43"/>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1,192,714,345.27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81.15%</w:t>
            </w:r>
          </w:p>
        </w:tc>
      </w:tr>
    </w:tbl>
    <w:p>
      <w:pPr>
        <w:pStyle w:val="BodyText"/>
        <w:spacing w:line="240" w:lineRule="auto" w:before="49"/>
        <w:ind w:right="112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0"/>
        <w:gridCol w:w="3300"/>
        <w:gridCol w:w="2333"/>
        <w:gridCol w:w="3145"/>
      </w:tblGrid>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561,657,733.71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38.21%</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417,736,287.96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28.42%</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84,412,063.68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68,113,395.81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60,794,864.11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1,192,714,345.27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81.15%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行业分类</w:t>
      </w:r>
    </w:p>
    <w:p>
      <w:pPr>
        <w:pStyle w:val="BodyText"/>
        <w:spacing w:line="240" w:lineRule="auto" w:before="114"/>
        <w:ind w:left="0" w:right="1131"/>
        <w:jc w:val="right"/>
      </w:pPr>
      <w:r>
        <w:rPr/>
        <w:t>单位：元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通讯及设备制造 行业</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1,272,034,740.49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1,064,415,066.72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99.11%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8" w:right="0"/>
              <w:jc w:val="left"/>
              <w:rPr>
                <w:rFonts w:ascii="Times New Roman" w:hAnsi="Times New Roman" w:cs="Times New Roman" w:eastAsia="Times New Roman" w:hint="default"/>
                <w:sz w:val="18"/>
                <w:szCs w:val="18"/>
              </w:rPr>
            </w:pPr>
            <w:r>
              <w:rPr>
                <w:rFonts w:ascii="Times New Roman"/>
                <w:sz w:val="18"/>
              </w:rPr>
              <w:t>-0.24%</w:t>
            </w:r>
          </w:p>
        </w:tc>
      </w:tr>
    </w:tbl>
    <w:p>
      <w:pPr>
        <w:pStyle w:val="BodyText"/>
        <w:spacing w:line="240" w:lineRule="auto" w:before="49"/>
        <w:ind w:right="112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954,418,612.49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962,028,951.91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243,865,563.95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65,284,903.19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73,750,564.05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37,101,211.62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r>
    </w:tbl>
    <w:p>
      <w:pPr>
        <w:pStyle w:val="BodyText"/>
        <w:spacing w:line="360" w:lineRule="auto" w:before="49"/>
        <w:ind w:right="10394"/>
        <w:jc w:val="left"/>
      </w:pPr>
      <w:r>
        <w:rPr/>
        <w:t>说明 无</w:t>
      </w:r>
    </w:p>
    <w:p>
      <w:pPr>
        <w:pStyle w:val="BodyText"/>
        <w:spacing w:line="240" w:lineRule="auto" w:before="27"/>
        <w:ind w:right="1123"/>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348,812,619.10</w:t>
            </w:r>
          </w:p>
        </w:tc>
      </w:tr>
      <w:tr>
        <w:trPr>
          <w:trHeight w:val="402"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35.16%</w:t>
            </w:r>
          </w:p>
        </w:tc>
      </w:tr>
    </w:tbl>
    <w:p>
      <w:pPr>
        <w:pStyle w:val="BodyText"/>
        <w:spacing w:line="240" w:lineRule="auto" w:before="49"/>
        <w:ind w:right="1123"/>
        <w:jc w:val="left"/>
      </w:pPr>
      <w:r>
        <w:rPr/>
        <w:pict>
          <v:shape style="position:absolute;margin-left:263.570007pt;margin-top:-20.038282pt;width:270.2pt;height:19.6pt;mso-position-horizontal-relative:page;mso-position-vertical-relative:paragraph;z-index:-99224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038282pt;width:262.75pt;height:19.6pt;mso-position-horizontal-relative:page;mso-position-vertical-relative:paragraph;z-index:-992224"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203,975,991.06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45,423,542.30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36,948,377.83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35,235,345.63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27,229,362.28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348,812,619.10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921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w10:wrap type="none"/>
          </v:group>
        </w:pict>
      </w: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6"/>
        <w:rPr>
          <w:rFonts w:ascii="宋体" w:hAnsi="宋体" w:cs="宋体" w:eastAsia="宋体" w:hint="default"/>
          <w:b/>
          <w:bCs/>
          <w:sz w:val="28"/>
          <w:szCs w:val="28"/>
        </w:rPr>
      </w:pPr>
    </w:p>
    <w:p>
      <w:pPr>
        <w:spacing w:line="4605" w:lineRule="exact"/>
        <w:ind w:left="18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6191250" cy="29241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6191250" cy="2924175"/>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13"/>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p>
      <w:pPr>
        <w:spacing w:line="1995" w:lineRule="exact"/>
        <w:ind w:left="184"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4819650" cy="12668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4819650" cy="1266825"/>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4"/>
        <w:rPr>
          <w:rFonts w:ascii="宋体" w:hAnsi="宋体" w:cs="宋体" w:eastAsia="宋体" w:hint="default"/>
          <w:b/>
          <w:bCs/>
          <w:sz w:val="29"/>
          <w:szCs w:val="29"/>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1,716,885,636.26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1,049,502,815.23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1,654,489,603.29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956,844,044.91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72.91%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62,396,032.97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92,658,770.32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446,864,673.87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225,736,561.91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97.96%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-446,864,673.87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-223,561,561.91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749,827,613.28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224,012,199.07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236,293,338.44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240,180,965.83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bl>
    <w:p>
      <w:pPr>
        <w:spacing w:after="0" w:line="240" w:lineRule="auto"/>
        <w:jc w:val="right"/>
        <w:rPr>
          <w:rFonts w:ascii="Times New Roman" w:hAnsi="Times New Roman" w:cs="Times New Roman" w:eastAsia="Times New Roman" w:hint="default"/>
          <w:sz w:val="18"/>
          <w:szCs w:val="18"/>
        </w:rPr>
        <w:sectPr>
          <w:headerReference w:type="default" r:id="rId13"/>
          <w:footerReference w:type="default" r:id="rId1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513,534,274.84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-16,168,766.76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3,276.09%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129,036,293.59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-147,546,994.86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187.45%</w:t>
            </w:r>
          </w:p>
        </w:tc>
      </w:tr>
    </w:tbl>
    <w:p>
      <w:pPr>
        <w:pStyle w:val="BodyText"/>
        <w:spacing w:line="240" w:lineRule="auto" w:before="49"/>
        <w:ind w:right="112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23"/>
        <w:jc w:val="left"/>
      </w:pPr>
      <w:r>
        <w:rPr/>
        <w:t>√ 适用 □</w:t>
      </w:r>
      <w:r>
        <w:rPr>
          <w:spacing w:val="3"/>
        </w:rPr>
        <w:t> </w:t>
      </w:r>
      <w:r>
        <w:rPr/>
        <w:t>不适用</w:t>
      </w:r>
    </w:p>
    <w:p>
      <w:pPr>
        <w:pStyle w:val="BodyText"/>
        <w:spacing w:line="300" w:lineRule="auto" w:before="117"/>
        <w:ind w:right="1123" w:firstLine="360"/>
        <w:jc w:val="left"/>
      </w:pPr>
      <w:r>
        <w:rPr>
          <w:rFonts w:ascii="Times New Roman" w:hAnsi="Times New Roman" w:cs="Times New Roman" w:eastAsia="Times New Roman" w:hint="default"/>
          <w:spacing w:val="-1"/>
        </w:rPr>
        <w:t>1</w:t>
      </w:r>
      <w:r>
        <w:rPr>
          <w:spacing w:val="-1"/>
        </w:rPr>
        <w:t>、报告期经营活动产生的现金流量净额比去年同期下降</w:t>
      </w:r>
      <w:r>
        <w:rPr>
          <w:rFonts w:ascii="Times New Roman" w:hAnsi="Times New Roman" w:cs="Times New Roman" w:eastAsia="Times New Roman" w:hint="default"/>
          <w:spacing w:val="-1"/>
        </w:rPr>
        <w:t>32.66%</w:t>
      </w:r>
      <w:r>
        <w:rPr>
          <w:spacing w:val="-1"/>
        </w:rPr>
        <w:t>，主要原因是报告期内销售商品收到的现金较上年同期</w:t>
      </w:r>
      <w:r>
        <w:rPr/>
        <w:t> 增加</w:t>
      </w:r>
      <w:r>
        <w:rPr>
          <w:rFonts w:ascii="Times New Roman" w:hAnsi="Times New Roman" w:cs="Times New Roman" w:eastAsia="Times New Roman" w:hint="default"/>
        </w:rPr>
        <w:t>64,127.80</w:t>
      </w:r>
      <w:r>
        <w:rPr/>
        <w:t>万元，增长幅度达</w:t>
      </w:r>
      <w:r>
        <w:rPr>
          <w:rFonts w:ascii="Times New Roman" w:hAnsi="Times New Roman" w:cs="Times New Roman" w:eastAsia="Times New Roman" w:hint="default"/>
        </w:rPr>
        <w:t>62.30%</w:t>
      </w:r>
      <w:r>
        <w:rPr/>
        <w:t>；报告期内新增加平板电脑业务，其主要材料的货款结算方式为预付或货到付款， 无账期，致使购买商品支付的现金较上年同期增加</w:t>
      </w:r>
      <w:r>
        <w:rPr>
          <w:rFonts w:ascii="Times New Roman" w:hAnsi="Times New Roman" w:cs="Times New Roman" w:eastAsia="Times New Roman" w:hint="default"/>
        </w:rPr>
        <w:t>61,467.72</w:t>
      </w:r>
      <w:r>
        <w:rPr/>
        <w:t>万元，增长幅度达</w:t>
      </w:r>
      <w:r>
        <w:rPr>
          <w:rFonts w:ascii="Times New Roman" w:hAnsi="Times New Roman" w:cs="Times New Roman" w:eastAsia="Times New Roman" w:hint="default"/>
        </w:rPr>
        <w:t>78.45%</w:t>
      </w:r>
      <w:r>
        <w:rPr/>
        <w:t>。导致销售商品与购买商品现金流量 较上年同期减少</w:t>
      </w:r>
      <w:r>
        <w:rPr>
          <w:rFonts w:ascii="Times New Roman" w:hAnsi="Times New Roman" w:cs="Times New Roman" w:eastAsia="Times New Roman" w:hint="default"/>
        </w:rPr>
        <w:t>2,660.08</w:t>
      </w:r>
      <w:r>
        <w:rPr/>
        <w:t>万元。</w:t>
      </w:r>
    </w:p>
    <w:p>
      <w:pPr>
        <w:pStyle w:val="BodyText"/>
        <w:spacing w:line="300" w:lineRule="auto" w:before="13"/>
        <w:ind w:right="1123" w:firstLine="360"/>
        <w:jc w:val="left"/>
      </w:pPr>
      <w:r>
        <w:rPr>
          <w:rFonts w:ascii="Times New Roman" w:hAnsi="Times New Roman" w:cs="Times New Roman" w:eastAsia="Times New Roman" w:hint="default"/>
          <w:spacing w:val="-1"/>
        </w:rPr>
        <w:t>2</w:t>
      </w:r>
      <w:r>
        <w:rPr>
          <w:spacing w:val="-1"/>
        </w:rPr>
        <w:t>、报告期投资活动产生的现金流量净额比去年同期增长</w:t>
      </w:r>
      <w:r>
        <w:rPr>
          <w:rFonts w:ascii="Times New Roman" w:hAnsi="Times New Roman" w:cs="Times New Roman" w:eastAsia="Times New Roman" w:hint="default"/>
          <w:spacing w:val="-1"/>
        </w:rPr>
        <w:t>99.88%</w:t>
      </w:r>
      <w:r>
        <w:rPr>
          <w:spacing w:val="-1"/>
        </w:rPr>
        <w:t>，主要原因是报告期内固定资产和无形资产投资较上年</w:t>
      </w:r>
      <w:r>
        <w:rPr/>
        <w:t> 同期增加</w:t>
      </w:r>
      <w:r>
        <w:rPr>
          <w:rFonts w:ascii="Times New Roman" w:hAnsi="Times New Roman" w:cs="Times New Roman" w:eastAsia="Times New Roman" w:hint="default"/>
        </w:rPr>
        <w:t>17,162.81</w:t>
      </w:r>
      <w:r>
        <w:rPr/>
        <w:t>万元，增长幅度达</w:t>
      </w:r>
      <w:r>
        <w:rPr>
          <w:rFonts w:ascii="Times New Roman" w:hAnsi="Times New Roman" w:cs="Times New Roman" w:eastAsia="Times New Roman" w:hint="default"/>
        </w:rPr>
        <w:t>76.03%</w:t>
      </w:r>
      <w:r>
        <w:rPr/>
        <w:t>。</w:t>
      </w:r>
    </w:p>
    <w:p>
      <w:pPr>
        <w:pStyle w:val="BodyText"/>
        <w:spacing w:line="300" w:lineRule="auto" w:before="13"/>
        <w:ind w:right="1109" w:firstLine="360"/>
        <w:jc w:val="left"/>
      </w:pPr>
      <w:r>
        <w:rPr>
          <w:rFonts w:ascii="Times New Roman" w:hAnsi="Times New Roman" w:cs="Times New Roman" w:eastAsia="Times New Roman" w:hint="default"/>
        </w:rPr>
        <w:t>3</w:t>
      </w:r>
      <w:r>
        <w:rPr/>
        <w:t>、报告期筹资活动产生的现金流量净额比去年同期增长</w:t>
      </w:r>
      <w:r>
        <w:rPr>
          <w:rFonts w:ascii="Times New Roman" w:hAnsi="Times New Roman" w:cs="Times New Roman" w:eastAsia="Times New Roman" w:hint="default"/>
        </w:rPr>
        <w:t>3,276.09%</w:t>
      </w:r>
      <w:r>
        <w:rPr/>
        <w:t>，主要原因是报告期内吸收投资</w:t>
      </w:r>
      <w:r>
        <w:rPr>
          <w:rFonts w:ascii="Times New Roman" w:hAnsi="Times New Roman" w:cs="Times New Roman" w:eastAsia="Times New Roman" w:hint="default"/>
        </w:rPr>
        <w:t>50,150</w:t>
      </w:r>
      <w:r>
        <w:rPr/>
        <w:t>万元，增长幅 度达</w:t>
      </w:r>
      <w:r>
        <w:rPr>
          <w:rFonts w:ascii="Times New Roman" w:hAnsi="Times New Roman" w:cs="Times New Roman" w:eastAsia="Times New Roman" w:hint="default"/>
        </w:rPr>
        <w:t>100%</w:t>
      </w:r>
      <w:r>
        <w:rPr/>
        <w:t>。</w:t>
      </w:r>
    </w:p>
    <w:p>
      <w:pPr>
        <w:pStyle w:val="BodyText"/>
        <w:spacing w:line="240" w:lineRule="auto" w:before="13"/>
        <w:ind w:left="513" w:right="1123"/>
        <w:jc w:val="left"/>
      </w:pPr>
      <w:r>
        <w:rPr>
          <w:rFonts w:ascii="Times New Roman" w:hAnsi="Times New Roman" w:cs="Times New Roman" w:eastAsia="Times New Roman" w:hint="default"/>
        </w:rPr>
        <w:t>4</w:t>
      </w:r>
      <w:r>
        <w:rPr/>
        <w:t>、报告期现金及现金等价物净增额比去年同期增长</w:t>
      </w:r>
      <w:r>
        <w:rPr>
          <w:rFonts w:ascii="Times New Roman" w:hAnsi="Times New Roman" w:cs="Times New Roman" w:eastAsia="Times New Roman" w:hint="default"/>
        </w:rPr>
        <w:t>187.45%</w:t>
      </w:r>
      <w:r>
        <w:rPr/>
        <w:t>，主要原因是非现金等价物转为现金等价物所致。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23"/>
        <w:jc w:val="left"/>
      </w:pPr>
      <w:r>
        <w:rPr/>
        <w:t>报告期内公司经营活动的现金流量与本年度净利润存在重大差异的原因说明</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通讯及设备制造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1,451,389,524.56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1,272,034,740.49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1,077,832,399.93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954,418,612.49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293,688,068.23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243,865,563.95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79,869,056.40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73,750,564.05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-16.01%</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1,199,629,064.08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1,046,915,155.10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251,760,460.48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225,119,585.39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r>
    </w:tbl>
    <w:p>
      <w:pPr>
        <w:pStyle w:val="BodyText"/>
        <w:spacing w:line="240" w:lineRule="auto" w:before="49"/>
        <w:ind w:right="112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8"/>
          <w:pgSz w:w="11910" w:h="16840"/>
          <w:pgMar w:footer="1340" w:header="877" w:top="1060" w:bottom="1540" w:left="980" w:right="0"/>
          <w:pgNumType w:start="15"/>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3"/>
        <w:gridCol w:w="1064"/>
        <w:gridCol w:w="800"/>
        <w:gridCol w:w="2918"/>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394,029,977.2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20.52%</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271,342,486.92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20.08%</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0.44%</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本年度非公开发行新股所致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233,994,280.4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12.18%</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347,294,970.60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25.71%</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-13.53%</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坏账准备会计估计变更及客户结算 方式变化所致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203,226,284.4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10.58%</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131,050,733.79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9.7%</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0.88%</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业务增加及产能扩大所致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541,577,149.2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28.2%</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255,076,985.34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18.88%</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9.32%</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扩大产能增加设备及天津基地可使 用基建工程转固定资产所致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187,073,522.1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9.74%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120,177,449.38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8.9%</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0.84%</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募投项目建设所致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207,235,312.5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133,305,403.79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以票据结算客户的业务增加所致</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769,222.47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定期存款减少所致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5,444,730.57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38,842,681.69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预付创新大厦购房款转入其他非流 动资产所致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34,164,898.84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10,708,281.16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0.79%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采购物料及固定资产增加引起待抵 扣进项税增多所致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27,380,969.81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14,942,050.54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固定资产改良支出及生产模具增加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5,675,101.32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2,283,022.04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坏账准备及可弥补子公司亏损增加 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预付购买创新大厦款项</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28"/>
        <w:gridCol w:w="888"/>
        <w:gridCol w:w="1206"/>
        <w:gridCol w:w="1040"/>
        <w:gridCol w:w="799"/>
        <w:gridCol w:w="2930"/>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30"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16" w:type="dxa"/>
            <w:gridSpan w:val="2"/>
            <w:vMerge/>
            <w:tcBorders>
              <w:left w:val="single" w:sz="4" w:space="0" w:color="000000"/>
              <w:bottom w:val="single" w:sz="4" w:space="0" w:color="000000"/>
              <w:right w:val="single" w:sz="4" w:space="0" w:color="000000"/>
            </w:tcBorders>
            <w:shd w:val="clear" w:color="auto" w:fill="D2D2D2"/>
          </w:tcPr>
          <w:p>
            <w:pPr/>
          </w:p>
        </w:tc>
        <w:tc>
          <w:tcPr>
            <w:tcW w:w="224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0"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1" w:right="-3"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71" w:right="63"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2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30"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30"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30" w:type="dxa"/>
            <w:vMerge/>
            <w:tcBorders>
              <w:left w:val="single" w:sz="4" w:space="0" w:color="000000"/>
              <w:bottom w:val="single" w:sz="12" w:space="0" w:color="C6ECCC"/>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104,723,012.23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5.45%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102,623,091.11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7" w:right="0"/>
              <w:jc w:val="left"/>
              <w:rPr>
                <w:rFonts w:ascii="Times New Roman" w:hAnsi="Times New Roman" w:cs="Times New Roman" w:eastAsia="Times New Roman" w:hint="default"/>
                <w:sz w:val="18"/>
                <w:szCs w:val="18"/>
              </w:rPr>
            </w:pPr>
            <w:r>
              <w:rPr>
                <w:rFonts w:ascii="Times New Roman"/>
                <w:sz w:val="18"/>
              </w:rPr>
              <w:t>7.6%</w:t>
            </w:r>
          </w:p>
        </w:tc>
        <w:tc>
          <w:tcPr>
            <w:tcW w:w="799"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left="253" w:right="-2"/>
              <w:jc w:val="left"/>
              <w:rPr>
                <w:rFonts w:ascii="Times New Roman" w:hAnsi="Times New Roman" w:cs="Times New Roman" w:eastAsia="Times New Roman" w:hint="default"/>
                <w:sz w:val="18"/>
                <w:szCs w:val="18"/>
              </w:rPr>
            </w:pPr>
            <w:r>
              <w:rPr>
                <w:rFonts w:ascii="Times New Roman"/>
                <w:sz w:val="18"/>
              </w:rPr>
              <w:t>-2.15%</w:t>
            </w:r>
          </w:p>
        </w:tc>
        <w:tc>
          <w:tcPr>
            <w:tcW w:w="29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8"/>
              <w:ind w:left="34" w:right="0"/>
              <w:jc w:val="left"/>
              <w:rPr>
                <w:rFonts w:ascii="宋体" w:hAnsi="宋体" w:cs="宋体" w:eastAsia="宋体" w:hint="default"/>
                <w:sz w:val="18"/>
                <w:szCs w:val="18"/>
              </w:rPr>
            </w:pPr>
            <w:r>
              <w:rPr>
                <w:rFonts w:ascii="宋体" w:hAnsi="宋体" w:cs="宋体" w:eastAsia="宋体" w:hint="default"/>
                <w:sz w:val="18"/>
                <w:szCs w:val="18"/>
              </w:rPr>
              <w:t>公司扩大产能，需要通过借款方式增</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28"/>
        <w:gridCol w:w="900"/>
        <w:gridCol w:w="1193"/>
        <w:gridCol w:w="1064"/>
        <w:gridCol w:w="811"/>
        <w:gridCol w:w="289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13" w:space="0" w:color="C6ECCC"/>
            </w:tcBorders>
          </w:tcPr>
          <w:p>
            <w:pPr/>
          </w:p>
        </w:tc>
        <w:tc>
          <w:tcPr>
            <w:tcW w:w="28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加流动资金</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104,768,196.41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77,265,605.90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5.72%</w:t>
            </w:r>
          </w:p>
        </w:tc>
        <w:tc>
          <w:tcPr>
            <w:tcW w:w="811"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28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供应商付款方式变化所致</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5,944,370.52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2,556,271.49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0.19%</w:t>
            </w:r>
          </w:p>
        </w:tc>
        <w:tc>
          <w:tcPr>
            <w:tcW w:w="811"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8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2"/>
                <w:sz w:val="18"/>
                <w:szCs w:val="18"/>
              </w:rPr>
              <w:t>开发新客户，改善客户结算条件所致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18,297,153.96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11,081,057.60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0.82%</w:t>
            </w:r>
          </w:p>
        </w:tc>
        <w:tc>
          <w:tcPr>
            <w:tcW w:w="811"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28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2"/>
                <w:sz w:val="18"/>
                <w:szCs w:val="18"/>
              </w:rPr>
              <w:t>产能扩大、员工增加、薪酬调整所致</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125,796.78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1,025,479.91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0.08%</w:t>
            </w:r>
          </w:p>
        </w:tc>
        <w:tc>
          <w:tcPr>
            <w:tcW w:w="811"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8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借款时点接近年末所致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4,492,259.68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2,701,082.56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0.2%</w:t>
            </w:r>
          </w:p>
        </w:tc>
        <w:tc>
          <w:tcPr>
            <w:tcW w:w="811"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8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工程尾款和保证金增加所致</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23"/>
        <w:jc w:val="left"/>
      </w:pPr>
      <w:r>
        <w:rPr>
          <w:rFonts w:ascii="Times New Roman" w:hAnsi="Times New Roman" w:cs="Times New Roman" w:eastAsia="Times New Roman" w:hint="default"/>
        </w:rPr>
        <w:t>1</w:t>
      </w:r>
      <w:r>
        <w:rPr/>
        <w:t>、相对国际大型公司的</w:t>
      </w:r>
      <w:r>
        <w:rPr>
          <w:rFonts w:ascii="Times New Roman" w:hAnsi="Times New Roman" w:cs="Times New Roman" w:eastAsia="Times New Roman" w:hint="default"/>
        </w:rPr>
        <w:t>“</w:t>
      </w:r>
      <w:r>
        <w:rPr/>
        <w:t>快速响应及灵活性</w:t>
      </w:r>
      <w:r>
        <w:rPr>
          <w:rFonts w:ascii="Times New Roman" w:hAnsi="Times New Roman" w:cs="Times New Roman" w:eastAsia="Times New Roman" w:hint="default"/>
        </w:rPr>
        <w:t>”</w:t>
      </w:r>
      <w:r>
        <w:rPr/>
        <w:t>优势 国际大型的电子制造外包服务企业，对设备和技术进行了巨额的投入，在高端产品、大型设备领域为客户提供</w:t>
      </w:r>
      <w:r>
        <w:rPr>
          <w:rFonts w:ascii="Times New Roman" w:hAnsi="Times New Roman" w:cs="Times New Roman" w:eastAsia="Times New Roman" w:hint="default"/>
        </w:rPr>
        <w:t>“</w:t>
      </w:r>
      <w:r>
        <w:rPr/>
        <w:t>大规模</w:t>
      </w:r>
    </w:p>
    <w:p>
      <w:pPr>
        <w:pStyle w:val="BodyText"/>
        <w:spacing w:line="314" w:lineRule="auto" w:before="13"/>
        <w:ind w:right="1129"/>
        <w:jc w:val="both"/>
      </w:pPr>
      <w:r>
        <w:rPr/>
        <w:t>定制服务</w:t>
      </w:r>
      <w:r>
        <w:rPr>
          <w:rFonts w:ascii="Times New Roman" w:hAnsi="Times New Roman" w:cs="Times New Roman" w:eastAsia="Times New Roman" w:hint="default"/>
        </w:rPr>
        <w:t>”</w:t>
      </w:r>
      <w:r>
        <w:rPr/>
        <w:t>是其强项。在相对批量较小、响应要求快的中低端电子产品、消费电子产品等领域，其并不占太多优势。本公司</w:t>
      </w:r>
      <w:r>
        <w:rPr>
          <w:spacing w:val="-76"/>
        </w:rPr>
        <w:t> </w:t>
      </w:r>
      <w:r>
        <w:rPr>
          <w:spacing w:val="-76"/>
        </w:rPr>
      </w:r>
      <w:r>
        <w:rPr>
          <w:spacing w:val="-2"/>
        </w:rPr>
        <w:t>依托强大的研发能力、高效的采购管理系统和较为灵活的生产组织管理体系，能够快速响应客户需求，根据定单快速组织生</w:t>
      </w:r>
      <w:r>
        <w:rPr>
          <w:spacing w:val="-63"/>
        </w:rPr>
        <w:t> </w:t>
      </w:r>
      <w:r>
        <w:rPr>
          <w:spacing w:val="-63"/>
        </w:rPr>
      </w:r>
      <w:r>
        <w:rPr>
          <w:spacing w:val="-2"/>
        </w:rPr>
        <w:t>产并实现及时交货。同时，通过对产线的合理布局，并辅以自主研发的产品质量检测设备，有效提升了生产效率，大大缩短</w:t>
      </w:r>
      <w:r>
        <w:rPr>
          <w:spacing w:val="-67"/>
        </w:rPr>
        <w:t> </w:t>
      </w:r>
      <w:r>
        <w:rPr>
          <w:spacing w:val="-67"/>
        </w:rPr>
      </w:r>
      <w:r>
        <w:rPr>
          <w:spacing w:val="-2"/>
        </w:rPr>
        <w:t>了不同产品下线生产的切换时间，增强了对各类定单的适应能力。因此，相对国际同行中的大型公司，本公司具有一定的快</w:t>
      </w:r>
      <w:r>
        <w:rPr>
          <w:spacing w:val="-63"/>
        </w:rPr>
        <w:t> </w:t>
      </w:r>
      <w:r>
        <w:rPr>
          <w:spacing w:val="-63"/>
        </w:rPr>
      </w:r>
      <w:r>
        <w:rPr/>
        <w:t>速响应及灵活性优势。</w:t>
      </w:r>
    </w:p>
    <w:p>
      <w:pPr>
        <w:pStyle w:val="BodyText"/>
        <w:spacing w:line="300" w:lineRule="auto" w:before="20"/>
        <w:ind w:left="513" w:right="1123"/>
        <w:jc w:val="left"/>
      </w:pPr>
      <w:r>
        <w:rPr>
          <w:rFonts w:ascii="Times New Roman" w:hAnsi="Times New Roman" w:cs="Times New Roman" w:eastAsia="Times New Roman" w:hint="default"/>
        </w:rPr>
        <w:t>2</w:t>
      </w:r>
      <w:r>
        <w:rPr/>
        <w:t>、领先于国内同行的产品研发与设计能力 </w:t>
      </w:r>
      <w:r>
        <w:rPr>
          <w:spacing w:val="-2"/>
        </w:rPr>
        <w:t>公司多年来专注于产品开发，形成以技术中心为技术规划平台并与各事业部研发部门相结合的研发体系；公司一直重视</w:t>
      </w:r>
    </w:p>
    <w:p>
      <w:pPr>
        <w:pStyle w:val="BodyText"/>
        <w:spacing w:line="316" w:lineRule="auto" w:before="31"/>
        <w:ind w:right="1047"/>
        <w:jc w:val="both"/>
      </w:pPr>
      <w:r>
        <w:rPr>
          <w:spacing w:val="-2"/>
        </w:rPr>
        <w:t>自主研发，不断加大研发投入，已形成了较为全面稳定的核心研发团队，形成了较强的技术优势。目前，公司主要产品中的</w:t>
      </w:r>
      <w:r>
        <w:rPr>
          <w:spacing w:val="-67"/>
        </w:rPr>
        <w:t> </w:t>
      </w:r>
      <w:r>
        <w:rPr>
          <w:spacing w:val="-67"/>
        </w:rPr>
      </w:r>
      <w:r>
        <w:rPr/>
        <w:t>结构设计和硬件设计均由本公司自主完成。在软件开发环节，公司具备从底层系统软件、驱动程序到应用程序的开发能力。</w:t>
      </w:r>
    </w:p>
    <w:p>
      <w:pPr>
        <w:pStyle w:val="BodyText"/>
        <w:spacing w:line="300" w:lineRule="auto" w:before="19"/>
        <w:ind w:right="1124" w:firstLine="36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日，公司获得的专利共计</w:t>
      </w:r>
      <w:r>
        <w:rPr>
          <w:rFonts w:ascii="Times New Roman" w:hAnsi="Times New Roman" w:cs="Times New Roman" w:eastAsia="Times New Roman" w:hint="default"/>
        </w:rPr>
        <w:t>21</w:t>
      </w:r>
      <w:r>
        <w:rPr/>
        <w:t>项，其中，报告期内新增专利</w:t>
      </w:r>
      <w:r>
        <w:rPr>
          <w:rFonts w:ascii="Times New Roman" w:hAnsi="Times New Roman" w:cs="Times New Roman" w:eastAsia="Times New Roman" w:hint="default"/>
        </w:rPr>
        <w:t>4</w:t>
      </w:r>
      <w:r>
        <w:rPr/>
        <w:t>项。</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日至本报告公告之日，公 司已申请并获受理的专利</w:t>
      </w:r>
      <w:r>
        <w:rPr>
          <w:rFonts w:ascii="Times New Roman" w:hAnsi="Times New Roman" w:cs="Times New Roman" w:eastAsia="Times New Roman" w:hint="default"/>
        </w:rPr>
        <w:t>3</w:t>
      </w:r>
      <w:r>
        <w:rPr/>
        <w:t>项。</w:t>
      </w:r>
    </w:p>
    <w:p>
      <w:pPr>
        <w:pStyle w:val="BodyText"/>
        <w:spacing w:line="300" w:lineRule="auto" w:before="13"/>
        <w:ind w:left="513" w:right="1123" w:firstLine="12"/>
        <w:jc w:val="left"/>
      </w:pPr>
      <w:r>
        <w:rPr>
          <w:rFonts w:ascii="Times New Roman" w:hAnsi="Times New Roman" w:cs="Times New Roman" w:eastAsia="Times New Roman" w:hint="default"/>
        </w:rPr>
        <w:t>3</w:t>
      </w:r>
      <w:r>
        <w:rPr/>
        <w:t>、强于国内同行的精密制造和产品整体制造能力 报告期内，公司共拥有</w:t>
      </w:r>
      <w:r>
        <w:rPr>
          <w:rFonts w:ascii="Times New Roman" w:hAnsi="Times New Roman" w:cs="Times New Roman" w:eastAsia="Times New Roman" w:hint="default"/>
        </w:rPr>
        <w:t>41</w:t>
      </w:r>
      <w:r>
        <w:rPr/>
        <w:t>条</w:t>
      </w:r>
      <w:r>
        <w:rPr>
          <w:rFonts w:ascii="Times New Roman" w:hAnsi="Times New Roman" w:cs="Times New Roman" w:eastAsia="Times New Roman" w:hint="default"/>
        </w:rPr>
        <w:t>SMT</w:t>
      </w:r>
      <w:r>
        <w:rPr/>
        <w:t>生产线，均为高精度高速贴片线体，是目前全球</w:t>
      </w:r>
      <w:r>
        <w:rPr>
          <w:rFonts w:ascii="Times New Roman" w:hAnsi="Times New Roman" w:cs="Times New Roman" w:eastAsia="Times New Roman" w:hint="default"/>
        </w:rPr>
        <w:t>SMT</w:t>
      </w:r>
      <w:r>
        <w:rPr/>
        <w:t>贴片设备中最为先进、精密度最</w:t>
      </w:r>
    </w:p>
    <w:p>
      <w:pPr>
        <w:pStyle w:val="BodyText"/>
        <w:spacing w:line="300" w:lineRule="auto" w:before="13"/>
        <w:ind w:right="1140"/>
        <w:jc w:val="both"/>
      </w:pPr>
      <w:r>
        <w:rPr/>
        <w:t>高的</w:t>
      </w:r>
      <w:r>
        <w:rPr>
          <w:rFonts w:ascii="Times New Roman" w:hAnsi="Times New Roman" w:cs="Times New Roman" w:eastAsia="Times New Roman" w:hint="default"/>
        </w:rPr>
        <w:t>SMT</w:t>
      </w:r>
      <w:r>
        <w:rPr/>
        <w:t>设备之一，代表了</w:t>
      </w:r>
      <w:r>
        <w:rPr>
          <w:rFonts w:ascii="Times New Roman" w:hAnsi="Times New Roman" w:cs="Times New Roman" w:eastAsia="Times New Roman" w:hint="default"/>
        </w:rPr>
        <w:t>SMT</w:t>
      </w:r>
      <w:r>
        <w:rPr/>
        <w:t>贴片工艺的发展方向，可以承接各类高精密度电子产品的生产制造需求，能够同时满足不</w:t>
      </w:r>
      <w:r>
        <w:rPr>
          <w:spacing w:val="-30"/>
        </w:rPr>
        <w:t> </w:t>
      </w:r>
      <w:r>
        <w:rPr>
          <w:spacing w:val="-30"/>
        </w:rPr>
      </w:r>
      <w:r>
        <w:rPr/>
        <w:t>同类别电子产品同时上线的制造需求，公司在精密制造能力方面同国内本土企业相比具有较为明显的优势。</w:t>
      </w:r>
    </w:p>
    <w:p>
      <w:pPr>
        <w:pStyle w:val="BodyText"/>
        <w:spacing w:line="300" w:lineRule="auto" w:before="31"/>
        <w:ind w:left="513" w:right="1123"/>
        <w:jc w:val="left"/>
      </w:pPr>
      <w:r>
        <w:rPr>
          <w:rFonts w:ascii="Times New Roman" w:hAnsi="Times New Roman" w:cs="Times New Roman" w:eastAsia="Times New Roman" w:hint="default"/>
        </w:rPr>
        <w:t>4</w:t>
      </w:r>
      <w:r>
        <w:rPr/>
        <w:t>、出色的成本控制能力 </w:t>
      </w:r>
      <w:r>
        <w:rPr>
          <w:spacing w:val="-2"/>
        </w:rPr>
        <w:t>本公司经过数年的经营积累，在成本控制方面形成了较强的优势：其一，公司具有较强的研发能力，在开发过程中通过</w:t>
      </w:r>
    </w:p>
    <w:p>
      <w:pPr>
        <w:pStyle w:val="BodyText"/>
        <w:spacing w:line="316" w:lineRule="auto" w:before="31"/>
        <w:ind w:right="1130"/>
        <w:jc w:val="both"/>
      </w:pPr>
      <w:r>
        <w:rPr>
          <w:spacing w:val="-5"/>
        </w:rPr>
        <w:t>产品方案的合理设计，使产品具备一定的成本优势；其二，公司通过经营积累，熟知各种电子元器件的性能、特性和可靠性，</w:t>
      </w:r>
      <w:r>
        <w:rPr>
          <w:spacing w:val="-80"/>
        </w:rPr>
        <w:t> </w:t>
      </w:r>
      <w:r>
        <w:rPr>
          <w:spacing w:val="-80"/>
        </w:rPr>
      </w:r>
      <w:r>
        <w:rPr>
          <w:spacing w:val="-2"/>
        </w:rPr>
        <w:t>可以在保证产品质量的前提下，通过对原材料的合理选择与配备，有效控制成本；其三，公司已经形成了完善的产品供应商</w:t>
      </w:r>
      <w:r>
        <w:rPr>
          <w:spacing w:val="-66"/>
        </w:rPr>
        <w:t> </w:t>
      </w:r>
      <w:r>
        <w:rPr>
          <w:spacing w:val="-66"/>
        </w:rPr>
      </w:r>
      <w:r>
        <w:rPr>
          <w:spacing w:val="-5"/>
        </w:rPr>
        <w:t>体系，随着业务规模的扩张，对供应商的议价能力不断增强；其四、通过对产线的合理布局、对产线员工的严格培训与管理、</w:t>
      </w:r>
      <w:r>
        <w:rPr>
          <w:spacing w:val="-80"/>
        </w:rPr>
        <w:t> </w:t>
      </w:r>
      <w:r>
        <w:rPr>
          <w:spacing w:val="-80"/>
        </w:rPr>
      </w:r>
      <w:r>
        <w:rPr>
          <w:spacing w:val="-2"/>
        </w:rPr>
        <w:t>产品测试器具的自主开发、国际先进管理经验的消化与吸收，公司目前具备了很高的生产效率，能有效控制产品的单位生产</w:t>
      </w:r>
      <w:r>
        <w:rPr>
          <w:spacing w:val="-63"/>
        </w:rPr>
        <w:t> </w:t>
      </w:r>
      <w:r>
        <w:rPr>
          <w:spacing w:val="-63"/>
        </w:rPr>
      </w:r>
      <w:r>
        <w:rPr/>
        <w:t>成本。</w:t>
      </w:r>
    </w:p>
    <w:p>
      <w:pPr>
        <w:pStyle w:val="BodyText"/>
        <w:spacing w:line="300" w:lineRule="auto" w:before="19"/>
        <w:ind w:left="513" w:right="1123" w:firstLine="12"/>
        <w:jc w:val="left"/>
      </w:pPr>
      <w:r>
        <w:rPr>
          <w:rFonts w:ascii="Times New Roman" w:hAnsi="Times New Roman" w:cs="Times New Roman" w:eastAsia="Times New Roman" w:hint="default"/>
        </w:rPr>
        <w:t>5</w:t>
      </w:r>
      <w:r>
        <w:rPr/>
        <w:t>、强于国内同行的综合服务能力和丰富的大客户服务经验 </w:t>
      </w:r>
      <w:r>
        <w:rPr>
          <w:spacing w:val="-1"/>
        </w:rPr>
        <w:t>公司从</w:t>
      </w:r>
      <w:r>
        <w:rPr>
          <w:rFonts w:ascii="Times New Roman" w:hAnsi="Times New Roman" w:cs="Times New Roman" w:eastAsia="Times New Roman" w:hint="default"/>
          <w:spacing w:val="-1"/>
        </w:rPr>
        <w:t>2005</w:t>
      </w:r>
      <w:r>
        <w:rPr>
          <w:spacing w:val="-1"/>
        </w:rPr>
        <w:t>年成为华硕网络产品中国大陆地区的唯一供应商，到</w:t>
      </w:r>
      <w:r>
        <w:rPr>
          <w:rFonts w:ascii="Times New Roman" w:hAnsi="Times New Roman" w:cs="Times New Roman" w:eastAsia="Times New Roman" w:hint="default"/>
          <w:spacing w:val="-1"/>
        </w:rPr>
        <w:t>2007</w:t>
      </w:r>
      <w:r>
        <w:rPr>
          <w:spacing w:val="-1"/>
        </w:rPr>
        <w:t>年成为华为</w:t>
      </w:r>
      <w:r>
        <w:rPr>
          <w:rFonts w:ascii="Times New Roman" w:hAnsi="Times New Roman" w:cs="Times New Roman" w:eastAsia="Times New Roman" w:hint="default"/>
          <w:spacing w:val="-1"/>
        </w:rPr>
        <w:t>ADSL</w:t>
      </w:r>
      <w:r>
        <w:rPr>
          <w:spacing w:val="-1"/>
        </w:rPr>
        <w:t>调制解调器产品国内销售市场的</w:t>
      </w:r>
    </w:p>
    <w:p>
      <w:pPr>
        <w:pStyle w:val="BodyText"/>
        <w:spacing w:line="300" w:lineRule="auto" w:before="13"/>
        <w:ind w:right="1128"/>
        <w:jc w:val="both"/>
      </w:pPr>
      <w:r>
        <w:rPr>
          <w:spacing w:val="-2"/>
        </w:rPr>
        <w:t>第一大供应商，到</w:t>
      </w:r>
      <w:r>
        <w:rPr>
          <w:rFonts w:ascii="Times New Roman" w:hAnsi="Times New Roman" w:cs="Times New Roman" w:eastAsia="Times New Roman" w:hint="default"/>
          <w:spacing w:val="-2"/>
        </w:rPr>
        <w:t>2008</w:t>
      </w:r>
      <w:r>
        <w:rPr>
          <w:spacing w:val="-2"/>
        </w:rPr>
        <w:t>年后成为中兴</w:t>
      </w:r>
      <w:r>
        <w:rPr>
          <w:rFonts w:ascii="Times New Roman" w:hAnsi="Times New Roman" w:cs="Times New Roman" w:eastAsia="Times New Roman" w:hint="default"/>
          <w:spacing w:val="-2"/>
        </w:rPr>
        <w:t>DSL</w:t>
      </w:r>
      <w:r>
        <w:rPr>
          <w:spacing w:val="-2"/>
        </w:rPr>
        <w:t>产品及数字电视机顶盒产品国内销售市场的主要供应商，如今，公司与联想就手持</w:t>
      </w:r>
      <w:r>
        <w:rPr>
          <w:spacing w:val="-43"/>
        </w:rPr>
        <w:t> </w:t>
      </w:r>
      <w:r>
        <w:rPr>
          <w:spacing w:val="-43"/>
        </w:rPr>
      </w:r>
      <w:r>
        <w:rPr/>
        <w:t>移动终端设备的合作展开顺利，还成功导入中兴、阿尔卡特</w:t>
      </w:r>
      <w:r>
        <w:rPr>
          <w:rFonts w:ascii="Times New Roman" w:hAnsi="Times New Roman" w:cs="Times New Roman" w:eastAsia="Times New Roman" w:hint="default"/>
        </w:rPr>
        <w:t>PON</w:t>
      </w:r>
      <w:r>
        <w:rPr/>
        <w:t>光纤接入产品业务、华为终端类销售中最大的</w:t>
      </w:r>
      <w:r>
        <w:rPr>
          <w:rFonts w:ascii="Times New Roman" w:hAnsi="Times New Roman" w:cs="Times New Roman" w:eastAsia="Times New Roman" w:hint="default"/>
        </w:rPr>
        <w:t>3G</w:t>
      </w:r>
      <w:r>
        <w:rPr/>
        <w:t>数据卡业</w:t>
      </w:r>
      <w:r>
        <w:rPr>
          <w:spacing w:val="-40"/>
        </w:rPr>
        <w:t> </w:t>
      </w:r>
      <w:r>
        <w:rPr>
          <w:spacing w:val="-40"/>
        </w:rPr>
      </w:r>
      <w:r>
        <w:rPr>
          <w:spacing w:val="-2"/>
        </w:rPr>
        <w:t>务，并与三星公司展开无线模块业务的合作。公司通过不断积累，为大型客户均配置了</w:t>
      </w:r>
      <w:r>
        <w:rPr>
          <w:rFonts w:ascii="Times New Roman" w:hAnsi="Times New Roman" w:cs="Times New Roman" w:eastAsia="Times New Roman" w:hint="default"/>
          <w:spacing w:val="-2"/>
        </w:rPr>
        <w:t>“</w:t>
      </w:r>
      <w:r>
        <w:rPr>
          <w:spacing w:val="-2"/>
        </w:rPr>
        <w:t>一对一定制服务</w:t>
      </w:r>
      <w:r>
        <w:rPr>
          <w:rFonts w:ascii="Times New Roman" w:hAnsi="Times New Roman" w:cs="Times New Roman" w:eastAsia="Times New Roman" w:hint="default"/>
          <w:spacing w:val="-2"/>
        </w:rPr>
        <w:t>”</w:t>
      </w:r>
      <w:r>
        <w:rPr>
          <w:spacing w:val="-2"/>
        </w:rPr>
        <w:t>的团队，具备了丰</w:t>
      </w:r>
      <w:r>
        <w:rPr>
          <w:spacing w:val="-41"/>
        </w:rPr>
        <w:t> </w:t>
      </w:r>
      <w:r>
        <w:rPr>
          <w:spacing w:val="-41"/>
        </w:rPr>
      </w:r>
      <w:r>
        <w:rPr/>
        <w:t>富的大客户服务经验。</w:t>
      </w:r>
    </w:p>
    <w:p>
      <w:pPr>
        <w:pStyle w:val="BodyText"/>
        <w:spacing w:line="300" w:lineRule="auto" w:before="31"/>
        <w:ind w:left="513" w:right="1123"/>
        <w:jc w:val="left"/>
      </w:pPr>
      <w:r>
        <w:rPr>
          <w:rFonts w:ascii="Times New Roman" w:hAnsi="Times New Roman" w:cs="Times New Roman" w:eastAsia="Times New Roman" w:hint="default"/>
        </w:rPr>
        <w:t>6</w:t>
      </w:r>
      <w:r>
        <w:rPr/>
        <w:t>、多领域的应用技术积累 </w:t>
      </w:r>
      <w:r>
        <w:rPr>
          <w:spacing w:val="-2"/>
        </w:rPr>
        <w:t>目前，国内的电子制造外包行业处于起步和成长阶段，国内的同行业企业具有客户、产品、技术相对单一、研发能力不</w:t>
      </w:r>
    </w:p>
    <w:p>
      <w:pPr>
        <w:pStyle w:val="BodyText"/>
        <w:spacing w:line="240" w:lineRule="auto" w:before="31"/>
        <w:ind w:right="0"/>
        <w:jc w:val="both"/>
      </w:pPr>
      <w:r>
        <w:rPr/>
        <w:t>强的阶段性特征。本公司提供的外包制造服务产品包括网络通讯终端产品和便携式消费电子产品两类，同国内同行相比，在</w:t>
      </w:r>
    </w:p>
    <w:p>
      <w:pPr>
        <w:pStyle w:val="BodyText"/>
        <w:spacing w:line="240" w:lineRule="auto" w:before="76"/>
        <w:ind w:right="0"/>
        <w:jc w:val="both"/>
      </w:pPr>
      <w:r>
        <w:rPr/>
        <w:t>宽带接入、无线数据传输、音频播放等多个领域的应用技术方面都有较深的积累，具有一定优势。功能的一体化、技术的融</w:t>
      </w:r>
    </w:p>
    <w:p>
      <w:pPr>
        <w:spacing w:after="0" w:line="240"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9" w:lineRule="auto" w:before="44"/>
        <w:ind w:left="513" w:right="1123" w:hanging="361"/>
        <w:jc w:val="left"/>
      </w:pPr>
      <w:r>
        <w:rPr/>
        <w:t>合化是电子终端产品的未来发展方向，多领域的技术积累令公司在跨行业应用组合的产品研发方面确立了一定的优势。 </w:t>
      </w:r>
      <w:r>
        <w:rPr>
          <w:rFonts w:ascii="Times New Roman" w:hAnsi="Times New Roman" w:cs="Times New Roman" w:eastAsia="Times New Roman" w:hint="default"/>
        </w:rPr>
        <w:t>7</w:t>
      </w:r>
      <w:r>
        <w:rPr/>
        <w:t>、合理的业务定位与业务格局 </w:t>
      </w:r>
      <w:r>
        <w:rPr>
          <w:spacing w:val="-2"/>
        </w:rPr>
        <w:t>基于公司创业团队对电子制造外包服务行业的深刻理解，自公司设立以来，就将业务定位于符合国内企业地缘性、灵活</w:t>
      </w:r>
    </w:p>
    <w:p>
      <w:pPr>
        <w:pStyle w:val="BodyText"/>
        <w:spacing w:line="316" w:lineRule="auto" w:before="24"/>
        <w:ind w:right="1130"/>
        <w:jc w:val="both"/>
      </w:pPr>
      <w:r>
        <w:rPr>
          <w:spacing w:val="-2"/>
        </w:rPr>
        <w:t>性特点的网络通讯终端产品和便携式消费电子产品两大类，拥有巨大的国际和本土市场，不仅有效避开了与国际级大公司的</w:t>
      </w:r>
      <w:r>
        <w:rPr>
          <w:spacing w:val="-64"/>
        </w:rPr>
        <w:t> </w:t>
      </w:r>
      <w:r>
        <w:rPr>
          <w:spacing w:val="-64"/>
        </w:rPr>
      </w:r>
      <w:r>
        <w:rPr>
          <w:spacing w:val="-2"/>
        </w:rPr>
        <w:t>直接竞争，而且属于未来几年内电子制造外包行业中有较大提升空间的领域，发展前景良好。与现阶段国内同行中大多业务</w:t>
      </w:r>
      <w:r>
        <w:rPr>
          <w:spacing w:val="-63"/>
        </w:rPr>
        <w:t> </w:t>
      </w:r>
      <w:r>
        <w:rPr>
          <w:spacing w:val="-63"/>
        </w:rPr>
      </w:r>
      <w:r>
        <w:rPr/>
        <w:t>模式及客户相对单一的现状相比，具有一定的竞争优势。</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pict>
          <v:shape style="position:absolute;margin-left:146.179993pt;margin-top:51.163681pt;width:84.3pt;height:17.650pt;mso-position-horizontal-relative:page;mso-position-vertical-relative:paragraph;z-index:-992152"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649994pt;margin-top:51.163681pt;width:84.15pt;height:17.650pt;mso-position-horizontal-relative:page;mso-position-vertical-relative:paragraph;z-index:-992128"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76.649994pt;margin-top:51.163681pt;width:84.05pt;height:17.650pt;mso-position-horizontal-relative:page;mso-position-vertical-relative:paragraph;z-index:-992104" type="#_x0000_t202" filled="false" stroked="false">
            <v:textbox inset="0,0,0,0">
              <w:txbxContent>
                <w:p>
                  <w:pPr>
                    <w:pStyle w:val="BodyText"/>
                    <w:spacing w:line="240" w:lineRule="auto" w:before="8"/>
                    <w:ind w:left="0" w:right="0"/>
                    <w:jc w:val="left"/>
                  </w:pPr>
                  <w:r>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881"/>
        <w:gridCol w:w="869"/>
        <w:gridCol w:w="872"/>
        <w:gridCol w:w="866"/>
        <w:gridCol w:w="869"/>
        <w:gridCol w:w="869"/>
        <w:gridCol w:w="866"/>
        <w:gridCol w:w="869"/>
        <w:gridCol w:w="869"/>
        <w:gridCol w:w="854"/>
      </w:tblGrid>
      <w:tr>
        <w:trPr>
          <w:trHeight w:val="716"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7"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10" w:space="0" w:color="C6ECCC"/>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10" w:space="0" w:color="C6ECCC"/>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823"/>
        <w:gridCol w:w="789"/>
        <w:gridCol w:w="797"/>
        <w:gridCol w:w="799"/>
        <w:gridCol w:w="797"/>
        <w:gridCol w:w="799"/>
        <w:gridCol w:w="797"/>
        <w:gridCol w:w="800"/>
        <w:gridCol w:w="796"/>
        <w:gridCol w:w="785"/>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 w:right="33" w:firstLine="12"/>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0" w:lineRule="exact" w:before="11"/>
              <w:ind w:left="22" w:right="37"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0" w:lineRule="exact" w:before="11"/>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4" w:lineRule="auto" w:before="49"/>
              <w:ind w:left="22" w:right="39"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0" w:lineRule="exact" w:before="11"/>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4" w:lineRule="auto" w:before="49"/>
              <w:ind w:left="32" w:right="3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 w:right="33"/>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12"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1"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054"/>
        <w:jc w:val="left"/>
      </w:pPr>
      <w:r>
        <w:rPr/>
        <w:pict>
          <v:shape style="position:absolute;margin-left:192.863007pt;margin-top:-38.308273pt;width:62.45pt;height:17.650pt;mso-position-horizontal-relative:page;mso-position-vertical-relative:paragraph;z-index:-992080" type="#_x0000_t202" filled="false" stroked="false">
            <v:textbox inset="0,0,0,0">
              <w:txbxContent>
                <w:p>
                  <w:pPr>
                    <w:pStyle w:val="BodyText"/>
                    <w:spacing w:line="240" w:lineRule="auto" w:before="8"/>
                    <w:ind w:left="0" w:right="0"/>
                    <w:jc w:val="left"/>
                  </w:pPr>
                  <w:r>
                    <w:rPr/>
                    <w:t>（元）</w:t>
                  </w:r>
                </w:p>
              </w:txbxContent>
            </v:textbox>
            <w10:wrap type="none"/>
          </v:shape>
        </w:pict>
      </w:r>
      <w:r>
        <w:rPr/>
        <w:pict>
          <v:shape style="position:absolute;margin-left:232.727005pt;margin-top:-38.308273pt;width:62.55pt;height:17.650pt;mso-position-horizontal-relative:page;mso-position-vertical-relative:paragraph;z-index:-992056"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290.690002pt;margin-top:-38.308273pt;width:44.45pt;height:17.650pt;mso-position-horizontal-relative:page;mso-position-vertical-relative:paragraph;z-index:-992032"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312.527008pt;margin-top:-38.308273pt;width:62.55pt;height:17.650pt;mso-position-horizontal-relative:page;mso-position-vertical-relative:paragraph;z-index:-992008"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370.51001pt;margin-top:-38.308273pt;width:44.4pt;height:17.650pt;mso-position-horizontal-relative:page;mso-position-vertical-relative:paragraph;z-index:-991984" type="#_x0000_t202" filled="false" stroked="false">
            <v:textbox inset="0,0,0,0">
              <w:txbxContent>
                <w:p>
                  <w:pPr>
                    <w:pStyle w:val="BodyText"/>
                    <w:spacing w:line="240" w:lineRule="auto" w:before="8"/>
                    <w:ind w:left="0" w:right="0"/>
                    <w:jc w:val="left"/>
                  </w:pPr>
                  <w:r>
                    <w:rPr/>
                    <w:t>）</w:t>
                  </w:r>
                </w:p>
              </w:txbxContent>
            </v:textbox>
            <w10:wrap type="none"/>
          </v:shape>
        </w:pict>
      </w:r>
      <w:r>
        <w:rPr/>
        <w:t>持有其他上市公司股权情况的说明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7.371723pt;width:135pt;height:77pt;mso-position-horizontal-relative:page;mso-position-vertical-relative:paragraph;z-index:-991936" coordorigin="9206,747" coordsize="2700,1540">
            <v:shape style="position:absolute;left:9206;top:747;width:2700;height:1540" type="#_x0000_t75" stroked="false">
              <v:imagedata r:id="rId15" o:title=""/>
            </v:shape>
            <v:shape style="position:absolute;left:10593;top:110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10:wrap type="none"/>
          </v:group>
        </w:pict>
      </w:r>
      <w:r>
        <w:rPr/>
        <w:t>单位：万元</w:t>
      </w:r>
    </w:p>
    <w:p>
      <w:pPr>
        <w:spacing w:line="240" w:lineRule="auto" w:before="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97"/>
        <w:gridCol w:w="780"/>
      </w:tblGrid>
      <w:tr>
        <w:trPr>
          <w:trHeight w:val="382"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0" w:right="0"/>
              <w:jc w:val="left"/>
              <w:rPr>
                <w:rFonts w:ascii="宋体" w:hAnsi="宋体" w:cs="宋体" w:eastAsia="宋体" w:hint="default"/>
                <w:sz w:val="18"/>
                <w:szCs w:val="18"/>
              </w:rPr>
            </w:pPr>
            <w:r>
              <w:rPr>
                <w:rFonts w:ascii="宋体" w:hAnsi="宋体" w:cs="宋体" w:eastAsia="宋体" w:hint="default"/>
                <w:sz w:val="18"/>
                <w:szCs w:val="18"/>
              </w:rPr>
              <w:t>受托人名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 w:right="0"/>
              <w:jc w:val="left"/>
              <w:rPr>
                <w:rFonts w:ascii="宋体" w:hAnsi="宋体" w:cs="宋体" w:eastAsia="宋体" w:hint="default"/>
                <w:sz w:val="18"/>
                <w:szCs w:val="18"/>
              </w:rPr>
            </w:pPr>
            <w:r>
              <w:rPr>
                <w:rFonts w:ascii="宋体" w:hAnsi="宋体" w:cs="宋体" w:eastAsia="宋体" w:hint="default"/>
                <w:sz w:val="18"/>
                <w:szCs w:val="18"/>
              </w:rPr>
              <w:t>委托理财</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 w:right="0"/>
              <w:jc w:val="left"/>
              <w:rPr>
                <w:rFonts w:ascii="宋体" w:hAnsi="宋体" w:cs="宋体" w:eastAsia="宋体" w:hint="default"/>
                <w:sz w:val="18"/>
                <w:szCs w:val="18"/>
              </w:rPr>
            </w:pPr>
            <w:r>
              <w:rPr>
                <w:rFonts w:ascii="宋体" w:hAnsi="宋体" w:cs="宋体" w:eastAsia="宋体" w:hint="default"/>
                <w:sz w:val="18"/>
                <w:szCs w:val="18"/>
              </w:rPr>
              <w:t>委托理财</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 w:right="0"/>
              <w:jc w:val="left"/>
              <w:rPr>
                <w:rFonts w:ascii="宋体" w:hAnsi="宋体" w:cs="宋体" w:eastAsia="宋体" w:hint="default"/>
                <w:sz w:val="18"/>
                <w:szCs w:val="18"/>
              </w:rPr>
            </w:pPr>
            <w:r>
              <w:rPr>
                <w:rFonts w:ascii="宋体" w:hAnsi="宋体" w:cs="宋体" w:eastAsia="宋体" w:hint="default"/>
                <w:sz w:val="18"/>
                <w:szCs w:val="18"/>
              </w:rPr>
              <w:t>委托理财</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 w:right="0"/>
              <w:jc w:val="left"/>
              <w:rPr>
                <w:rFonts w:ascii="宋体" w:hAnsi="宋体" w:cs="宋体" w:eastAsia="宋体" w:hint="default"/>
                <w:sz w:val="18"/>
                <w:szCs w:val="18"/>
              </w:rPr>
            </w:pPr>
            <w:r>
              <w:rPr>
                <w:rFonts w:ascii="宋体" w:hAnsi="宋体" w:cs="宋体" w:eastAsia="宋体" w:hint="default"/>
                <w:sz w:val="18"/>
                <w:szCs w:val="18"/>
              </w:rPr>
              <w:t>报酬确定</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 w:right="0"/>
              <w:jc w:val="left"/>
              <w:rPr>
                <w:rFonts w:ascii="宋体" w:hAnsi="宋体" w:cs="宋体" w:eastAsia="宋体" w:hint="default"/>
                <w:sz w:val="18"/>
                <w:szCs w:val="18"/>
              </w:rPr>
            </w:pPr>
            <w:r>
              <w:rPr>
                <w:rFonts w:ascii="宋体" w:hAnsi="宋体" w:cs="宋体" w:eastAsia="宋体" w:hint="default"/>
                <w:sz w:val="18"/>
                <w:szCs w:val="18"/>
              </w:rPr>
              <w:t>实际收回</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 w:right="0"/>
              <w:jc w:val="left"/>
              <w:rPr>
                <w:rFonts w:ascii="宋体" w:hAnsi="宋体" w:cs="宋体" w:eastAsia="宋体" w:hint="default"/>
                <w:sz w:val="18"/>
                <w:szCs w:val="18"/>
              </w:rPr>
            </w:pPr>
            <w:r>
              <w:rPr>
                <w:rFonts w:ascii="宋体" w:hAnsi="宋体" w:cs="宋体" w:eastAsia="宋体" w:hint="default"/>
                <w:sz w:val="18"/>
                <w:szCs w:val="18"/>
              </w:rPr>
              <w:t>本期实际</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 w:right="0"/>
              <w:jc w:val="left"/>
              <w:rPr>
                <w:rFonts w:ascii="宋体" w:hAnsi="宋体" w:cs="宋体" w:eastAsia="宋体" w:hint="default"/>
                <w:sz w:val="18"/>
                <w:szCs w:val="18"/>
              </w:rPr>
            </w:pPr>
            <w:r>
              <w:rPr>
                <w:rFonts w:ascii="宋体" w:hAnsi="宋体" w:cs="宋体" w:eastAsia="宋体" w:hint="default"/>
                <w:sz w:val="18"/>
                <w:szCs w:val="18"/>
              </w:rPr>
              <w:t>实际获得</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 w:right="0"/>
              <w:jc w:val="left"/>
              <w:rPr>
                <w:rFonts w:ascii="宋体" w:hAnsi="宋体" w:cs="宋体" w:eastAsia="宋体" w:hint="default"/>
                <w:sz w:val="18"/>
                <w:szCs w:val="18"/>
              </w:rPr>
            </w:pPr>
            <w:r>
              <w:rPr>
                <w:rFonts w:ascii="宋体" w:hAnsi="宋体" w:cs="宋体" w:eastAsia="宋体" w:hint="default"/>
                <w:sz w:val="18"/>
                <w:szCs w:val="18"/>
              </w:rPr>
              <w:t>是否经过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 w:right="0"/>
              <w:jc w:val="left"/>
              <w:rPr>
                <w:rFonts w:ascii="宋体" w:hAnsi="宋体" w:cs="宋体" w:eastAsia="宋体" w:hint="default"/>
                <w:sz w:val="18"/>
                <w:szCs w:val="18"/>
              </w:rPr>
            </w:pPr>
            <w:r>
              <w:rPr>
                <w:rFonts w:ascii="宋体" w:hAnsi="宋体" w:cs="宋体" w:eastAsia="宋体" w:hint="default"/>
                <w:sz w:val="18"/>
                <w:szCs w:val="18"/>
              </w:rPr>
              <w:t>是否关联</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1" w:right="0"/>
              <w:jc w:val="left"/>
              <w:rPr>
                <w:rFonts w:ascii="宋体" w:hAnsi="宋体" w:cs="宋体" w:eastAsia="宋体" w:hint="default"/>
                <w:sz w:val="18"/>
                <w:szCs w:val="18"/>
              </w:rPr>
            </w:pPr>
            <w:r>
              <w:rPr>
                <w:rFonts w:ascii="宋体" w:hAnsi="宋体" w:cs="宋体" w:eastAsia="宋体" w:hint="default"/>
                <w:sz w:val="18"/>
                <w:szCs w:val="18"/>
              </w:rPr>
              <w:t>关联关系</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9188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80"/>
        <w:gridCol w:w="822"/>
        <w:gridCol w:w="784"/>
        <w:gridCol w:w="808"/>
        <w:gridCol w:w="785"/>
        <w:gridCol w:w="809"/>
        <w:gridCol w:w="800"/>
        <w:gridCol w:w="810"/>
        <w:gridCol w:w="774"/>
        <w:gridCol w:w="823"/>
        <w:gridCol w:w="774"/>
        <w:gridCol w:w="792"/>
      </w:tblGrid>
      <w:tr>
        <w:trPr>
          <w:trHeight w:val="36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
              <w:jc w:val="right"/>
              <w:rPr>
                <w:rFonts w:ascii="宋体" w:hAnsi="宋体" w:cs="宋体" w:eastAsia="宋体" w:hint="default"/>
                <w:sz w:val="18"/>
                <w:szCs w:val="18"/>
              </w:rPr>
            </w:pPr>
            <w:r>
              <w:rPr>
                <w:rFonts w:ascii="宋体" w:hAnsi="宋体" w:cs="宋体" w:eastAsia="宋体" w:hint="default"/>
                <w:sz w:val="18"/>
                <w:szCs w:val="18"/>
              </w:rPr>
              <w:t>本金金额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6"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法定程序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4"/>
              <w:jc w:val="right"/>
              <w:rPr>
                <w:rFonts w:ascii="宋体" w:hAnsi="宋体" w:cs="宋体" w:eastAsia="宋体" w:hint="default"/>
                <w:sz w:val="18"/>
                <w:szCs w:val="18"/>
              </w:rPr>
            </w:pPr>
            <w:r>
              <w:rPr>
                <w:rFonts w:ascii="宋体" w:hAnsi="宋体" w:cs="宋体" w:eastAsia="宋体" w:hint="default"/>
                <w:sz w:val="18"/>
                <w:szCs w:val="18"/>
              </w:rPr>
              <w:t>准备金额</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23"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报告期末衍生品投资的持仓情况</w:t>
      </w:r>
    </w:p>
    <w:p>
      <w:pPr>
        <w:pStyle w:val="BodyText"/>
        <w:spacing w:line="338" w:lineRule="auto" w:before="117"/>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说明</w:t>
      </w:r>
    </w:p>
    <w:p>
      <w:pPr>
        <w:pStyle w:val="BodyText"/>
        <w:spacing w:line="240" w:lineRule="auto" w:before="43"/>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960"/>
        <w:gridCol w:w="1181"/>
        <w:gridCol w:w="1181"/>
        <w:gridCol w:w="1181"/>
        <w:gridCol w:w="1181"/>
        <w:gridCol w:w="1181"/>
        <w:gridCol w:w="1181"/>
      </w:tblGrid>
      <w:tr>
        <w:trPr>
          <w:trHeight w:val="1022"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6"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6" w:hRule="exact"/>
        </w:trPr>
        <w:tc>
          <w:tcPr>
            <w:tcW w:w="15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103,711.45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55,521.65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102,364.85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5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b/>
                <w:bCs/>
                <w:sz w:val="18"/>
                <w:szCs w:val="18"/>
              </w:rPr>
              <w:t>一、募集资金基本情况</w:t>
            </w:r>
            <w:r>
              <w:rPr>
                <w:rFonts w:ascii="宋体" w:hAnsi="宋体" w:cs="宋体" w:eastAsia="宋体" w:hint="default"/>
                <w:sz w:val="18"/>
                <w:szCs w:val="18"/>
              </w:rPr>
            </w:r>
          </w:p>
          <w:p>
            <w:pPr>
              <w:pStyle w:val="TableParagraph"/>
              <w:spacing w:line="240" w:lineRule="auto" w:before="115"/>
              <w:ind w:left="372"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月首次公开发行募集资金情况</w:t>
            </w:r>
          </w:p>
          <w:p>
            <w:pPr>
              <w:pStyle w:val="TableParagraph"/>
              <w:spacing w:line="300" w:lineRule="auto" w:before="103"/>
              <w:ind w:left="12" w:right="50"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号文核准，并经深圳证券交易所同意，本公司由主承销商申银万国证 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w:t>
            </w:r>
          </w:p>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日止，本公司共募集资金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564,500,000.00 </w:t>
            </w:r>
            <w:r>
              <w:rPr>
                <w:rFonts w:ascii="宋体" w:hAnsi="宋体" w:cs="宋体" w:eastAsia="宋体" w:hint="default"/>
                <w:spacing w:val="-3"/>
                <w:sz w:val="18"/>
                <w:szCs w:val="18"/>
              </w:rPr>
              <w:t>元，扣除发行费用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34,235,000.00 </w:t>
            </w:r>
            <w:r>
              <w:rPr>
                <w:rFonts w:ascii="宋体" w:hAnsi="宋体" w:cs="宋体" w:eastAsia="宋体" w:hint="default"/>
                <w:spacing w:val="-5"/>
                <w:sz w:val="18"/>
                <w:szCs w:val="18"/>
              </w:rPr>
              <w:t>元后，募集</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530,265,000.00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101"/>
              <w:ind w:left="37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日，本公司上述发行募集的资金已全部到位，业经立信大华会计师事务所有限公司以“立信大华</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1910" w:h="16840"/>
          <w:pgMar w:header="877" w:footer="0" w:top="1060" w:bottom="0" w:left="980" w:right="0"/>
        </w:sectPr>
      </w:pPr>
    </w:p>
    <w:p>
      <w:pPr>
        <w:spacing w:line="240" w:lineRule="auto" w:before="6"/>
        <w:rPr>
          <w:rFonts w:ascii="宋体" w:hAnsi="宋体" w:cs="宋体" w:eastAsia="宋体" w:hint="default"/>
          <w:sz w:val="26"/>
          <w:szCs w:val="26"/>
        </w:rPr>
      </w:pPr>
      <w:r>
        <w:rPr/>
        <w:pict>
          <v:group style="position:absolute;margin-left:56.400002pt;margin-top:71.759979pt;width:538.950pt;height:770.2pt;mso-position-horizontal-relative:page;mso-position-vertical-relative:page;z-index:-991864" coordorigin="1128,1435" coordsize="10779,15404">
            <v:group style="position:absolute;left:1151;top:1450;width:2;height:13826" coordorigin="1151,1450" coordsize="2,13826">
              <v:shape style="position:absolute;left:1151;top:1450;width:2;height:13826" coordorigin="1151,1450" coordsize="0,13826" path="m1151,1450l1151,15276e" filled="false" stroked="true" strokeweight="1.08pt" strokecolor="#c6eccc">
                <v:path arrowok="t"/>
              </v:shape>
            </v:group>
            <v:group style="position:absolute;left:10687;top:1450;width:2;height:13826" coordorigin="10687,1450" coordsize="2,13826">
              <v:shape style="position:absolute;left:10687;top:1450;width:2;height:13826" coordorigin="10687,1450" coordsize="0,13826" path="m10687,1450l10687,15276e" filled="false" stroked="true" strokeweight="1.2pt" strokecolor="#c6eccc">
                <v:path arrowok="t"/>
              </v:shape>
            </v:group>
            <v:group style="position:absolute;left:1162;top:1450;width:9514;height:354" coordorigin="1162,1450" coordsize="9514,354">
              <v:shape style="position:absolute;left:1162;top:1450;width:9514;height:354" coordorigin="1162,1450" coordsize="9514,354" path="m1162,1803l10675,1803,10675,1450,1162,1450,1162,1803xe" filled="true" fillcolor="#c6eccc" stroked="false">
                <v:path arrowok="t"/>
                <v:fill type="solid"/>
              </v:shape>
            </v:group>
            <v:group style="position:absolute;left:1162;top:1803;width:9514;height:312" coordorigin="1162,1803" coordsize="9514,312">
              <v:shape style="position:absolute;left:1162;top:1803;width:9514;height:312" coordorigin="1162,1803" coordsize="9514,312" path="m1162,2115l10675,2115,10675,1803,1162,1803,1162,2115xe" filled="true" fillcolor="#c6eccc" stroked="false">
                <v:path arrowok="t"/>
                <v:fill type="solid"/>
              </v:shape>
            </v:group>
            <v:group style="position:absolute;left:1162;top:2115;width:9514;height:312" coordorigin="1162,2115" coordsize="9514,312">
              <v:shape style="position:absolute;left:1162;top:2115;width:9514;height:312" coordorigin="1162,2115" coordsize="9514,312" path="m1162,2427l10675,2427,10675,2115,1162,2115,1162,2427xe" filled="true" fillcolor="#c6eccc" stroked="false">
                <v:path arrowok="t"/>
                <v:fill type="solid"/>
              </v:shape>
            </v:group>
            <v:group style="position:absolute;left:1162;top:2427;width:9514;height:351" coordorigin="1162,2427" coordsize="9514,351">
              <v:shape style="position:absolute;left:1162;top:2427;width:9514;height:351" coordorigin="1162,2427" coordsize="9514,351" path="m1162,2777l10675,2777,10675,2427,1162,2427,1162,2777xe" filled="true" fillcolor="#c6eccc" stroked="false">
                <v:path arrowok="t"/>
                <v:fill type="solid"/>
              </v:shape>
            </v:group>
            <v:group style="position:absolute;left:1162;top:2777;width:9514;height:353" coordorigin="1162,2777" coordsize="9514,353">
              <v:shape style="position:absolute;left:1162;top:2777;width:9514;height:353" coordorigin="1162,2777" coordsize="9514,353" path="m1162,3130l10675,3130,10675,2777,1162,2777,1162,3130xe" filled="true" fillcolor="#c6eccc" stroked="false">
                <v:path arrowok="t"/>
                <v:fill type="solid"/>
              </v:shape>
            </v:group>
            <v:group style="position:absolute;left:1162;top:3130;width:9514;height:312" coordorigin="1162,3130" coordsize="9514,312">
              <v:shape style="position:absolute;left:1162;top:3130;width:9514;height:312" coordorigin="1162,3130" coordsize="9514,312" path="m1162,3442l10675,3442,10675,3130,1162,3130,1162,3442xe" filled="true" fillcolor="#c6eccc" stroked="false">
                <v:path arrowok="t"/>
                <v:fill type="solid"/>
              </v:shape>
            </v:group>
            <v:group style="position:absolute;left:1162;top:3442;width:9514;height:312" coordorigin="1162,3442" coordsize="9514,312">
              <v:shape style="position:absolute;left:1162;top:3442;width:9514;height:312" coordorigin="1162,3442" coordsize="9514,312" path="m1162,3754l10675,3754,10675,3442,1162,3442,1162,3754xe" filled="true" fillcolor="#c6eccc" stroked="false">
                <v:path arrowok="t"/>
                <v:fill type="solid"/>
              </v:shape>
            </v:group>
            <v:group style="position:absolute;left:1162;top:3754;width:9514;height:312" coordorigin="1162,3754" coordsize="9514,312">
              <v:shape style="position:absolute;left:1162;top:3754;width:9514;height:312" coordorigin="1162,3754" coordsize="9514,312" path="m1162,4066l10675,4066,10675,3754,1162,3754,1162,4066xe" filled="true" fillcolor="#c6eccc" stroked="false">
                <v:path arrowok="t"/>
                <v:fill type="solid"/>
              </v:shape>
            </v:group>
            <v:group style="position:absolute;left:1162;top:4066;width:9514;height:353" coordorigin="1162,4066" coordsize="9514,353">
              <v:shape style="position:absolute;left:1162;top:4066;width:9514;height:353" coordorigin="1162,4066" coordsize="9514,353" path="m1162,4419l10675,4419,10675,4066,1162,4066,1162,4419xe" filled="true" fillcolor="#c6eccc" stroked="false">
                <v:path arrowok="t"/>
                <v:fill type="solid"/>
              </v:shape>
            </v:group>
            <v:group style="position:absolute;left:1162;top:4419;width:9514;height:312" coordorigin="1162,4419" coordsize="9514,312">
              <v:shape style="position:absolute;left:1162;top:4419;width:9514;height:312" coordorigin="1162,4419" coordsize="9514,312" path="m1162,4731l10675,4731,10675,4419,1162,4419,1162,4731xe" filled="true" fillcolor="#c6eccc" stroked="false">
                <v:path arrowok="t"/>
                <v:fill type="solid"/>
              </v:shape>
            </v:group>
            <v:group style="position:absolute;left:1162;top:4731;width:9514;height:351" coordorigin="1162,4731" coordsize="9514,351">
              <v:shape style="position:absolute;left:1162;top:4731;width:9514;height:351" coordorigin="1162,4731" coordsize="9514,351" path="m1162,5081l10675,5081,10675,4731,1162,4731,1162,5081xe" filled="true" fillcolor="#c6eccc" stroked="false">
                <v:path arrowok="t"/>
                <v:fill type="solid"/>
              </v:shape>
            </v:group>
            <v:group style="position:absolute;left:1162;top:5081;width:9514;height:354" coordorigin="1162,5081" coordsize="9514,354">
              <v:shape style="position:absolute;left:1162;top:5081;width:9514;height:354" coordorigin="1162,5081" coordsize="9514,354" path="m1162,5435l10675,5435,10675,5081,1162,5081,1162,5435xe" filled="true" fillcolor="#c6eccc" stroked="false">
                <v:path arrowok="t"/>
                <v:fill type="solid"/>
              </v:shape>
            </v:group>
            <v:group style="position:absolute;left:1162;top:5435;width:9514;height:353" coordorigin="1162,5435" coordsize="9514,353">
              <v:shape style="position:absolute;left:1162;top:5435;width:9514;height:353" coordorigin="1162,5435" coordsize="9514,353" path="m1162,5787l10675,5787,10675,5435,1162,5435,1162,5787xe" filled="true" fillcolor="#c6eccc" stroked="false">
                <v:path arrowok="t"/>
                <v:fill type="solid"/>
              </v:shape>
            </v:group>
            <v:group style="position:absolute;left:1162;top:5787;width:9514;height:312" coordorigin="1162,5787" coordsize="9514,312">
              <v:shape style="position:absolute;left:1162;top:5787;width:9514;height:312" coordorigin="1162,5787" coordsize="9514,312" path="m1162,6099l10675,6099,10675,5787,1162,5787,1162,6099xe" filled="true" fillcolor="#c6eccc" stroked="false">
                <v:path arrowok="t"/>
                <v:fill type="solid"/>
              </v:shape>
            </v:group>
            <v:group style="position:absolute;left:1162;top:6099;width:9514;height:351" coordorigin="1162,6099" coordsize="9514,351">
              <v:shape style="position:absolute;left:1162;top:6099;width:9514;height:351" coordorigin="1162,6099" coordsize="9514,351" path="m1162,6450l10675,6450,10675,6099,1162,6099,1162,6450xe" filled="true" fillcolor="#c6eccc" stroked="false">
                <v:path arrowok="t"/>
                <v:fill type="solid"/>
              </v:shape>
            </v:group>
            <v:group style="position:absolute;left:1162;top:6450;width:9514;height:312" coordorigin="1162,6450" coordsize="9514,312">
              <v:shape style="position:absolute;left:1162;top:6450;width:9514;height:312" coordorigin="1162,6450" coordsize="9514,312" path="m1162,6762l10675,6762,10675,6450,1162,6450,1162,6762xe" filled="true" fillcolor="#c6eccc" stroked="false">
                <v:path arrowok="t"/>
                <v:fill type="solid"/>
              </v:shape>
            </v:group>
            <v:group style="position:absolute;left:1162;top:6762;width:9514;height:353" coordorigin="1162,6762" coordsize="9514,353">
              <v:shape style="position:absolute;left:1162;top:6762;width:9514;height:353" coordorigin="1162,6762" coordsize="9514,353" path="m1162,7115l10675,7115,10675,6762,1162,6762,1162,7115xe" filled="true" fillcolor="#c6eccc" stroked="false">
                <v:path arrowok="t"/>
                <v:fill type="solid"/>
              </v:shape>
            </v:group>
            <v:group style="position:absolute;left:1162;top:7115;width:9514;height:353" coordorigin="1162,7115" coordsize="9514,353">
              <v:shape style="position:absolute;left:1162;top:7115;width:9514;height:353" coordorigin="1162,7115" coordsize="9514,353" path="m1162,7467l10675,7467,10675,7115,1162,7115,1162,7467xe" filled="true" fillcolor="#c6eccc" stroked="false">
                <v:path arrowok="t"/>
                <v:fill type="solid"/>
              </v:shape>
            </v:group>
            <v:group style="position:absolute;left:1162;top:7467;width:9514;height:312" coordorigin="1162,7467" coordsize="9514,312">
              <v:shape style="position:absolute;left:1162;top:7467;width:9514;height:312" coordorigin="1162,7467" coordsize="9514,312" path="m1162,7779l10675,7779,10675,7467,1162,7467,1162,7779xe" filled="true" fillcolor="#c6eccc" stroked="false">
                <v:path arrowok="t"/>
                <v:fill type="solid"/>
              </v:shape>
            </v:group>
            <v:group style="position:absolute;left:1162;top:7779;width:9514;height:312" coordorigin="1162,7779" coordsize="9514,312">
              <v:shape style="position:absolute;left:1162;top:7779;width:9514;height:312" coordorigin="1162,7779" coordsize="9514,312" path="m1162,8091l10675,8091,10675,7779,1162,7779,1162,8091xe" filled="true" fillcolor="#c6eccc" stroked="false">
                <v:path arrowok="t"/>
                <v:fill type="solid"/>
              </v:shape>
            </v:group>
            <v:group style="position:absolute;left:1162;top:8091;width:9514;height:312" coordorigin="1162,8091" coordsize="9514,312">
              <v:shape style="position:absolute;left:1162;top:8091;width:9514;height:312" coordorigin="1162,8091" coordsize="9514,312" path="m1162,8403l10675,8403,10675,8091,1162,8091,1162,8403xe" filled="true" fillcolor="#c6eccc" stroked="false">
                <v:path arrowok="t"/>
                <v:fill type="solid"/>
              </v:shape>
            </v:group>
            <v:group style="position:absolute;left:1162;top:8403;width:9514;height:351" coordorigin="1162,8403" coordsize="9514,351">
              <v:shape style="position:absolute;left:1162;top:8403;width:9514;height:351" coordorigin="1162,8403" coordsize="9514,351" path="m1162,8754l10675,8754,10675,8403,1162,8403,1162,8754xe" filled="true" fillcolor="#c6eccc" stroked="false">
                <v:path arrowok="t"/>
                <v:fill type="solid"/>
              </v:shape>
            </v:group>
            <v:group style="position:absolute;left:1162;top:8754;width:9514;height:313" coordorigin="1162,8754" coordsize="9514,313">
              <v:shape style="position:absolute;left:1162;top:8754;width:9514;height:313" coordorigin="1162,8754" coordsize="9514,313" path="m1162,9066l10675,9066,10675,8754,1162,8754,1162,9066xe" filled="true" fillcolor="#c6eccc" stroked="false">
                <v:path arrowok="t"/>
                <v:fill type="solid"/>
              </v:shape>
            </v:group>
            <v:group style="position:absolute;left:1162;top:9066;width:9514;height:312" coordorigin="1162,9066" coordsize="9514,312">
              <v:shape style="position:absolute;left:1162;top:9066;width:9514;height:312" coordorigin="1162,9066" coordsize="9514,312" path="m1162,9378l10675,9378,10675,9066,1162,9066,1162,9378xe" filled="true" fillcolor="#c6eccc" stroked="false">
                <v:path arrowok="t"/>
                <v:fill type="solid"/>
              </v:shape>
            </v:group>
            <v:group style="position:absolute;left:1162;top:9378;width:9514;height:353" coordorigin="1162,9378" coordsize="9514,353">
              <v:shape style="position:absolute;left:1162;top:9378;width:9514;height:353" coordorigin="1162,9378" coordsize="9514,353" path="m1162,9731l10675,9731,10675,9378,1162,9378,1162,9731xe" filled="true" fillcolor="#c6eccc" stroked="false">
                <v:path arrowok="t"/>
                <v:fill type="solid"/>
              </v:shape>
            </v:group>
            <v:group style="position:absolute;left:1162;top:9731;width:9514;height:353" coordorigin="1162,9731" coordsize="9514,353">
              <v:shape style="position:absolute;left:1162;top:9731;width:9514;height:353" coordorigin="1162,9731" coordsize="9514,353" path="m1162,10084l10675,10084,10675,9731,1162,9731,1162,10084xe" filled="true" fillcolor="#c6eccc" stroked="false">
                <v:path arrowok="t"/>
                <v:fill type="solid"/>
              </v:shape>
            </v:group>
            <v:group style="position:absolute;left:1162;top:10084;width:9514;height:351" coordorigin="1162,10084" coordsize="9514,351">
              <v:shape style="position:absolute;left:1162;top:10084;width:9514;height:351" coordorigin="1162,10084" coordsize="9514,351" path="m1162,10434l10675,10434,10675,10084,1162,10084,1162,10434xe" filled="true" fillcolor="#c6eccc" stroked="false">
                <v:path arrowok="t"/>
                <v:fill type="solid"/>
              </v:shape>
            </v:group>
            <v:group style="position:absolute;left:1162;top:10434;width:9514;height:312" coordorigin="1162,10434" coordsize="9514,312">
              <v:shape style="position:absolute;left:1162;top:10434;width:9514;height:312" coordorigin="1162,10434" coordsize="9514,312" path="m1162,10746l10675,10746,10675,10434,1162,10434,1162,10746xe" filled="true" fillcolor="#c6eccc" stroked="false">
                <v:path arrowok="t"/>
                <v:fill type="solid"/>
              </v:shape>
            </v:group>
            <v:group style="position:absolute;left:1162;top:10746;width:9514;height:312" coordorigin="1162,10746" coordsize="9514,312">
              <v:shape style="position:absolute;left:1162;top:10746;width:9514;height:312" coordorigin="1162,10746" coordsize="9514,312" path="m1162,11058l10675,11058,10675,10746,1162,10746,1162,11058xe" filled="true" fillcolor="#c6eccc" stroked="false">
                <v:path arrowok="t"/>
                <v:fill type="solid"/>
              </v:shape>
            </v:group>
            <v:group style="position:absolute;left:1162;top:11058;width:9514;height:312" coordorigin="1162,11058" coordsize="9514,312">
              <v:shape style="position:absolute;left:1162;top:11058;width:9514;height:312" coordorigin="1162,11058" coordsize="9514,312" path="m1162,11370l10675,11370,10675,11058,1162,11058,1162,11370xe" filled="true" fillcolor="#c6eccc" stroked="false">
                <v:path arrowok="t"/>
                <v:fill type="solid"/>
              </v:shape>
            </v:group>
            <v:group style="position:absolute;left:1162;top:11370;width:9514;height:353" coordorigin="1162,11370" coordsize="9514,353">
              <v:shape style="position:absolute;left:1162;top:11370;width:9514;height:353" coordorigin="1162,11370" coordsize="9514,353" path="m1162,11723l10675,11723,10675,11370,1162,11370,1162,11723xe" filled="true" fillcolor="#c6eccc" stroked="false">
                <v:path arrowok="t"/>
                <v:fill type="solid"/>
              </v:shape>
            </v:group>
            <v:group style="position:absolute;left:1162;top:11723;width:9514;height:353" coordorigin="1162,11723" coordsize="9514,353">
              <v:shape style="position:absolute;left:1162;top:11723;width:9514;height:353" coordorigin="1162,11723" coordsize="9514,353" path="m1162,12076l10675,12076,10675,11723,1162,11723,1162,12076xe" filled="true" fillcolor="#c6eccc" stroked="false">
                <v:path arrowok="t"/>
                <v:fill type="solid"/>
              </v:shape>
            </v:group>
            <v:group style="position:absolute;left:1162;top:12076;width:9514;height:312" coordorigin="1162,12076" coordsize="9514,312">
              <v:shape style="position:absolute;left:1162;top:12076;width:9514;height:312" coordorigin="1162,12076" coordsize="9514,312" path="m1162,12388l10675,12388,10675,12076,1162,12076,1162,12388xe" filled="true" fillcolor="#c6eccc" stroked="false">
                <v:path arrowok="t"/>
                <v:fill type="solid"/>
              </v:shape>
            </v:group>
            <v:group style="position:absolute;left:1162;top:12388;width:9514;height:313" coordorigin="1162,12388" coordsize="9514,313">
              <v:shape style="position:absolute;left:1162;top:12388;width:9514;height:313" coordorigin="1162,12388" coordsize="9514,313" path="m1162,12700l10675,12700,10675,12388,1162,12388,1162,12700xe" filled="true" fillcolor="#c6eccc" stroked="false">
                <v:path arrowok="t"/>
                <v:fill type="solid"/>
              </v:shape>
            </v:group>
            <v:group style="position:absolute;left:1162;top:12700;width:9514;height:351" coordorigin="1162,12700" coordsize="9514,351">
              <v:shape style="position:absolute;left:1162;top:12700;width:9514;height:351" coordorigin="1162,12700" coordsize="9514,351" path="m1162,13051l10675,13051,10675,12700,1162,12700,1162,13051xe" filled="true" fillcolor="#c6eccc" stroked="false">
                <v:path arrowok="t"/>
                <v:fill type="solid"/>
              </v:shape>
            </v:group>
            <v:group style="position:absolute;left:1162;top:13051;width:9514;height:312" coordorigin="1162,13051" coordsize="9514,312">
              <v:shape style="position:absolute;left:1162;top:13051;width:9514;height:312" coordorigin="1162,13051" coordsize="9514,312" path="m1162,13363l10675,13363,10675,13051,1162,13051,1162,13363xe" filled="true" fillcolor="#c6eccc" stroked="false">
                <v:path arrowok="t"/>
                <v:fill type="solid"/>
              </v:shape>
            </v:group>
            <v:group style="position:absolute;left:1162;top:13363;width:9514;height:312" coordorigin="1162,13363" coordsize="9514,312">
              <v:shape style="position:absolute;left:1162;top:13363;width:9514;height:312" coordorigin="1162,13363" coordsize="9514,312" path="m1162,13675l10675,13675,10675,13363,1162,13363,1162,13675xe" filled="true" fillcolor="#c6eccc" stroked="false">
                <v:path arrowok="t"/>
                <v:fill type="solid"/>
              </v:shape>
            </v:group>
            <v:group style="position:absolute;left:1162;top:13675;width:9514;height:312" coordorigin="1162,13675" coordsize="9514,312">
              <v:shape style="position:absolute;left:1162;top:13675;width:9514;height:312" coordorigin="1162,13675" coordsize="9514,312" path="m1162,13987l10675,13987,10675,13675,1162,13675,1162,13987xe" filled="true" fillcolor="#c6eccc" stroked="false">
                <v:path arrowok="t"/>
                <v:fill type="solid"/>
              </v:shape>
            </v:group>
            <v:group style="position:absolute;left:1162;top:13987;width:9514;height:353" coordorigin="1162,13987" coordsize="9514,353">
              <v:shape style="position:absolute;left:1162;top:13987;width:9514;height:353" coordorigin="1162,13987" coordsize="9514,353" path="m1162,14340l10675,14340,10675,13987,1162,13987,1162,14340xe" filled="true" fillcolor="#c6eccc" stroked="false">
                <v:path arrowok="t"/>
                <v:fill type="solid"/>
              </v:shape>
            </v:group>
            <v:group style="position:absolute;left:1162;top:14340;width:9514;height:312" coordorigin="1162,14340" coordsize="9514,312">
              <v:shape style="position:absolute;left:1162;top:14340;width:9514;height:312" coordorigin="1162,14340" coordsize="9514,312" path="m1162,14652l10675,14652,10675,14340,1162,14340,1162,14652xe" filled="true" fillcolor="#c6eccc" stroked="false">
                <v:path arrowok="t"/>
                <v:fill type="solid"/>
              </v:shape>
            </v:group>
            <v:group style="position:absolute;left:1162;top:14652;width:9514;height:312" coordorigin="1162,14652" coordsize="9514,312">
              <v:shape style="position:absolute;left:1162;top:14652;width:9514;height:312" coordorigin="1162,14652" coordsize="9514,312" path="m1162,14964l10675,14964,10675,14652,1162,14652,1162,14964xe" filled="true" fillcolor="#c6eccc" stroked="false">
                <v:path arrowok="t"/>
                <v:fill type="solid"/>
              </v:shape>
            </v:group>
            <v:group style="position:absolute;left:1162;top:14964;width:9514;height:312" coordorigin="1162,14964" coordsize="9514,312">
              <v:shape style="position:absolute;left:1162;top:14964;width:9514;height:312" coordorigin="1162,14964" coordsize="9514,312" path="m1162,15276l10675,15276,10675,14964,1162,14964,1162,15276xe" filled="true" fillcolor="#c6eccc" stroked="false">
                <v:path arrowok="t"/>
                <v:fill type="solid"/>
              </v:shape>
            </v:group>
            <v:group style="position:absolute;left:1138;top:1445;width:9562;height:2" coordorigin="1138,1445" coordsize="9562,2">
              <v:shape style="position:absolute;left:1138;top:1445;width:9562;height:2" coordorigin="1138,1445" coordsize="9562,0" path="m1138,1445l10699,1445e" filled="false" stroked="true" strokeweight=".48pt" strokecolor="#000000">
                <v:path arrowok="t"/>
              </v:shape>
            </v:group>
            <v:group style="position:absolute;left:1133;top:1440;width:2;height:13846" coordorigin="1133,1440" coordsize="2,13846">
              <v:shape style="position:absolute;left:1133;top:1440;width:2;height:13846" coordorigin="1133,1440" coordsize="0,13846" path="m1133,1440l1133,15285e" filled="false" stroked="true" strokeweight=".48pt" strokecolor="#000000">
                <v:path arrowok="t"/>
              </v:shape>
            </v:group>
            <v:group style="position:absolute;left:1138;top:15280;width:9562;height:2" coordorigin="1138,15280" coordsize="9562,2">
              <v:shape style="position:absolute;left:1138;top:15280;width:9562;height:2" coordorigin="1138,15280" coordsize="9562,0" path="m1138,15280l10699,15280e" filled="false" stroked="true" strokeweight=".48pt" strokecolor="#000000">
                <v:path arrowok="t"/>
              </v:shape>
            </v:group>
            <v:group style="position:absolute;left:10704;top:1440;width:2;height:13846" coordorigin="10704,1440" coordsize="2,13846">
              <v:shape style="position:absolute;left:10704;top:1440;width:2;height:13846" coordorigin="10704,1440" coordsize="0,13846" path="m10704,1440l10704,15285e" filled="false" stroked="true" strokeweight=".48pt" strokecolor="#000000">
                <v:path arrowok="t"/>
              </v:shape>
              <v:shape style="position:absolute;left:9206;top:15298;width:2700;height:1540" type="#_x0000_t75" stroked="false">
                <v:imagedata r:id="rId15" o:title=""/>
              </v:shape>
            </v:group>
            <w10:wrap type="none"/>
          </v:group>
        </w:pict>
      </w:r>
    </w:p>
    <w:p>
      <w:pPr>
        <w:pStyle w:val="BodyText"/>
        <w:spacing w:line="240" w:lineRule="auto" w:before="44"/>
        <w:ind w:left="181" w:right="0"/>
        <w:jc w:val="left"/>
      </w:pPr>
      <w:r>
        <w:rPr/>
        <w:t>验字</w:t>
      </w:r>
      <w:r>
        <w:rPr>
          <w:rFonts w:ascii="Times New Roman" w:hAnsi="Times New Roman" w:cs="Times New Roman" w:eastAsia="Times New Roman" w:hint="default"/>
        </w:rPr>
        <w:t>[2010]018</w:t>
      </w:r>
      <w:r>
        <w:rPr>
          <w:rFonts w:ascii="Times New Roman" w:hAnsi="Times New Roman" w:cs="Times New Roman" w:eastAsia="Times New Roman" w:hint="default"/>
          <w:spacing w:val="-4"/>
        </w:rPr>
        <w:t> </w:t>
      </w:r>
      <w:r>
        <w:rPr/>
        <w:t>号”验资报告验证确认。</w:t>
      </w:r>
    </w:p>
    <w:p>
      <w:pPr>
        <w:pStyle w:val="BodyText"/>
        <w:spacing w:line="240" w:lineRule="auto" w:before="104"/>
        <w:ind w:left="542" w:right="0"/>
        <w:jc w:val="left"/>
      </w:pPr>
      <w:r>
        <w:rPr/>
        <w:t>本公司依据</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日财政部颁布的财会</w:t>
      </w:r>
      <w:r>
        <w:rPr>
          <w:rFonts w:ascii="Times New Roman" w:hAnsi="Times New Roman" w:cs="Times New Roman" w:eastAsia="Times New Roman" w:hint="default"/>
        </w:rPr>
        <w:t>[2010]25 </w:t>
      </w:r>
      <w:r>
        <w:rPr/>
        <w:t>号《财政部关于执行企业会计准则的上市公司和非上市企</w:t>
      </w:r>
    </w:p>
    <w:p>
      <w:pPr>
        <w:pStyle w:val="BodyText"/>
        <w:spacing w:line="240" w:lineRule="auto" w:before="63"/>
        <w:ind w:left="181" w:right="0"/>
        <w:jc w:val="left"/>
      </w:pPr>
      <w:r>
        <w:rPr/>
        <w:t>业做好</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年年报工作的通知》的要求，将不符合发行费要求的费用合计</w:t>
      </w:r>
      <w:r>
        <w:rPr>
          <w:spacing w:val="-65"/>
        </w:rPr>
        <w:t> </w:t>
      </w:r>
      <w:r>
        <w:rPr>
          <w:rFonts w:ascii="Times New Roman" w:hAnsi="Times New Roman" w:cs="Times New Roman" w:eastAsia="Times New Roman" w:hint="default"/>
        </w:rPr>
        <w:t>7,935,486.00</w:t>
      </w:r>
      <w:r>
        <w:rPr>
          <w:rFonts w:ascii="Times New Roman" w:hAnsi="Times New Roman" w:cs="Times New Roman" w:eastAsia="Times New Roman" w:hint="default"/>
          <w:spacing w:val="-19"/>
        </w:rPr>
        <w:t> </w:t>
      </w:r>
      <w:r>
        <w:rPr/>
        <w:t>元进行了调整，调整后募集资金净</w:t>
      </w:r>
    </w:p>
    <w:p>
      <w:pPr>
        <w:pStyle w:val="BodyText"/>
        <w:spacing w:line="240" w:lineRule="auto" w:before="63"/>
        <w:ind w:left="181" w:right="0"/>
        <w:jc w:val="left"/>
      </w:pPr>
      <w:r>
        <w:rPr/>
        <w:t>额为</w:t>
      </w:r>
      <w:r>
        <w:rPr>
          <w:spacing w:val="-48"/>
        </w:rPr>
        <w:t> </w:t>
      </w:r>
      <w:r>
        <w:rPr>
          <w:rFonts w:ascii="Times New Roman" w:hAnsi="Times New Roman" w:cs="Times New Roman" w:eastAsia="Times New Roman" w:hint="default"/>
        </w:rPr>
        <w:t>538,200,486.00</w:t>
      </w:r>
      <w:r>
        <w:rPr>
          <w:rFonts w:ascii="Times New Roman" w:hAnsi="Times New Roman" w:cs="Times New Roman" w:eastAsia="Times New Roman" w:hint="default"/>
          <w:spacing w:val="-1"/>
        </w:rPr>
        <w:t> </w:t>
      </w:r>
      <w:r>
        <w:rPr/>
        <w:t>元。</w:t>
      </w:r>
    </w:p>
    <w:p>
      <w:pPr>
        <w:pStyle w:val="BodyText"/>
        <w:spacing w:line="240" w:lineRule="auto" w:before="101"/>
        <w:ind w:left="542" w:right="0"/>
        <w:jc w:val="left"/>
      </w:pPr>
      <w:r>
        <w:rPr/>
        <w:t>（二）</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月非公开发行募集资金情况</w:t>
      </w:r>
    </w:p>
    <w:p>
      <w:pPr>
        <w:pStyle w:val="BodyText"/>
        <w:spacing w:line="300" w:lineRule="auto" w:before="103"/>
        <w:ind w:left="181" w:right="234" w:firstLine="360"/>
        <w:jc w:val="left"/>
      </w:pPr>
      <w:r>
        <w:rPr/>
        <w:t>经中国证券监督管理委员会证监许可</w:t>
      </w:r>
      <w:r>
        <w:rPr>
          <w:rFonts w:ascii="Times New Roman" w:hAnsi="Times New Roman" w:cs="Times New Roman" w:eastAsia="Times New Roman" w:hint="default"/>
        </w:rPr>
        <w:t>[2012]1019</w:t>
      </w:r>
      <w:r>
        <w:rPr>
          <w:rFonts w:ascii="Times New Roman" w:hAnsi="Times New Roman" w:cs="Times New Roman" w:eastAsia="Times New Roman" w:hint="default"/>
          <w:spacing w:val="-14"/>
        </w:rPr>
        <w:t> </w:t>
      </w:r>
      <w:r>
        <w:rPr/>
        <w:t>号文核准，并经深圳证券交易所同意，本公司由主承销商中国银河证 券股份有限公司于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日向特定对象非公开发行普通股（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股）股票</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万股，每股面值</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每股发行</w:t>
      </w:r>
    </w:p>
    <w:p>
      <w:pPr>
        <w:pStyle w:val="BodyText"/>
        <w:spacing w:line="240" w:lineRule="auto" w:before="13"/>
        <w:ind w:left="181" w:right="0"/>
        <w:jc w:val="left"/>
      </w:pPr>
      <w:r>
        <w:rPr/>
        <w:t>价人民币</w:t>
      </w:r>
      <w:r>
        <w:rPr>
          <w:spacing w:val="-46"/>
        </w:rPr>
        <w:t> </w:t>
      </w:r>
      <w:r>
        <w:rPr>
          <w:rFonts w:ascii="Times New Roman" w:hAnsi="Times New Roman" w:cs="Times New Roman" w:eastAsia="Times New Roman" w:hint="default"/>
        </w:rPr>
        <w:t>12.95 </w:t>
      </w:r>
      <w:r>
        <w:rPr/>
        <w:t>元。截至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日止，本公司共募集资金</w:t>
      </w:r>
      <w:r>
        <w:rPr>
          <w:spacing w:val="-47"/>
        </w:rPr>
        <w:t> </w:t>
      </w:r>
      <w:r>
        <w:rPr>
          <w:rFonts w:ascii="Times New Roman" w:hAnsi="Times New Roman" w:cs="Times New Roman" w:eastAsia="Times New Roman" w:hint="default"/>
        </w:rPr>
        <w:t>518,000,000.00</w:t>
      </w:r>
      <w:r>
        <w:rPr>
          <w:rFonts w:ascii="Times New Roman" w:hAnsi="Times New Roman" w:cs="Times New Roman" w:eastAsia="Times New Roman" w:hint="default"/>
          <w:spacing w:val="1"/>
        </w:rPr>
        <w:t> </w:t>
      </w:r>
      <w:r>
        <w:rPr/>
        <w:t>元，扣除发行费用</w:t>
      </w:r>
      <w:r>
        <w:rPr>
          <w:spacing w:val="-46"/>
        </w:rPr>
        <w:t> </w:t>
      </w:r>
      <w:r>
        <w:rPr>
          <w:rFonts w:ascii="Times New Roman" w:hAnsi="Times New Roman" w:cs="Times New Roman" w:eastAsia="Times New Roman" w:hint="default"/>
        </w:rPr>
        <w:t>19,086,000.00 </w:t>
      </w:r>
      <w:r>
        <w:rPr/>
        <w:t>元后，</w:t>
      </w:r>
    </w:p>
    <w:p>
      <w:pPr>
        <w:pStyle w:val="BodyText"/>
        <w:spacing w:line="240" w:lineRule="auto" w:before="63"/>
        <w:ind w:left="181" w:right="0"/>
        <w:jc w:val="left"/>
      </w:pPr>
      <w:r>
        <w:rPr/>
        <w:t>募集资金净额为</w:t>
      </w:r>
      <w:r>
        <w:rPr>
          <w:spacing w:val="-48"/>
        </w:rPr>
        <w:t> </w:t>
      </w:r>
      <w:r>
        <w:rPr>
          <w:rFonts w:ascii="Times New Roman" w:hAnsi="Times New Roman" w:cs="Times New Roman" w:eastAsia="Times New Roman" w:hint="default"/>
        </w:rPr>
        <w:t>498,914,000.00</w:t>
      </w:r>
      <w:r>
        <w:rPr>
          <w:rFonts w:ascii="Times New Roman" w:hAnsi="Times New Roman" w:cs="Times New Roman" w:eastAsia="Times New Roman" w:hint="default"/>
          <w:spacing w:val="-1"/>
        </w:rPr>
        <w:t> </w:t>
      </w:r>
      <w:r>
        <w:rPr/>
        <w:t>元。</w:t>
      </w:r>
    </w:p>
    <w:p>
      <w:pPr>
        <w:pStyle w:val="BodyText"/>
        <w:spacing w:line="240" w:lineRule="auto" w:before="103"/>
        <w:ind w:left="542" w:right="0"/>
        <w:jc w:val="left"/>
      </w:pPr>
      <w:r>
        <w:rPr/>
        <w:t>截止</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 </w:t>
      </w:r>
      <w:r>
        <w:rPr/>
        <w:t>日，本公司上述发行募集的资金已全部到位，业经大华会计师事务所有限公司以“大华验字</w:t>
      </w:r>
    </w:p>
    <w:p>
      <w:pPr>
        <w:pStyle w:val="BodyText"/>
        <w:spacing w:line="240" w:lineRule="auto" w:before="63"/>
        <w:ind w:left="181" w:right="0"/>
        <w:jc w:val="left"/>
      </w:pPr>
      <w:r>
        <w:rPr>
          <w:rFonts w:ascii="Times New Roman" w:hAnsi="Times New Roman" w:cs="Times New Roman" w:eastAsia="Times New Roman" w:hint="default"/>
        </w:rPr>
        <w:t>[2012]265</w:t>
      </w:r>
      <w:r>
        <w:rPr>
          <w:rFonts w:ascii="Times New Roman" w:hAnsi="Times New Roman" w:cs="Times New Roman" w:eastAsia="Times New Roman" w:hint="default"/>
          <w:spacing w:val="-4"/>
        </w:rPr>
        <w:t> </w:t>
      </w:r>
      <w:r>
        <w:rPr/>
        <w:t>号”验资报告验证确认。</w:t>
      </w:r>
    </w:p>
    <w:p>
      <w:pPr>
        <w:pStyle w:val="BodyText"/>
        <w:spacing w:line="240" w:lineRule="auto" w:before="101"/>
        <w:ind w:left="542"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募集资金使用情况及当前余额</w:t>
      </w:r>
    </w:p>
    <w:p>
      <w:pPr>
        <w:pStyle w:val="BodyText"/>
        <w:spacing w:line="240" w:lineRule="auto" w:before="104"/>
        <w:ind w:left="54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月首次公开发行募集资金使用情况及当前余额</w:t>
      </w:r>
    </w:p>
    <w:p>
      <w:pPr>
        <w:pStyle w:val="BodyText"/>
        <w:spacing w:line="240" w:lineRule="auto" w:before="103"/>
        <w:ind w:left="542" w:right="0"/>
        <w:jc w:val="left"/>
      </w:pPr>
      <w:r>
        <w:rPr/>
        <w:t>截止</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日，公司对首次公开发行募集资金项目累计投入</w:t>
      </w:r>
      <w:r>
        <w:rPr>
          <w:spacing w:val="-46"/>
        </w:rPr>
        <w:t> </w:t>
      </w:r>
      <w:r>
        <w:rPr>
          <w:rFonts w:ascii="Times New Roman" w:hAnsi="Times New Roman" w:cs="Times New Roman" w:eastAsia="Times New Roman" w:hint="default"/>
        </w:rPr>
        <w:t>546,026,027.88</w:t>
      </w:r>
      <w:r>
        <w:rPr>
          <w:rFonts w:ascii="Times New Roman" w:hAnsi="Times New Roman" w:cs="Times New Roman" w:eastAsia="Times New Roman" w:hint="default"/>
          <w:spacing w:val="1"/>
        </w:rPr>
        <w:t> </w:t>
      </w:r>
      <w:r>
        <w:rPr/>
        <w:t>元，其中：</w:t>
      </w:r>
      <w:r>
        <w:rPr>
          <w:rFonts w:ascii="Times New Roman" w:hAnsi="Times New Roman" w:cs="Times New Roman" w:eastAsia="Times New Roman" w:hint="default"/>
        </w:rPr>
        <w:t>2010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p>
    <w:p>
      <w:pPr>
        <w:pStyle w:val="BodyText"/>
        <w:spacing w:line="240" w:lineRule="auto" w:before="63"/>
        <w:ind w:left="181"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日使用募集资金</w:t>
      </w:r>
      <w:r>
        <w:rPr>
          <w:spacing w:val="-49"/>
        </w:rPr>
        <w:t> </w:t>
      </w:r>
      <w:r>
        <w:rPr>
          <w:rFonts w:ascii="Times New Roman" w:hAnsi="Times New Roman" w:cs="Times New Roman" w:eastAsia="Times New Roman" w:hint="default"/>
        </w:rPr>
        <w:t>468,431,997.41</w:t>
      </w:r>
      <w:r>
        <w:rPr>
          <w:rFonts w:ascii="Times New Roman" w:hAnsi="Times New Roman" w:cs="Times New Roman" w:eastAsia="Times New Roman" w:hint="default"/>
          <w:spacing w:val="-1"/>
        </w:rPr>
        <w:t> </w:t>
      </w:r>
      <w:r>
        <w:rPr/>
        <w:t>元，本年度使用募集资金人民币</w:t>
      </w:r>
      <w:r>
        <w:rPr>
          <w:spacing w:val="-49"/>
        </w:rPr>
        <w:t> </w:t>
      </w:r>
      <w:r>
        <w:rPr>
          <w:rFonts w:ascii="Times New Roman" w:hAnsi="Times New Roman" w:cs="Times New Roman" w:eastAsia="Times New Roman" w:hint="default"/>
        </w:rPr>
        <w:t>77,594,030.47</w:t>
      </w:r>
      <w:r>
        <w:rPr>
          <w:rFonts w:ascii="Times New Roman" w:hAnsi="Times New Roman" w:cs="Times New Roman" w:eastAsia="Times New Roman" w:hint="default"/>
          <w:spacing w:val="-2"/>
        </w:rPr>
        <w:t> </w:t>
      </w:r>
      <w:r>
        <w:rPr/>
        <w:t>元。</w:t>
      </w:r>
    </w:p>
    <w:p>
      <w:pPr>
        <w:pStyle w:val="BodyText"/>
        <w:spacing w:line="240" w:lineRule="auto" w:before="101"/>
        <w:ind w:left="542" w:right="0"/>
        <w:jc w:val="left"/>
        <w:rPr>
          <w:rFonts w:ascii="Times New Roman" w:hAnsi="Times New Roman" w:cs="Times New Roman" w:eastAsia="Times New Roman" w:hint="default"/>
        </w:rPr>
      </w:pPr>
      <w:r>
        <w:rPr/>
        <w:t>截止</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spacing w:val="-3"/>
        </w:rPr>
        <w:t>日，首次公开发行募集资金专用账户取得利息收入</w:t>
      </w:r>
      <w:r>
        <w:rPr>
          <w:spacing w:val="-45"/>
        </w:rPr>
        <w:t> </w:t>
      </w:r>
      <w:r>
        <w:rPr>
          <w:rFonts w:ascii="Times New Roman" w:hAnsi="Times New Roman" w:cs="Times New Roman" w:eastAsia="Times New Roman" w:hint="default"/>
        </w:rPr>
        <w:t>10,504,279.48</w:t>
      </w:r>
      <w:r>
        <w:rPr>
          <w:rFonts w:ascii="Times New Roman" w:hAnsi="Times New Roman" w:cs="Times New Roman" w:eastAsia="Times New Roman" w:hint="default"/>
          <w:spacing w:val="1"/>
        </w:rPr>
        <w:t> </w:t>
      </w:r>
      <w:r>
        <w:rPr>
          <w:spacing w:val="-7"/>
        </w:rPr>
        <w:t>元，发生的银行费用</w:t>
      </w:r>
      <w:r>
        <w:rPr>
          <w:spacing w:val="-45"/>
        </w:rPr>
        <w:t> </w:t>
      </w:r>
      <w:r>
        <w:rPr>
          <w:rFonts w:ascii="Times New Roman" w:hAnsi="Times New Roman" w:cs="Times New Roman" w:eastAsia="Times New Roman" w:hint="default"/>
        </w:rPr>
        <w:t>684,635.52</w:t>
      </w:r>
    </w:p>
    <w:p>
      <w:pPr>
        <w:pStyle w:val="BodyText"/>
        <w:spacing w:line="240" w:lineRule="auto" w:before="63"/>
        <w:ind w:left="181" w:right="0"/>
        <w:jc w:val="left"/>
      </w:pPr>
      <w:r>
        <w:rPr/>
        <w:t>元，募集资金余额为人民币</w:t>
      </w:r>
      <w:r>
        <w:rPr>
          <w:spacing w:val="-46"/>
        </w:rPr>
        <w:t> </w:t>
      </w:r>
      <w:r>
        <w:rPr>
          <w:rFonts w:ascii="Times New Roman" w:hAnsi="Times New Roman" w:cs="Times New Roman" w:eastAsia="Times New Roman" w:hint="default"/>
        </w:rPr>
        <w:t>1,994,102.08</w:t>
      </w:r>
      <w:r>
        <w:rPr>
          <w:rFonts w:ascii="Times New Roman" w:hAnsi="Times New Roman" w:cs="Times New Roman" w:eastAsia="Times New Roman" w:hint="default"/>
          <w:spacing w:val="1"/>
        </w:rPr>
        <w:t> </w:t>
      </w:r>
      <w:r>
        <w:rPr/>
        <w:t>元。</w:t>
      </w:r>
    </w:p>
    <w:p>
      <w:pPr>
        <w:pStyle w:val="BodyText"/>
        <w:spacing w:line="240" w:lineRule="auto" w:before="103"/>
        <w:ind w:left="54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月非公开发行募集资金使用情况及当前余额</w:t>
      </w:r>
    </w:p>
    <w:p>
      <w:pPr>
        <w:pStyle w:val="BodyText"/>
        <w:spacing w:line="240" w:lineRule="auto" w:before="103"/>
        <w:ind w:left="542" w:right="0"/>
        <w:jc w:val="left"/>
        <w:rPr>
          <w:rFonts w:ascii="Times New Roman" w:hAnsi="Times New Roman" w:cs="Times New Roman" w:eastAsia="Times New Roman" w:hint="default"/>
        </w:rPr>
      </w:pPr>
      <w:r>
        <w:rPr/>
        <w:t>截止</w:t>
      </w:r>
      <w:r>
        <w:rPr>
          <w:spacing w:val="-59"/>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年</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w:t>
      </w:r>
      <w:r>
        <w:rPr>
          <w:spacing w:val="-92"/>
        </w:rPr>
        <w:t>，</w:t>
      </w:r>
      <w:r>
        <w:rPr/>
        <w:t>公司</w:t>
      </w:r>
      <w:r>
        <w:rPr>
          <w:spacing w:val="-3"/>
        </w:rPr>
        <w:t>对</w:t>
      </w:r>
      <w:r>
        <w:rPr/>
        <w:t>非公开发行募集资金项目累计投入</w:t>
      </w:r>
      <w:r>
        <w:rPr>
          <w:spacing w:val="-58"/>
        </w:rPr>
        <w:t> </w:t>
      </w:r>
      <w:r>
        <w:rPr>
          <w:rFonts w:ascii="Times New Roman" w:hAnsi="Times New Roman" w:cs="Times New Roman" w:eastAsia="Times New Roman" w:hint="default"/>
          <w:spacing w:val="1"/>
        </w:rPr>
        <w:t>477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spacing w:val="-92"/>
        </w:rPr>
        <w:t>元</w:t>
      </w:r>
      <w:r>
        <w:rPr/>
        <w:t>（包含使用闲置募集资金</w:t>
      </w:r>
      <w:r>
        <w:rPr>
          <w:spacing w:val="-59"/>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left="181" w:right="0"/>
        <w:jc w:val="left"/>
      </w:pPr>
      <w:r>
        <w:rPr/>
        <w:t>万元暂时补充流动资金</w:t>
      </w:r>
      <w:r>
        <w:rPr>
          <w:spacing w:val="-92"/>
        </w:rPr>
        <w:t>）</w:t>
      </w:r>
      <w:r>
        <w:rPr/>
        <w:t>，其</w:t>
      </w:r>
      <w:r>
        <w:rPr>
          <w:spacing w:val="2"/>
        </w:rPr>
        <w:t>中</w:t>
      </w:r>
      <w:r>
        <w:rPr/>
        <w:t>：公司于募集资金到位之前利用自有资金先期投入募集资金项目人民币</w:t>
      </w:r>
      <w:r>
        <w:rPr>
          <w:spacing w:val="-43"/>
        </w:rPr>
        <w:t> </w:t>
      </w:r>
      <w:r>
        <w:rPr>
          <w:rFonts w:ascii="Times New Roman" w:hAnsi="Times New Roman" w:cs="Times New Roman" w:eastAsia="Times New Roman" w:hint="default"/>
          <w:spacing w:val="1"/>
        </w:rPr>
        <w:t>86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300" w:lineRule="auto" w:before="63"/>
        <w:ind w:left="181" w:right="298"/>
        <w:jc w:val="left"/>
      </w:pP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月置换自有资金</w:t>
      </w:r>
      <w:r>
        <w:rPr>
          <w:spacing w:val="-92"/>
        </w:rPr>
        <w:t>）</w:t>
      </w:r>
      <w:r>
        <w:rPr/>
        <w:t>，本年度使用募集资金人民币</w:t>
      </w:r>
      <w:r>
        <w:rPr>
          <w:spacing w:val="-44"/>
        </w:rPr>
        <w:t> </w:t>
      </w:r>
      <w:r>
        <w:rPr>
          <w:rFonts w:ascii="Times New Roman" w:hAnsi="Times New Roman" w:cs="Times New Roman" w:eastAsia="Times New Roman" w:hint="default"/>
          <w:spacing w:val="1"/>
        </w:rPr>
        <w:t>39</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元（包含使用</w:t>
      </w:r>
      <w:r>
        <w:rPr>
          <w:spacing w:val="-3"/>
        </w:rPr>
        <w:t>闲</w:t>
      </w:r>
      <w:r>
        <w:rPr/>
        <w:t>置募集资金</w:t>
      </w:r>
      <w:r>
        <w:rPr>
          <w:spacing w:val="-44"/>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万元暂 时补充流动资金</w:t>
      </w:r>
      <w:r>
        <w:rPr>
          <w:spacing w:val="-92"/>
        </w:rPr>
        <w:t>）</w:t>
      </w:r>
      <w:r>
        <w:rPr/>
        <w:t>。</w:t>
      </w:r>
    </w:p>
    <w:p>
      <w:pPr>
        <w:pStyle w:val="BodyText"/>
        <w:spacing w:line="240" w:lineRule="auto" w:before="70"/>
        <w:ind w:left="542" w:right="0"/>
        <w:jc w:val="left"/>
      </w:pPr>
      <w:r>
        <w:rPr/>
        <w:t>截止</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日，非公开发行募集资金专用账户取得利息收入</w:t>
      </w:r>
      <w:r>
        <w:rPr>
          <w:spacing w:val="-46"/>
        </w:rPr>
        <w:t> </w:t>
      </w:r>
      <w:r>
        <w:rPr>
          <w:rFonts w:ascii="Times New Roman" w:hAnsi="Times New Roman" w:cs="Times New Roman" w:eastAsia="Times New Roman" w:hint="default"/>
        </w:rPr>
        <w:t>719,465.74 </w:t>
      </w:r>
      <w:r>
        <w:rPr/>
        <w:t>元，发生的银行费用</w:t>
      </w:r>
      <w:r>
        <w:rPr>
          <w:spacing w:val="-46"/>
        </w:rPr>
        <w:t> </w:t>
      </w:r>
      <w:r>
        <w:rPr>
          <w:rFonts w:ascii="Times New Roman" w:hAnsi="Times New Roman" w:cs="Times New Roman" w:eastAsia="Times New Roman" w:hint="default"/>
        </w:rPr>
        <w:t>2,799.20 </w:t>
      </w:r>
      <w:r>
        <w:rPr/>
        <w:t>元</w:t>
      </w:r>
      <w:r>
        <w:rPr>
          <w:rFonts w:ascii="Times New Roman" w:hAnsi="Times New Roman" w:cs="Times New Roman" w:eastAsia="Times New Roman" w:hint="default"/>
        </w:rPr>
        <w:t>,</w:t>
      </w:r>
      <w:r>
        <w:rPr/>
        <w:t>募</w:t>
      </w:r>
    </w:p>
    <w:p>
      <w:pPr>
        <w:pStyle w:val="BodyText"/>
        <w:spacing w:line="240" w:lineRule="auto" w:before="63"/>
        <w:ind w:left="181" w:right="0"/>
        <w:jc w:val="left"/>
      </w:pPr>
      <w:r>
        <w:rPr/>
        <w:t>集资金专户余额为人民币</w:t>
      </w:r>
      <w:r>
        <w:rPr>
          <w:spacing w:val="-54"/>
        </w:rPr>
        <w:t> </w:t>
      </w:r>
      <w:r>
        <w:rPr>
          <w:rFonts w:ascii="Times New Roman" w:hAnsi="Times New Roman" w:cs="Times New Roman" w:eastAsia="Times New Roman" w:hint="default"/>
        </w:rPr>
        <w:t>24,273,191.14</w:t>
      </w:r>
      <w:r>
        <w:rPr>
          <w:rFonts w:ascii="Times New Roman" w:hAnsi="Times New Roman" w:cs="Times New Roman" w:eastAsia="Times New Roman" w:hint="default"/>
          <w:spacing w:val="-8"/>
        </w:rPr>
        <w:t> </w:t>
      </w:r>
      <w:r>
        <w:rPr/>
        <w:t>元，其中：尚未支付的非公开募集资金发行费用</w:t>
      </w:r>
      <w:r>
        <w:rPr>
          <w:spacing w:val="-55"/>
        </w:rPr>
        <w:t> </w:t>
      </w:r>
      <w:r>
        <w:rPr>
          <w:rFonts w:ascii="Times New Roman" w:hAnsi="Times New Roman" w:cs="Times New Roman" w:eastAsia="Times New Roman" w:hint="default"/>
        </w:rPr>
        <w:t>1,590,000.00</w:t>
      </w:r>
      <w:r>
        <w:rPr>
          <w:rFonts w:ascii="Times New Roman" w:hAnsi="Times New Roman" w:cs="Times New Roman" w:eastAsia="Times New Roman" w:hint="default"/>
          <w:spacing w:val="-8"/>
        </w:rPr>
        <w:t> </w:t>
      </w:r>
      <w:r>
        <w:rPr/>
        <w:t>元，未使用募集资金</w:t>
      </w:r>
    </w:p>
    <w:p>
      <w:pPr>
        <w:pStyle w:val="BodyText"/>
        <w:spacing w:line="240" w:lineRule="auto" w:before="63"/>
        <w:ind w:left="181" w:right="0"/>
        <w:jc w:val="left"/>
      </w:pPr>
      <w:r>
        <w:rPr/>
        <w:t>账户支付的非公开募集资金发行费用</w:t>
      </w:r>
      <w:r>
        <w:rPr>
          <w:spacing w:val="-47"/>
        </w:rPr>
        <w:t> </w:t>
      </w:r>
      <w:r>
        <w:rPr>
          <w:rFonts w:ascii="Times New Roman" w:hAnsi="Times New Roman" w:cs="Times New Roman" w:eastAsia="Times New Roman" w:hint="default"/>
        </w:rPr>
        <w:t>675,000.00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57" w:lineRule="auto"/>
        <w:ind w:left="542" w:right="0"/>
        <w:jc w:val="left"/>
      </w:pPr>
      <w:r>
        <w:rPr>
          <w:rFonts w:ascii="宋体" w:hAnsi="宋体" w:cs="宋体" w:eastAsia="宋体" w:hint="default"/>
          <w:b/>
          <w:bCs/>
        </w:rPr>
        <w:t>二、募集资金管理情况</w:t>
      </w:r>
      <w:r>
        <w:rPr>
          <w:rFonts w:ascii="宋体" w:hAnsi="宋体" w:cs="宋体" w:eastAsia="宋体" w:hint="default"/>
          <w:b/>
          <w:bCs/>
          <w:w w:val="99"/>
        </w:rPr>
        <w:t> </w:t>
      </w:r>
      <w:r>
        <w:rPr>
          <w:spacing w:val="-8"/>
        </w:rPr>
        <w:t>为了规范募集资金的管理和使用，保护投资者权益，本公司依照《公司法》、《证券法》、《深圳证券交易所股票上市规</w:t>
      </w:r>
    </w:p>
    <w:p>
      <w:pPr>
        <w:pStyle w:val="BodyText"/>
        <w:spacing w:line="224" w:lineRule="exact"/>
        <w:ind w:left="181" w:right="0"/>
        <w:jc w:val="left"/>
      </w:pPr>
      <w:r>
        <w:rPr/>
        <w:t>则</w:t>
      </w:r>
      <w:r>
        <w:rPr>
          <w:spacing w:val="-92"/>
        </w:rPr>
        <w:t>》</w:t>
      </w:r>
      <w:r>
        <w:rPr>
          <w:spacing w:val="-96"/>
        </w:rPr>
        <w:t>、</w:t>
      </w:r>
      <w:r>
        <w:rPr/>
        <w:t>《深圳证券交易所中小</w:t>
      </w:r>
      <w:r>
        <w:rPr>
          <w:spacing w:val="2"/>
        </w:rPr>
        <w:t>企</w:t>
      </w:r>
      <w:r>
        <w:rPr/>
        <w:t>业板上市公司规范运作指引</w:t>
      </w:r>
      <w:r>
        <w:rPr>
          <w:spacing w:val="-5"/>
        </w:rPr>
        <w:t>》</w:t>
      </w:r>
      <w:r>
        <w:rPr/>
        <w:t>等法律法规</w:t>
      </w:r>
      <w:r>
        <w:rPr>
          <w:spacing w:val="-5"/>
        </w:rPr>
        <w:t>，</w:t>
      </w:r>
      <w:r>
        <w:rPr/>
        <w:t>结合公司实际情况</w:t>
      </w:r>
      <w:r>
        <w:rPr>
          <w:spacing w:val="-5"/>
        </w:rPr>
        <w:t>，</w:t>
      </w:r>
      <w:r>
        <w:rPr/>
        <w:t>制定</w:t>
      </w:r>
      <w:r>
        <w:rPr>
          <w:spacing w:val="-5"/>
        </w:rPr>
        <w:t>了</w:t>
      </w:r>
      <w:r>
        <w:rPr/>
        <w:t>《募集资金专项</w:t>
      </w:r>
      <w:r>
        <w:rPr>
          <w:spacing w:val="-3"/>
        </w:rPr>
        <w:t>存</w:t>
      </w:r>
      <w:r>
        <w:rPr/>
        <w:t>储</w:t>
      </w:r>
    </w:p>
    <w:p>
      <w:pPr>
        <w:pStyle w:val="BodyText"/>
        <w:spacing w:line="240" w:lineRule="auto" w:before="76"/>
        <w:ind w:left="181" w:right="0"/>
        <w:jc w:val="left"/>
      </w:pPr>
      <w:r>
        <w:rPr/>
        <w:t>与使用管理办法</w:t>
      </w:r>
      <w:r>
        <w:rPr>
          <w:spacing w:val="-92"/>
        </w:rPr>
        <w:t>》</w:t>
      </w:r>
      <w:r>
        <w:rPr/>
        <w:t>（以下简称</w:t>
      </w:r>
      <w:r>
        <w:rPr>
          <w:spacing w:val="2"/>
        </w:rPr>
        <w:t>《</w:t>
      </w:r>
      <w:r>
        <w:rPr/>
        <w:t>管理办法</w:t>
      </w:r>
      <w:r>
        <w:rPr>
          <w:spacing w:val="-92"/>
        </w:rPr>
        <w:t>》）</w:t>
      </w:r>
      <w:r>
        <w:rPr/>
        <w:t>，该《管理办法</w:t>
      </w:r>
      <w:r>
        <w:rPr>
          <w:spacing w:val="2"/>
        </w:rPr>
        <w:t>》</w:t>
      </w:r>
      <w:r>
        <w:rPr/>
        <w:t>经本公司第一届董事会第十二次会议审议通过，并经本公司</w:t>
      </w:r>
    </w:p>
    <w:p>
      <w:pPr>
        <w:pStyle w:val="BodyText"/>
        <w:spacing w:line="240" w:lineRule="auto" w:before="76"/>
        <w:ind w:left="181"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年年度股东大会表决通过。根据《管理办法》的要求，并结合公司经营需要，本公司对募集资金实行专户存储。</w:t>
      </w:r>
    </w:p>
    <w:p>
      <w:pPr>
        <w:pStyle w:val="BodyText"/>
        <w:spacing w:line="240" w:lineRule="auto" w:before="103"/>
        <w:ind w:left="542" w:right="0"/>
        <w:jc w:val="left"/>
      </w:pPr>
      <w:r>
        <w:rPr/>
        <w:t>（一）</w:t>
      </w:r>
      <w:r>
        <w:rPr>
          <w:rFonts w:ascii="Times New Roman" w:hAnsi="Times New Roman" w:cs="Times New Roman" w:eastAsia="Times New Roman" w:hint="default"/>
        </w:rPr>
        <w:t>2010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月首次公开发行募集资金的管理情况</w:t>
      </w:r>
    </w:p>
    <w:p>
      <w:pPr>
        <w:pStyle w:val="BodyText"/>
        <w:spacing w:line="309" w:lineRule="auto" w:before="103"/>
        <w:ind w:left="181" w:right="237" w:firstLine="360"/>
        <w:jc w:val="left"/>
      </w:pPr>
      <w:r>
        <w:rPr/>
        <w:t>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年与申银万国证</w:t>
      </w:r>
      <w:r>
        <w:rPr>
          <w:spacing w:val="-3"/>
        </w:rPr>
        <w:t>券</w:t>
      </w:r>
      <w:r>
        <w:rPr/>
        <w:t>股份有限公</w:t>
      </w:r>
      <w:r>
        <w:rPr>
          <w:spacing w:val="-10"/>
        </w:rPr>
        <w:t>司</w:t>
      </w:r>
      <w:r>
        <w:rPr/>
        <w:t>（以下简</w:t>
      </w:r>
      <w:r>
        <w:rPr>
          <w:spacing w:val="-10"/>
        </w:rPr>
        <w:t>称</w:t>
      </w:r>
      <w:r>
        <w:rPr/>
        <w:t>“申银万国</w:t>
      </w:r>
      <w:r>
        <w:rPr>
          <w:spacing w:val="-92"/>
        </w:rPr>
        <w:t>”</w:t>
      </w:r>
      <w:r>
        <w:rPr>
          <w:spacing w:val="-10"/>
        </w:rPr>
        <w:t>）</w:t>
      </w:r>
      <w:r>
        <w:rPr/>
        <w:t>及中国建设银行股</w:t>
      </w:r>
      <w:r>
        <w:rPr>
          <w:spacing w:val="2"/>
        </w:rPr>
        <w:t>份</w:t>
      </w:r>
      <w:r>
        <w:rPr/>
        <w:t>有限公司深圳市分行签署</w:t>
      </w:r>
      <w:r>
        <w:rPr/>
        <w:t> 了《募集资金三方监管协议</w:t>
      </w:r>
      <w:r>
        <w:rPr>
          <w:spacing w:val="-92"/>
        </w:rPr>
        <w:t>》</w:t>
      </w:r>
      <w:r>
        <w:rPr>
          <w:spacing w:val="2"/>
        </w:rPr>
        <w:t>，</w:t>
      </w:r>
      <w:r>
        <w:rPr/>
        <w:t>与申银万国、中信银行股份有限公司滨海新区分行及本公司全资子公司天津卓达科技发展</w:t>
      </w:r>
      <w:r>
        <w:rPr/>
        <w:t> 有限公司签署了《募集资金四方监管协议</w:t>
      </w:r>
      <w:r>
        <w:rPr>
          <w:spacing w:val="-92"/>
        </w:rPr>
        <w:t>》</w:t>
      </w:r>
      <w:r>
        <w:rPr/>
        <w:t>，明确了各方的</w:t>
      </w:r>
      <w:r>
        <w:rPr>
          <w:spacing w:val="2"/>
        </w:rPr>
        <w:t>权</w:t>
      </w:r>
      <w:r>
        <w:rPr/>
        <w:t>利和义务。</w:t>
      </w:r>
    </w:p>
    <w:p>
      <w:pPr>
        <w:pStyle w:val="BodyText"/>
        <w:spacing w:line="316" w:lineRule="auto" w:before="62"/>
        <w:ind w:left="181" w:right="236" w:firstLine="360"/>
        <w:jc w:val="left"/>
      </w:pPr>
      <w:r>
        <w:rPr/>
        <w:t>由于公司聘请中国银河证券股份有限公司（以下简称“银河证券</w:t>
      </w:r>
      <w:r>
        <w:rPr>
          <w:spacing w:val="-92"/>
        </w:rPr>
        <w:t>”</w:t>
      </w:r>
      <w:r>
        <w:rPr/>
        <w:t>）为公司非公开发行股</w:t>
      </w:r>
      <w:r>
        <w:rPr>
          <w:spacing w:val="2"/>
        </w:rPr>
        <w:t>票</w:t>
      </w:r>
      <w:r>
        <w:rPr/>
        <w:t>的保荐机构，根据《证券</w:t>
      </w:r>
      <w:r>
        <w:rPr/>
        <w:t> 发行上市保荐业务管理办法</w:t>
      </w:r>
      <w:r>
        <w:rPr>
          <w:spacing w:val="-5"/>
        </w:rPr>
        <w:t>》</w:t>
      </w:r>
      <w:r>
        <w:rPr/>
        <w:t>的有关规定</w:t>
      </w:r>
      <w:r>
        <w:rPr>
          <w:spacing w:val="-5"/>
        </w:rPr>
        <w:t>，</w:t>
      </w:r>
      <w:r>
        <w:rPr/>
        <w:t>公司与原保荐机构申银万国于</w:t>
      </w:r>
      <w:r>
        <w:rPr>
          <w:spacing w:val="-4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日签署</w:t>
      </w:r>
      <w:r>
        <w:rPr>
          <w:spacing w:val="-5"/>
        </w:rPr>
        <w:t>了</w:t>
      </w:r>
      <w:r>
        <w:rPr/>
        <w:t>《终止协议</w:t>
      </w:r>
      <w:r>
        <w:rPr>
          <w:spacing w:val="-92"/>
        </w:rPr>
        <w:t>》</w:t>
      </w:r>
      <w:r>
        <w:rPr>
          <w:spacing w:val="-5"/>
        </w:rPr>
        <w:t>，</w:t>
      </w:r>
      <w:r>
        <w:rPr/>
        <w:t>并与银</w:t>
      </w:r>
    </w:p>
    <w:p>
      <w:pPr>
        <w:pStyle w:val="BodyText"/>
        <w:spacing w:line="300" w:lineRule="auto"/>
        <w:ind w:left="181" w:right="0"/>
        <w:jc w:val="left"/>
      </w:pPr>
      <w:r>
        <w:rPr/>
        <w:t>河证券于</w:t>
      </w:r>
      <w:r>
        <w:rPr>
          <w:spacing w:val="-43"/>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spacing w:val="2"/>
        </w:rPr>
        <w:t> </w:t>
      </w:r>
      <w:r>
        <w:rPr>
          <w:spacing w:val="-4"/>
        </w:rPr>
        <w:t>日签署了《补充保荐协议》，约定由银河证券承接公司</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1"/>
        </w:rPr>
        <w:t>年度首次公开发行股票的持续督导</w:t>
      </w:r>
      <w:r>
        <w:rPr/>
        <w:t> 工作。</w:t>
      </w:r>
    </w:p>
    <w:p>
      <w:pPr>
        <w:pStyle w:val="BodyText"/>
        <w:spacing w:line="309" w:lineRule="auto" w:before="72"/>
        <w:ind w:left="181" w:right="274" w:firstLine="36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日，公司与</w:t>
      </w:r>
      <w:r>
        <w:rPr>
          <w:spacing w:val="-3"/>
        </w:rPr>
        <w:t>银</w:t>
      </w:r>
      <w:r>
        <w:rPr/>
        <w:t>河证券、中国建设银行股份有限公司深圳市分行签署了《募集资金三方监管协议</w:t>
      </w:r>
      <w:r>
        <w:rPr>
          <w:spacing w:val="-92"/>
        </w:rPr>
        <w:t>》</w:t>
      </w:r>
      <w:r>
        <w:rPr/>
        <w:t>；与</w:t>
      </w:r>
      <w:r>
        <w:rPr/>
        <w:t> 公司全资子公司天津卓达科技发展有限公司及中信银行股份有限公司滨海新区分行签署了《募集资金四方监管协议</w:t>
      </w:r>
      <w:r>
        <w:rPr>
          <w:spacing w:val="-92"/>
        </w:rPr>
        <w:t>》</w:t>
      </w:r>
      <w:r>
        <w:rPr/>
        <w:t>；与</w:t>
      </w:r>
      <w:r>
        <w:rPr/>
        <w:t> 公司全资子公司深圳市卓大精密模具有限公司及招商银行股份有限公司深圳南山支行签署了《募集资金四方监管协议</w:t>
      </w:r>
      <w:r>
        <w:rPr>
          <w:spacing w:val="-92"/>
        </w:rPr>
        <w:t>》</w:t>
      </w:r>
      <w:r>
        <w:rPr/>
        <w:t>；</w:t>
      </w:r>
    </w:p>
    <w:p>
      <w:pPr>
        <w:spacing w:line="240" w:lineRule="auto" w:before="11"/>
        <w:rPr>
          <w:rFonts w:ascii="宋体" w:hAnsi="宋体" w:cs="宋体" w:eastAsia="宋体" w:hint="default"/>
          <w:sz w:val="22"/>
          <w:szCs w:val="22"/>
        </w:rPr>
      </w:pPr>
    </w:p>
    <w:p>
      <w:pPr>
        <w:pStyle w:val="BodyText"/>
        <w:spacing w:line="240" w:lineRule="auto" w:before="76"/>
        <w:ind w:left="0" w:right="148"/>
        <w:jc w:val="right"/>
        <w:rPr>
          <w:rFonts w:ascii="Times New Roman" w:hAnsi="Times New Roman" w:cs="Times New Roman" w:eastAsia="Times New Roman" w:hint="default"/>
        </w:rPr>
      </w:pPr>
      <w:r>
        <w:rPr>
          <w:rFonts w:ascii="Times New Roman"/>
        </w:rPr>
        <w:t>20</w:t>
      </w:r>
    </w:p>
    <w:p>
      <w:pPr>
        <w:spacing w:after="0" w:line="240" w:lineRule="auto"/>
        <w:jc w:val="right"/>
        <w:rPr>
          <w:rFonts w:ascii="Times New Roman" w:hAnsi="Times New Roman" w:cs="Times New Roman" w:eastAsia="Times New Roman" w:hint="default"/>
        </w:rPr>
        <w:sectPr>
          <w:headerReference w:type="default" r:id="rId23"/>
          <w:footerReference w:type="default" r:id="rId24"/>
          <w:pgSz w:w="11910" w:h="16840"/>
          <w:pgMar w:header="877" w:footer="0" w:top="106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701"/>
        <w:gridCol w:w="2127"/>
        <w:gridCol w:w="1702"/>
        <w:gridCol w:w="1702"/>
        <w:gridCol w:w="992"/>
        <w:gridCol w:w="994"/>
        <w:gridCol w:w="353"/>
      </w:tblGrid>
      <w:tr>
        <w:trPr>
          <w:trHeight w:val="5283" w:hRule="exact"/>
        </w:trPr>
        <w:tc>
          <w:tcPr>
            <w:tcW w:w="9570" w:type="dxa"/>
            <w:gridSpan w:val="7"/>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319" w:lineRule="auto" w:before="8"/>
              <w:ind w:left="22" w:right="23"/>
              <w:jc w:val="left"/>
              <w:rPr>
                <w:rFonts w:ascii="宋体" w:hAnsi="宋体" w:cs="宋体" w:eastAsia="宋体" w:hint="default"/>
                <w:sz w:val="18"/>
                <w:szCs w:val="18"/>
              </w:rPr>
            </w:pPr>
            <w:r>
              <w:rPr>
                <w:rFonts w:ascii="宋体" w:hAnsi="宋体" w:cs="宋体" w:eastAsia="宋体" w:hint="default"/>
                <w:spacing w:val="-1"/>
                <w:sz w:val="18"/>
                <w:szCs w:val="18"/>
              </w:rPr>
              <w:t>与公司全资子公司天津卓达科技发展有限公司及中国农业银行股份有限公司天津港保税区分行签署了《募集资金四方监管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协议》。上述协议约定公司在上述银行分别开设募集资金专用账户，明确了各方的权利和义务，监管协议与深圳证券交易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所监管协议范本不存重大差异。</w:t>
            </w:r>
          </w:p>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月非公开发行募集资金的管理情况</w:t>
            </w:r>
          </w:p>
          <w:p>
            <w:pPr>
              <w:pStyle w:val="TableParagraph"/>
              <w:spacing w:line="312" w:lineRule="auto" w:before="101"/>
              <w:ind w:left="22" w:right="84"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月与银河证券及招商银行股份有限公司深圳南山支行签署了《募集资金三方监管协议》、与银河证</w:t>
            </w:r>
            <w:r>
              <w:rPr>
                <w:rFonts w:ascii="宋体" w:hAnsi="宋体" w:cs="宋体" w:eastAsia="宋体" w:hint="default"/>
                <w:sz w:val="18"/>
                <w:szCs w:val="18"/>
              </w:rPr>
              <w:t> </w:t>
            </w:r>
            <w:r>
              <w:rPr>
                <w:rFonts w:ascii="宋体" w:hAnsi="宋体" w:cs="宋体" w:eastAsia="宋体" w:hint="default"/>
                <w:spacing w:val="-2"/>
                <w:sz w:val="18"/>
                <w:szCs w:val="18"/>
              </w:rPr>
              <w:t>券及上海浦东发展银行股份有限公司深圳分行签署了《募集资金三方监管协议》、与银河证券、中国农业银行股份有限公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司天津港保税区分行及公司全资子公司天津卓达科技发展有限公司签署了《募集资金四方监管协议》，明确了各方的权利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和义务。</w:t>
            </w:r>
          </w:p>
          <w:p>
            <w:pPr>
              <w:pStyle w:val="TableParagraph"/>
              <w:spacing w:line="360" w:lineRule="auto" w:before="63"/>
              <w:ind w:left="383" w:right="23"/>
              <w:jc w:val="left"/>
              <w:rPr>
                <w:rFonts w:ascii="宋体" w:hAnsi="宋体" w:cs="宋体" w:eastAsia="宋体" w:hint="default"/>
                <w:sz w:val="18"/>
                <w:szCs w:val="18"/>
              </w:rPr>
            </w:pPr>
            <w:r>
              <w:rPr>
                <w:rFonts w:ascii="宋体" w:hAnsi="宋体" w:cs="宋体" w:eastAsia="宋体" w:hint="default"/>
                <w:sz w:val="18"/>
                <w:szCs w:val="18"/>
              </w:rPr>
              <w:t>上述监管协议与深圳证券交易所监管协议范本不存在重大差异，监管协议的履行不存在问题。 </w:t>
            </w:r>
            <w:r>
              <w:rPr>
                <w:rFonts w:ascii="宋体" w:hAnsi="宋体" w:cs="宋体" w:eastAsia="宋体" w:hint="default"/>
                <w:spacing w:val="-1"/>
                <w:sz w:val="18"/>
                <w:szCs w:val="18"/>
              </w:rPr>
              <w:t>公司对募集资金的使用实行严格的审批手续，以保证专款专用；授权保荐代表人可以随时到开设募集资金专户的银行</w:t>
            </w:r>
          </w:p>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查询募集资金专户资料。根据监管协议，公司一次或</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个月以内累计从专户中支取的金额超过人民币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万元（按照孰</w:t>
            </w:r>
          </w:p>
          <w:p>
            <w:pPr>
              <w:pStyle w:val="TableParagraph"/>
              <w:spacing w:line="300" w:lineRule="auto" w:before="63"/>
              <w:ind w:left="22" w:right="25"/>
              <w:jc w:val="left"/>
              <w:rPr>
                <w:rFonts w:ascii="宋体" w:hAnsi="宋体" w:cs="宋体" w:eastAsia="宋体" w:hint="default"/>
                <w:sz w:val="18"/>
                <w:szCs w:val="18"/>
              </w:rPr>
            </w:pPr>
            <w:r>
              <w:rPr>
                <w:rFonts w:ascii="宋体" w:hAnsi="宋体" w:cs="宋体" w:eastAsia="宋体" w:hint="default"/>
                <w:sz w:val="18"/>
                <w:szCs w:val="18"/>
              </w:rPr>
              <w:t>低原则在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万元或募集资金净额的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之间确定）的，公司及银行应及时以传真方式通知保荐代表人，同时提供专户 的支出清单。</w:t>
            </w:r>
          </w:p>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日止，募集资金的存储情况列示如下：</w:t>
            </w:r>
          </w:p>
          <w:p>
            <w:pPr>
              <w:pStyle w:val="TableParagraph"/>
              <w:spacing w:line="240" w:lineRule="auto" w:before="103"/>
              <w:ind w:right="622"/>
              <w:jc w:val="right"/>
              <w:rPr>
                <w:rFonts w:ascii="宋体" w:hAnsi="宋体" w:cs="宋体" w:eastAsia="宋体" w:hint="default"/>
                <w:sz w:val="18"/>
                <w:szCs w:val="18"/>
              </w:rPr>
            </w:pPr>
            <w:r>
              <w:rPr>
                <w:rFonts w:ascii="宋体" w:hAnsi="宋体" w:cs="宋体" w:eastAsia="宋体" w:hint="default"/>
                <w:sz w:val="18"/>
                <w:szCs w:val="18"/>
              </w:rPr>
              <w:t>金额单位：人民币元</w:t>
            </w:r>
          </w:p>
        </w:tc>
      </w:tr>
      <w:tr>
        <w:trPr>
          <w:trHeight w:val="449" w:hRule="exact"/>
        </w:trPr>
        <w:tc>
          <w:tcPr>
            <w:tcW w:w="1701" w:type="dxa"/>
            <w:tcBorders>
              <w:top w:val="single" w:sz="4" w:space="0" w:color="000000"/>
              <w:left w:val="single" w:sz="17" w:space="0" w:color="000000"/>
              <w:bottom w:val="single" w:sz="4" w:space="0" w:color="000000"/>
              <w:right w:val="single" w:sz="4" w:space="0" w:color="000000"/>
            </w:tcBorders>
            <w:shd w:val="clear" w:color="auto" w:fill="C6ECCC"/>
          </w:tcPr>
          <w:p>
            <w:pPr>
              <w:pStyle w:val="TableParagraph"/>
              <w:spacing w:line="240" w:lineRule="auto" w:before="116"/>
              <w:ind w:left="13"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账号</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初时存放金额</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left="396" w:right="0"/>
              <w:jc w:val="left"/>
              <w:rPr>
                <w:rFonts w:ascii="宋体" w:hAnsi="宋体" w:cs="宋体" w:eastAsia="宋体" w:hint="default"/>
                <w:sz w:val="18"/>
                <w:szCs w:val="18"/>
              </w:rPr>
            </w:pPr>
            <w:r>
              <w:rPr>
                <w:rFonts w:ascii="宋体" w:hAnsi="宋体" w:cs="宋体" w:eastAsia="宋体" w:hint="default"/>
                <w:sz w:val="18"/>
                <w:szCs w:val="18"/>
              </w:rPr>
              <w:t>截止日余额</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0"/>
              <w:ind w:right="130"/>
              <w:jc w:val="right"/>
              <w:rPr>
                <w:rFonts w:ascii="宋体" w:hAnsi="宋体" w:cs="宋体" w:eastAsia="宋体" w:hint="default"/>
                <w:sz w:val="18"/>
                <w:szCs w:val="18"/>
              </w:rPr>
            </w:pPr>
            <w:r>
              <w:rPr>
                <w:rFonts w:ascii="宋体" w:hAnsi="宋体" w:cs="宋体" w:eastAsia="宋体" w:hint="default"/>
                <w:sz w:val="18"/>
                <w:szCs w:val="18"/>
              </w:rPr>
              <w:t>储存方式</w:t>
            </w:r>
          </w:p>
        </w:tc>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left="309"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35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811" w:hRule="exact"/>
        </w:trPr>
        <w:tc>
          <w:tcPr>
            <w:tcW w:w="1701" w:type="dxa"/>
            <w:vMerge w:val="restart"/>
            <w:tcBorders>
              <w:top w:val="single" w:sz="4" w:space="0" w:color="000000"/>
              <w:left w:val="single" w:sz="17"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85" w:lineRule="auto"/>
              <w:ind w:left="27" w:right="89"/>
              <w:jc w:val="both"/>
              <w:rPr>
                <w:rFonts w:ascii="宋体" w:hAnsi="宋体" w:cs="宋体" w:eastAsia="宋体" w:hint="default"/>
                <w:sz w:val="18"/>
                <w:szCs w:val="18"/>
              </w:rPr>
            </w:pPr>
            <w:r>
              <w:rPr>
                <w:rFonts w:ascii="宋体" w:hAnsi="宋体" w:cs="宋体" w:eastAsia="宋体" w:hint="default"/>
                <w:spacing w:val="14"/>
                <w:sz w:val="18"/>
                <w:szCs w:val="18"/>
              </w:rPr>
              <w:t>中国建设银行股份 有限公司深圳市分 </w:t>
            </w:r>
            <w:r>
              <w:rPr>
                <w:rFonts w:ascii="宋体" w:hAnsi="宋体" w:cs="宋体" w:eastAsia="宋体" w:hint="default"/>
                <w:sz w:val="18"/>
                <w:szCs w:val="18"/>
              </w:rPr>
              <w:t>行</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sz w:val="18"/>
              </w:rPr>
              <w:t>44201566400052515558</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541,565,000.00</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37"/>
              <w:jc w:val="right"/>
              <w:rPr>
                <w:rFonts w:ascii="宋体" w:hAnsi="宋体" w:cs="宋体" w:eastAsia="宋体" w:hint="default"/>
                <w:sz w:val="18"/>
                <w:szCs w:val="18"/>
              </w:rPr>
            </w:pPr>
            <w:r>
              <w:rPr>
                <w:rFonts w:ascii="宋体"/>
                <w:spacing w:val="-1"/>
                <w:sz w:val="18"/>
              </w:rPr>
              <w:t>1,200,757.63</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4" w:lineRule="auto" w:before="20"/>
              <w:ind w:left="112" w:right="149"/>
              <w:jc w:val="both"/>
              <w:rPr>
                <w:rFonts w:ascii="宋体" w:hAnsi="宋体" w:cs="宋体" w:eastAsia="宋体" w:hint="default"/>
                <w:sz w:val="18"/>
                <w:szCs w:val="18"/>
              </w:rPr>
            </w:pPr>
            <w:r>
              <w:rPr>
                <w:rFonts w:ascii="宋体" w:hAnsi="宋体" w:cs="宋体" w:eastAsia="宋体" w:hint="default"/>
                <w:sz w:val="18"/>
                <w:szCs w:val="18"/>
              </w:rPr>
              <w:t>首次公开 募集资金 资账户</w:t>
            </w:r>
          </w:p>
        </w:tc>
        <w:tc>
          <w:tcPr>
            <w:tcW w:w="35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809" w:hRule="exact"/>
        </w:trPr>
        <w:tc>
          <w:tcPr>
            <w:tcW w:w="1701" w:type="dxa"/>
            <w:vMerge/>
            <w:tcBorders>
              <w:left w:val="single" w:sz="17" w:space="0" w:color="000000"/>
              <w:bottom w:val="single" w:sz="4" w:space="0" w:color="000000"/>
              <w:right w:val="single" w:sz="4" w:space="0" w:color="000000"/>
            </w:tcBorders>
            <w:shd w:val="clear" w:color="auto" w:fill="C6ECCC"/>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sz w:val="18"/>
              </w:rPr>
              <w:t>44201566400052533880</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501,500,000.00</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37"/>
              <w:jc w:val="right"/>
              <w:rPr>
                <w:rFonts w:ascii="宋体" w:hAnsi="宋体" w:cs="宋体" w:eastAsia="宋体" w:hint="default"/>
                <w:sz w:val="18"/>
                <w:szCs w:val="18"/>
              </w:rPr>
            </w:pPr>
            <w:r>
              <w:rPr>
                <w:rFonts w:ascii="宋体"/>
                <w:spacing w:val="-1"/>
                <w:sz w:val="18"/>
              </w:rPr>
              <w:t>2,281,191.52</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4" w:lineRule="auto" w:before="20"/>
              <w:ind w:left="112" w:right="149"/>
              <w:jc w:val="both"/>
              <w:rPr>
                <w:rFonts w:ascii="宋体" w:hAnsi="宋体" w:cs="宋体" w:eastAsia="宋体" w:hint="default"/>
                <w:sz w:val="18"/>
                <w:szCs w:val="18"/>
              </w:rPr>
            </w:pPr>
            <w:r>
              <w:rPr>
                <w:rFonts w:ascii="宋体" w:hAnsi="宋体" w:cs="宋体" w:eastAsia="宋体" w:hint="default"/>
                <w:sz w:val="18"/>
                <w:szCs w:val="18"/>
              </w:rPr>
              <w:t>非公开发 行募集资 金账户</w:t>
            </w:r>
          </w:p>
        </w:tc>
        <w:tc>
          <w:tcPr>
            <w:tcW w:w="35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812" w:hRule="exact"/>
        </w:trPr>
        <w:tc>
          <w:tcPr>
            <w:tcW w:w="1701" w:type="dxa"/>
            <w:vMerge w:val="restart"/>
            <w:tcBorders>
              <w:top w:val="single" w:sz="4" w:space="0" w:color="000000"/>
              <w:left w:val="single" w:sz="17"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3" w:lineRule="auto" w:before="154"/>
              <w:ind w:left="27" w:right="89"/>
              <w:jc w:val="left"/>
              <w:rPr>
                <w:rFonts w:ascii="宋体" w:hAnsi="宋体" w:cs="宋体" w:eastAsia="宋体" w:hint="default"/>
                <w:sz w:val="18"/>
                <w:szCs w:val="18"/>
              </w:rPr>
            </w:pPr>
            <w:r>
              <w:rPr>
                <w:rFonts w:ascii="宋体" w:hAnsi="宋体" w:cs="宋体" w:eastAsia="宋体" w:hint="default"/>
                <w:spacing w:val="14"/>
                <w:sz w:val="18"/>
                <w:szCs w:val="18"/>
              </w:rPr>
              <w:t>招商银行股份有限 </w:t>
            </w:r>
            <w:r>
              <w:rPr>
                <w:rFonts w:ascii="宋体" w:hAnsi="宋体" w:cs="宋体" w:eastAsia="宋体" w:hint="default"/>
                <w:sz w:val="18"/>
                <w:szCs w:val="18"/>
              </w:rPr>
              <w:t>公司深圳南山支行</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sz w:val="18"/>
              </w:rPr>
              <w:t>755917949610805</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36"/>
              <w:jc w:val="right"/>
              <w:rPr>
                <w:rFonts w:ascii="宋体" w:hAnsi="宋体" w:cs="宋体" w:eastAsia="宋体" w:hint="default"/>
                <w:sz w:val="18"/>
                <w:szCs w:val="18"/>
              </w:rPr>
            </w:pPr>
            <w:r>
              <w:rPr>
                <w:rFonts w:ascii="宋体"/>
                <w:spacing w:val="-1"/>
                <w:sz w:val="18"/>
              </w:rPr>
              <w:t>711,088.96</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4" w:lineRule="auto" w:before="20"/>
              <w:ind w:left="112" w:right="149"/>
              <w:jc w:val="both"/>
              <w:rPr>
                <w:rFonts w:ascii="宋体" w:hAnsi="宋体" w:cs="宋体" w:eastAsia="宋体" w:hint="default"/>
                <w:sz w:val="18"/>
                <w:szCs w:val="18"/>
              </w:rPr>
            </w:pPr>
            <w:r>
              <w:rPr>
                <w:rFonts w:ascii="宋体" w:hAnsi="宋体" w:cs="宋体" w:eastAsia="宋体" w:hint="default"/>
                <w:sz w:val="18"/>
                <w:szCs w:val="18"/>
              </w:rPr>
              <w:t>首次公开 募集资金 资账户</w:t>
            </w:r>
          </w:p>
        </w:tc>
        <w:tc>
          <w:tcPr>
            <w:tcW w:w="353"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449" w:hRule="exact"/>
        </w:trPr>
        <w:tc>
          <w:tcPr>
            <w:tcW w:w="1701" w:type="dxa"/>
            <w:vMerge/>
            <w:tcBorders>
              <w:left w:val="single" w:sz="17" w:space="0" w:color="000000"/>
              <w:bottom w:val="single" w:sz="4" w:space="0" w:color="000000"/>
              <w:right w:val="single" w:sz="4" w:space="0" w:color="000000"/>
            </w:tcBorders>
            <w:shd w:val="clear" w:color="auto" w:fill="C6ECCC"/>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left="11" w:right="0"/>
              <w:jc w:val="left"/>
              <w:rPr>
                <w:rFonts w:ascii="宋体" w:hAnsi="宋体" w:cs="宋体" w:eastAsia="宋体" w:hint="default"/>
                <w:sz w:val="18"/>
                <w:szCs w:val="18"/>
              </w:rPr>
            </w:pPr>
            <w:r>
              <w:rPr>
                <w:rFonts w:ascii="宋体"/>
                <w:sz w:val="18"/>
              </w:rPr>
              <w:t>755904235310810</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99"/>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136"/>
              <w:jc w:val="right"/>
              <w:rPr>
                <w:rFonts w:ascii="宋体" w:hAnsi="宋体" w:cs="宋体" w:eastAsia="宋体" w:hint="default"/>
                <w:sz w:val="18"/>
                <w:szCs w:val="18"/>
              </w:rPr>
            </w:pPr>
            <w:r>
              <w:rPr>
                <w:rFonts w:ascii="宋体"/>
                <w:spacing w:val="-1"/>
                <w:sz w:val="18"/>
              </w:rPr>
              <w:t>47,759.54</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0"/>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2" w:lineRule="auto"/>
              <w:ind w:left="112" w:right="149"/>
              <w:jc w:val="both"/>
              <w:rPr>
                <w:rFonts w:ascii="宋体" w:hAnsi="宋体" w:cs="宋体" w:eastAsia="宋体" w:hint="default"/>
                <w:sz w:val="18"/>
                <w:szCs w:val="18"/>
              </w:rPr>
            </w:pPr>
            <w:r>
              <w:rPr>
                <w:rFonts w:ascii="宋体" w:hAnsi="宋体" w:cs="宋体" w:eastAsia="宋体" w:hint="default"/>
                <w:sz w:val="18"/>
                <w:szCs w:val="18"/>
              </w:rPr>
              <w:t>非公开发 行募集资 金账户</w:t>
            </w:r>
          </w:p>
        </w:tc>
        <w:tc>
          <w:tcPr>
            <w:tcW w:w="353" w:type="dxa"/>
            <w:vMerge w:val="restart"/>
            <w:tcBorders>
              <w:top w:val="nil" w:sz="6" w:space="0" w:color="auto"/>
              <w:left w:val="single" w:sz="4" w:space="0" w:color="000000"/>
              <w:right w:val="single" w:sz="4" w:space="0" w:color="000000"/>
            </w:tcBorders>
            <w:shd w:val="clear" w:color="auto" w:fill="C6ECCC"/>
          </w:tcPr>
          <w:p>
            <w:pPr/>
          </w:p>
        </w:tc>
      </w:tr>
      <w:tr>
        <w:trPr>
          <w:trHeight w:val="931" w:hRule="exact"/>
        </w:trPr>
        <w:tc>
          <w:tcPr>
            <w:tcW w:w="1701" w:type="dxa"/>
            <w:tcBorders>
              <w:top w:val="single" w:sz="4" w:space="0" w:color="000000"/>
              <w:left w:val="single" w:sz="17" w:space="0" w:color="000000"/>
              <w:bottom w:val="single" w:sz="4" w:space="0" w:color="000000"/>
              <w:right w:val="single" w:sz="4" w:space="0" w:color="000000"/>
            </w:tcBorders>
            <w:shd w:val="clear" w:color="auto" w:fill="C6ECCC"/>
          </w:tcPr>
          <w:p>
            <w:pPr>
              <w:pStyle w:val="TableParagraph"/>
              <w:spacing w:line="285" w:lineRule="auto" w:before="53"/>
              <w:ind w:left="27" w:right="89"/>
              <w:jc w:val="both"/>
              <w:rPr>
                <w:rFonts w:ascii="宋体" w:hAnsi="宋体" w:cs="宋体" w:eastAsia="宋体" w:hint="default"/>
                <w:sz w:val="18"/>
                <w:szCs w:val="18"/>
              </w:rPr>
            </w:pPr>
            <w:r>
              <w:rPr>
                <w:rFonts w:ascii="宋体" w:hAnsi="宋体" w:cs="宋体" w:eastAsia="宋体" w:hint="default"/>
                <w:spacing w:val="14"/>
                <w:sz w:val="18"/>
                <w:szCs w:val="18"/>
              </w:rPr>
              <w:t>上海浦东发展银行 股份有限公司深圳 </w:t>
            </w:r>
            <w:r>
              <w:rPr>
                <w:rFonts w:ascii="宋体" w:hAnsi="宋体" w:cs="宋体" w:eastAsia="宋体" w:hint="default"/>
                <w:sz w:val="18"/>
                <w:szCs w:val="18"/>
              </w:rPr>
              <w:t>分行</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1" w:right="0"/>
              <w:jc w:val="left"/>
              <w:rPr>
                <w:rFonts w:ascii="宋体" w:hAnsi="宋体" w:cs="宋体" w:eastAsia="宋体" w:hint="default"/>
                <w:sz w:val="18"/>
                <w:szCs w:val="18"/>
              </w:rPr>
            </w:pPr>
            <w:r>
              <w:rPr>
                <w:rFonts w:ascii="宋体"/>
                <w:sz w:val="18"/>
              </w:rPr>
              <w:t>79170155200004989</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9"/>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37"/>
              <w:jc w:val="right"/>
              <w:rPr>
                <w:rFonts w:ascii="宋体" w:hAnsi="宋体" w:cs="宋体" w:eastAsia="宋体" w:hint="default"/>
                <w:sz w:val="18"/>
                <w:szCs w:val="18"/>
              </w:rPr>
            </w:pPr>
            <w:r>
              <w:rPr>
                <w:rFonts w:ascii="宋体"/>
                <w:spacing w:val="-1"/>
                <w:sz w:val="18"/>
              </w:rPr>
              <w:t>8,084,303.30</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vMerge/>
            <w:tcBorders>
              <w:left w:val="single" w:sz="4" w:space="0" w:color="000000"/>
              <w:bottom w:val="single" w:sz="4" w:space="0" w:color="000000"/>
              <w:right w:val="single" w:sz="4" w:space="0" w:color="000000"/>
            </w:tcBorders>
            <w:shd w:val="clear" w:color="auto" w:fill="C6ECCC"/>
          </w:tcPr>
          <w:p>
            <w:pPr/>
          </w:p>
        </w:tc>
        <w:tc>
          <w:tcPr>
            <w:tcW w:w="353" w:type="dxa"/>
            <w:vMerge/>
            <w:tcBorders>
              <w:left w:val="single" w:sz="4" w:space="0" w:color="000000"/>
              <w:bottom w:val="nil" w:sz="6" w:space="0" w:color="auto"/>
              <w:right w:val="single" w:sz="4" w:space="0" w:color="000000"/>
            </w:tcBorders>
            <w:shd w:val="clear" w:color="auto" w:fill="C6ECCC"/>
          </w:tcPr>
          <w:p>
            <w:pPr/>
          </w:p>
        </w:tc>
      </w:tr>
      <w:tr>
        <w:trPr>
          <w:trHeight w:val="650" w:hRule="exact"/>
        </w:trPr>
        <w:tc>
          <w:tcPr>
            <w:tcW w:w="1701" w:type="dxa"/>
            <w:tcBorders>
              <w:top w:val="single" w:sz="4" w:space="0" w:color="000000"/>
              <w:left w:val="single" w:sz="17" w:space="0" w:color="000000"/>
              <w:bottom w:val="single" w:sz="4" w:space="0" w:color="000000"/>
              <w:right w:val="single" w:sz="4" w:space="0" w:color="000000"/>
            </w:tcBorders>
            <w:shd w:val="clear" w:color="auto" w:fill="C6ECCC"/>
          </w:tcPr>
          <w:p>
            <w:pPr>
              <w:pStyle w:val="TableParagraph"/>
              <w:spacing w:line="283" w:lineRule="auto" w:before="53"/>
              <w:ind w:left="27" w:right="89"/>
              <w:jc w:val="left"/>
              <w:rPr>
                <w:rFonts w:ascii="宋体" w:hAnsi="宋体" w:cs="宋体" w:eastAsia="宋体" w:hint="default"/>
                <w:sz w:val="18"/>
                <w:szCs w:val="18"/>
              </w:rPr>
            </w:pPr>
            <w:r>
              <w:rPr>
                <w:rFonts w:ascii="宋体" w:hAnsi="宋体" w:cs="宋体" w:eastAsia="宋体" w:hint="default"/>
                <w:spacing w:val="14"/>
                <w:sz w:val="18"/>
                <w:szCs w:val="18"/>
              </w:rPr>
              <w:t>中信银行股份有限 </w:t>
            </w:r>
            <w:r>
              <w:rPr>
                <w:rFonts w:ascii="宋体" w:hAnsi="宋体" w:cs="宋体" w:eastAsia="宋体" w:hint="default"/>
                <w:sz w:val="18"/>
                <w:szCs w:val="18"/>
              </w:rPr>
              <w:t>公司滨海新区分行</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sz w:val="18"/>
              </w:rPr>
              <w:t>7231210182600086559</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36"/>
              <w:jc w:val="right"/>
              <w:rPr>
                <w:rFonts w:ascii="宋体" w:hAnsi="宋体" w:cs="宋体" w:eastAsia="宋体" w:hint="default"/>
                <w:sz w:val="18"/>
                <w:szCs w:val="18"/>
              </w:rPr>
            </w:pPr>
            <w:r>
              <w:rPr>
                <w:rFonts w:ascii="宋体"/>
                <w:spacing w:val="-1"/>
                <w:sz w:val="18"/>
              </w:rPr>
              <w:t>1,390.18</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7"/>
              <w:ind w:left="112" w:right="149"/>
              <w:jc w:val="both"/>
              <w:rPr>
                <w:rFonts w:ascii="宋体" w:hAnsi="宋体" w:cs="宋体" w:eastAsia="宋体" w:hint="default"/>
                <w:sz w:val="18"/>
                <w:szCs w:val="18"/>
              </w:rPr>
            </w:pPr>
            <w:r>
              <w:rPr>
                <w:rFonts w:ascii="宋体" w:hAnsi="宋体" w:cs="宋体" w:eastAsia="宋体" w:hint="default"/>
                <w:sz w:val="18"/>
                <w:szCs w:val="18"/>
              </w:rPr>
              <w:t>首次公开 募集资金 资账户</w:t>
            </w:r>
          </w:p>
        </w:tc>
        <w:tc>
          <w:tcPr>
            <w:tcW w:w="353" w:type="dxa"/>
            <w:vMerge w:val="restart"/>
            <w:tcBorders>
              <w:top w:val="nil" w:sz="6" w:space="0" w:color="auto"/>
              <w:left w:val="single" w:sz="4" w:space="0" w:color="000000"/>
              <w:right w:val="single" w:sz="4" w:space="0" w:color="000000"/>
            </w:tcBorders>
            <w:shd w:val="clear" w:color="auto" w:fill="C6ECCC"/>
          </w:tcPr>
          <w:p>
            <w:pPr/>
          </w:p>
        </w:tc>
      </w:tr>
      <w:tr>
        <w:trPr>
          <w:trHeight w:val="809" w:hRule="exact"/>
        </w:trPr>
        <w:tc>
          <w:tcPr>
            <w:tcW w:w="1701" w:type="dxa"/>
            <w:tcBorders>
              <w:top w:val="single" w:sz="4" w:space="0" w:color="000000"/>
              <w:left w:val="single" w:sz="17" w:space="0" w:color="000000"/>
              <w:bottom w:val="single" w:sz="4" w:space="0" w:color="000000"/>
              <w:right w:val="single" w:sz="4" w:space="0" w:color="000000"/>
            </w:tcBorders>
            <w:shd w:val="clear" w:color="auto" w:fill="C6ECCC"/>
          </w:tcPr>
          <w:p>
            <w:pPr>
              <w:pStyle w:val="TableParagraph"/>
              <w:spacing w:line="364" w:lineRule="auto" w:before="116"/>
              <w:ind w:left="27" w:right="89"/>
              <w:jc w:val="left"/>
              <w:rPr>
                <w:rFonts w:ascii="宋体" w:hAnsi="宋体" w:cs="宋体" w:eastAsia="宋体" w:hint="default"/>
                <w:sz w:val="18"/>
                <w:szCs w:val="18"/>
              </w:rPr>
            </w:pPr>
            <w:r>
              <w:rPr>
                <w:rFonts w:ascii="宋体" w:hAnsi="宋体" w:cs="宋体" w:eastAsia="宋体" w:hint="default"/>
                <w:spacing w:val="14"/>
                <w:sz w:val="18"/>
                <w:szCs w:val="18"/>
              </w:rPr>
              <w:t>农行天津新天地支 </w:t>
            </w:r>
            <w:r>
              <w:rPr>
                <w:rFonts w:ascii="宋体" w:hAnsi="宋体" w:cs="宋体" w:eastAsia="宋体" w:hint="default"/>
                <w:sz w:val="18"/>
                <w:szCs w:val="18"/>
              </w:rPr>
              <w:t>行</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sz w:val="18"/>
              </w:rPr>
              <w:t>014301040007201</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36"/>
              <w:jc w:val="right"/>
              <w:rPr>
                <w:rFonts w:ascii="宋体" w:hAnsi="宋体" w:cs="宋体" w:eastAsia="宋体" w:hint="default"/>
                <w:sz w:val="18"/>
                <w:szCs w:val="18"/>
              </w:rPr>
            </w:pPr>
            <w:r>
              <w:rPr>
                <w:rFonts w:ascii="宋体"/>
                <w:spacing w:val="-1"/>
                <w:sz w:val="18"/>
              </w:rPr>
              <w:t>80,865.31</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vMerge/>
            <w:tcBorders>
              <w:left w:val="single" w:sz="4" w:space="0" w:color="000000"/>
              <w:bottom w:val="single" w:sz="4" w:space="0" w:color="000000"/>
              <w:right w:val="single" w:sz="4" w:space="0" w:color="000000"/>
            </w:tcBorders>
            <w:shd w:val="clear" w:color="auto" w:fill="C6ECCC"/>
          </w:tcPr>
          <w:p>
            <w:pPr/>
          </w:p>
        </w:tc>
        <w:tc>
          <w:tcPr>
            <w:tcW w:w="353" w:type="dxa"/>
            <w:vMerge/>
            <w:tcBorders>
              <w:left w:val="single" w:sz="4" w:space="0" w:color="000000"/>
              <w:bottom w:val="nil" w:sz="6" w:space="0" w:color="auto"/>
              <w:right w:val="single" w:sz="4" w:space="0" w:color="000000"/>
            </w:tcBorders>
            <w:shd w:val="clear" w:color="auto" w:fill="C6ECCC"/>
          </w:tcPr>
          <w:p>
            <w:pPr/>
          </w:p>
        </w:tc>
      </w:tr>
      <w:tr>
        <w:trPr>
          <w:trHeight w:val="459" w:hRule="exact"/>
        </w:trPr>
        <w:tc>
          <w:tcPr>
            <w:tcW w:w="1701" w:type="dxa"/>
            <w:vMerge w:val="restart"/>
            <w:tcBorders>
              <w:top w:val="single" w:sz="4" w:space="0" w:color="000000"/>
              <w:left w:val="single" w:sz="17" w:space="0" w:color="000000"/>
              <w:right w:val="single" w:sz="4" w:space="0" w:color="000000"/>
            </w:tcBorders>
            <w:shd w:val="clear" w:color="auto" w:fill="C6ECCC"/>
          </w:tcPr>
          <w:p>
            <w:pPr>
              <w:pStyle w:val="TableParagraph"/>
              <w:spacing w:line="285" w:lineRule="auto" w:before="54"/>
              <w:ind w:left="27" w:right="89"/>
              <w:jc w:val="both"/>
              <w:rPr>
                <w:rFonts w:ascii="宋体" w:hAnsi="宋体" w:cs="宋体" w:eastAsia="宋体" w:hint="default"/>
                <w:sz w:val="18"/>
                <w:szCs w:val="18"/>
              </w:rPr>
            </w:pPr>
            <w:r>
              <w:rPr>
                <w:rFonts w:ascii="宋体" w:hAnsi="宋体" w:cs="宋体" w:eastAsia="宋体" w:hint="default"/>
                <w:spacing w:val="14"/>
                <w:sz w:val="18"/>
                <w:szCs w:val="18"/>
              </w:rPr>
              <w:t>中国农业银行股份 有限公司天津港保 </w:t>
            </w:r>
            <w:r>
              <w:rPr>
                <w:rFonts w:ascii="宋体" w:hAnsi="宋体" w:cs="宋体" w:eastAsia="宋体" w:hint="default"/>
                <w:sz w:val="18"/>
                <w:szCs w:val="18"/>
              </w:rPr>
              <w:t>税区分行</w:t>
            </w:r>
          </w:p>
        </w:tc>
        <w:tc>
          <w:tcPr>
            <w:tcW w:w="2127" w:type="dxa"/>
            <w:tcBorders>
              <w:top w:val="single" w:sz="4" w:space="0" w:color="000000"/>
              <w:left w:val="single" w:sz="4" w:space="0" w:color="000000"/>
              <w:bottom w:val="single" w:sz="10" w:space="0" w:color="FFFFFF"/>
              <w:right w:val="single" w:sz="4" w:space="0" w:color="000000"/>
            </w:tcBorders>
            <w:shd w:val="clear" w:color="auto" w:fill="C6ECCC"/>
          </w:tcPr>
          <w:p>
            <w:pPr>
              <w:pStyle w:val="TableParagraph"/>
              <w:spacing w:line="240" w:lineRule="auto" w:before="116"/>
              <w:ind w:left="11" w:right="0"/>
              <w:jc w:val="left"/>
              <w:rPr>
                <w:rFonts w:ascii="宋体" w:hAnsi="宋体" w:cs="宋体" w:eastAsia="宋体" w:hint="default"/>
                <w:sz w:val="18"/>
                <w:szCs w:val="18"/>
              </w:rPr>
            </w:pPr>
            <w:r>
              <w:rPr>
                <w:rFonts w:ascii="宋体"/>
                <w:sz w:val="18"/>
              </w:rPr>
              <w:t>02250401040017904</w:t>
            </w:r>
          </w:p>
        </w:tc>
        <w:tc>
          <w:tcPr>
            <w:tcW w:w="1702" w:type="dxa"/>
            <w:tcBorders>
              <w:top w:val="single" w:sz="4" w:space="0" w:color="000000"/>
              <w:left w:val="single" w:sz="4" w:space="0" w:color="000000"/>
              <w:bottom w:val="single" w:sz="10" w:space="0" w:color="FFFFFF"/>
              <w:right w:val="single" w:sz="4" w:space="0" w:color="000000"/>
            </w:tcBorders>
            <w:shd w:val="clear" w:color="auto" w:fill="C6ECCC"/>
          </w:tcPr>
          <w:p>
            <w:pPr>
              <w:pStyle w:val="TableParagraph"/>
              <w:spacing w:line="240" w:lineRule="auto" w:before="116"/>
              <w:ind w:right="99"/>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10" w:space="0" w:color="FFFFFF"/>
              <w:right w:val="single" w:sz="4" w:space="0" w:color="000000"/>
            </w:tcBorders>
            <w:shd w:val="clear" w:color="auto" w:fill="C6ECCC"/>
          </w:tcPr>
          <w:p>
            <w:pPr>
              <w:pStyle w:val="TableParagraph"/>
              <w:spacing w:line="240" w:lineRule="auto" w:before="116"/>
              <w:ind w:right="137"/>
              <w:jc w:val="right"/>
              <w:rPr>
                <w:rFonts w:ascii="宋体" w:hAnsi="宋体" w:cs="宋体" w:eastAsia="宋体" w:hint="default"/>
                <w:sz w:val="18"/>
                <w:szCs w:val="18"/>
              </w:rPr>
            </w:pPr>
            <w:r>
              <w:rPr>
                <w:rFonts w:ascii="宋体"/>
                <w:spacing w:val="-1"/>
                <w:sz w:val="18"/>
              </w:rPr>
              <w:t>5,859,936.78</w:t>
            </w:r>
          </w:p>
        </w:tc>
        <w:tc>
          <w:tcPr>
            <w:tcW w:w="992" w:type="dxa"/>
            <w:tcBorders>
              <w:top w:val="single" w:sz="4" w:space="0" w:color="000000"/>
              <w:left w:val="single" w:sz="4" w:space="0" w:color="000000"/>
              <w:bottom w:val="single" w:sz="10" w:space="0" w:color="FFFFFF"/>
              <w:right w:val="single" w:sz="4" w:space="0" w:color="000000"/>
            </w:tcBorders>
            <w:shd w:val="clear" w:color="auto" w:fill="C6ECCC"/>
          </w:tcPr>
          <w:p>
            <w:pPr>
              <w:pStyle w:val="TableParagraph"/>
              <w:spacing w:line="240" w:lineRule="auto" w:before="20"/>
              <w:ind w:right="130"/>
              <w:jc w:val="right"/>
              <w:rPr>
                <w:rFonts w:ascii="宋体" w:hAnsi="宋体" w:cs="宋体" w:eastAsia="宋体" w:hint="default"/>
                <w:sz w:val="18"/>
                <w:szCs w:val="18"/>
              </w:rPr>
            </w:pPr>
            <w:r>
              <w:rPr>
                <w:rFonts w:ascii="宋体" w:hAnsi="宋体" w:cs="宋体" w:eastAsia="宋体" w:hint="default"/>
                <w:sz w:val="18"/>
                <w:szCs w:val="18"/>
              </w:rPr>
              <w:t>活期存款</w:t>
            </w:r>
          </w:p>
        </w:tc>
        <w:tc>
          <w:tcPr>
            <w:tcW w:w="994" w:type="dxa"/>
            <w:vMerge w:val="restart"/>
            <w:tcBorders>
              <w:top w:val="single" w:sz="4" w:space="0" w:color="000000"/>
              <w:left w:val="single" w:sz="4" w:space="0" w:color="000000"/>
              <w:right w:val="single" w:sz="4" w:space="0" w:color="000000"/>
            </w:tcBorders>
            <w:shd w:val="clear" w:color="auto" w:fill="C6ECCC"/>
          </w:tcPr>
          <w:p>
            <w:pPr>
              <w:pStyle w:val="TableParagraph"/>
              <w:spacing w:line="244" w:lineRule="auto" w:before="80"/>
              <w:ind w:left="112" w:right="149"/>
              <w:jc w:val="both"/>
              <w:rPr>
                <w:rFonts w:ascii="宋体" w:hAnsi="宋体" w:cs="宋体" w:eastAsia="宋体" w:hint="default"/>
                <w:sz w:val="18"/>
                <w:szCs w:val="18"/>
              </w:rPr>
            </w:pPr>
            <w:r>
              <w:rPr>
                <w:rFonts w:ascii="宋体" w:hAnsi="宋体" w:cs="宋体" w:eastAsia="宋体" w:hint="default"/>
                <w:sz w:val="18"/>
                <w:szCs w:val="18"/>
              </w:rPr>
              <w:t>非公开发 行募集资 金账户</w:t>
            </w:r>
          </w:p>
        </w:tc>
        <w:tc>
          <w:tcPr>
            <w:tcW w:w="353" w:type="dxa"/>
            <w:vMerge w:val="restart"/>
            <w:tcBorders>
              <w:top w:val="nil" w:sz="6" w:space="0" w:color="auto"/>
              <w:left w:val="single" w:sz="4" w:space="0" w:color="000000"/>
              <w:right w:val="single" w:sz="4" w:space="0" w:color="000000"/>
            </w:tcBorders>
            <w:shd w:val="clear" w:color="auto" w:fill="C6ECCC"/>
          </w:tcPr>
          <w:p>
            <w:pPr/>
          </w:p>
        </w:tc>
      </w:tr>
      <w:tr>
        <w:trPr>
          <w:trHeight w:val="473" w:hRule="exact"/>
        </w:trPr>
        <w:tc>
          <w:tcPr>
            <w:tcW w:w="1701" w:type="dxa"/>
            <w:vMerge/>
            <w:tcBorders>
              <w:left w:val="single" w:sz="17" w:space="0" w:color="000000"/>
              <w:bottom w:val="single" w:sz="4" w:space="0" w:color="000000"/>
              <w:right w:val="single" w:sz="4" w:space="0" w:color="000000"/>
            </w:tcBorders>
            <w:shd w:val="clear" w:color="auto" w:fill="C6ECCC"/>
          </w:tcPr>
          <w:p>
            <w:pPr/>
          </w:p>
        </w:tc>
        <w:tc>
          <w:tcPr>
            <w:tcW w:w="2127" w:type="dxa"/>
            <w:tcBorders>
              <w:top w:val="single" w:sz="10"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116"/>
              <w:ind w:left="11" w:right="0"/>
              <w:jc w:val="left"/>
              <w:rPr>
                <w:rFonts w:ascii="宋体" w:hAnsi="宋体" w:cs="宋体" w:eastAsia="宋体" w:hint="default"/>
                <w:sz w:val="18"/>
                <w:szCs w:val="18"/>
              </w:rPr>
            </w:pPr>
            <w:r>
              <w:rPr>
                <w:rFonts w:ascii="宋体"/>
                <w:sz w:val="18"/>
              </w:rPr>
              <w:t>0225040104001790400003</w:t>
            </w:r>
          </w:p>
        </w:tc>
        <w:tc>
          <w:tcPr>
            <w:tcW w:w="1702" w:type="dxa"/>
            <w:tcBorders>
              <w:top w:val="single" w:sz="10"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116"/>
              <w:ind w:right="99"/>
              <w:jc w:val="right"/>
              <w:rPr>
                <w:rFonts w:ascii="宋体" w:hAnsi="宋体" w:cs="宋体" w:eastAsia="宋体" w:hint="default"/>
                <w:sz w:val="18"/>
                <w:szCs w:val="18"/>
              </w:rPr>
            </w:pPr>
            <w:r>
              <w:rPr>
                <w:rFonts w:ascii="宋体"/>
                <w:sz w:val="18"/>
              </w:rPr>
              <w:t>---</w:t>
            </w:r>
          </w:p>
        </w:tc>
        <w:tc>
          <w:tcPr>
            <w:tcW w:w="1702" w:type="dxa"/>
            <w:tcBorders>
              <w:top w:val="single" w:sz="10"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116"/>
              <w:ind w:right="137"/>
              <w:jc w:val="right"/>
              <w:rPr>
                <w:rFonts w:ascii="宋体" w:hAnsi="宋体" w:cs="宋体" w:eastAsia="宋体" w:hint="default"/>
                <w:sz w:val="18"/>
                <w:szCs w:val="18"/>
              </w:rPr>
            </w:pPr>
            <w:r>
              <w:rPr>
                <w:rFonts w:ascii="宋体"/>
                <w:spacing w:val="-1"/>
                <w:sz w:val="18"/>
              </w:rPr>
              <w:t>8,000,000.00</w:t>
            </w:r>
          </w:p>
        </w:tc>
        <w:tc>
          <w:tcPr>
            <w:tcW w:w="992" w:type="dxa"/>
            <w:tcBorders>
              <w:top w:val="single" w:sz="10" w:space="0" w:color="FFFFFF"/>
              <w:left w:val="single" w:sz="4" w:space="0" w:color="000000"/>
              <w:bottom w:val="single" w:sz="4" w:space="0" w:color="000000"/>
              <w:right w:val="single" w:sz="4" w:space="0" w:color="000000"/>
            </w:tcBorders>
            <w:shd w:val="clear" w:color="auto" w:fill="C6ECCC"/>
          </w:tcPr>
          <w:p>
            <w:pPr>
              <w:pStyle w:val="TableParagraph"/>
              <w:spacing w:line="240" w:lineRule="auto" w:before="5"/>
              <w:ind w:right="149"/>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天通知</w:t>
            </w:r>
          </w:p>
        </w:tc>
        <w:tc>
          <w:tcPr>
            <w:tcW w:w="994" w:type="dxa"/>
            <w:vMerge/>
            <w:tcBorders>
              <w:left w:val="single" w:sz="4" w:space="0" w:color="000000"/>
              <w:bottom w:val="single" w:sz="4" w:space="0" w:color="000000"/>
              <w:right w:val="single" w:sz="4" w:space="0" w:color="000000"/>
            </w:tcBorders>
            <w:shd w:val="clear" w:color="auto" w:fill="C6ECCC"/>
          </w:tcPr>
          <w:p>
            <w:pPr/>
          </w:p>
        </w:tc>
        <w:tc>
          <w:tcPr>
            <w:tcW w:w="353" w:type="dxa"/>
            <w:vMerge/>
            <w:tcBorders>
              <w:left w:val="single" w:sz="4" w:space="0" w:color="000000"/>
              <w:right w:val="single" w:sz="4" w:space="0" w:color="000000"/>
            </w:tcBorders>
            <w:shd w:val="clear" w:color="auto" w:fill="C6ECCC"/>
          </w:tcPr>
          <w:p>
            <w:pPr/>
          </w:p>
        </w:tc>
      </w:tr>
      <w:tr>
        <w:trPr>
          <w:trHeight w:val="449" w:hRule="exact"/>
        </w:trPr>
        <w:tc>
          <w:tcPr>
            <w:tcW w:w="1701" w:type="dxa"/>
            <w:tcBorders>
              <w:top w:val="single" w:sz="4" w:space="0" w:color="000000"/>
              <w:left w:val="single" w:sz="17" w:space="0" w:color="000000"/>
              <w:bottom w:val="single" w:sz="4" w:space="0" w:color="000000"/>
              <w:right w:val="single" w:sz="4" w:space="0" w:color="000000"/>
            </w:tcBorders>
            <w:shd w:val="clear" w:color="auto" w:fill="C6ECCC"/>
          </w:tcPr>
          <w:p>
            <w:pPr>
              <w:pStyle w:val="TableParagraph"/>
              <w:spacing w:line="240" w:lineRule="auto" w:before="116"/>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1,043,065,000.00</w:t>
            </w:r>
          </w:p>
        </w:tc>
        <w:tc>
          <w:tcPr>
            <w:tcW w:w="17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134"/>
              <w:jc w:val="right"/>
              <w:rPr>
                <w:rFonts w:ascii="宋体" w:hAnsi="宋体" w:cs="宋体" w:eastAsia="宋体" w:hint="default"/>
                <w:sz w:val="18"/>
                <w:szCs w:val="18"/>
              </w:rPr>
            </w:pPr>
            <w:r>
              <w:rPr>
                <w:rFonts w:ascii="宋体"/>
                <w:spacing w:val="-1"/>
                <w:sz w:val="18"/>
              </w:rPr>
              <w:t>26,267,293.22</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134"/>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6"/>
              <w:ind w:right="137"/>
              <w:jc w:val="right"/>
              <w:rPr>
                <w:rFonts w:ascii="宋体" w:hAnsi="宋体" w:cs="宋体" w:eastAsia="宋体" w:hint="default"/>
                <w:sz w:val="18"/>
                <w:szCs w:val="18"/>
              </w:rPr>
            </w:pPr>
            <w:r>
              <w:rPr>
                <w:rFonts w:ascii="宋体"/>
                <w:sz w:val="18"/>
              </w:rPr>
              <w:t>--</w:t>
            </w:r>
          </w:p>
        </w:tc>
        <w:tc>
          <w:tcPr>
            <w:tcW w:w="353" w:type="dxa"/>
            <w:vMerge/>
            <w:tcBorders>
              <w:left w:val="single" w:sz="4" w:space="0" w:color="000000"/>
              <w:bottom w:val="nil" w:sz="6" w:space="0" w:color="auto"/>
              <w:right w:val="single" w:sz="4" w:space="0" w:color="000000"/>
            </w:tcBorders>
            <w:shd w:val="clear" w:color="auto" w:fill="C6ECCC"/>
          </w:tcPr>
          <w:p>
            <w:pPr/>
          </w:p>
        </w:tc>
      </w:tr>
      <w:tr>
        <w:trPr>
          <w:trHeight w:val="1378" w:hRule="exact"/>
        </w:trPr>
        <w:tc>
          <w:tcPr>
            <w:tcW w:w="9570" w:type="dxa"/>
            <w:gridSpan w:val="7"/>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月本公司首次公开发行初始存放金额中包括后期支付的发行费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3,364,514.00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元，扣除该发行费后实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538,200,486.00 </w:t>
            </w:r>
            <w:r>
              <w:rPr>
                <w:rFonts w:ascii="宋体" w:hAnsi="宋体" w:cs="宋体" w:eastAsia="宋体" w:hint="default"/>
                <w:sz w:val="18"/>
                <w:szCs w:val="18"/>
              </w:rPr>
              <w:t>元。</w:t>
            </w:r>
          </w:p>
          <w:p>
            <w:pPr>
              <w:pStyle w:val="TableParagraph"/>
              <w:spacing w:line="240" w:lineRule="auto" w:before="103"/>
              <w:ind w:left="3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月本公司非公开发行初始存放金额中包括后期支付的发行费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2,586,000.00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元，扣除该发行费后实际募集</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498,914,000.00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footerReference w:type="default" r:id="rId25"/>
          <w:pgSz w:w="11910" w:h="16840"/>
          <w:pgMar w:footer="1340" w:header="877" w:top="1060" w:bottom="1620" w:left="980" w:right="0"/>
          <w:pgNumType w:start="21"/>
        </w:sectPr>
      </w:pPr>
    </w:p>
    <w:p>
      <w:pPr>
        <w:spacing w:line="240" w:lineRule="auto" w:before="2"/>
        <w:rPr>
          <w:rFonts w:ascii="Times New Roman" w:hAnsi="Times New Roman" w:cs="Times New Roman" w:eastAsia="Times New Roman" w:hint="default"/>
          <w:sz w:val="28"/>
          <w:szCs w:val="28"/>
        </w:rPr>
      </w:pPr>
      <w:r>
        <w:rPr/>
        <w:pict>
          <v:shape style="position:absolute;margin-left:58.080002pt;margin-top:428.565979pt;width:124.7pt;height:19.75pt;mso-position-horizontal-relative:page;mso-position-vertical-relative:page;z-index:-991840" type="#_x0000_t202" filled="false" stroked="false">
            <v:textbox inset="0,0,0,0">
              <w:txbxContent>
                <w:p>
                  <w:pPr>
                    <w:pStyle w:val="BodyText"/>
                    <w:spacing w:line="240" w:lineRule="auto" w:before="49"/>
                    <w:ind w:left="0" w:right="0"/>
                    <w:jc w:val="left"/>
                  </w:pPr>
                  <w:r>
                    <w:rPr/>
                    <w:t>生产建设项目（二期）</w:t>
                  </w:r>
                </w:p>
              </w:txbxContent>
            </v:textbox>
            <w10:wrap type="none"/>
          </v:shape>
        </w:pict>
      </w:r>
      <w:r>
        <w:rPr/>
        <w:pict>
          <v:group style="position:absolute;margin-left:145.460007pt;margin-top:427.965973pt;width:37.35pt;height:20.95pt;mso-position-horizontal-relative:page;mso-position-vertical-relative:page;z-index:-991816" coordorigin="2909,8559" coordsize="747,419">
            <v:group style="position:absolute;left:2921;top:8571;width:2;height:395" coordorigin="2921,8571" coordsize="2,395">
              <v:shape style="position:absolute;left:2921;top:8571;width:2;height:395" coordorigin="2921,8571" coordsize="0,395" path="m2921,8571l2921,8965e" filled="false" stroked="true" strokeweight="1.2pt" strokecolor="#ffffff">
                <v:path arrowok="t"/>
              </v:shape>
            </v:group>
            <v:group style="position:absolute;left:2933;top:8571;width:723;height:395" coordorigin="2933,8571" coordsize="723,395">
              <v:shape style="position:absolute;left:2933;top:8571;width:723;height:395" coordorigin="2933,8571" coordsize="723,395" path="m2933,8965l3656,8965,3656,8571,2933,8571,2933,8965xe" filled="true" fillcolor="#ffffff" stroked="false">
                <v:path arrowok="t"/>
                <v:fill type="solid"/>
              </v:shape>
            </v:group>
            <w10:wrap type="none"/>
          </v:group>
        </w:pict>
      </w: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、深圳生产基地技术 </w:t>
            </w:r>
            <w:r>
              <w:rPr>
                <w:rFonts w:ascii="宋体" w:hAnsi="宋体" w:cs="宋体" w:eastAsia="宋体" w:hint="default"/>
                <w:spacing w:val="-11"/>
                <w:sz w:val="18"/>
                <w:szCs w:val="18"/>
              </w:rPr>
              <w:t>改造（</w:t>
            </w:r>
            <w:r>
              <w:rPr>
                <w:rFonts w:ascii="Times New Roman" w:hAnsi="Times New Roman" w:cs="Times New Roman" w:eastAsia="Times New Roman" w:hint="default"/>
                <w:spacing w:val="-11"/>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首次公开发 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4,603.45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2,211.2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、网络通讯产品生产 </w:t>
            </w:r>
            <w:r>
              <w:rPr>
                <w:rFonts w:ascii="宋体" w:hAnsi="宋体" w:cs="宋体" w:eastAsia="宋体" w:hint="default"/>
                <w:spacing w:val="-11"/>
                <w:sz w:val="18"/>
                <w:szCs w:val="18"/>
              </w:rPr>
              <w:t>基地（</w:t>
            </w:r>
            <w:r>
              <w:rPr>
                <w:rFonts w:ascii="Times New Roman" w:hAnsi="Times New Roman" w:cs="Times New Roman" w:eastAsia="Times New Roman" w:hint="default"/>
                <w:spacing w:val="-11"/>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首次公开发 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4,148.85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7,867.98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、消费电子产品生产 </w:t>
            </w:r>
            <w:r>
              <w:rPr>
                <w:rFonts w:ascii="宋体" w:hAnsi="宋体" w:cs="宋体" w:eastAsia="宋体" w:hint="default"/>
                <w:spacing w:val="-11"/>
                <w:sz w:val="18"/>
                <w:szCs w:val="18"/>
              </w:rPr>
              <w:t>基地（</w:t>
            </w:r>
            <w:r>
              <w:rPr>
                <w:rFonts w:ascii="Times New Roman" w:hAnsi="Times New Roman" w:cs="Times New Roman" w:eastAsia="Times New Roman" w:hint="default"/>
                <w:spacing w:val="-11"/>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首次公开发 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2,840.21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6,866.89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、深圳松岗网络通信 </w:t>
            </w:r>
            <w:r>
              <w:rPr>
                <w:rFonts w:ascii="宋体" w:hAnsi="宋体" w:cs="宋体" w:eastAsia="宋体" w:hint="default"/>
                <w:spacing w:val="-9"/>
                <w:sz w:val="18"/>
                <w:szCs w:val="18"/>
              </w:rPr>
              <w:t>产品扩产项目（非公开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、天津网络通信产品</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（非公开发行项目）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9,061.96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9,061.96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、补充公司流动资金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（非公开发行项目）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37,778.83</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50,100.57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2,655.4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、深圳生产基地</w:t>
            </w:r>
            <w:r>
              <w:rPr>
                <w:rFonts w:ascii="Times New Roman" w:hAnsi="Times New Roman" w:cs="Times New Roman" w:eastAsia="Times New Roman" w:hint="default"/>
                <w:sz w:val="18"/>
                <w:szCs w:val="18"/>
              </w:rPr>
              <w:t>(</w:t>
            </w:r>
            <w:r>
              <w:rPr>
                <w:rFonts w:ascii="宋体" w:hAnsi="宋体" w:cs="宋体" w:eastAsia="宋体" w:hint="default"/>
                <w:sz w:val="18"/>
                <w:szCs w:val="18"/>
              </w:rPr>
              <w:t>松 岗</w:t>
            </w:r>
            <w:r>
              <w:rPr>
                <w:rFonts w:ascii="Times New Roman" w:hAnsi="Times New Roman" w:cs="Times New Roman" w:eastAsia="Times New Roman"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、松岗基地基础建设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3,539.44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3,539.44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3,700.28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、精密模具生产厂</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4,943.75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、手持终端产品车间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3,743.87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8.080002pt;margin-top:72.475983pt;width:124.7pt;height:19.6pt;mso-position-horizontal-relative:page;mso-position-vertical-relative:page;z-index:-991792" type="#_x0000_t202" filled="false" stroked="false">
            <v:textbox inset="0,0,0,0">
              <w:txbxContent>
                <w:p>
                  <w:pPr>
                    <w:pStyle w:val="BodyText"/>
                    <w:spacing w:line="240" w:lineRule="auto" w:before="49"/>
                    <w:ind w:left="0" w:right="0"/>
                    <w:jc w:val="left"/>
                  </w:pPr>
                  <w:r>
                    <w:rPr/>
                    <w:t>归还银行贷款（如有）</w:t>
                  </w:r>
                </w:p>
              </w:txbxContent>
            </v:textbox>
            <w10:wrap type="none"/>
          </v:shape>
        </w:pict>
      </w:r>
      <w:r>
        <w:rPr/>
        <w:pict>
          <v:shape style="position:absolute;margin-left:58.080002pt;margin-top:92.659981pt;width:124.7pt;height:19.6pt;mso-position-horizontal-relative:page;mso-position-vertical-relative:page;z-index:-991768"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48"/>
        <w:gridCol w:w="205"/>
        <w:gridCol w:w="574"/>
        <w:gridCol w:w="791"/>
        <w:gridCol w:w="780"/>
        <w:gridCol w:w="780"/>
        <w:gridCol w:w="780"/>
        <w:gridCol w:w="780"/>
        <w:gridCol w:w="768"/>
        <w:gridCol w:w="793"/>
        <w:gridCol w:w="780"/>
        <w:gridCol w:w="780"/>
      </w:tblGrid>
      <w:tr>
        <w:trPr>
          <w:trHeight w:val="401"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 w:type="dxa"/>
            <w:tcBorders>
              <w:top w:val="single" w:sz="4" w:space="0" w:color="000000"/>
              <w:left w:val="single" w:sz="4" w:space="0" w:color="000000"/>
              <w:bottom w:val="single" w:sz="4" w:space="0" w:color="000000"/>
              <w:right w:val="nil" w:sz="6" w:space="0" w:color="auto"/>
            </w:tcBorders>
            <w:shd w:val="clear" w:color="auto" w:fill="D2D2D2"/>
          </w:tcPr>
          <w:p>
            <w:pPr/>
          </w:p>
        </w:tc>
        <w:tc>
          <w:tcPr>
            <w:tcW w:w="5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1,985</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 w:type="dxa"/>
            <w:tcBorders>
              <w:top w:val="single" w:sz="4" w:space="0" w:color="000000"/>
              <w:left w:val="single" w:sz="4" w:space="0" w:color="000000"/>
              <w:bottom w:val="single" w:sz="4" w:space="0" w:color="000000"/>
              <w:right w:val="nil" w:sz="6" w:space="0" w:color="auto"/>
            </w:tcBorders>
            <w:shd w:val="clear" w:color="auto" w:fill="D2D2D2"/>
          </w:tcPr>
          <w:p>
            <w:pPr/>
          </w:p>
        </w:tc>
        <w:tc>
          <w:tcPr>
            <w:tcW w:w="5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742.81</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35,264.28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5,066.01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97,225.99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97,225.99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38,521.64</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85,364.85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7,721.41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171"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w:t>
            </w:r>
          </w:p>
          <w:p>
            <w:pPr>
              <w:pStyle w:val="TableParagraph"/>
              <w:spacing w:line="240" w:lineRule="auto" w:before="101"/>
              <w:ind w:left="28" w:right="0"/>
              <w:jc w:val="left"/>
              <w:rPr>
                <w:rFonts w:ascii="宋体" w:hAnsi="宋体" w:cs="宋体" w:eastAsia="宋体" w:hint="default"/>
                <w:sz w:val="18"/>
                <w:szCs w:val="18"/>
              </w:rPr>
            </w:pPr>
            <w:r>
              <w:rPr>
                <w:rFonts w:ascii="宋体" w:hAnsi="宋体" w:cs="宋体" w:eastAsia="宋体" w:hint="default"/>
                <w:sz w:val="18"/>
                <w:szCs w:val="18"/>
              </w:rPr>
              <w:t>深圳生产基地技术改造：根据招股说明书，该项目预计募集资金到位后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个月投产，因进口设备的</w:t>
            </w:r>
          </w:p>
          <w:p>
            <w:pPr>
              <w:pStyle w:val="TableParagraph"/>
              <w:spacing w:line="321" w:lineRule="auto" w:before="63"/>
              <w:ind w:left="28" w:right="21"/>
              <w:jc w:val="left"/>
              <w:rPr>
                <w:rFonts w:ascii="宋体" w:hAnsi="宋体" w:cs="宋体" w:eastAsia="宋体" w:hint="default"/>
                <w:sz w:val="18"/>
                <w:szCs w:val="18"/>
              </w:rPr>
            </w:pPr>
            <w:r>
              <w:rPr>
                <w:rFonts w:ascii="宋体" w:hAnsi="宋体" w:cs="宋体" w:eastAsia="宋体" w:hint="default"/>
                <w:sz w:val="18"/>
                <w:szCs w:val="18"/>
              </w:rPr>
              <w:t>交货时间延迟，致使项目延迟到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 网络通讯产品生产基地和消费电子产品生产基地：根据招股说明书，该两个项目预计募集资金到位 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个月后投产，主要由于天津基地土建、厂房建设前期准备时间较长，并伴有地冻、建设方案微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调、再认证、进口设备订货及安装调试周期长于预期等因素，对项目进展造成一定的影响，投资进 度晚于计划进度。公司已全力加快项目进度，截至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日，项目已投入试运行。 精密模具生产厂：由于该项目配套的喷涂设备投产日期较晚，配套一体化产能达产时间较短，导致 本年度未达到预计效益。</w:t>
            </w:r>
          </w:p>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月非公开发行募集资金：无</w:t>
            </w:r>
          </w:p>
        </w:tc>
      </w:tr>
      <w:tr>
        <w:trPr>
          <w:trHeight w:val="1018"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1" w:type="dxa"/>
            <w:gridSpan w:val="11"/>
            <w:vMerge/>
            <w:tcBorders>
              <w:left w:val="single" w:sz="10" w:space="0" w:color="D2D2D2"/>
              <w:right w:val="single" w:sz="4" w:space="0" w:color="000000"/>
            </w:tcBorders>
            <w:shd w:val="clear" w:color="auto" w:fill="C6ECCC"/>
          </w:tcPr>
          <w:p>
            <w:pPr/>
          </w:p>
        </w:tc>
      </w:tr>
      <w:tr>
        <w:trPr>
          <w:trHeight w:val="1177"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1"/>
            <w:vMerge/>
            <w:tcBorders>
              <w:left w:val="single" w:sz="10" w:space="0" w:color="D2D2D2"/>
              <w:bottom w:val="single" w:sz="4" w:space="0" w:color="000000"/>
              <w:right w:val="single" w:sz="4" w:space="0" w:color="000000"/>
            </w:tcBorders>
            <w:shd w:val="clear" w:color="auto" w:fill="C6ECCC"/>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1" w:type="dxa"/>
            <w:gridSpan w:val="11"/>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464"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w:t>
            </w:r>
          </w:p>
          <w:p>
            <w:pPr>
              <w:pStyle w:val="TableParagraph"/>
              <w:spacing w:line="240" w:lineRule="auto" w:before="10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）经本公司第一届董事会第二十次会议审议并经本公司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年度股东大会审议通过，使用超募</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集金永久性补充流动资金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提前归还银行贷款</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元及投资深圳</w:t>
            </w:r>
            <w:r>
              <w:rPr>
                <w:rFonts w:ascii="宋体" w:hAnsi="宋体" w:cs="宋体" w:eastAsia="宋体" w:hint="default"/>
                <w:spacing w:val="-3"/>
                <w:sz w:val="18"/>
                <w:szCs w:val="18"/>
              </w:rPr>
              <w:t>生</w:t>
            </w:r>
            <w:r>
              <w:rPr>
                <w:rFonts w:ascii="宋体" w:hAnsi="宋体" w:cs="宋体" w:eastAsia="宋体" w:hint="default"/>
                <w:sz w:val="18"/>
                <w:szCs w:val="18"/>
              </w:rPr>
              <w:t>产基地</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（松岗）</w:t>
            </w:r>
            <w:r>
              <w:rPr>
                <w:rFonts w:ascii="Times New Roman" w:hAnsi="Times New Roman" w:cs="Times New Roman" w:eastAsia="Times New Roman" w:hint="default"/>
                <w:sz w:val="18"/>
                <w:szCs w:val="18"/>
              </w:rPr>
              <w:t>157,120,000.00 </w:t>
            </w:r>
            <w:r>
              <w:rPr>
                <w:rFonts w:ascii="宋体" w:hAnsi="宋体" w:cs="宋体" w:eastAsia="宋体" w:hint="default"/>
                <w:sz w:val="18"/>
                <w:szCs w:val="18"/>
              </w:rPr>
              <w:t>元；</w:t>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）经本公司第二届董事会第二次会议审议，使用超募集金投资松岗基地基础建设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35,394,400.00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7"/>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）经本公司第二届董事会第三次会议审议通过，使用超募集金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49,881,500.00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元投资本公司之全</w:t>
            </w:r>
          </w:p>
          <w:p>
            <w:pPr>
              <w:pStyle w:val="TableParagraph"/>
              <w:spacing w:line="300" w:lineRule="auto" w:before="63"/>
              <w:ind w:left="28" w:right="31"/>
              <w:jc w:val="left"/>
              <w:rPr>
                <w:rFonts w:ascii="宋体" w:hAnsi="宋体" w:cs="宋体" w:eastAsia="宋体" w:hint="default"/>
                <w:sz w:val="18"/>
                <w:szCs w:val="18"/>
              </w:rPr>
            </w:pPr>
            <w:r>
              <w:rPr>
                <w:rFonts w:ascii="宋体" w:hAnsi="宋体" w:cs="宋体" w:eastAsia="宋体" w:hint="default"/>
                <w:sz w:val="18"/>
                <w:szCs w:val="18"/>
              </w:rPr>
              <w:t>资子公司深圳市卓大精密模具有限公司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原名为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深圳市卓翼视听科技有限公司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月变更 为该名称</w:t>
            </w:r>
            <w:r>
              <w:rPr>
                <w:rFonts w:ascii="Times New Roman" w:hAnsi="Times New Roman" w:cs="Times New Roman" w:eastAsia="Times New Roman" w:hint="default"/>
                <w:sz w:val="18"/>
                <w:szCs w:val="18"/>
              </w:rPr>
              <w:t>)</w:t>
            </w:r>
            <w:r>
              <w:rPr>
                <w:rFonts w:ascii="宋体" w:hAnsi="宋体" w:cs="宋体" w:eastAsia="宋体" w:hint="default"/>
                <w:sz w:val="18"/>
                <w:szCs w:val="18"/>
              </w:rPr>
              <w:t>建设模具厂；</w:t>
            </w:r>
          </w:p>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）经本公司第二届董事会第四次会议审议通过，使用超募集金永久性补充流动资金</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15,000,000.00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元、使用超募集金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元投资手持终端产品车间。</w:t>
            </w:r>
          </w:p>
          <w:p>
            <w:pPr>
              <w:pStyle w:val="TableParagraph"/>
              <w:spacing w:line="240" w:lineRule="auto" w:before="10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月非公开发行募集资金：无</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1" w:type="dxa"/>
            <w:gridSpan w:val="11"/>
            <w:vMerge/>
            <w:tcBorders>
              <w:left w:val="single" w:sz="10" w:space="0" w:color="D2D2D2"/>
              <w:right w:val="single" w:sz="4" w:space="0" w:color="000000"/>
            </w:tcBorders>
            <w:shd w:val="clear" w:color="auto" w:fill="C6ECCC"/>
          </w:tcPr>
          <w:p>
            <w:pPr/>
          </w:p>
        </w:tc>
      </w:tr>
      <w:tr>
        <w:trPr>
          <w:trHeight w:val="1865"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1"/>
            <w:vMerge/>
            <w:tcBorders>
              <w:left w:val="single" w:sz="10" w:space="0" w:color="D2D2D2"/>
              <w:bottom w:val="single" w:sz="4" w:space="0" w:color="000000"/>
              <w:right w:val="single" w:sz="4" w:space="0" w:color="000000"/>
            </w:tcBorders>
            <w:shd w:val="clear" w:color="auto" w:fill="C6ECCC"/>
          </w:tcPr>
          <w:p>
            <w:pPr/>
          </w:p>
        </w:tc>
      </w:tr>
      <w:tr>
        <w:trPr>
          <w:trHeight w:val="401"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48" w:type="dxa"/>
            <w:vMerge/>
            <w:tcBorders>
              <w:left w:val="single" w:sz="4" w:space="0" w:color="000000"/>
              <w:right w:val="single" w:sz="4" w:space="0" w:color="000000"/>
            </w:tcBorders>
            <w:shd w:val="clear" w:color="auto" w:fill="D2D2D2"/>
          </w:tcPr>
          <w:p>
            <w:pPr/>
          </w:p>
        </w:tc>
        <w:tc>
          <w:tcPr>
            <w:tcW w:w="78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579"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9"/>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w:t>
            </w:r>
          </w:p>
          <w:p>
            <w:pPr>
              <w:pStyle w:val="TableParagraph"/>
              <w:spacing w:line="314" w:lineRule="auto" w:before="101"/>
              <w:ind w:left="28" w:right="21"/>
              <w:jc w:val="both"/>
              <w:rPr>
                <w:rFonts w:ascii="宋体" w:hAnsi="宋体" w:cs="宋体" w:eastAsia="宋体" w:hint="default"/>
                <w:sz w:val="18"/>
                <w:szCs w:val="18"/>
              </w:rPr>
            </w:pPr>
            <w:r>
              <w:rPr>
                <w:rFonts w:ascii="宋体" w:hAnsi="宋体" w:cs="宋体" w:eastAsia="宋体" w:hint="default"/>
                <w:sz w:val="18"/>
                <w:szCs w:val="18"/>
              </w:rPr>
              <w:t>深圳生产基地技术改造项目原实施地为深圳市南山区西丽平山民企科技工业园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栋，但鉴于本公司 现行的产能及厂房已经远远不能满足公司的订单需求，同时结合生产经营实际情况与长远发展的需 求，本公司需要更大规模的厂房来满足订单量，公司于深圳市松岗镇同富裕工业区建立松岗生产基 地，为更加进一步增加企业竞争力，本公司将该项目与超募资金的使用相联系，将深圳生产基地技 术改造项目实施地改迁至松岗镇同富裕工业区。该项目实施地的变更已经第一届董事会第二十次会 议审议通过。</w:t>
            </w:r>
          </w:p>
          <w:p>
            <w:pPr>
              <w:pStyle w:val="TableParagraph"/>
              <w:spacing w:line="240" w:lineRule="auto" w:before="61"/>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月非公开发行募集资金：无</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1" w:type="dxa"/>
            <w:gridSpan w:val="11"/>
            <w:vMerge/>
            <w:tcBorders>
              <w:left w:val="single" w:sz="10" w:space="0" w:color="D2D2D2"/>
              <w:right w:val="single" w:sz="4" w:space="0" w:color="000000"/>
            </w:tcBorders>
            <w:shd w:val="clear" w:color="auto" w:fill="C6ECCC"/>
          </w:tcPr>
          <w:p>
            <w:pPr/>
          </w:p>
        </w:tc>
      </w:tr>
      <w:tr>
        <w:trPr>
          <w:trHeight w:val="1382"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1"/>
            <w:vMerge/>
            <w:tcBorders>
              <w:left w:val="single" w:sz="10" w:space="0" w:color="D2D2D2"/>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6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月首次公开发行募集资金：无</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月非公开发行募集资金：经公司第二届董事会第二十次会议审议通过，以本次非公开发行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8,692.89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万元置换公司预先投入募集资金投资项目的自筹资金。</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7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月首次公开发行募集资金：无</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月非公开发行募集资金：经本公司第二届董事会第二十次会议审议并经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年本公司第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三次临时股东大会审议通过，使用闲置募集资金 </w:t>
            </w:r>
            <w:r>
              <w:rPr>
                <w:rFonts w:ascii="Times New Roman" w:hAnsi="Times New Roman" w:cs="Times New Roman" w:eastAsia="Times New Roman" w:hint="default"/>
                <w:sz w:val="18"/>
                <w:szCs w:val="18"/>
              </w:rPr>
              <w:t>17,000.00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万元暂时补充流动资金，使用期限不超过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六个月。本公司于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日开始陆续使用该笔募集资金用于临时补充流动资金。</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日，本公司募集资金账户余额为人民币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26,267,293.22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首次公开发行募集资金账户余额为人民币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1,994,102.08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月非公开发行募集资金账户余</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24,273,191.14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元。本公司尚未使用完毕的募集资金将继续按照上述表格中的募投项目， 继续按计划完成相应的投资。</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公司募集资金的使用合理、规范，募集资金的使用披露及时、真实、准确、完整。</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9"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2873" w:type="dxa"/>
            <w:gridSpan w:val="3"/>
            <w:tcBorders>
              <w:top w:val="single" w:sz="4" w:space="0" w:color="000000"/>
              <w:left w:val="single" w:sz="4" w:space="0" w:color="000000"/>
              <w:bottom w:val="nil" w:sz="6" w:space="0" w:color="auto"/>
              <w:right w:val="single" w:sz="13" w:space="0" w:color="C6ECCC"/>
            </w:tcBorders>
            <w:shd w:val="clear" w:color="auto" w:fill="D2D2D2"/>
          </w:tcPr>
          <w:p>
            <w:pPr/>
          </w:p>
        </w:tc>
        <w:tc>
          <w:tcPr>
            <w:tcW w:w="6699" w:type="dxa"/>
            <w:gridSpan w:val="7"/>
            <w:vMerge w:val="restart"/>
            <w:tcBorders>
              <w:top w:val="single" w:sz="4" w:space="0" w:color="000000"/>
              <w:left w:val="single" w:sz="10" w:space="0" w:color="D2D2D2"/>
              <w:right w:val="single" w:sz="4" w:space="0" w:color="000000"/>
            </w:tcBorders>
            <w:shd w:val="clear" w:color="auto" w:fill="C6ECCC"/>
          </w:tcPr>
          <w:p>
            <w:pPr>
              <w:pStyle w:val="TableParagraph"/>
              <w:spacing w:line="314"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深圳生产基地技术改造项目原实施地为深圳市南山区西丽平山民企科技工业园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但鉴于本公司现行的产能及厂房已经远远不能满足公司的订单需求，同时结合生产经 营实际情况与长远发展的需求，本公司需要更大规模的厂房来满足订单量，公司于深 圳市松岗镇同富裕工业区建立松岗生产基地，为更加进一步增加企业竞争力，本公司 将该项目与超募资金的使用相联系，将深圳生产基地技术改造项目实施地改迁至松岗 镇同富裕工业区。该项目实施地的变更已经第一届董事会第二十次会议审议通过。</w:t>
            </w:r>
          </w:p>
        </w:tc>
      </w:tr>
      <w:tr>
        <w:trPr>
          <w:trHeight w:val="703" w:hRule="exact"/>
        </w:trPr>
        <w:tc>
          <w:tcPr>
            <w:tcW w:w="2873" w:type="dxa"/>
            <w:gridSpan w:val="3"/>
            <w:tcBorders>
              <w:top w:val="nil" w:sz="6" w:space="0" w:color="auto"/>
              <w:left w:val="single" w:sz="4" w:space="0" w:color="000000"/>
              <w:bottom w:val="nil" w:sz="6" w:space="0" w:color="auto"/>
              <w:right w:val="single" w:sz="13" w:space="0" w:color="C6ECCC"/>
            </w:tcBorders>
            <w:shd w:val="clear" w:color="auto" w:fill="D2D2D2"/>
          </w:tcPr>
          <w:p>
            <w:pPr>
              <w:pStyle w:val="TableParagraph"/>
              <w:spacing w:line="316" w:lineRule="auto" w:before="49"/>
              <w:ind w:left="22" w:right="1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0" w:space="0" w:color="D2D2D2"/>
              <w:right w:val="single" w:sz="4" w:space="0" w:color="000000"/>
            </w:tcBorders>
            <w:shd w:val="clear" w:color="auto" w:fill="C6ECCC"/>
          </w:tcPr>
          <w:p>
            <w:pPr/>
          </w:p>
        </w:tc>
      </w:tr>
      <w:tr>
        <w:trPr>
          <w:trHeight w:val="629" w:hRule="exact"/>
        </w:trPr>
        <w:tc>
          <w:tcPr>
            <w:tcW w:w="2873" w:type="dxa"/>
            <w:gridSpan w:val="3"/>
            <w:tcBorders>
              <w:top w:val="nil" w:sz="6" w:space="0" w:color="auto"/>
              <w:left w:val="single" w:sz="4" w:space="0" w:color="000000"/>
              <w:bottom w:val="single" w:sz="4" w:space="0" w:color="000000"/>
              <w:right w:val="single" w:sz="13" w:space="0" w:color="C6ECCC"/>
            </w:tcBorders>
            <w:shd w:val="clear" w:color="auto" w:fill="D2D2D2"/>
          </w:tcPr>
          <w:p>
            <w:pPr/>
          </w:p>
        </w:tc>
        <w:tc>
          <w:tcPr>
            <w:tcW w:w="6699" w:type="dxa"/>
            <w:gridSpan w:val="7"/>
            <w:vMerge/>
            <w:tcBorders>
              <w:left w:val="single" w:sz="10" w:space="0" w:color="D2D2D2"/>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主要子公司、参股公司情况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5"/>
        <w:gridCol w:w="580"/>
        <w:gridCol w:w="566"/>
        <w:gridCol w:w="566"/>
        <w:gridCol w:w="1277"/>
        <w:gridCol w:w="1274"/>
        <w:gridCol w:w="1277"/>
        <w:gridCol w:w="1274"/>
        <w:gridCol w:w="1136"/>
        <w:gridCol w:w="1133"/>
      </w:tblGrid>
      <w:tr>
        <w:trPr>
          <w:trHeight w:val="1339" w:hRule="exact"/>
        </w:trPr>
        <w:tc>
          <w:tcPr>
            <w:tcW w:w="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7" w:right="86"/>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9" w:right="9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主要 产品 或服 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649" w:hRule="exact"/>
        </w:trPr>
        <w:tc>
          <w:tcPr>
            <w:tcW w:w="5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40"/>
              <w:jc w:val="left"/>
              <w:rPr>
                <w:rFonts w:ascii="宋体" w:hAnsi="宋体" w:cs="宋体" w:eastAsia="宋体" w:hint="default"/>
                <w:sz w:val="18"/>
                <w:szCs w:val="18"/>
              </w:rPr>
            </w:pPr>
            <w:r>
              <w:rPr>
                <w:rFonts w:ascii="宋体" w:hAnsi="宋体" w:cs="宋体" w:eastAsia="宋体" w:hint="default"/>
                <w:sz w:val="18"/>
                <w:szCs w:val="18"/>
              </w:rPr>
              <w:t>卓翼 科技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 公司</w:t>
            </w:r>
          </w:p>
        </w:tc>
        <w:tc>
          <w:tcPr>
            <w:tcW w:w="58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0"/>
              <w:jc w:val="both"/>
              <w:rPr>
                <w:rFonts w:ascii="宋体" w:hAnsi="宋体" w:cs="宋体" w:eastAsia="宋体" w:hint="default"/>
                <w:sz w:val="18"/>
                <w:szCs w:val="18"/>
              </w:rPr>
            </w:pPr>
            <w:r>
              <w:rPr>
                <w:rFonts w:ascii="宋体" w:hAnsi="宋体" w:cs="宋体" w:eastAsia="宋体" w:hint="default"/>
                <w:sz w:val="18"/>
                <w:szCs w:val="18"/>
              </w:rPr>
              <w:t>一般 商务 贸易</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66,789,874.30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15,019,663.25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404,317,951.97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4,987,879.23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4,987,879.23</w:t>
            </w:r>
          </w:p>
        </w:tc>
      </w:tr>
      <w:tr>
        <w:trPr>
          <w:trHeight w:val="2275" w:hRule="exact"/>
        </w:trPr>
        <w:tc>
          <w:tcPr>
            <w:tcW w:w="5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60"/>
              <w:jc w:val="both"/>
              <w:rPr>
                <w:rFonts w:ascii="宋体" w:hAnsi="宋体" w:cs="宋体" w:eastAsia="宋体" w:hint="default"/>
                <w:sz w:val="18"/>
                <w:szCs w:val="18"/>
              </w:rPr>
            </w:pPr>
            <w:r>
              <w:rPr>
                <w:rFonts w:ascii="宋体" w:hAnsi="宋体" w:cs="宋体" w:eastAsia="宋体" w:hint="default"/>
                <w:sz w:val="18"/>
                <w:szCs w:val="18"/>
              </w:rPr>
              <w:t>深圳 市卓 大精 密模 具有 限公 司</w:t>
            </w:r>
          </w:p>
        </w:tc>
        <w:tc>
          <w:tcPr>
            <w:tcW w:w="58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7"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生产、 销售 塑胶 五金 制品、 模具</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99,864,874.89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54,746,848.47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24,265,527.83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-8,672,843.63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-6,791,850.03</w:t>
            </w:r>
          </w:p>
        </w:tc>
      </w:tr>
      <w:tr>
        <w:trPr>
          <w:trHeight w:val="2585" w:hRule="exact"/>
        </w:trPr>
        <w:tc>
          <w:tcPr>
            <w:tcW w:w="5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60"/>
              <w:jc w:val="both"/>
              <w:rPr>
                <w:rFonts w:ascii="宋体" w:hAnsi="宋体" w:cs="宋体" w:eastAsia="宋体" w:hint="default"/>
                <w:sz w:val="18"/>
                <w:szCs w:val="18"/>
              </w:rPr>
            </w:pPr>
            <w:r>
              <w:rPr>
                <w:rFonts w:ascii="宋体" w:hAnsi="宋体" w:cs="宋体" w:eastAsia="宋体" w:hint="default"/>
                <w:sz w:val="18"/>
                <w:szCs w:val="18"/>
              </w:rPr>
              <w:t>深圳 市中 广视 讯科 技发 展有 限公 司</w:t>
            </w:r>
          </w:p>
        </w:tc>
        <w:tc>
          <w:tcPr>
            <w:tcW w:w="58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7"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生产、 销售 网络 器材</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8,392,656.25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8,392,656.25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-54,420.16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-54,420.16</w:t>
            </w:r>
          </w:p>
        </w:tc>
      </w:tr>
      <w:tr>
        <w:trPr>
          <w:trHeight w:val="1963" w:hRule="exact"/>
        </w:trPr>
        <w:tc>
          <w:tcPr>
            <w:tcW w:w="5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60"/>
              <w:jc w:val="both"/>
              <w:rPr>
                <w:rFonts w:ascii="宋体" w:hAnsi="宋体" w:cs="宋体" w:eastAsia="宋体" w:hint="default"/>
                <w:sz w:val="18"/>
                <w:szCs w:val="18"/>
              </w:rPr>
            </w:pPr>
            <w:r>
              <w:rPr>
                <w:rFonts w:ascii="宋体" w:hAnsi="宋体" w:cs="宋体" w:eastAsia="宋体" w:hint="default"/>
                <w:sz w:val="18"/>
                <w:szCs w:val="18"/>
              </w:rPr>
              <w:t>天津 卓达 科技 发展 有限 公司</w:t>
            </w:r>
          </w:p>
        </w:tc>
        <w:tc>
          <w:tcPr>
            <w:tcW w:w="580"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5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生产、 销售 网通、 移动 终端 产品</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456,941,029.87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448,968,671.52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460,102.56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-1,134,933.38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-835,831.78</w:t>
            </w:r>
          </w:p>
        </w:tc>
      </w:tr>
    </w:tbl>
    <w:p>
      <w:pPr>
        <w:pStyle w:val="BodyText"/>
        <w:spacing w:line="357" w:lineRule="auto" w:before="49"/>
        <w:ind w:right="8234"/>
        <w:jc w:val="left"/>
      </w:pPr>
      <w:r>
        <w:rPr/>
        <w:t>主要子公司、参股公司情况说明 无</w:t>
      </w:r>
    </w:p>
    <w:p>
      <w:pPr>
        <w:pStyle w:val="BodyText"/>
        <w:spacing w:line="240" w:lineRule="auto" w:before="29"/>
        <w:ind w:right="1123"/>
        <w:jc w:val="left"/>
      </w:pPr>
      <w:r>
        <w:rPr/>
        <w:t>报告期内取得和处置子公司的情况</w:t>
      </w:r>
    </w:p>
    <w:p>
      <w:pPr>
        <w:pStyle w:val="BodyText"/>
        <w:spacing w:line="240" w:lineRule="auto" w:before="115"/>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9.291721pt;width:135pt;height:77pt;mso-position-horizontal-relative:page;mso-position-vertical-relative:paragraph;z-index:-991720" coordorigin="9206,786" coordsize="2700,1540">
            <v:shape style="position:absolute;left:9206;top:786;width:2700;height:1540" type="#_x0000_t75" stroked="false">
              <v:imagedata r:id="rId15" o:title=""/>
            </v:shape>
            <v:shape style="position:absolute;left:10593;top:114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w10:wrap type="none"/>
          </v:group>
        </w:pict>
      </w: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1" w:right="0"/>
              <w:jc w:val="left"/>
              <w:rPr>
                <w:rFonts w:ascii="宋体" w:hAnsi="宋体" w:cs="宋体" w:eastAsia="宋体" w:hint="default"/>
                <w:sz w:val="18"/>
                <w:szCs w:val="18"/>
              </w:rPr>
            </w:pPr>
            <w:r>
              <w:rPr>
                <w:rFonts w:ascii="宋体" w:hAnsi="宋体" w:cs="宋体" w:eastAsia="宋体" w:hint="default"/>
                <w:sz w:val="18"/>
                <w:szCs w:val="18"/>
              </w:rPr>
              <w:t>截至期末累计实际</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bl>
    <w:p>
      <w:pPr>
        <w:spacing w:after="0" w:line="240" w:lineRule="auto"/>
        <w:jc w:val="left"/>
        <w:rPr>
          <w:rFonts w:ascii="宋体" w:hAnsi="宋体" w:cs="宋体" w:eastAsia="宋体" w:hint="default"/>
          <w:sz w:val="18"/>
          <w:szCs w:val="18"/>
        </w:rPr>
        <w:sectPr>
          <w:headerReference w:type="default" r:id="rId26"/>
          <w:footerReference w:type="default" r:id="rId27"/>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78.350006pt;margin-top:593.674988pt;width:517pt;height:248.25pt;mso-position-horizontal-relative:page;mso-position-vertical-relative:page;z-index:1696" coordorigin="1567,11873" coordsize="10340,4965">
            <v:shape style="position:absolute;left:1567;top:11873;width:7860;height:3450" type="#_x0000_t75" stroked="false">
              <v:imagedata r:id="rId30" o:title=""/>
            </v:shape>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86"/>
        <w:gridCol w:w="1605"/>
        <w:gridCol w:w="1594"/>
        <w:gridCol w:w="1596"/>
        <w:gridCol w:w="1582"/>
        <w:gridCol w:w="1595"/>
      </w:tblGrid>
      <w:tr>
        <w:trPr>
          <w:trHeight w:val="36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投入金额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3"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公司不存在控制下的特殊目的主体。</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1123"/>
        <w:jc w:val="left"/>
      </w:pPr>
      <w:r>
        <w:rPr/>
        <w:t>（一）行业总体发展趋势及公司面临的国内市场竞争格局</w:t>
      </w:r>
    </w:p>
    <w:p>
      <w:pPr>
        <w:pStyle w:val="BodyText"/>
        <w:spacing w:line="300" w:lineRule="auto" w:before="76"/>
        <w:ind w:left="513" w:right="1123"/>
        <w:jc w:val="left"/>
      </w:pPr>
      <w:r>
        <w:rPr>
          <w:rFonts w:ascii="Times New Roman" w:hAnsi="Times New Roman" w:cs="Times New Roman" w:eastAsia="Times New Roman" w:hint="default"/>
        </w:rPr>
        <w:t>1</w:t>
      </w:r>
      <w:r>
        <w:rPr/>
        <w:t>、行业总体发展趋势 </w:t>
      </w:r>
      <w:r>
        <w:rPr>
          <w:spacing w:val="-2"/>
        </w:rPr>
        <w:t>近年来，中国大陆的电子制造产业发展迅猛，凭借良好的投资环境、高素质的管理和技术人才、廉价的劳动力等显著优</w:t>
      </w:r>
    </w:p>
    <w:p>
      <w:pPr>
        <w:pStyle w:val="BodyText"/>
        <w:spacing w:line="312" w:lineRule="auto" w:before="31"/>
        <w:ind w:right="1129"/>
        <w:jc w:val="both"/>
      </w:pPr>
      <w:r>
        <w:rPr>
          <w:spacing w:val="-2"/>
        </w:rPr>
        <w:t>势，成为全球电子制造外包业务迁移的重点地区，如富士康、伟创力、</w:t>
      </w:r>
      <w:r>
        <w:rPr>
          <w:rFonts w:ascii="Times New Roman" w:hAnsi="Times New Roman" w:cs="Times New Roman" w:eastAsia="Times New Roman" w:hint="default"/>
          <w:spacing w:val="-2"/>
        </w:rPr>
        <w:t>Jabil</w:t>
      </w:r>
      <w:r>
        <w:rPr>
          <w:spacing w:val="-2"/>
        </w:rPr>
        <w:t>等全球排名领先的电子制造外包服务企业纷纷到</w:t>
      </w:r>
      <w:r>
        <w:rPr>
          <w:spacing w:val="-38"/>
        </w:rPr>
        <w:t> </w:t>
      </w:r>
      <w:r>
        <w:rPr>
          <w:spacing w:val="-38"/>
        </w:rPr>
      </w:r>
      <w:r>
        <w:rPr>
          <w:spacing w:val="-2"/>
        </w:rPr>
        <w:t>中国大陆投资设厂。随着国际级公司的进入和中国本土企业的崛起，目前中国大陆已成为全球电子制造外包业务最重要的区</w:t>
      </w:r>
      <w:r>
        <w:rPr>
          <w:spacing w:val="-64"/>
        </w:rPr>
        <w:t> </w:t>
      </w:r>
      <w:r>
        <w:rPr>
          <w:spacing w:val="-64"/>
        </w:rPr>
      </w:r>
      <w:r>
        <w:rPr>
          <w:spacing w:val="-2"/>
        </w:rPr>
        <w:t>域。得益于中国本土庞大的人口基础所催生的巨大市场，未来几年内网络设备行业与消费电子行业，特别是终端类产品，将</w:t>
      </w:r>
      <w:r>
        <w:rPr>
          <w:spacing w:val="-64"/>
        </w:rPr>
        <w:t> </w:t>
      </w:r>
      <w:r>
        <w:rPr>
          <w:spacing w:val="-64"/>
        </w:rPr>
      </w:r>
      <w:r>
        <w:rPr/>
        <w:t>是国内电子制造外包服务业务持续增长的重点领域。</w:t>
      </w:r>
    </w:p>
    <w:p>
      <w:pPr>
        <w:pStyle w:val="BodyText"/>
        <w:spacing w:line="300" w:lineRule="auto" w:before="22"/>
        <w:ind w:left="513" w:right="1123"/>
        <w:jc w:val="left"/>
      </w:pPr>
      <w:r>
        <w:rPr>
          <w:rFonts w:ascii="Times New Roman" w:hAnsi="Times New Roman" w:cs="Times New Roman" w:eastAsia="Times New Roman" w:hint="default"/>
        </w:rPr>
        <w:t>2</w:t>
      </w:r>
      <w:r>
        <w:rPr/>
        <w:t>、公司面临的国内市场竞争格局 </w:t>
      </w:r>
      <w:r>
        <w:rPr>
          <w:spacing w:val="-2"/>
        </w:rPr>
        <w:t>国内电子制造外包服务行业近年来取得了很大发展，但是这种增长主要还是来源于全球电子制造产能向中国的转移。从</w:t>
      </w:r>
    </w:p>
    <w:p>
      <w:pPr>
        <w:pStyle w:val="BodyText"/>
        <w:spacing w:line="319" w:lineRule="auto" w:before="31"/>
        <w:ind w:right="1130"/>
        <w:jc w:val="both"/>
      </w:pPr>
      <w:r>
        <w:rPr>
          <w:spacing w:val="-2"/>
        </w:rPr>
        <w:t>市场格局来看，目前国内电子制造外包服务行业的一线公司绝大部分是国际级公司和中国台湾公司在中国大陆投资设立的三</w:t>
      </w:r>
      <w:r>
        <w:rPr>
          <w:spacing w:val="-64"/>
        </w:rPr>
        <w:t> </w:t>
      </w:r>
      <w:r>
        <w:rPr>
          <w:spacing w:val="-64"/>
        </w:rPr>
      </w:r>
      <w:r>
        <w:rPr>
          <w:spacing w:val="-5"/>
        </w:rPr>
        <w:t>资企业，并占据了大部分的市场份额。尽管目前本土企业在同外资企业的竞争中还处于弱势地位，但是国内巨大的消费市场、</w:t>
      </w:r>
      <w:r>
        <w:rPr>
          <w:spacing w:val="-76"/>
        </w:rPr>
        <w:t> </w:t>
      </w:r>
      <w:r>
        <w:rPr>
          <w:spacing w:val="-76"/>
        </w:rPr>
      </w:r>
      <w:r>
        <w:rPr>
          <w:spacing w:val="-2"/>
        </w:rPr>
        <w:t>不断增长的技术与管理人才队伍、丰富的低成本劳动力等，仍然为本土企业的持续发展提供了良好的环境。一批发展态势良</w:t>
      </w:r>
      <w:r>
        <w:rPr>
          <w:spacing w:val="-65"/>
        </w:rPr>
        <w:t> </w:t>
      </w:r>
      <w:r>
        <w:rPr>
          <w:spacing w:val="-65"/>
        </w:rPr>
      </w:r>
      <w:r>
        <w:rPr>
          <w:spacing w:val="-2"/>
        </w:rPr>
        <w:t>好，具备自身竞争优势与大型客户资源的本土企业十分有望在未来几年内实现快速增长，成为国内电子制造外包服务行业的</w:t>
      </w:r>
      <w:r>
        <w:rPr>
          <w:spacing w:val="-63"/>
        </w:rPr>
        <w:t> </w:t>
      </w:r>
      <w:r>
        <w:rPr>
          <w:spacing w:val="-63"/>
        </w:rPr>
      </w:r>
      <w:r>
        <w:rPr/>
        <w:t>主要厂商。在网络通讯终端设备、便携式消费电子产品等领域，本土企业有望实现更大的发展。</w:t>
      </w:r>
    </w:p>
    <w:p>
      <w:pPr>
        <w:pStyle w:val="BodyText"/>
        <w:spacing w:line="240" w:lineRule="auto" w:before="17"/>
        <w:ind w:left="513" w:right="1123"/>
        <w:jc w:val="left"/>
      </w:pPr>
      <w:r>
        <w:rPr/>
        <w:t>（二）公司发展战略</w:t>
      </w:r>
    </w:p>
    <w:p>
      <w:pPr>
        <w:pStyle w:val="BodyText"/>
        <w:spacing w:line="316" w:lineRule="auto" w:before="76"/>
        <w:ind w:right="1125" w:firstLine="360"/>
        <w:jc w:val="both"/>
      </w:pPr>
      <w:r>
        <w:rPr/>
        <w:t>把握中国电子制造外包服务行业快速发展的难得机遇，聚焦网络通讯终端及便携式消费电子两大产品领域，公司坚持</w:t>
      </w:r>
      <w:r>
        <w:rPr>
          <w:spacing w:val="2"/>
        </w:rPr>
        <w:t> </w:t>
      </w:r>
      <w:r>
        <w:rPr/>
        <w:t>“</w:t>
      </w:r>
      <w:r>
        <w:rPr>
          <w:rFonts w:ascii="宋体" w:hAnsi="宋体" w:cs="宋体" w:eastAsia="宋体" w:hint="default"/>
        </w:rPr>
        <w:t>ODM+EMS</w:t>
      </w:r>
      <w:r>
        <w:rPr/>
        <w:t>”为主的业务模式，不断提升研发、精密制造与管理能力，进一步确立成本控制与快速响应优势，持续优化产品</w:t>
      </w:r>
      <w:r>
        <w:rPr>
          <w:spacing w:val="-86"/>
        </w:rPr>
        <w:t> </w:t>
      </w:r>
      <w:r>
        <w:rPr>
          <w:spacing w:val="-86"/>
        </w:rPr>
      </w:r>
      <w:r>
        <w:rPr/>
        <w:t>与客户结构，通过与核心客户的策略性合作，伴随客户同步成长。</w:t>
      </w:r>
    </w:p>
    <w:p>
      <w:pPr>
        <w:pStyle w:val="BodyText"/>
        <w:spacing w:line="240" w:lineRule="auto" w:before="139"/>
        <w:ind w:left="556" w:right="1123"/>
        <w:jc w:val="left"/>
      </w:pPr>
      <w:r>
        <w:rPr/>
        <w:t>公司发展战略图</w:t>
      </w:r>
    </w:p>
    <w:p>
      <w:pPr>
        <w:spacing w:after="0" w:line="240" w:lineRule="auto"/>
        <w:jc w:val="left"/>
        <w:sectPr>
          <w:headerReference w:type="default" r:id="rId28"/>
          <w:footerReference w:type="default" r:id="rId29"/>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8413"/>
        <w:jc w:val="left"/>
      </w:pPr>
      <w:r>
        <w:rPr/>
        <w:t>具体表现为以下几方面： </w:t>
      </w:r>
      <w:r>
        <w:rPr>
          <w:rFonts w:ascii="宋体" w:hAnsi="宋体" w:cs="宋体" w:eastAsia="宋体" w:hint="default"/>
        </w:rPr>
        <w:t>1</w:t>
      </w:r>
      <w:r>
        <w:rPr/>
        <w:t>、坚持大客户战略</w:t>
      </w:r>
    </w:p>
    <w:p>
      <w:pPr>
        <w:pStyle w:val="BodyText"/>
        <w:spacing w:line="316" w:lineRule="auto" w:before="17"/>
        <w:ind w:right="1034" w:firstLine="360"/>
        <w:jc w:val="left"/>
      </w:pPr>
      <w:r>
        <w:rPr>
          <w:spacing w:val="-5"/>
        </w:rPr>
        <w:t>依托强大的研发能力、高效的采购管理系统和较为灵活的生产组织管理体系，相对国际大型公司的“快速响应及灵活性”</w:t>
      </w:r>
      <w:r>
        <w:rPr/>
        <w:t> 优势，以及领先于国内同行的产品研发与设计能力、强于国内同行的精密制造和产品整体制造能力、出色的成本控制能力、</w:t>
      </w:r>
      <w:r>
        <w:rPr>
          <w:spacing w:val="-83"/>
        </w:rPr>
        <w:t> </w:t>
      </w:r>
      <w:r>
        <w:rPr>
          <w:spacing w:val="-83"/>
        </w:rPr>
      </w:r>
      <w:r>
        <w:rPr/>
        <w:t>优秀的综合服务能力和丰富的大客户服务经验等优势，坚持大客户策略，重点发展核心或潜力客户。</w:t>
      </w:r>
    </w:p>
    <w:p>
      <w:pPr>
        <w:pStyle w:val="BodyText"/>
        <w:spacing w:line="316" w:lineRule="auto" w:before="19"/>
        <w:ind w:left="513" w:right="1123"/>
        <w:jc w:val="left"/>
      </w:pPr>
      <w:r>
        <w:rPr>
          <w:rFonts w:ascii="宋体" w:hAnsi="宋体" w:cs="宋体" w:eastAsia="宋体" w:hint="default"/>
        </w:rPr>
        <w:t>2</w:t>
      </w:r>
      <w:r>
        <w:rPr/>
        <w:t>、瞄准产业方向 </w:t>
      </w:r>
      <w:r>
        <w:rPr>
          <w:spacing w:val="-2"/>
        </w:rPr>
        <w:t>看准产业方向，结合客户需求、发挥资本优势，规模化投入、主营业务中多种产品并行，持续优化产品及客户结构，长</w:t>
      </w:r>
    </w:p>
    <w:p>
      <w:pPr>
        <w:pStyle w:val="BodyText"/>
        <w:spacing w:line="316" w:lineRule="auto" w:before="19"/>
        <w:ind w:left="513" w:right="9043" w:hanging="361"/>
        <w:jc w:val="left"/>
      </w:pPr>
      <w:r>
        <w:rPr/>
        <w:t>短兼顾，稳中求进。 </w:t>
      </w:r>
      <w:r>
        <w:rPr>
          <w:rFonts w:ascii="宋体" w:hAnsi="宋体" w:cs="宋体" w:eastAsia="宋体" w:hint="default"/>
        </w:rPr>
        <w:t>3</w:t>
      </w:r>
      <w:r>
        <w:rPr/>
        <w:t>、强化垂直整合</w:t>
      </w:r>
    </w:p>
    <w:p>
      <w:pPr>
        <w:pStyle w:val="BodyText"/>
        <w:spacing w:line="316" w:lineRule="auto" w:before="19"/>
        <w:ind w:right="1123" w:firstLine="360"/>
        <w:jc w:val="left"/>
      </w:pPr>
      <w:r>
        <w:rPr>
          <w:spacing w:val="-2"/>
        </w:rPr>
        <w:t>通过公司上下游关系，强化模具生产等核心零部件的垂直整合，增加与客户之间的合作，凸显公司服务价值，体现一站</w:t>
      </w:r>
      <w:r>
        <w:rPr/>
        <w:t> 式服务能力。</w:t>
      </w:r>
    </w:p>
    <w:p>
      <w:pPr>
        <w:pStyle w:val="BodyText"/>
        <w:spacing w:line="319" w:lineRule="auto" w:before="19"/>
        <w:ind w:left="441" w:right="1123" w:firstLine="72"/>
        <w:jc w:val="left"/>
      </w:pPr>
      <w:r>
        <w:rPr>
          <w:rFonts w:ascii="宋体" w:hAnsi="宋体" w:cs="宋体" w:eastAsia="宋体" w:hint="default"/>
        </w:rPr>
        <w:t>4</w:t>
      </w:r>
      <w:r>
        <w:rPr/>
        <w:t>、技术拉动收入 </w:t>
      </w:r>
      <w:r>
        <w:rPr>
          <w:spacing w:val="-1"/>
        </w:rPr>
        <w:t>国内的电子制造外包行业目前处于成长阶段，公司提供的外包制造产品在宽带接入、无线数据传输、音频播放等多个领</w:t>
      </w:r>
    </w:p>
    <w:p>
      <w:pPr>
        <w:pStyle w:val="BodyText"/>
        <w:spacing w:line="316" w:lineRule="auto" w:before="17"/>
        <w:ind w:right="1131"/>
        <w:jc w:val="both"/>
      </w:pPr>
      <w:r>
        <w:rPr>
          <w:spacing w:val="-2"/>
        </w:rPr>
        <w:t>域的应用技术方面都有较深的积累，具有一定优势。功能的一体化、技术的融合化是电子终端产品的未来发展方向，公司将</w:t>
      </w:r>
      <w:r>
        <w:rPr>
          <w:spacing w:val="-64"/>
        </w:rPr>
        <w:t> </w:t>
      </w:r>
      <w:r>
        <w:rPr>
          <w:spacing w:val="-64"/>
        </w:rPr>
      </w:r>
      <w:r>
        <w:rPr/>
        <w:t>继续坚持多技术积累及行业延伸发展，形成产品的技术池，迎合未来融合趋势，寻求快速发展的爆发点。</w:t>
      </w:r>
    </w:p>
    <w:p>
      <w:pPr>
        <w:pStyle w:val="BodyText"/>
        <w:spacing w:line="309" w:lineRule="auto" w:before="19"/>
        <w:ind w:left="513" w:right="1123" w:hanging="72"/>
        <w:jc w:val="left"/>
      </w:pPr>
      <w:r>
        <w:rPr/>
        <w:t>（三）</w:t>
      </w:r>
      <w:r>
        <w:rPr>
          <w:rFonts w:ascii="Times New Roman" w:hAnsi="Times New Roman" w:cs="Times New Roman" w:eastAsia="Times New Roman" w:hint="default"/>
        </w:rPr>
        <w:t>2013</w:t>
      </w:r>
      <w:r>
        <w:rPr/>
        <w:t>年度经营计划 </w:t>
      </w:r>
      <w:r>
        <w:rPr>
          <w:rFonts w:ascii="宋体" w:hAnsi="宋体" w:cs="宋体" w:eastAsia="宋体" w:hint="default"/>
        </w:rPr>
        <w:t>1</w:t>
      </w:r>
      <w:r>
        <w:rPr/>
        <w:t>、加强科技创新，加快新产品的开发，推进产品升级转型，全面提高公司的科技创新能力和核心竞争力； </w:t>
      </w:r>
      <w:r>
        <w:rPr>
          <w:spacing w:val="-2"/>
        </w:rPr>
        <w:t>公司将充分利用多年的研发和生产经验，与时俱进，进一步完善网络通讯终端产品系列，同时，加大对智能终端类产品</w:t>
      </w:r>
    </w:p>
    <w:p>
      <w:pPr>
        <w:pStyle w:val="BodyText"/>
        <w:spacing w:line="316" w:lineRule="auto" w:before="24"/>
        <w:ind w:right="1135"/>
        <w:jc w:val="both"/>
      </w:pPr>
      <w:r>
        <w:rPr>
          <w:spacing w:val="-2"/>
        </w:rPr>
        <w:t>和音频产品的投入，满足市场的广阔需求，积极迎合未来三网融合的市场需求，提高研发水平，完善研发平台，强化垂直整</w:t>
      </w:r>
      <w:r>
        <w:rPr>
          <w:spacing w:val="-67"/>
        </w:rPr>
        <w:t> </w:t>
      </w:r>
      <w:r>
        <w:rPr>
          <w:spacing w:val="-67"/>
        </w:rPr>
      </w:r>
      <w:r>
        <w:rPr>
          <w:spacing w:val="-2"/>
        </w:rPr>
        <w:t>合，持续优化产品及客户结构，为客户提供高质量的一站式服务。公司将持续对现有生产工艺、生产设施、生产环境予以改</w:t>
      </w:r>
      <w:r>
        <w:rPr>
          <w:spacing w:val="-67"/>
        </w:rPr>
        <w:t> </w:t>
      </w:r>
      <w:r>
        <w:rPr>
          <w:spacing w:val="-67"/>
        </w:rPr>
      </w:r>
      <w:r>
        <w:rPr/>
        <w:t>进，加强产品品质管控，进一步提升产品品质并降低生产成本，从而提高客户的满意度和产品的市场美誉度。</w:t>
      </w:r>
    </w:p>
    <w:p>
      <w:pPr>
        <w:pStyle w:val="BodyText"/>
        <w:spacing w:line="240" w:lineRule="auto" w:before="19"/>
        <w:ind w:left="532" w:right="1123"/>
        <w:jc w:val="left"/>
      </w:pPr>
      <w:r>
        <w:rPr>
          <w:rFonts w:ascii="Times New Roman" w:hAnsi="Times New Roman" w:cs="Times New Roman" w:eastAsia="Times New Roman" w:hint="default"/>
        </w:rPr>
        <w:t>2</w:t>
      </w:r>
      <w:r>
        <w:rPr/>
        <w:t>、加强营销队伍建设，加大市场开发力度；</w:t>
      </w:r>
    </w:p>
    <w:p>
      <w:pPr>
        <w:pStyle w:val="BodyText"/>
        <w:spacing w:line="309" w:lineRule="auto" w:before="63"/>
        <w:ind w:right="1133" w:firstLine="379"/>
        <w:jc w:val="both"/>
      </w:pPr>
      <w:r>
        <w:rPr>
          <w:rFonts w:ascii="Times New Roman" w:hAnsi="Times New Roman" w:cs="Times New Roman" w:eastAsia="Times New Roman" w:hint="default"/>
        </w:rPr>
        <w:t>2013</w:t>
      </w:r>
      <w:r>
        <w:rPr/>
        <w:t>年，公司进一步强化营销队伍建设工作，加强对营销队伍的培训，提高服务意识及响应速度；同时，公司针对目 </w:t>
      </w:r>
      <w:r>
        <w:rPr>
          <w:spacing w:val="-2"/>
        </w:rPr>
        <w:t>标客户制定合作策略，量身定制产品方案；进一步拓展新客户、新产品，增强生产制造能力，拓宽产品领域，提高市场占有</w:t>
      </w:r>
      <w:r>
        <w:rPr>
          <w:spacing w:val="-68"/>
        </w:rPr>
        <w:t> </w:t>
      </w:r>
      <w:r>
        <w:rPr>
          <w:spacing w:val="-68"/>
        </w:rPr>
      </w:r>
      <w:r>
        <w:rPr/>
        <w:t>率，实现经营业绩的快递增长。</w:t>
      </w:r>
    </w:p>
    <w:p>
      <w:pPr>
        <w:pStyle w:val="BodyText"/>
        <w:spacing w:line="316" w:lineRule="auto" w:before="24"/>
        <w:ind w:left="513" w:right="1123" w:firstLine="19"/>
        <w:jc w:val="left"/>
      </w:pPr>
      <w:r>
        <w:rPr>
          <w:rFonts w:ascii="宋体" w:hAnsi="宋体" w:cs="宋体" w:eastAsia="宋体" w:hint="default"/>
        </w:rPr>
        <w:t>3</w:t>
      </w:r>
      <w:r>
        <w:rPr/>
        <w:t>、积极开拓业务，充分发挥新建项目的产能优势，实现业务的稳步增长； </w:t>
      </w:r>
      <w:r>
        <w:rPr>
          <w:spacing w:val="-2"/>
        </w:rPr>
        <w:t>随着公司首次公开发行和非公开发行募集资金投资项目的建成投运，公司产能得以快速提升，公司的生产效率也随之改</w:t>
      </w:r>
    </w:p>
    <w:p>
      <w:pPr>
        <w:pStyle w:val="BodyText"/>
        <w:spacing w:line="316" w:lineRule="auto" w:before="19"/>
        <w:ind w:right="1046"/>
        <w:jc w:val="both"/>
      </w:pPr>
      <w:r>
        <w:rPr/>
        <w:t>进提升。</w:t>
      </w:r>
      <w:r>
        <w:rPr>
          <w:rFonts w:ascii="宋体" w:hAnsi="宋体" w:cs="宋体" w:eastAsia="宋体" w:hint="default"/>
        </w:rPr>
        <w:t>2013</w:t>
      </w:r>
      <w:r>
        <w:rPr/>
        <w:t>年，公司将致力于业务拓展，加快新产品新客户的导入，丰富公司产品线，加强公司产业链垂直一体化整合， 提升公司生产效率。同时，加强对公司项目建设的管理，充分发挥新建成项目的产能优势，实现业务的稳步增长。</w:t>
      </w:r>
    </w:p>
    <w:p>
      <w:pPr>
        <w:pStyle w:val="BodyText"/>
        <w:spacing w:line="300" w:lineRule="auto" w:before="19"/>
        <w:ind w:left="532" w:right="1194"/>
        <w:jc w:val="left"/>
      </w:pPr>
      <w:r>
        <w:rPr>
          <w:rFonts w:ascii="Times New Roman" w:hAnsi="Times New Roman" w:cs="Times New Roman" w:eastAsia="Times New Roman" w:hint="default"/>
        </w:rPr>
        <w:t>4</w:t>
      </w:r>
      <w:r>
        <w:rPr/>
        <w:t>、完善管理体制，提高整体效率； 公司将进一步优化资源配置，开展项目管理责任制改革、内部流程优化再造等工作，理顺研发及交付流程，提升交付</w:t>
      </w:r>
    </w:p>
    <w:p>
      <w:pPr>
        <w:pStyle w:val="BodyText"/>
        <w:spacing w:line="316" w:lineRule="auto" w:before="31"/>
        <w:ind w:left="532" w:right="1194" w:hanging="380"/>
        <w:jc w:val="left"/>
      </w:pPr>
      <w:r>
        <w:rPr/>
        <w:t>效率，同时加大对市场的支持力度，以更好的适应市场竞争，确保人均效益的提升。 同时，将进一步细化财务经营管理，确保预算项目落地，达到增收节支的目的的同时，有力支撑各产品线战略规划的</w:t>
      </w:r>
    </w:p>
    <w:p>
      <w:pPr>
        <w:pStyle w:val="BodyText"/>
        <w:spacing w:line="309" w:lineRule="auto" w:before="19"/>
        <w:ind w:left="532" w:right="1123" w:hanging="380"/>
        <w:jc w:val="left"/>
      </w:pPr>
      <w:r>
        <w:rPr/>
        <w:t>实现，并强化对子公司的管理，整合资源，严控各项风险，提升盈利能力。 </w:t>
      </w:r>
      <w:r>
        <w:rPr>
          <w:rFonts w:ascii="Times New Roman" w:hAnsi="Times New Roman" w:cs="Times New Roman" w:eastAsia="Times New Roman" w:hint="default"/>
        </w:rPr>
        <w:t>5</w:t>
      </w:r>
      <w:r>
        <w:rPr/>
        <w:t>、加强企业文化建设和人力资源管理，加快创新人才培养机制，为公司的长远发展奠定坚实基础。 </w:t>
      </w:r>
      <w:r>
        <w:rPr>
          <w:spacing w:val="-2"/>
        </w:rPr>
        <w:t>公司将一如既往以</w:t>
      </w:r>
      <w:r>
        <w:rPr>
          <w:rFonts w:ascii="Times New Roman" w:hAnsi="Times New Roman" w:cs="Times New Roman" w:eastAsia="Times New Roman" w:hint="default"/>
          <w:spacing w:val="-2"/>
        </w:rPr>
        <w:t>“</w:t>
      </w:r>
      <w:r>
        <w:rPr>
          <w:spacing w:val="-2"/>
        </w:rPr>
        <w:t>将公司建设成专业化服务、全球化布局、国内行业的领导者</w:t>
      </w:r>
      <w:r>
        <w:rPr>
          <w:rFonts w:ascii="Times New Roman" w:hAnsi="Times New Roman" w:cs="Times New Roman" w:eastAsia="Times New Roman" w:hint="default"/>
          <w:spacing w:val="-2"/>
        </w:rPr>
        <w:t>”</w:t>
      </w:r>
      <w:r>
        <w:rPr>
          <w:spacing w:val="-2"/>
        </w:rPr>
        <w:t>的总体目标为方向，按照上市公司要求</w:t>
      </w:r>
    </w:p>
    <w:p>
      <w:pPr>
        <w:pStyle w:val="BodyText"/>
        <w:spacing w:line="316" w:lineRule="auto" w:before="5"/>
        <w:ind w:right="1134"/>
        <w:jc w:val="both"/>
      </w:pPr>
      <w:r>
        <w:rPr>
          <w:spacing w:val="-2"/>
        </w:rPr>
        <w:t>不断提高运营效率，为社会提供精湛的产品和服务，立足于社会、股东、企业和全体员工利益的共同发展，充分利用自身的</w:t>
      </w:r>
      <w:r>
        <w:rPr>
          <w:spacing w:val="-67"/>
        </w:rPr>
        <w:t> </w:t>
      </w:r>
      <w:r>
        <w:rPr>
          <w:spacing w:val="-67"/>
        </w:rPr>
      </w:r>
      <w:r>
        <w:rPr/>
        <w:t>技术优势、市场优势，使公司成为一个优秀的公众性公司。</w:t>
      </w:r>
    </w:p>
    <w:p>
      <w:pPr>
        <w:pStyle w:val="BodyText"/>
        <w:spacing w:line="316" w:lineRule="auto" w:before="19"/>
        <w:ind w:right="1129" w:firstLine="379"/>
        <w:jc w:val="left"/>
      </w:pPr>
      <w:r>
        <w:rPr/>
        <w:t>公司将加强人力资源管理，以人为本、完善体系、优化机制，为企业发展聚集人才。一方面要加强人力资源管理的领 </w:t>
      </w:r>
      <w:r>
        <w:rPr>
          <w:spacing w:val="-5"/>
        </w:rPr>
        <w:t>导力量，结合公司实际，不断完善人力资源管理制度、员工职业规划和薪酬政策方案。通过科学的激励机制，吸引专业人才、</w:t>
      </w:r>
      <w:r>
        <w:rPr>
          <w:spacing w:val="-80"/>
        </w:rPr>
        <w:t> </w:t>
      </w:r>
      <w:r>
        <w:rPr>
          <w:spacing w:val="-80"/>
        </w:rPr>
      </w:r>
      <w:r>
        <w:rPr>
          <w:spacing w:val="-2"/>
        </w:rPr>
        <w:t>留住人才。另一方面，公司采取切实措施，降低人员流失率。以人为本，通过宣传教育，培养职工的归属感和企业价值观和</w:t>
      </w:r>
      <w:r>
        <w:rPr>
          <w:spacing w:val="-67"/>
        </w:rPr>
        <w:t> </w:t>
      </w:r>
      <w:r>
        <w:rPr>
          <w:spacing w:val="-67"/>
        </w:rPr>
      </w:r>
      <w:r>
        <w:rPr>
          <w:spacing w:val="-2"/>
        </w:rPr>
        <w:t>核心理念的认同感。关心员工的生活和情感需求，了解员工思想动态。关注员工职业进步和职业规划，细抓感动服务并形成</w:t>
      </w:r>
      <w:r>
        <w:rPr>
          <w:spacing w:val="-65"/>
        </w:rPr>
        <w:t> </w:t>
      </w:r>
      <w:r>
        <w:rPr>
          <w:spacing w:val="-65"/>
        </w:rPr>
      </w:r>
      <w:r>
        <w:rPr/>
        <w:t>良好的感动机制。</w:t>
      </w:r>
    </w:p>
    <w:p>
      <w:pPr>
        <w:pStyle w:val="BodyText"/>
        <w:spacing w:line="240" w:lineRule="auto" w:before="18"/>
        <w:ind w:left="441" w:right="1123"/>
        <w:jc w:val="left"/>
      </w:pPr>
      <w:r>
        <w:rPr/>
        <w:t>（四）公司未来可能面临的风险及应对措施</w:t>
      </w:r>
    </w:p>
    <w:p>
      <w:pPr>
        <w:spacing w:after="0" w:line="240" w:lineRule="auto"/>
        <w:jc w:val="left"/>
        <w:sectPr>
          <w:footerReference w:type="default" r:id="rId31"/>
          <w:pgSz w:w="11910" w:h="16840"/>
          <w:pgMar w:footer="1340" w:header="877" w:top="1060" w:bottom="1540" w:left="980" w:right="0"/>
          <w:pgNumType w:start="27"/>
        </w:sectPr>
      </w:pPr>
    </w:p>
    <w:p>
      <w:pPr>
        <w:spacing w:line="240" w:lineRule="auto" w:before="9"/>
        <w:rPr>
          <w:rFonts w:ascii="宋体" w:hAnsi="宋体" w:cs="宋体" w:eastAsia="宋体" w:hint="default"/>
          <w:sz w:val="25"/>
          <w:szCs w:val="25"/>
        </w:rPr>
      </w:pPr>
    </w:p>
    <w:p>
      <w:pPr>
        <w:pStyle w:val="BodyText"/>
        <w:spacing w:line="319" w:lineRule="auto" w:before="44"/>
        <w:ind w:right="1130" w:firstLine="360"/>
        <w:jc w:val="both"/>
      </w:pPr>
      <w:r>
        <w:rPr>
          <w:spacing w:val="-2"/>
        </w:rPr>
        <w:t>公司的计划和目标建立在对政策、市场、技术和产品等方面进行动态预测的基础之上。虽然近三年公司制定的经营目标</w:t>
      </w:r>
      <w:r>
        <w:rPr/>
        <w:t> </w:t>
      </w:r>
      <w:r>
        <w:rPr>
          <w:spacing w:val="-2"/>
        </w:rPr>
        <w:t>均按计划实现，但在日后的计划执行过程中，各因素偏离原先预测的情况还是有可能出现，发展目标和计划会因此受到一定</w:t>
      </w:r>
      <w:r>
        <w:rPr>
          <w:spacing w:val="-63"/>
        </w:rPr>
        <w:t> </w:t>
      </w:r>
      <w:r>
        <w:rPr>
          <w:spacing w:val="-63"/>
        </w:rPr>
      </w:r>
      <w:r>
        <w:rPr>
          <w:spacing w:val="-2"/>
        </w:rPr>
        <w:t>程度的影响。在公司快速发展、业务及资金规模增长的背景下，公司战略规划、组织设计、机制建立、资源配置、运营管理</w:t>
      </w:r>
    </w:p>
    <w:p>
      <w:pPr>
        <w:pStyle w:val="BodyText"/>
        <w:spacing w:line="316" w:lineRule="auto" w:before="17"/>
        <w:ind w:left="513" w:right="1123" w:hanging="361"/>
        <w:jc w:val="left"/>
      </w:pPr>
      <w:r>
        <w:rPr/>
        <w:t>（资金管理和内部控制）等方面均将面临一定的挑战。 </w:t>
      </w:r>
      <w:r>
        <w:rPr>
          <w:spacing w:val="-2"/>
        </w:rPr>
        <w:t>公司将利用现有成熟的产品已在国内外新兴市场大批量使用的经验，完成产业布局，不断完善法人治理结构，继续健全</w:t>
      </w:r>
    </w:p>
    <w:p>
      <w:pPr>
        <w:pStyle w:val="BodyText"/>
        <w:spacing w:line="240" w:lineRule="auto" w:before="19"/>
        <w:ind w:right="0"/>
        <w:jc w:val="both"/>
      </w:pPr>
      <w:r>
        <w:rPr/>
        <w:t>运作机制，提高自身综合实力，以应对未来可能面临的风险。</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九、董事会对会计师事务所本报告期“非标准审计报告”的说明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大华会计师事务所（特殊普通合伙）为本公司</w:t>
      </w:r>
      <w:r>
        <w:rPr>
          <w:rFonts w:ascii="Times New Roman" w:hAnsi="Times New Roman" w:cs="Times New Roman" w:eastAsia="Times New Roman" w:hint="default"/>
        </w:rPr>
        <w:t>2012</w:t>
      </w:r>
      <w:r>
        <w:rPr/>
        <w:t>年度财务报告出具了标准无保留意见的审计报告。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报告期内，公司调整了坏账准备会计估计变更。 </w:t>
      </w:r>
      <w:r>
        <w:rPr>
          <w:spacing w:val="-1"/>
        </w:rPr>
        <w:t>公司</w:t>
      </w:r>
      <w:r>
        <w:rPr>
          <w:rFonts w:ascii="Times New Roman" w:hAnsi="Times New Roman" w:cs="Times New Roman" w:eastAsia="Times New Roman" w:hint="default"/>
          <w:spacing w:val="-1"/>
        </w:rPr>
        <w:t>IPO</w:t>
      </w:r>
      <w:r>
        <w:rPr>
          <w:spacing w:val="-1"/>
        </w:rPr>
        <w:t>募集资金投资项目中的天津生产基地项目即将投产，本次非公开发行募集资金投资项目的前期工作也已经开展，</w:t>
      </w:r>
    </w:p>
    <w:p>
      <w:pPr>
        <w:pStyle w:val="BodyText"/>
        <w:spacing w:line="309" w:lineRule="auto"/>
        <w:ind w:right="1130"/>
        <w:jc w:val="both"/>
      </w:pPr>
      <w:r>
        <w:rPr>
          <w:spacing w:val="-2"/>
        </w:rPr>
        <w:t>新客户导入以及细分产品类别进一步拓展延伸的多元化趋势已经形成，前次使用的短期坏账计提比例适用性下降。因此，本</w:t>
      </w:r>
      <w:r>
        <w:rPr>
          <w:spacing w:val="-63"/>
        </w:rPr>
        <w:t> </w:t>
      </w:r>
      <w:r>
        <w:rPr>
          <w:spacing w:val="-63"/>
        </w:rPr>
      </w:r>
      <w:r>
        <w:rPr>
          <w:spacing w:val="-2"/>
        </w:rPr>
        <w:t>公司认为应当采用较原来更为谨慎的坏账计提比例，如此不仅可以有效抵御和防范日后市场环境变化给公司生产经营带来的</w:t>
      </w:r>
      <w:r>
        <w:rPr>
          <w:spacing w:val="-64"/>
        </w:rPr>
        <w:t> </w:t>
      </w:r>
      <w:r>
        <w:rPr>
          <w:spacing w:val="-64"/>
        </w:rPr>
      </w:r>
      <w:r>
        <w:rPr/>
        <w:t>或有风险，进一步增强公司的抗风险能力，同时，也将更为准确、谨慎地反映公司的财务状况。公司于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w:t>
      </w:r>
      <w:r>
        <w:rPr>
          <w:spacing w:val="-85"/>
        </w:rPr>
        <w:t> </w:t>
      </w:r>
      <w:r>
        <w:rPr>
          <w:spacing w:val="-85"/>
        </w:rPr>
      </w:r>
      <w:r>
        <w:rPr/>
        <w:t>了第二届董事会第十四次会议，审议通过了《关于调整坏账准备会计估计变更的议案》，将公司</w:t>
      </w:r>
      <w:r>
        <w:rPr>
          <w:rFonts w:ascii="Times New Roman" w:hAnsi="Times New Roman" w:cs="Times New Roman" w:eastAsia="Times New Roman" w:hint="default"/>
        </w:rPr>
        <w:t>1</w:t>
      </w:r>
      <w:r>
        <w:rPr/>
        <w:t>年内坏帐准备的提取比例</w:t>
      </w:r>
      <w:r>
        <w:rPr>
          <w:spacing w:val="-82"/>
        </w:rPr>
        <w:t> </w:t>
      </w:r>
      <w:r>
        <w:rPr/>
        <w:t>由原来的：</w:t>
      </w:r>
      <w:r>
        <w:rPr>
          <w:rFonts w:ascii="Times New Roman" w:hAnsi="Times New Roman" w:cs="Times New Roman" w:eastAsia="Times New Roman" w:hint="default"/>
        </w:rPr>
        <w:t>6</w:t>
      </w:r>
      <w:r>
        <w:rPr/>
        <w:t>个月以内</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w:t>
      </w:r>
      <w:r>
        <w:rPr>
          <w:rFonts w:ascii="Times New Roman" w:hAnsi="Times New Roman" w:cs="Times New Roman" w:eastAsia="Times New Roman" w:hint="default"/>
        </w:rPr>
        <w:t>6~12</w:t>
      </w:r>
      <w:r>
        <w:rPr/>
        <w:t>个月</w:t>
      </w:r>
      <w:r>
        <w:rPr>
          <w:rFonts w:ascii="Times New Roman" w:hAnsi="Times New Roman" w:cs="Times New Roman" w:eastAsia="Times New Roman" w:hint="default"/>
        </w:rPr>
        <w:t>1.5%</w:t>
      </w:r>
      <w:r>
        <w:rPr/>
        <w:t>，变更为：</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5%</w:t>
      </w:r>
      <w:r>
        <w:rPr/>
        <w:t>；其余内容保持不变。</w:t>
      </w:r>
    </w:p>
    <w:p>
      <w:pPr>
        <w:pStyle w:val="BodyText"/>
        <w:spacing w:line="316" w:lineRule="auto" w:before="5"/>
        <w:ind w:right="1131" w:firstLine="360"/>
        <w:jc w:val="both"/>
      </w:pPr>
      <w:r>
        <w:rPr>
          <w:spacing w:val="-2"/>
        </w:rPr>
        <w:t>上述坏账计提比例调整因素主要对公司利润的影响体现在公司第二季度的业绩中，后续仅通过各期末应收账款余额增量</w:t>
      </w:r>
      <w:r>
        <w:rPr/>
        <w:t> </w:t>
      </w:r>
      <w:r>
        <w:rPr>
          <w:spacing w:val="-2"/>
        </w:rPr>
        <w:t>部分产生影响，由于客户正常账期的存在，公司各定期报告期末，应收账款余额基本保持稳定，因此坏账计提比例调整因素</w:t>
      </w:r>
      <w:r>
        <w:rPr>
          <w:spacing w:val="-65"/>
        </w:rPr>
        <w:t> </w:t>
      </w:r>
      <w:r>
        <w:rPr>
          <w:spacing w:val="-65"/>
        </w:rPr>
      </w:r>
      <w:r>
        <w:rPr/>
        <w:t>对公司后续的业绩影响较小。</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302" w:lineRule="auto" w:before="115"/>
        <w:ind w:right="1128" w:firstLine="360"/>
        <w:jc w:val="both"/>
      </w:pPr>
      <w:r>
        <w:rPr>
          <w:rFonts w:ascii="Times New Roman" w:hAnsi="Times New Roman" w:cs="Times New Roman" w:eastAsia="Times New Roman" w:hint="default"/>
        </w:rPr>
        <w:t>1</w:t>
      </w:r>
      <w:r>
        <w:rPr/>
        <w:t>、报告期内，公司严格按照中国证监会《关于修改上市公司现金分红若干规定的决定进一步落实上市公司现金分红有 </w:t>
      </w:r>
      <w:r>
        <w:rPr>
          <w:spacing w:val="-5"/>
        </w:rPr>
        <w:t>关事项的通知》、深圳证券交易所《中小企业板信息披露业务备忘录第</w:t>
      </w:r>
      <w:r>
        <w:rPr>
          <w:rFonts w:ascii="Times New Roman" w:hAnsi="Times New Roman" w:cs="Times New Roman" w:eastAsia="Times New Roman" w:hint="default"/>
          <w:spacing w:val="-5"/>
        </w:rPr>
        <w:t>33</w:t>
      </w:r>
      <w:r>
        <w:rPr>
          <w:spacing w:val="-5"/>
        </w:rPr>
        <w:t>号》：</w:t>
      </w:r>
      <w:r>
        <w:rPr>
          <w:rFonts w:ascii="Times New Roman" w:hAnsi="Times New Roman" w:cs="Times New Roman" w:eastAsia="Times New Roman" w:hint="default"/>
          <w:spacing w:val="-5"/>
        </w:rPr>
        <w:t>“</w:t>
      </w:r>
      <w:r>
        <w:rPr>
          <w:spacing w:val="-5"/>
        </w:rPr>
        <w:t>利润分配和资本公积转增股本</w:t>
      </w:r>
      <w:r>
        <w:rPr>
          <w:rFonts w:ascii="Times New Roman" w:hAnsi="Times New Roman" w:cs="Times New Roman" w:eastAsia="Times New Roman" w:hint="default"/>
          <w:spacing w:val="-5"/>
        </w:rPr>
        <w:t>”</w:t>
      </w:r>
      <w:r>
        <w:rPr>
          <w:spacing w:val="-5"/>
        </w:rPr>
        <w:t>以及公司《章</w:t>
      </w:r>
      <w:r>
        <w:rPr>
          <w:spacing w:val="-48"/>
        </w:rPr>
        <w:t> </w:t>
      </w:r>
      <w:r>
        <w:rPr>
          <w:spacing w:val="-48"/>
        </w:rPr>
      </w:r>
      <w:r>
        <w:rPr>
          <w:spacing w:val="-2"/>
        </w:rPr>
        <w:t>程》等有关法律法规的规定和要求，积极做好公司利润分配方案实施工作。报告期内，公司董事会在详细咨询、听取公司股</w:t>
      </w:r>
      <w:r>
        <w:rPr>
          <w:spacing w:val="-67"/>
        </w:rPr>
        <w:t> </w:t>
      </w:r>
      <w:r>
        <w:rPr>
          <w:spacing w:val="-67"/>
        </w:rPr>
      </w:r>
      <w:r>
        <w:rPr>
          <w:spacing w:val="-2"/>
        </w:rPr>
        <w:t>东的意见，并结合公司</w:t>
      </w:r>
      <w:r>
        <w:rPr>
          <w:rFonts w:ascii="Times New Roman" w:hAnsi="Times New Roman" w:cs="Times New Roman" w:eastAsia="Times New Roman" w:hint="default"/>
          <w:spacing w:val="-2"/>
        </w:rPr>
        <w:t>2011</w:t>
      </w:r>
      <w:r>
        <w:rPr>
          <w:spacing w:val="-2"/>
        </w:rPr>
        <w:t>年度盈利情况、投资情况和</w:t>
      </w:r>
      <w:r>
        <w:rPr>
          <w:rFonts w:ascii="Times New Roman" w:hAnsi="Times New Roman" w:cs="Times New Roman" w:eastAsia="Times New Roman" w:hint="default"/>
          <w:spacing w:val="-2"/>
        </w:rPr>
        <w:t>2012</w:t>
      </w:r>
      <w:r>
        <w:rPr>
          <w:spacing w:val="-2"/>
        </w:rPr>
        <w:t>年度投资、支出计划等制定了公司</w:t>
      </w:r>
      <w:r>
        <w:rPr>
          <w:rFonts w:ascii="Times New Roman" w:hAnsi="Times New Roman" w:cs="Times New Roman" w:eastAsia="Times New Roman" w:hint="default"/>
          <w:spacing w:val="-2"/>
        </w:rPr>
        <w:t>2011</w:t>
      </w:r>
      <w:r>
        <w:rPr>
          <w:spacing w:val="-2"/>
        </w:rPr>
        <w:t>年度利润分配预案，并提</w:t>
      </w:r>
      <w:r>
        <w:rPr>
          <w:spacing w:val="-55"/>
        </w:rPr>
        <w:t> </w:t>
      </w:r>
      <w:r>
        <w:rPr>
          <w:spacing w:val="-55"/>
        </w:rPr>
      </w:r>
      <w:r>
        <w:rPr/>
        <w:t>交公司于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日召开的第二届董事会第十二次会议审议通过。公司董事会对</w:t>
      </w:r>
      <w:r>
        <w:rPr>
          <w:rFonts w:ascii="Times New Roman" w:hAnsi="Times New Roman" w:cs="Times New Roman" w:eastAsia="Times New Roman" w:hint="default"/>
        </w:rPr>
        <w:t>2011</w:t>
      </w:r>
      <w:r>
        <w:rPr/>
        <w:t>年度利润分配方案形成专项决议后 提交公司于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2011</w:t>
      </w:r>
      <w:r>
        <w:rPr/>
        <w:t>年度股东大会进行审议并通过。根据公司</w:t>
      </w:r>
      <w:r>
        <w:rPr>
          <w:rFonts w:ascii="Times New Roman" w:hAnsi="Times New Roman" w:cs="Times New Roman" w:eastAsia="Times New Roman" w:hint="default"/>
        </w:rPr>
        <w:t>2011</w:t>
      </w:r>
      <w:r>
        <w:rPr/>
        <w:t>年度股东大会决议，公司以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20,000</w:t>
      </w:r>
      <w:r>
        <w:rPr/>
        <w:t>万股为基数，每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元人民币现金（含税）。上述利润分配方案于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日实施完毕。</w:t>
      </w:r>
    </w:p>
    <w:p>
      <w:pPr>
        <w:pStyle w:val="BodyText"/>
        <w:spacing w:line="300" w:lineRule="auto" w:before="51"/>
        <w:ind w:right="1135" w:firstLine="360"/>
        <w:jc w:val="both"/>
      </w:pPr>
      <w:r>
        <w:rPr>
          <w:rFonts w:ascii="Times New Roman" w:hAnsi="Times New Roman" w:cs="Times New Roman" w:eastAsia="Times New Roman" w:hint="default"/>
        </w:rPr>
        <w:t>2</w:t>
      </w:r>
      <w:r>
        <w:rPr/>
        <w:t>、报告期内，根据中国证券监督管理委员会、中国证券监督管理委员会深圳监管局和深圳证券交易所的有关规定，公 </w:t>
      </w:r>
      <w:r>
        <w:rPr>
          <w:spacing w:val="-2"/>
        </w:rPr>
        <w:t>司对公司《章程》中关于利润分配政策的部分条款作出修改，对现金分红政策进行了进一步的细化，并制定了《关于认真贯</w:t>
      </w:r>
    </w:p>
    <w:p>
      <w:pPr>
        <w:spacing w:after="0" w:line="300"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jc w:val="both"/>
      </w:pPr>
      <w:r>
        <w:rPr>
          <w:spacing w:val="-3"/>
        </w:rPr>
        <w:t>彻落实现金分红有关事项工作方案》、《就股东回报规划事项的论证报告》及《未来三年（</w:t>
      </w:r>
      <w:r>
        <w:rPr>
          <w:rFonts w:ascii="Times New Roman" w:hAnsi="Times New Roman" w:cs="Times New Roman" w:eastAsia="Times New Roman" w:hint="default"/>
          <w:spacing w:val="-3"/>
        </w:rPr>
        <w:t>2012-2014</w:t>
      </w:r>
      <w:r>
        <w:rPr>
          <w:spacing w:val="-3"/>
        </w:rPr>
        <w:t>年）股东回报规划》，</w:t>
      </w:r>
      <w:r>
        <w:rPr>
          <w:spacing w:val="-60"/>
        </w:rPr>
        <w:t> </w:t>
      </w:r>
      <w:r>
        <w:rPr>
          <w:spacing w:val="-60"/>
        </w:rPr>
      </w:r>
      <w:r>
        <w:rPr/>
        <w:t>公司《章程》的修改及相关制度规划的建立已提交公司于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日召开的第二届董事会第十五次会议审议通过，并经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2012</w:t>
      </w:r>
      <w:r>
        <w:rPr/>
        <w:t>年第二次临时股东大会审议通过，该次股东大会采取现场加网络投票的方式，保证充分听取中小 股东的意见和诉求，维护中小股东的合法权益。会议过程中，决策程序透明，符合相关要求的规定。</w:t>
      </w:r>
    </w:p>
    <w:p>
      <w:pPr>
        <w:pStyle w:val="BodyText"/>
        <w:spacing w:line="312" w:lineRule="auto" w:before="72"/>
        <w:ind w:right="1034" w:firstLine="360"/>
        <w:jc w:val="left"/>
      </w:pPr>
      <w:r>
        <w:rPr>
          <w:rFonts w:ascii="Times New Roman" w:hAnsi="Times New Roman" w:cs="Times New Roman" w:eastAsia="Times New Roman" w:hint="default"/>
        </w:rPr>
        <w:t>3</w:t>
      </w:r>
      <w:r>
        <w:rPr/>
        <w:t>、新修改的公司现金分红政策符合中国证监会的相关要求，公司《章程》补充完善了利润分配相关条款，明确规定了 利润分配的程序和形式、实施现金分红和股票分红的条件、现金分红的比例及时间间隔、现金分红政策的决策程序和机制；</w:t>
      </w:r>
      <w:r>
        <w:rPr>
          <w:spacing w:val="-86"/>
        </w:rPr>
        <w:t> </w:t>
      </w:r>
      <w:r>
        <w:rPr>
          <w:spacing w:val="-86"/>
        </w:rPr>
      </w:r>
      <w:r>
        <w:rPr>
          <w:spacing w:val="-2"/>
        </w:rPr>
        <w:t>加强了独立董事和监事会对利润分配的履职，独立董事和监事会需按要求发表意见，同时提升了中小股东对利润分配方案的</w:t>
      </w:r>
      <w:r>
        <w:rPr>
          <w:spacing w:val="-64"/>
        </w:rPr>
        <w:t> </w:t>
      </w:r>
      <w:r>
        <w:rPr>
          <w:spacing w:val="-64"/>
        </w:rPr>
      </w:r>
      <w:r>
        <w:rPr/>
        <w:t>参与度；完善了现金分红政策进行调整或变更的条件及程序。</w:t>
      </w:r>
    </w:p>
    <w:p>
      <w:pPr>
        <w:pStyle w:val="BodyText"/>
        <w:spacing w:line="240" w:lineRule="auto" w:before="61"/>
        <w:ind w:right="0"/>
        <w:jc w:val="both"/>
      </w:pPr>
      <w:r>
        <w:rPr/>
        <w:t>本年度利润分配及资本公积金转增股本预案</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160,638,785.36</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年度利润分配预案以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股为基数，拟向全体股东按每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p>
          <w:p>
            <w:pPr>
              <w:pStyle w:val="TableParagraph"/>
              <w:spacing w:line="300" w:lineRule="auto" w:before="63"/>
              <w:ind w:left="1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1.50</w:t>
            </w:r>
            <w:r>
              <w:rPr>
                <w:rFonts w:ascii="Times New Roman" w:hAnsi="Times New Roman" w:cs="Times New Roman" w:eastAsia="Times New Roman" w:hint="default"/>
                <w:spacing w:val="8"/>
                <w:sz w:val="18"/>
                <w:szCs w:val="18"/>
              </w:rPr>
              <w:t> </w:t>
            </w:r>
            <w:r>
              <w:rPr>
                <w:rFonts w:ascii="宋体" w:hAnsi="宋体" w:cs="宋体" w:eastAsia="宋体" w:hint="default"/>
                <w:spacing w:val="-11"/>
                <w:sz w:val="18"/>
                <w:szCs w:val="18"/>
              </w:rPr>
              <w:t>元（含税），共计派发现金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36,000,000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元，剩余未分配利润</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124,638,785.36</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元转入下一年度，本次分配预案不安排资本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公积转增股本。</w:t>
            </w:r>
          </w:p>
        </w:tc>
      </w:tr>
    </w:tbl>
    <w:p>
      <w:pPr>
        <w:pStyle w:val="BodyText"/>
        <w:spacing w:line="240" w:lineRule="auto" w:before="49"/>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left="551" w:right="1123"/>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2010</w:t>
      </w:r>
      <w:r>
        <w:rPr/>
        <w:t>年利润分配方案及资本公积金转增股本方案执行情况</w:t>
      </w:r>
    </w:p>
    <w:p>
      <w:pPr>
        <w:pStyle w:val="BodyText"/>
        <w:spacing w:line="300" w:lineRule="auto" w:before="63"/>
        <w:ind w:left="532" w:right="112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年中期利润分配方案执行情况 </w:t>
      </w:r>
      <w:r>
        <w:rPr>
          <w:spacing w:val="-1"/>
        </w:rPr>
        <w:t>公司</w:t>
      </w:r>
      <w:r>
        <w:rPr>
          <w:rFonts w:ascii="Times New Roman" w:hAnsi="Times New Roman" w:cs="Times New Roman" w:eastAsia="Times New Roman" w:hint="default"/>
          <w:spacing w:val="-1"/>
        </w:rPr>
        <w:t>2010</w:t>
      </w:r>
      <w:r>
        <w:rPr>
          <w:spacing w:val="-1"/>
        </w:rPr>
        <w:t>年中期利润分配方案经</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14</w:t>
      </w:r>
      <w:r>
        <w:rPr>
          <w:spacing w:val="-1"/>
        </w:rPr>
        <w:t>日召开的</w:t>
      </w:r>
      <w:r>
        <w:rPr>
          <w:rFonts w:ascii="Times New Roman" w:hAnsi="Times New Roman" w:cs="Times New Roman" w:eastAsia="Times New Roman" w:hint="default"/>
          <w:spacing w:val="-1"/>
        </w:rPr>
        <w:t>2010</w:t>
      </w:r>
      <w:r>
        <w:rPr>
          <w:spacing w:val="-1"/>
        </w:rPr>
        <w:t>年第三次临时股东大会审议通过，具体方案为：以公司总股</w:t>
      </w:r>
    </w:p>
    <w:p>
      <w:pPr>
        <w:pStyle w:val="BodyText"/>
        <w:spacing w:line="300" w:lineRule="auto" w:before="13"/>
        <w:ind w:right="1124"/>
        <w:jc w:val="left"/>
      </w:pPr>
      <w:r>
        <w:rPr/>
        <w:t>本</w:t>
      </w:r>
      <w:r>
        <w:rPr>
          <w:rFonts w:ascii="Times New Roman" w:hAnsi="Times New Roman" w:cs="Times New Roman" w:eastAsia="Times New Roman" w:hint="default"/>
        </w:rPr>
        <w:t>10,000</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w:t>
      </w:r>
      <w:r>
        <w:rPr/>
        <w:t>元（含税），共派发现金红利人民币</w:t>
      </w:r>
      <w:r>
        <w:rPr>
          <w:rFonts w:ascii="Times New Roman" w:hAnsi="Times New Roman" w:cs="Times New Roman" w:eastAsia="Times New Roman" w:hint="default"/>
        </w:rPr>
        <w:t>5,000</w:t>
      </w:r>
      <w:r>
        <w:rPr/>
        <w:t>万元，剩余未分配利润结 转以后年度分配。</w:t>
      </w:r>
    </w:p>
    <w:p>
      <w:pPr>
        <w:pStyle w:val="BodyText"/>
        <w:spacing w:line="240" w:lineRule="auto" w:before="31"/>
        <w:ind w:left="568" w:right="1123"/>
        <w:jc w:val="left"/>
      </w:pPr>
      <w:r>
        <w:rPr/>
        <w:t>上述利润分配方案已于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日实施完毕。</w:t>
      </w:r>
    </w:p>
    <w:p>
      <w:pPr>
        <w:pStyle w:val="BodyText"/>
        <w:spacing w:line="300" w:lineRule="auto" w:before="63"/>
        <w:ind w:left="532" w:right="281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年度利润分配方案执行情况 公司</w:t>
      </w:r>
      <w:r>
        <w:rPr>
          <w:rFonts w:ascii="Times New Roman" w:hAnsi="Times New Roman" w:cs="Times New Roman" w:eastAsia="Times New Roman" w:hint="default"/>
        </w:rPr>
        <w:t>2010</w:t>
      </w:r>
      <w:r>
        <w:rPr/>
        <w:t>年度利润分配方案经</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2010</w:t>
      </w:r>
      <w:r>
        <w:rPr/>
        <w:t>年年度股东大会审议通过，具体方案为：</w:t>
      </w:r>
    </w:p>
    <w:p>
      <w:pPr>
        <w:pStyle w:val="BodyText"/>
        <w:spacing w:line="300" w:lineRule="auto" w:before="13"/>
        <w:ind w:right="1123" w:firstLine="379"/>
        <w:jc w:val="left"/>
      </w:pPr>
      <w:r>
        <w:rPr/>
        <w:t>①</w:t>
      </w:r>
      <w:r>
        <w:rPr>
          <w:spacing w:val="19"/>
        </w:rPr>
        <w:t> </w:t>
      </w:r>
      <w:r>
        <w:rPr>
          <w:spacing w:val="-6"/>
        </w:rPr>
        <w:t>以</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日的总股本</w:t>
      </w:r>
      <w:r>
        <w:rPr>
          <w:rFonts w:ascii="Times New Roman" w:hAnsi="Times New Roman" w:cs="Times New Roman" w:eastAsia="Times New Roman" w:hint="default"/>
          <w:spacing w:val="-6"/>
        </w:rPr>
        <w:t>100,000,000</w:t>
      </w:r>
      <w:r>
        <w:rPr>
          <w:spacing w:val="-6"/>
        </w:rPr>
        <w:t>股为基数，按每</w:t>
      </w:r>
      <w:r>
        <w:rPr>
          <w:rFonts w:ascii="Times New Roman" w:hAnsi="Times New Roman" w:cs="Times New Roman" w:eastAsia="Times New Roman" w:hint="default"/>
          <w:spacing w:val="-6"/>
        </w:rPr>
        <w:t>10</w:t>
      </w:r>
      <w:r>
        <w:rPr>
          <w:spacing w:val="-6"/>
        </w:rPr>
        <w:t>股派发现金股利人民币</w:t>
      </w:r>
      <w:r>
        <w:rPr>
          <w:rFonts w:ascii="Times New Roman" w:hAnsi="Times New Roman" w:cs="Times New Roman" w:eastAsia="Times New Roman" w:hint="default"/>
          <w:spacing w:val="-6"/>
        </w:rPr>
        <w:t>5</w:t>
      </w:r>
      <w:r>
        <w:rPr>
          <w:spacing w:val="-6"/>
        </w:rPr>
        <w:t>元（含税），共派发人民币</w:t>
      </w:r>
      <w:r>
        <w:rPr>
          <w:rFonts w:ascii="Times New Roman" w:hAnsi="Times New Roman" w:cs="Times New Roman" w:eastAsia="Times New Roman" w:hint="default"/>
          <w:spacing w:val="-6"/>
        </w:rPr>
        <w:t>50,000,000</w:t>
      </w:r>
      <w:r>
        <w:rPr>
          <w:rFonts w:ascii="Times New Roman" w:hAnsi="Times New Roman" w:cs="Times New Roman" w:eastAsia="Times New Roman" w:hint="default"/>
        </w:rPr>
        <w:t> </w:t>
      </w:r>
      <w:r>
        <w:rPr/>
        <w:t>元，余额</w:t>
      </w:r>
      <w:r>
        <w:rPr>
          <w:rFonts w:ascii="Times New Roman" w:hAnsi="Times New Roman" w:cs="Times New Roman" w:eastAsia="Times New Roman" w:hint="default"/>
        </w:rPr>
        <w:t>58,777,140.41</w:t>
      </w:r>
      <w:r>
        <w:rPr/>
        <w:t>元转入下一年度。</w:t>
      </w:r>
    </w:p>
    <w:p>
      <w:pPr>
        <w:pStyle w:val="BodyText"/>
        <w:spacing w:line="300" w:lineRule="auto" w:before="13"/>
        <w:ind w:right="1131" w:firstLine="379"/>
        <w:jc w:val="left"/>
      </w:pPr>
      <w:r>
        <w:rPr/>
        <w:t>②</w:t>
      </w:r>
      <w:r>
        <w:rPr>
          <w:spacing w:val="-26"/>
        </w:rPr>
        <w:t> </w:t>
      </w:r>
      <w:r>
        <w:rPr/>
        <w:t>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100,000,000</w:t>
      </w:r>
      <w:r>
        <w:rPr/>
        <w:t>股为基数，以资本溢价形成的资本公积向全体股东每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股，此方案 实施后，公司总股本由</w:t>
      </w:r>
      <w:r>
        <w:rPr>
          <w:rFonts w:ascii="Times New Roman" w:hAnsi="Times New Roman" w:cs="Times New Roman" w:eastAsia="Times New Roman" w:hint="default"/>
        </w:rPr>
        <w:t>100,000,000</w:t>
      </w:r>
      <w:r>
        <w:rPr/>
        <w:t>股增加为</w:t>
      </w:r>
      <w:r>
        <w:rPr>
          <w:rFonts w:ascii="Times New Roman" w:hAnsi="Times New Roman" w:cs="Times New Roman" w:eastAsia="Times New Roman" w:hint="default"/>
        </w:rPr>
        <w:t>200,000,000</w:t>
      </w:r>
      <w:r>
        <w:rPr/>
        <w:t>股，资本公积由</w:t>
      </w:r>
      <w:r>
        <w:rPr>
          <w:rFonts w:ascii="Times New Roman" w:hAnsi="Times New Roman" w:cs="Times New Roman" w:eastAsia="Times New Roman" w:hint="default"/>
        </w:rPr>
        <w:t>513,247,188.34</w:t>
      </w:r>
      <w:r>
        <w:rPr/>
        <w:t>元减少为</w:t>
      </w:r>
      <w:r>
        <w:rPr>
          <w:rFonts w:ascii="Times New Roman" w:hAnsi="Times New Roman" w:cs="Times New Roman" w:eastAsia="Times New Roman" w:hint="default"/>
        </w:rPr>
        <w:t>413,247,188.34</w:t>
      </w:r>
      <w:r>
        <w:rPr/>
        <w:t>元。</w:t>
      </w:r>
    </w:p>
    <w:p>
      <w:pPr>
        <w:pStyle w:val="BodyText"/>
        <w:spacing w:line="240" w:lineRule="auto" w:before="13"/>
        <w:ind w:left="513" w:right="1123"/>
        <w:jc w:val="left"/>
      </w:pPr>
      <w:r>
        <w:rPr/>
        <w:t>上述方案已于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日实施完毕。</w:t>
      </w:r>
    </w:p>
    <w:p>
      <w:pPr>
        <w:pStyle w:val="BodyText"/>
        <w:spacing w:line="240" w:lineRule="auto" w:before="63"/>
        <w:ind w:left="513" w:right="1123"/>
        <w:jc w:val="left"/>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2011</w:t>
      </w:r>
      <w:r>
        <w:rPr/>
        <w:t>年利润分配方案执行情况</w:t>
      </w:r>
    </w:p>
    <w:p>
      <w:pPr>
        <w:pStyle w:val="BodyText"/>
        <w:spacing w:line="300" w:lineRule="auto" w:before="63"/>
        <w:ind w:left="513" w:right="112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年中期利润分配方案执行情况 </w:t>
      </w:r>
      <w:r>
        <w:rPr>
          <w:spacing w:val="-1"/>
        </w:rPr>
        <w:t>根据</w:t>
      </w:r>
      <w:r>
        <w:rPr>
          <w:rFonts w:ascii="Times New Roman" w:hAnsi="Times New Roman" w:cs="Times New Roman" w:eastAsia="Times New Roman" w:hint="default"/>
          <w:spacing w:val="-1"/>
        </w:rPr>
        <w:t>2011</w:t>
      </w:r>
      <w:r>
        <w:rPr>
          <w:spacing w:val="-1"/>
        </w:rPr>
        <w:t>年第一次临时股东大会审议通过《</w:t>
      </w:r>
      <w:r>
        <w:rPr>
          <w:rFonts w:ascii="Times New Roman" w:hAnsi="Times New Roman" w:cs="Times New Roman" w:eastAsia="Times New Roman" w:hint="default"/>
          <w:spacing w:val="-1"/>
        </w:rPr>
        <w:t>2011</w:t>
      </w:r>
      <w:r>
        <w:rPr>
          <w:spacing w:val="-1"/>
        </w:rPr>
        <w:t>年中期利润分配预案》：以公司总股本</w:t>
      </w:r>
      <w:r>
        <w:rPr>
          <w:rFonts w:ascii="Times New Roman" w:hAnsi="Times New Roman" w:cs="Times New Roman" w:eastAsia="Times New Roman" w:hint="default"/>
          <w:spacing w:val="-1"/>
        </w:rPr>
        <w:t>20,000</w:t>
      </w:r>
      <w:r>
        <w:rPr>
          <w:spacing w:val="-1"/>
        </w:rPr>
        <w:t>万股为基数，向全体股东</w:t>
      </w:r>
    </w:p>
    <w:p>
      <w:pPr>
        <w:pStyle w:val="BodyText"/>
        <w:spacing w:line="300" w:lineRule="auto" w:before="13"/>
        <w:ind w:left="513" w:right="2339" w:hanging="361"/>
        <w:jc w:val="left"/>
      </w:pP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元（含税），共派发现金红利人民币</w:t>
      </w:r>
      <w:r>
        <w:rPr>
          <w:rFonts w:ascii="Times New Roman" w:hAnsi="Times New Roman" w:cs="Times New Roman" w:eastAsia="Times New Roman" w:hint="default"/>
        </w:rPr>
        <w:t>2,000</w:t>
      </w:r>
      <w:r>
        <w:rPr/>
        <w:t>万元，剩余未分配利润结转以后年度分配。 上述利润分配方案已于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日实施完毕。</w:t>
      </w:r>
    </w:p>
    <w:p>
      <w:pPr>
        <w:pStyle w:val="BodyText"/>
        <w:spacing w:line="300" w:lineRule="auto" w:before="13"/>
        <w:ind w:left="513" w:right="2743" w:firstLine="1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年度利润分配方案执行情况 公司</w:t>
      </w:r>
      <w:r>
        <w:rPr>
          <w:rFonts w:ascii="Times New Roman" w:hAnsi="Times New Roman" w:cs="Times New Roman" w:eastAsia="Times New Roman" w:hint="default"/>
        </w:rPr>
        <w:t>2011</w:t>
      </w:r>
      <w:r>
        <w:rPr/>
        <w:t>年度利润分配方案经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2011</w:t>
      </w:r>
      <w:r>
        <w:rPr/>
        <w:t>年年度股东大会审议通过，具体方案为：</w:t>
      </w:r>
    </w:p>
    <w:p>
      <w:pPr>
        <w:spacing w:after="0" w:line="30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shape style="position:absolute;margin-left:419.813019pt;margin-top:685.899963pt;width:114.05pt;height:17.650pt;mso-position-horizontal-relative:page;mso-position-vertical-relative:page;z-index:-991624" type="#_x0000_t202" filled="false" stroked="false">
            <v:textbox inset="0,0,0,0">
              <w:txbxContent>
                <w:p>
                  <w:pPr>
                    <w:pStyle w:val="BodyText"/>
                    <w:spacing w:line="240" w:lineRule="auto" w:before="49"/>
                    <w:ind w:left="0" w:right="0"/>
                    <w:jc w:val="left"/>
                  </w:pPr>
                  <w:r>
                    <w:rPr/>
                    <w:t>、</w:t>
                  </w:r>
                </w:p>
              </w:txbxContent>
            </v:textbox>
            <w10:wrap type="none"/>
          </v:shape>
        </w:pict>
      </w:r>
    </w:p>
    <w:p>
      <w:pPr>
        <w:pStyle w:val="BodyText"/>
        <w:spacing w:line="300" w:lineRule="auto" w:before="44"/>
        <w:ind w:right="1131" w:firstLine="360"/>
        <w:jc w:val="both"/>
      </w:pPr>
      <w:r>
        <w:rPr>
          <w:spacing w:val="-1"/>
        </w:rPr>
        <w:t>以公司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200,000,000</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2.00</w:t>
      </w:r>
      <w:r>
        <w:rPr>
          <w:spacing w:val="-1"/>
        </w:rPr>
        <w:t>元（含税），共派发现金红</w:t>
      </w:r>
      <w:r>
        <w:rPr/>
        <w:t> 利人民币</w:t>
      </w:r>
      <w:r>
        <w:rPr>
          <w:rFonts w:ascii="Times New Roman" w:hAnsi="Times New Roman" w:cs="Times New Roman" w:eastAsia="Times New Roman" w:hint="default"/>
        </w:rPr>
        <w:t>4,000</w:t>
      </w:r>
      <w:r>
        <w:rPr/>
        <w:t>万元，剩余未分配利润结转以后年度分配。</w:t>
      </w:r>
    </w:p>
    <w:p>
      <w:pPr>
        <w:pStyle w:val="BodyText"/>
        <w:spacing w:line="240" w:lineRule="auto" w:before="13"/>
        <w:ind w:left="513" w:right="1123"/>
        <w:jc w:val="left"/>
      </w:pPr>
      <w:r>
        <w:rPr/>
        <w:t>上述利润分配方案已于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日实施完毕。</w:t>
      </w:r>
    </w:p>
    <w:p>
      <w:pPr>
        <w:pStyle w:val="BodyText"/>
        <w:spacing w:line="300" w:lineRule="auto" w:before="63"/>
        <w:ind w:right="1127" w:firstLine="360"/>
        <w:jc w:val="both"/>
      </w:pPr>
      <w:r>
        <w:rPr>
          <w:rFonts w:ascii="Times New Roman" w:hAnsi="Times New Roman" w:cs="Times New Roman" w:eastAsia="Times New Roman" w:hint="default"/>
        </w:rPr>
        <w:t>3</w:t>
      </w:r>
      <w:r>
        <w:rPr/>
        <w:t>、本公司</w:t>
      </w:r>
      <w:r>
        <w:rPr>
          <w:rFonts w:ascii="Times New Roman" w:hAnsi="Times New Roman" w:cs="Times New Roman" w:eastAsia="Times New Roman" w:hint="default"/>
        </w:rPr>
        <w:t>2012</w:t>
      </w:r>
      <w:r>
        <w:rPr/>
        <w:t>年年度权益分配预案为：拟以公司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240,000,000</w:t>
      </w:r>
      <w:r>
        <w:rPr/>
        <w:t>股为基数，向全体股东每</w:t>
      </w:r>
      <w:r>
        <w:rPr>
          <w:rFonts w:ascii="Times New Roman" w:hAnsi="Times New Roman" w:cs="Times New Roman" w:eastAsia="Times New Roman" w:hint="default"/>
        </w:rPr>
        <w:t>10</w:t>
      </w:r>
      <w:r>
        <w:rPr/>
        <w:t>股派 </w:t>
      </w:r>
      <w:r>
        <w:rPr>
          <w:spacing w:val="-3"/>
        </w:rPr>
        <w:t>发现金股利</w:t>
      </w:r>
      <w:r>
        <w:rPr>
          <w:rFonts w:ascii="Times New Roman" w:hAnsi="Times New Roman" w:cs="Times New Roman" w:eastAsia="Times New Roman" w:hint="default"/>
          <w:spacing w:val="-3"/>
        </w:rPr>
        <w:t>1.5</w:t>
      </w:r>
      <w:r>
        <w:rPr>
          <w:spacing w:val="-3"/>
        </w:rPr>
        <w:t>元（含税），共派发现金红利人民币</w:t>
      </w:r>
      <w:r>
        <w:rPr>
          <w:rFonts w:ascii="Times New Roman" w:hAnsi="Times New Roman" w:cs="Times New Roman" w:eastAsia="Times New Roman" w:hint="default"/>
          <w:spacing w:val="-3"/>
        </w:rPr>
        <w:t>3,600</w:t>
      </w:r>
      <w:r>
        <w:rPr>
          <w:spacing w:val="-3"/>
        </w:rPr>
        <w:t>万元，剩余未分配利润结转以后年度分配。该预案尚需提交公司</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年度股东大会审议。</w:t>
      </w:r>
    </w:p>
    <w:p>
      <w:pPr>
        <w:spacing w:line="240" w:lineRule="auto" w:before="13"/>
        <w:rPr>
          <w:rFonts w:ascii="宋体" w:hAnsi="宋体" w:cs="宋体" w:eastAsia="宋体" w:hint="default"/>
          <w:sz w:val="25"/>
          <w:szCs w:val="25"/>
        </w:rPr>
      </w:pPr>
    </w:p>
    <w:p>
      <w:pPr>
        <w:pStyle w:val="BodyText"/>
        <w:spacing w:line="240" w:lineRule="auto" w:before="44"/>
        <w:ind w:right="1123"/>
        <w:jc w:val="left"/>
      </w:pPr>
      <w:r>
        <w:rPr/>
        <w:t>公司近三年现金分红情况表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84,938,989.30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42.38%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98,495,682.76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60.92%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73,951,392.23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135.22%</w:t>
            </w:r>
          </w:p>
        </w:tc>
      </w:tr>
    </w:tbl>
    <w:p>
      <w:pPr>
        <w:pStyle w:val="BodyText"/>
        <w:spacing w:line="240" w:lineRule="auto" w:before="49"/>
        <w:ind w:right="1123"/>
        <w:jc w:val="left"/>
      </w:pPr>
      <w:r>
        <w:rPr/>
        <w:t>公司报告期内盈利且母公司未分配利润为正但未提出现金红利分配预案</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公司一直高度重视资源利用、节能减排及环境保护等工作。自建立松岗基地以来，公司在购置设备、提升能耗均以最大</w:t>
      </w:r>
      <w:r>
        <w:rPr/>
        <w:t> </w:t>
      </w:r>
      <w:r>
        <w:rPr>
          <w:spacing w:val="-2"/>
        </w:rPr>
        <w:t>限度节约资源，减少资源的直接和间接浪费为宗旨，合理计划使用资源。公司通过采用冰蓄冷空调系统，充分利用夜间廉价</w:t>
      </w:r>
      <w:r>
        <w:rPr>
          <w:spacing w:val="-65"/>
        </w:rPr>
        <w:t> </w:t>
      </w:r>
      <w:r>
        <w:rPr>
          <w:spacing w:val="-65"/>
        </w:rPr>
      </w:r>
      <w:r>
        <w:rPr>
          <w:spacing w:val="-2"/>
        </w:rPr>
        <w:t>的低谷电力储存冷量，满足在电力高峰期的空调冷负荷需要，节约系统运行成本。同时，将夜间储存的冷量供白天使用，大</w:t>
      </w:r>
      <w:r>
        <w:rPr>
          <w:spacing w:val="-65"/>
        </w:rPr>
        <w:t> </w:t>
      </w:r>
      <w:r>
        <w:rPr>
          <w:spacing w:val="-65"/>
        </w:rPr>
      </w:r>
      <w:r>
        <w:rPr>
          <w:spacing w:val="-2"/>
        </w:rPr>
        <w:t>大提高了能源利用率，每年可为公司节约数百万元；此外，公司还利用老化房余热回收系统回收热量供给员工宿舍使用，不</w:t>
      </w:r>
      <w:r>
        <w:rPr>
          <w:spacing w:val="-66"/>
        </w:rPr>
        <w:t> </w:t>
      </w:r>
      <w:r>
        <w:rPr>
          <w:spacing w:val="-66"/>
        </w:rPr>
      </w:r>
      <w:r>
        <w:rPr/>
        <w:t>仅减少能源消耗，还可为公司节约开支。</w:t>
      </w:r>
    </w:p>
    <w:p>
      <w:pPr>
        <w:pStyle w:val="BodyText"/>
        <w:spacing w:line="300" w:lineRule="auto" w:before="137"/>
        <w:ind w:right="1131" w:firstLine="360"/>
        <w:jc w:val="both"/>
      </w:pPr>
      <w:r>
        <w:rPr>
          <w:spacing w:val="-2"/>
        </w:rPr>
        <w:t>为了进一步加强环境保护，公司还在照明、太阳能回收、</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治理等方面加强管控，以确保公司绿色经营。同时公司</w:t>
      </w:r>
      <w:r>
        <w:rPr/>
        <w:t> </w:t>
      </w:r>
      <w:r>
        <w:rPr>
          <w:spacing w:val="-3"/>
        </w:rPr>
        <w:t>也积极遵守我国环境保护法律、法规和政策，积极履行保护环境的社会责任，</w:t>
      </w:r>
      <w:r>
        <w:rPr>
          <w:rFonts w:ascii="Times New Roman" w:hAnsi="Times New Roman" w:cs="Times New Roman" w:eastAsia="Times New Roman" w:hint="default"/>
          <w:spacing w:val="-3"/>
        </w:rPr>
        <w:t>2012</w:t>
      </w:r>
      <w:r>
        <w:rPr>
          <w:spacing w:val="-3"/>
        </w:rPr>
        <w:t>年公司顺利通过了</w:t>
      </w:r>
      <w:r>
        <w:rPr>
          <w:rFonts w:ascii="Times New Roman" w:hAnsi="Times New Roman" w:cs="Times New Roman" w:eastAsia="Times New Roman" w:hint="default"/>
          <w:spacing w:val="-3"/>
        </w:rPr>
        <w:t>SA8000</w:t>
      </w:r>
      <w:r>
        <w:rPr>
          <w:spacing w:val="-3"/>
        </w:rPr>
        <w:t>社会责任认证。</w:t>
      </w:r>
    </w:p>
    <w:p>
      <w:pPr>
        <w:pStyle w:val="BodyText"/>
        <w:spacing w:line="240" w:lineRule="auto" w:before="133"/>
        <w:ind w:left="0" w:right="5217"/>
        <w:jc w:val="center"/>
      </w:pPr>
      <w:r>
        <w:rPr/>
        <w:t>报告期内，公司不存在重大环保或其他重大社会安全问题。</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pict>
          <v:shape style="position:absolute;margin-left:419.813019pt;margin-top:104.525635pt;width:114.05pt;height:17.55pt;mso-position-horizontal-relative:page;mso-position-vertical-relative:paragraph;z-index:-991648" type="#_x0000_t202" filled="false" stroked="false">
            <v:textbox inset="0,0,0,0">
              <w:txbxContent>
                <w:p>
                  <w:pPr>
                    <w:pStyle w:val="BodyText"/>
                    <w:spacing w:line="240" w:lineRule="auto" w:before="49"/>
                    <w:ind w:left="0" w:right="0"/>
                    <w:jc w:val="left"/>
                  </w:pPr>
                  <w:r>
                    <w:rPr/>
                    <w:t>、</w:t>
                  </w:r>
                </w:p>
              </w:txbxContent>
            </v:textbox>
            <w10:wrap type="none"/>
          </v:shape>
        </w:pict>
      </w: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970"/>
        <w:gridCol w:w="901"/>
        <w:gridCol w:w="2519"/>
        <w:gridCol w:w="2178"/>
      </w:tblGrid>
      <w:tr>
        <w:trPr>
          <w:trHeight w:val="708"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3"/>
              <w:jc w:val="right"/>
              <w:rPr>
                <w:rFonts w:ascii="宋体" w:hAnsi="宋体" w:cs="宋体" w:eastAsia="宋体" w:hint="default"/>
                <w:sz w:val="18"/>
                <w:szCs w:val="18"/>
              </w:rPr>
            </w:pPr>
            <w:r>
              <w:rPr>
                <w:rFonts w:ascii="宋体" w:hAnsi="宋体" w:cs="宋体" w:eastAsia="宋体" w:hint="default"/>
                <w:sz w:val="18"/>
                <w:szCs w:val="18"/>
              </w:rPr>
              <w:t>接待对象</w:t>
            </w:r>
          </w:p>
        </w:tc>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0" w:right="86"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2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4"/>
              <w:ind w:left="22" w:right="20"/>
              <w:jc w:val="left"/>
              <w:rPr>
                <w:rFonts w:ascii="宋体" w:hAnsi="宋体" w:cs="宋体" w:eastAsia="宋体" w:hint="default"/>
                <w:sz w:val="18"/>
                <w:szCs w:val="18"/>
              </w:rPr>
            </w:pPr>
            <w:r>
              <w:rPr>
                <w:rFonts w:ascii="宋体" w:hAnsi="宋体" w:cs="宋体" w:eastAsia="宋体" w:hint="default"/>
                <w:spacing w:val="-4"/>
                <w:sz w:val="18"/>
                <w:szCs w:val="18"/>
              </w:rPr>
              <w:t>安信证券、海通证券、第一创业</w:t>
            </w:r>
            <w:r>
              <w:rPr>
                <w:rFonts w:ascii="宋体" w:hAnsi="宋体" w:cs="宋体" w:eastAsia="宋体" w:hint="default"/>
                <w:sz w:val="18"/>
                <w:szCs w:val="18"/>
              </w:rPr>
              <w:t> 证券、南京证券、恒泰证券</w:t>
            </w:r>
          </w:p>
        </w:tc>
        <w:tc>
          <w:tcPr>
            <w:tcW w:w="2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4"/>
              <w:ind w:left="23" w:right="-16"/>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08"/>
              <w:jc w:val="left"/>
              <w:rPr>
                <w:rFonts w:ascii="宋体" w:hAnsi="宋体" w:cs="宋体" w:eastAsia="宋体" w:hint="default"/>
                <w:sz w:val="18"/>
                <w:szCs w:val="18"/>
              </w:rPr>
            </w:pPr>
            <w:r>
              <w:rPr>
                <w:rFonts w:ascii="宋体" w:hAnsi="宋体" w:cs="宋体" w:eastAsia="宋体" w:hint="default"/>
                <w:spacing w:val="-11"/>
                <w:sz w:val="18"/>
                <w:szCs w:val="18"/>
              </w:rPr>
              <w:t>招商证券、中信建投、东北证券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中银基金等</w:t>
            </w:r>
          </w:p>
        </w:tc>
        <w:tc>
          <w:tcPr>
            <w:tcW w:w="2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6"/>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pacing w:val="-11"/>
                <w:sz w:val="18"/>
                <w:szCs w:val="18"/>
              </w:rPr>
              <w:t>民森资本、招商证券、中山证券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平石投资等</w:t>
            </w:r>
          </w:p>
        </w:tc>
        <w:tc>
          <w:tcPr>
            <w:tcW w:w="2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6"/>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4"/>
              <w:jc w:val="right"/>
              <w:rPr>
                <w:rFonts w:ascii="宋体" w:hAnsi="宋体" w:cs="宋体" w:eastAsia="宋体" w:hint="default"/>
                <w:sz w:val="18"/>
                <w:szCs w:val="18"/>
              </w:rPr>
            </w:pPr>
            <w:r>
              <w:rPr>
                <w:rFonts w:ascii="宋体" w:hAnsi="宋体" w:cs="宋体" w:eastAsia="宋体" w:hint="default"/>
                <w:sz w:val="18"/>
                <w:szCs w:val="18"/>
              </w:rPr>
              <w:t>华宝证券、南京证券</w:t>
            </w:r>
          </w:p>
        </w:tc>
        <w:tc>
          <w:tcPr>
            <w:tcW w:w="2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6"/>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bl>
    <w:p>
      <w:pPr>
        <w:spacing w:after="0" w:line="314"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1.130005pt;margin-top:143.899979pt;width:233.8pt;height:23.4pt;mso-position-horizontal-relative:page;mso-position-vertical-relative:page;z-index:-991600" type="#_x0000_t202" filled="false" stroked="false">
            <v:textbox inset="0,0,0,0">
              <w:txbxContent>
                <w:p>
                  <w:pPr>
                    <w:pStyle w:val="BodyText"/>
                    <w:spacing w:line="240" w:lineRule="auto" w:before="49"/>
                    <w:ind w:left="0" w:right="0"/>
                    <w:jc w:val="left"/>
                  </w:pPr>
                  <w:r>
                    <w:rPr/>
                    <w:t>东吴基金、英大泰和人寿保险、</w:t>
                  </w:r>
                </w:p>
              </w:txbxContent>
            </v:textbox>
            <w10:wrap type="none"/>
          </v:shape>
        </w:pict>
      </w:r>
      <w:r>
        <w:rPr/>
        <w:pict>
          <v:shape style="position:absolute;margin-left:419.813019pt;margin-top:167.299988pt;width:114.05pt;height:22.05pt;mso-position-horizontal-relative:page;mso-position-vertical-relative:page;z-index:-99157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shape style="position:absolute;margin-left:419.813019pt;margin-top:234.259979pt;width:114.05pt;height:21.95pt;mso-position-horizontal-relative:page;mso-position-vertical-relative:page;z-index:-991552" type="#_x0000_t202" filled="false" stroked="false">
            <v:textbox inset="0,0,0,0">
              <w:txbxContent>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shape style="position:absolute;margin-left:419.813019pt;margin-top:380.329987pt;width:114.05pt;height:17.650pt;mso-position-horizontal-relative:page;mso-position-vertical-relative:page;z-index:-991528" type="#_x0000_t202" filled="false" stroked="false">
            <v:textbox inset="0,0,0,0">
              <w:txbxContent>
                <w:p>
                  <w:pPr>
                    <w:pStyle w:val="BodyText"/>
                    <w:spacing w:line="240" w:lineRule="auto" w:before="4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970"/>
        <w:gridCol w:w="901"/>
        <w:gridCol w:w="2519"/>
        <w:gridCol w:w="2189"/>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天相投资、摩根士丹利华鑫、合</w:t>
            </w:r>
            <w:r>
              <w:rPr>
                <w:rFonts w:ascii="宋体" w:hAnsi="宋体" w:cs="宋体" w:eastAsia="宋体" w:hint="default"/>
                <w:sz w:val="18"/>
                <w:szCs w:val="18"/>
              </w:rPr>
              <w:t> </w:t>
            </w:r>
            <w:r>
              <w:rPr>
                <w:rFonts w:ascii="宋体" w:hAnsi="宋体" w:cs="宋体" w:eastAsia="宋体" w:hint="default"/>
                <w:spacing w:val="-4"/>
                <w:sz w:val="18"/>
                <w:szCs w:val="18"/>
              </w:rPr>
              <w:t>赢投资、融通基金、源乐晟资管</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4"/>
                <w:sz w:val="18"/>
                <w:szCs w:val="18"/>
              </w:rPr>
              <w:t>国泰基金、尚诚资产管理、国泰</w:t>
            </w:r>
            <w:r>
              <w:rPr>
                <w:rFonts w:ascii="宋体" w:hAnsi="宋体" w:cs="宋体" w:eastAsia="宋体" w:hint="default"/>
                <w:sz w:val="18"/>
                <w:szCs w:val="18"/>
              </w:rPr>
              <w:t> </w:t>
            </w:r>
            <w:r>
              <w:rPr>
                <w:rFonts w:ascii="宋体" w:hAnsi="宋体" w:cs="宋体" w:eastAsia="宋体" w:hint="default"/>
                <w:spacing w:val="-11"/>
                <w:sz w:val="18"/>
                <w:szCs w:val="18"/>
              </w:rPr>
              <w:t>君安、普邦恒升投资、招商证券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国投瑞银基金、新价值投资、东</w:t>
            </w:r>
            <w:r>
              <w:rPr>
                <w:rFonts w:ascii="宋体" w:hAnsi="宋体" w:cs="宋体" w:eastAsia="宋体" w:hint="default"/>
                <w:sz w:val="18"/>
                <w:szCs w:val="18"/>
              </w:rPr>
              <w:t> 莞证券</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太平养老保险、长城基金、银河</w:t>
            </w:r>
            <w:r>
              <w:rPr>
                <w:rFonts w:ascii="宋体" w:hAnsi="宋体" w:cs="宋体" w:eastAsia="宋体" w:hint="default"/>
                <w:sz w:val="18"/>
                <w:szCs w:val="18"/>
              </w:rPr>
              <w:t> </w:t>
            </w:r>
            <w:r>
              <w:rPr>
                <w:rFonts w:ascii="宋体" w:hAnsi="宋体" w:cs="宋体" w:eastAsia="宋体" w:hint="default"/>
                <w:spacing w:val="-11"/>
                <w:sz w:val="18"/>
                <w:szCs w:val="18"/>
              </w:rPr>
              <w:t>证券、大成基金、华宝兴业基金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华泰资产、华夏基金</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中投证券、浙商证券、民生通惠</w:t>
            </w:r>
            <w:r>
              <w:rPr>
                <w:rFonts w:ascii="宋体" w:hAnsi="宋体" w:cs="宋体" w:eastAsia="宋体" w:hint="default"/>
                <w:sz w:val="18"/>
                <w:szCs w:val="18"/>
              </w:rPr>
              <w:t> 资产、国信证券、鼎诺投资</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34"/>
              <w:jc w:val="both"/>
              <w:rPr>
                <w:rFonts w:ascii="宋体" w:hAnsi="宋体" w:cs="宋体" w:eastAsia="宋体" w:hint="default"/>
                <w:sz w:val="18"/>
                <w:szCs w:val="18"/>
              </w:rPr>
            </w:pPr>
            <w:r>
              <w:rPr>
                <w:rFonts w:ascii="宋体" w:hAnsi="宋体" w:cs="宋体" w:eastAsia="宋体" w:hint="default"/>
                <w:spacing w:val="-4"/>
                <w:sz w:val="18"/>
                <w:szCs w:val="18"/>
              </w:rPr>
              <w:t>长江证券、平安证券、汇添富基</w:t>
            </w:r>
            <w:r>
              <w:rPr>
                <w:rFonts w:ascii="宋体" w:hAnsi="宋体" w:cs="宋体" w:eastAsia="宋体" w:hint="default"/>
                <w:sz w:val="18"/>
                <w:szCs w:val="18"/>
              </w:rPr>
              <w:t> </w:t>
            </w:r>
            <w:r>
              <w:rPr>
                <w:rFonts w:ascii="宋体" w:hAnsi="宋体" w:cs="宋体" w:eastAsia="宋体" w:hint="default"/>
                <w:spacing w:val="-5"/>
                <w:sz w:val="18"/>
                <w:szCs w:val="18"/>
              </w:rPr>
              <w:t>金、华创证券、海通证券、天隼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投资、浦发特投资、国海证券、</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Times New Roman"/>
                <w:sz w:val="18"/>
              </w:rPr>
              <w:t>PICL</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pacing w:val="-11"/>
                <w:sz w:val="18"/>
                <w:szCs w:val="18"/>
              </w:rPr>
              <w:t>信诚基金、民生证券、国信证券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国都证券</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国联证券</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银河基金、中信证券</w:t>
            </w:r>
          </w:p>
        </w:tc>
        <w:tc>
          <w:tcPr>
            <w:tcW w:w="2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公司基本情况、发展趋势、 </w:t>
            </w:r>
            <w:r>
              <w:rPr>
                <w:rFonts w:ascii="宋体" w:hAnsi="宋体" w:cs="宋体" w:eastAsia="宋体" w:hint="default"/>
                <w:spacing w:val="-3"/>
                <w:sz w:val="18"/>
                <w:szCs w:val="18"/>
              </w:rPr>
              <w:t>生产经营、行业调查等情况</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976"/>
        <w:jc w:val="center"/>
        <w:rPr>
          <w:b w:val="0"/>
          <w:bCs w:val="0"/>
        </w:rPr>
      </w:pP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564"/>
        <w:gridCol w:w="721"/>
        <w:gridCol w:w="900"/>
        <w:gridCol w:w="900"/>
        <w:gridCol w:w="720"/>
        <w:gridCol w:w="721"/>
        <w:gridCol w:w="899"/>
        <w:gridCol w:w="721"/>
        <w:gridCol w:w="732"/>
        <w:gridCol w:w="1099"/>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5"/>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86" w:right="8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86" w:right="8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66" w:right="83"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86" w:right="82"/>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23" w:right="-34"/>
              <w:jc w:val="left"/>
              <w:rPr>
                <w:rFonts w:ascii="宋体" w:hAnsi="宋体" w:cs="宋体" w:eastAsia="宋体" w:hint="default"/>
                <w:sz w:val="18"/>
                <w:szCs w:val="18"/>
              </w:rPr>
            </w:pPr>
            <w:r>
              <w:rPr>
                <w:rFonts w:ascii="宋体" w:hAnsi="宋体" w:cs="宋体" w:eastAsia="宋体" w:hint="default"/>
                <w:sz w:val="18"/>
                <w:szCs w:val="18"/>
              </w:rPr>
              <w:t>（万元）</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85" w:right="8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66" w:right="82" w:hanging="18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66" w:right="9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60" w:hRule="exact"/>
        </w:trPr>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深圳市福 瑞康电子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本公司发 起人股东 王杏才控 制的公司</w:t>
            </w:r>
          </w:p>
        </w:tc>
        <w:tc>
          <w:tcPr>
            <w:tcW w:w="5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采购材 料</w:t>
            </w:r>
          </w:p>
        </w:tc>
        <w:tc>
          <w:tcPr>
            <w:tcW w:w="9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按市场定 价及经股 东大会批 准</w:t>
            </w:r>
          </w:p>
        </w:tc>
        <w:tc>
          <w:tcPr>
            <w:tcW w:w="9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00" w:lineRule="auto"/>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3004.65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3,004.65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8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银行转账</w:t>
            </w:r>
          </w:p>
        </w:tc>
        <w:tc>
          <w:tcPr>
            <w:tcW w:w="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3004.65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4"/>
                <w:sz w:val="18"/>
                <w:szCs w:val="18"/>
              </w:rPr>
              <w:t>证券时报、中</w:t>
            </w:r>
            <w:r>
              <w:rPr>
                <w:rFonts w:ascii="宋体" w:hAnsi="宋体" w:cs="宋体" w:eastAsia="宋体" w:hint="default"/>
                <w:sz w:val="18"/>
                <w:szCs w:val="18"/>
              </w:rPr>
              <w:t> 国证券报及 巨潮资讯网</w:t>
            </w:r>
          </w:p>
          <w:p>
            <w:pPr>
              <w:pStyle w:val="TableParagraph"/>
              <w:spacing w:line="309" w:lineRule="auto" w:before="19"/>
              <w:ind w:left="12" w:right="-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o</w:t>
            </w:r>
            <w:r>
              <w:rPr>
                <w:rFonts w:ascii="宋体" w:hAnsi="宋体" w:cs="宋体" w:eastAsia="宋体" w:hint="default"/>
                <w:sz w:val="18"/>
                <w:szCs w:val="18"/>
              </w:rPr>
              <w:t>）上的《第 二届董事会 第十二次会 议决议公告》</w:t>
            </w:r>
          </w:p>
          <w:p>
            <w:pPr>
              <w:pStyle w:val="TableParagraph"/>
              <w:spacing w:line="240" w:lineRule="auto" w:before="24"/>
              <w:ind w:left="12" w:right="-3"/>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2012-010</w:t>
            </w:r>
            <w:r>
              <w:rPr>
                <w:rFonts w:ascii="宋体" w:hAnsi="宋体" w:cs="宋体" w:eastAsia="宋体" w:hint="default"/>
                <w:sz w:val="18"/>
                <w:szCs w:val="18"/>
              </w:rPr>
              <w:t>）及</w:t>
            </w:r>
          </w:p>
          <w:p>
            <w:pPr>
              <w:pStyle w:val="TableParagraph"/>
              <w:spacing w:line="319" w:lineRule="auto" w:before="63"/>
              <w:ind w:left="12" w:right="175"/>
              <w:jc w:val="left"/>
              <w:rPr>
                <w:rFonts w:ascii="宋体" w:hAnsi="宋体" w:cs="宋体" w:eastAsia="宋体" w:hint="default"/>
                <w:sz w:val="18"/>
                <w:szCs w:val="18"/>
              </w:rPr>
            </w:pPr>
            <w:r>
              <w:rPr>
                <w:rFonts w:ascii="宋体" w:hAnsi="宋体" w:cs="宋体" w:eastAsia="宋体" w:hint="default"/>
                <w:sz w:val="18"/>
                <w:szCs w:val="18"/>
              </w:rPr>
              <w:t>《日常关联 交易公告》</w:t>
            </w:r>
          </w:p>
          <w:p>
            <w:pPr>
              <w:pStyle w:val="TableParagraph"/>
              <w:spacing w:line="240" w:lineRule="auto" w:before="17"/>
              <w:ind w:left="12" w:right="-3"/>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06"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3,004.65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692"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4"/>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4"/>
                <w:sz w:val="18"/>
                <w:szCs w:val="18"/>
              </w:rPr>
              <w:t>关联交易的必要性、持续性、选择与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关联方（而非市场其他交易方）进行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交易的原因</w:t>
            </w:r>
          </w:p>
        </w:tc>
        <w:tc>
          <w:tcPr>
            <w:tcW w:w="6692"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与此合作更有利于本公司利益。</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692"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交易活动严格按合同执行，交易价格也遵照市场价执行。</w:t>
            </w:r>
          </w:p>
        </w:tc>
      </w:tr>
      <w:tr>
        <w:trPr>
          <w:trHeight w:val="713"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公司对关联方的依赖程度，以及相关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解决措施（如有）</w:t>
            </w:r>
          </w:p>
        </w:tc>
        <w:tc>
          <w:tcPr>
            <w:tcW w:w="6692"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不存在依赖。</w:t>
            </w: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4"/>
                <w:sz w:val="18"/>
                <w:szCs w:val="18"/>
              </w:rPr>
              <w:t>易进行总金额预计的，在报告期内的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实际履行情况（如有）</w:t>
            </w:r>
          </w:p>
        </w:tc>
        <w:tc>
          <w:tcPr>
            <w:tcW w:w="6692"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实际履行与合同、预计的一致。</w:t>
            </w:r>
          </w:p>
        </w:tc>
      </w:tr>
      <w:tr>
        <w:trPr>
          <w:trHeight w:val="713"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692" w:type="dxa"/>
            <w:gridSpan w:val="8"/>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交易价格遵照市场价执行。</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b/>
          <w:bCs/>
          <w:sz w:val="23"/>
          <w:szCs w:val="23"/>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二、重大合同及其履行情况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4"/>
        <w:gridCol w:w="935"/>
        <w:gridCol w:w="940"/>
        <w:gridCol w:w="1213"/>
        <w:gridCol w:w="1178"/>
        <w:gridCol w:w="1089"/>
        <w:gridCol w:w="1023"/>
        <w:gridCol w:w="803"/>
        <w:gridCol w:w="787"/>
      </w:tblGrid>
      <w:tr>
        <w:trPr>
          <w:trHeight w:val="40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6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8"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12" w:right="130"/>
              <w:jc w:val="left"/>
              <w:rPr>
                <w:rFonts w:ascii="宋体" w:hAnsi="宋体" w:cs="宋体" w:eastAsia="宋体" w:hint="default"/>
                <w:sz w:val="18"/>
                <w:szCs w:val="18"/>
              </w:rPr>
            </w:pPr>
            <w:r>
              <w:rPr>
                <w:rFonts w:ascii="宋体" w:hAnsi="宋体" w:cs="宋体" w:eastAsia="宋体" w:hint="default"/>
                <w:sz w:val="18"/>
                <w:szCs w:val="18"/>
              </w:rPr>
              <w:t>天津卓达科技发展 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3,600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2012/7/24-2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013/7/23</w:t>
            </w:r>
          </w:p>
        </w:tc>
        <w:tc>
          <w:tcPr>
            <w:tcW w:w="80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3,600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r>
      <w:tr>
        <w:trPr>
          <w:trHeight w:val="718"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3,600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r>
      <w:tr>
        <w:trPr>
          <w:trHeight w:val="394"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3,600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r>
      <w:tr>
        <w:trPr>
          <w:trHeight w:val="715" w:hRule="exact"/>
        </w:trPr>
        <w:tc>
          <w:tcPr>
            <w:tcW w:w="25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3,600</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r>
      <w:tr>
        <w:trPr>
          <w:trHeight w:val="406"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w:t>
            </w:r>
          </w:p>
        </w:tc>
      </w:tr>
      <w:tr>
        <w:trPr>
          <w:trHeight w:val="394"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3,600</w:t>
            </w:r>
          </w:p>
        </w:tc>
      </w:tr>
      <w:tr>
        <w:trPr>
          <w:trHeight w:val="715"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3,600</w:t>
            </w:r>
          </w:p>
        </w:tc>
      </w:tr>
      <w:tr>
        <w:trPr>
          <w:trHeight w:val="401"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80" w:type="dxa"/>
            <w:gridSpan w:val="5"/>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80" w:type="dxa"/>
            <w:gridSpan w:val="5"/>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8054"/>
        <w:jc w:val="left"/>
      </w:pPr>
      <w:r>
        <w:rPr/>
        <w:t>采用复合方式担保的具体情况说明 无</w:t>
      </w:r>
    </w:p>
    <w:p>
      <w:pPr>
        <w:spacing w:after="0" w:line="357"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r>
        <w:rPr/>
        <w:pict>
          <v:shape style="position:absolute;margin-left:216.979996pt;margin-top:247.459976pt;width:114.9pt;height:15.6pt;mso-position-horizontal-relative:page;mso-position-vertical-relative:page;z-index:-991504" type="#_x0000_t202" filled="false" stroked="false">
            <v:textbox inset="0,0,0,0">
              <w:txbxContent>
                <w:p>
                  <w:pPr>
                    <w:pStyle w:val="BodyText"/>
                    <w:spacing w:line="240" w:lineRule="auto" w:before="8"/>
                    <w:ind w:left="0" w:right="0"/>
                    <w:jc w:val="left"/>
                  </w:pPr>
                  <w:r>
                    <w:rPr/>
                    <w:t>程利、</w:t>
                  </w:r>
                </w:p>
              </w:txbxContent>
            </v:textbox>
            <w10:wrap type="none"/>
          </v:shape>
        </w:pict>
      </w:r>
      <w:r>
        <w:rPr/>
        <w:pict>
          <v:shape style="position:absolute;margin-left:207.979996pt;margin-top:278.689972pt;width:123.9pt;height:15.6pt;mso-position-horizontal-relative:page;mso-position-vertical-relative:page;z-index:-991480" type="#_x0000_t202" filled="false" stroked="false">
            <v:textbox inset="0,0,0,0">
              <w:txbxContent>
                <w:p>
                  <w:pPr>
                    <w:pStyle w:val="BodyText"/>
                    <w:spacing w:line="240" w:lineRule="auto" w:before="8"/>
                    <w:ind w:left="0" w:right="0"/>
                    <w:jc w:val="left"/>
                  </w:pPr>
                  <w:r>
                    <w:rPr/>
                    <w:t>陈新民、</w:t>
                  </w:r>
                </w:p>
              </w:txbxContent>
            </v:textbox>
            <w10:wrap type="none"/>
          </v:shape>
        </w:pict>
      </w:r>
      <w:r>
        <w:rPr/>
        <w:pict>
          <v:shape style="position:absolute;margin-left:207.979996pt;margin-top:376.72998pt;width:123.9pt;height:15.6pt;mso-position-horizontal-relative:page;mso-position-vertical-relative:page;z-index:-991456" type="#_x0000_t202" filled="false" stroked="false">
            <v:textbox inset="0,0,0,0">
              <w:txbxContent>
                <w:p>
                  <w:pPr>
                    <w:pStyle w:val="BodyText"/>
                    <w:spacing w:line="240" w:lineRule="auto" w:before="8"/>
                    <w:ind w:left="0" w:right="0"/>
                    <w:jc w:val="left"/>
                  </w:pPr>
                  <w:r>
                    <w:rPr/>
                    <w:t>董海军、</w:t>
                  </w:r>
                </w:p>
              </w:txbxContent>
            </v:textbox>
            <w10:wrap type="none"/>
          </v:shape>
        </w:pict>
      </w:r>
      <w:r>
        <w:rPr/>
        <w:pict>
          <v:shape style="position:absolute;margin-left:216.979996pt;margin-top:490.509979pt;width:114.9pt;height:15.6pt;mso-position-horizontal-relative:page;mso-position-vertical-relative:page;z-index:-991432" type="#_x0000_t202" filled="false" stroked="false">
            <v:textbox inset="0,0,0,0">
              <w:txbxContent>
                <w:p>
                  <w:pPr>
                    <w:pStyle w:val="BodyText"/>
                    <w:spacing w:line="240" w:lineRule="auto" w:before="8"/>
                    <w:ind w:left="0" w:right="0"/>
                    <w:jc w:val="left"/>
                  </w:pPr>
                  <w:r>
                    <w:rPr/>
                    <w:t>程利、</w:t>
                  </w:r>
                </w:p>
              </w:txbxContent>
            </v:textbox>
            <w10:wrap type="none"/>
          </v:shape>
        </w:pict>
      </w:r>
      <w:r>
        <w:rPr/>
        <w:pict>
          <v:group style="position:absolute;margin-left:460.320007pt;margin-top:764.919983pt;width:135pt;height:77pt;mso-position-horizontal-relative:page;mso-position-vertical-relative:page;z-index:-99138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34</w:t>
                    </w:r>
                  </w:p>
                </w:txbxContent>
              </v:textbox>
              <w10:wrap type="none"/>
            </v:shape>
            <w10:wrap type="none"/>
          </v:group>
        </w:pict>
      </w:r>
    </w:p>
    <w:p>
      <w:pPr>
        <w:pStyle w:val="Heading2"/>
        <w:spacing w:line="240" w:lineRule="auto" w:before="26"/>
        <w:ind w:right="112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28"/>
        <w:gridCol w:w="1559"/>
        <w:gridCol w:w="1844"/>
        <w:gridCol w:w="1493"/>
        <w:gridCol w:w="1277"/>
        <w:gridCol w:w="1270"/>
      </w:tblGrid>
      <w:tr>
        <w:trPr>
          <w:trHeight w:val="398"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2"/>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112"/>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86"/>
              <w:jc w:val="left"/>
              <w:rPr>
                <w:rFonts w:ascii="宋体" w:hAnsi="宋体" w:cs="宋体" w:eastAsia="宋体" w:hint="default"/>
                <w:sz w:val="18"/>
                <w:szCs w:val="18"/>
              </w:rPr>
            </w:pPr>
            <w:r>
              <w:rPr>
                <w:rFonts w:ascii="宋体" w:hAnsi="宋体" w:cs="宋体" w:eastAsia="宋体" w:hint="default"/>
                <w:sz w:val="18"/>
                <w:szCs w:val="18"/>
              </w:rPr>
              <w:t>公司股东田昱、夏 </w:t>
            </w:r>
            <w:r>
              <w:rPr>
                <w:rFonts w:ascii="宋体" w:hAnsi="宋体" w:cs="宋体" w:eastAsia="宋体" w:hint="default"/>
                <w:spacing w:val="-3"/>
                <w:sz w:val="18"/>
                <w:szCs w:val="18"/>
              </w:rPr>
              <w:t>传武、程文、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董海军、魏敢、袁 </w:t>
            </w:r>
            <w:r>
              <w:rPr>
                <w:rFonts w:ascii="宋体" w:hAnsi="宋体" w:cs="宋体" w:eastAsia="宋体" w:hint="default"/>
                <w:spacing w:val="-3"/>
                <w:sz w:val="18"/>
                <w:szCs w:val="18"/>
              </w:rPr>
              <w:t>军、冯健、</w:t>
            </w:r>
            <w:r>
              <w:rPr>
                <w:rFonts w:ascii="宋体" w:hAnsi="宋体" w:cs="宋体" w:eastAsia="宋体" w:hint="default"/>
                <w:sz w:val="18"/>
                <w:szCs w:val="18"/>
              </w:rPr>
              <w:t> 周诗红、魏代英、 周鲁平</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自股票上市之日起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 托他人管理其直接和 间接持有的公司股份， 也不由公司收购该部 分股份。</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r>
        <w:trPr>
          <w:trHeight w:val="2585" w:hRule="exact"/>
        </w:trPr>
        <w:tc>
          <w:tcPr>
            <w:tcW w:w="2128" w:type="dxa"/>
            <w:vMerge w:val="restart"/>
            <w:tcBorders>
              <w:top w:val="single" w:sz="4" w:space="0" w:color="000000"/>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田昱、夏传武、程 </w:t>
            </w:r>
            <w:r>
              <w:rPr>
                <w:rFonts w:ascii="宋体" w:hAnsi="宋体" w:cs="宋体" w:eastAsia="宋体" w:hint="default"/>
                <w:spacing w:val="-3"/>
                <w:sz w:val="18"/>
                <w:szCs w:val="18"/>
              </w:rPr>
              <w:t>文、程利、</w:t>
            </w:r>
            <w:r>
              <w:rPr>
                <w:rFonts w:ascii="宋体" w:hAnsi="宋体" w:cs="宋体" w:eastAsia="宋体" w:hint="default"/>
                <w:sz w:val="18"/>
                <w:szCs w:val="18"/>
              </w:rPr>
              <w:t> 魏敢、袁军、魏代 英</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前述限售期满后，其所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持发行人股份在其任 职期间每年转让的比 例不超过所持股份总 数的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；其所持发行</w:t>
            </w:r>
            <w:r>
              <w:rPr>
                <w:rFonts w:ascii="宋体" w:hAnsi="宋体" w:cs="宋体" w:eastAsia="宋体" w:hint="default"/>
                <w:sz w:val="18"/>
                <w:szCs w:val="18"/>
              </w:rPr>
              <w:t> 人股份在其离职后法 规规定的限售期内不 转让。</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r>
        <w:trPr>
          <w:trHeight w:val="2275" w:hRule="exact"/>
        </w:trPr>
        <w:tc>
          <w:tcPr>
            <w:tcW w:w="2128"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 w:right="86"/>
              <w:jc w:val="left"/>
              <w:rPr>
                <w:rFonts w:ascii="宋体" w:hAnsi="宋体" w:cs="宋体" w:eastAsia="宋体" w:hint="default"/>
                <w:sz w:val="18"/>
                <w:szCs w:val="18"/>
              </w:rPr>
            </w:pPr>
            <w:r>
              <w:rPr>
                <w:rFonts w:ascii="宋体" w:hAnsi="宋体" w:cs="宋体" w:eastAsia="宋体" w:hint="default"/>
                <w:sz w:val="18"/>
                <w:szCs w:val="18"/>
              </w:rPr>
              <w:t>田昱、夏传武、王 </w:t>
            </w:r>
            <w:r>
              <w:rPr>
                <w:rFonts w:ascii="宋体" w:hAnsi="宋体" w:cs="宋体" w:eastAsia="宋体" w:hint="default"/>
                <w:spacing w:val="-3"/>
                <w:sz w:val="18"/>
                <w:szCs w:val="18"/>
              </w:rPr>
              <w:t>杏才、程文、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李超、董海军、魏 代英、胡爱武、袁 军、魏敢</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本人及本人近亲属在 本人任职期间及离职 </w:t>
            </w:r>
            <w:r>
              <w:rPr>
                <w:rFonts w:ascii="宋体" w:hAnsi="宋体" w:cs="宋体" w:eastAsia="宋体" w:hint="default"/>
                <w:spacing w:val="-2"/>
                <w:sz w:val="18"/>
                <w:szCs w:val="18"/>
              </w:rPr>
              <w:t>后半年内，不从事自营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或为他人经营与公司 </w:t>
            </w:r>
            <w:r>
              <w:rPr>
                <w:rFonts w:ascii="宋体" w:hAnsi="宋体" w:cs="宋体" w:eastAsia="宋体" w:hint="default"/>
                <w:spacing w:val="-2"/>
                <w:sz w:val="18"/>
                <w:szCs w:val="18"/>
              </w:rPr>
              <w:t>同类的业务，也不从事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与公司利益发生冲突 的对外投资。</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r>
        <w:trPr>
          <w:trHeight w:val="2273" w:hRule="exact"/>
        </w:trPr>
        <w:tc>
          <w:tcPr>
            <w:tcW w:w="2128"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周鲁平、刘宇宽</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本人及本人近亲属在 本人任职期间及离职 </w:t>
            </w:r>
            <w:r>
              <w:rPr>
                <w:rFonts w:ascii="宋体" w:hAnsi="宋体" w:cs="宋体" w:eastAsia="宋体" w:hint="default"/>
                <w:spacing w:val="-2"/>
                <w:sz w:val="18"/>
                <w:szCs w:val="18"/>
              </w:rPr>
              <w:t>后半年内，不从事自营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或为他人经营与公司 </w:t>
            </w:r>
            <w:r>
              <w:rPr>
                <w:rFonts w:ascii="宋体" w:hAnsi="宋体" w:cs="宋体" w:eastAsia="宋体" w:hint="default"/>
                <w:spacing w:val="-2"/>
                <w:sz w:val="18"/>
                <w:szCs w:val="18"/>
              </w:rPr>
              <w:t>同类的业务，也不从事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与公司利益发生冲突 的对外投资。</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r>
        <w:trPr>
          <w:trHeight w:val="1651" w:hRule="exact"/>
        </w:trPr>
        <w:tc>
          <w:tcPr>
            <w:tcW w:w="2128"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公司实际控制人田 昱、夏传武</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7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、本人将不在中国境 内外以任何方式直接 或间接从事或参与任 </w:t>
            </w:r>
            <w:r>
              <w:rPr>
                <w:rFonts w:ascii="宋体" w:hAnsi="宋体" w:cs="宋体" w:eastAsia="宋体" w:hint="default"/>
                <w:spacing w:val="-2"/>
                <w:sz w:val="18"/>
                <w:szCs w:val="18"/>
              </w:rPr>
              <w:t>何与公司相同、相似或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在商业上构成任何竞</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在作为公司实 际控制人期间， 该承诺持续有</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bl>
    <w:p>
      <w:pPr>
        <w:spacing w:after="0" w:line="316" w:lineRule="auto"/>
        <w:jc w:val="left"/>
        <w:rPr>
          <w:rFonts w:ascii="宋体" w:hAnsi="宋体" w:cs="宋体" w:eastAsia="宋体" w:hint="default"/>
          <w:sz w:val="18"/>
          <w:szCs w:val="18"/>
        </w:rPr>
        <w:sectPr>
          <w:headerReference w:type="default" r:id="rId32"/>
          <w:footerReference w:type="default" r:id="rId3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6.979996pt;margin-top:533.950012pt;width:114.9pt;height:20pt;mso-position-horizontal-relative:page;mso-position-vertical-relative:page;z-index:-991360"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程利、</w:t>
                  </w:r>
                </w:p>
              </w:txbxContent>
            </v:textbox>
            <w10:wrap type="none"/>
          </v:shape>
        </w:pict>
      </w:r>
      <w:r>
        <w:rPr/>
        <w:pict>
          <v:shape style="position:absolute;margin-left:216.979996pt;margin-top:565.149963pt;width:114.9pt;height:20pt;mso-position-horizontal-relative:page;mso-position-vertical-relative:page;z-index:-991336"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袁军、</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28"/>
        <w:gridCol w:w="1559"/>
        <w:gridCol w:w="1844"/>
        <w:gridCol w:w="1493"/>
        <w:gridCol w:w="1277"/>
        <w:gridCol w:w="1270"/>
      </w:tblGrid>
      <w:tr>
        <w:trPr>
          <w:trHeight w:val="5043" w:hRule="exact"/>
        </w:trPr>
        <w:tc>
          <w:tcPr>
            <w:tcW w:w="2128" w:type="dxa"/>
            <w:vMerge w:val="restart"/>
            <w:tcBorders>
              <w:top w:val="single" w:sz="4" w:space="0" w:color="000000"/>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23" w:right="9"/>
              <w:jc w:val="left"/>
              <w:rPr>
                <w:rFonts w:ascii="宋体" w:hAnsi="宋体" w:cs="宋体" w:eastAsia="宋体" w:hint="default"/>
                <w:sz w:val="18"/>
                <w:szCs w:val="18"/>
              </w:rPr>
            </w:pPr>
            <w:r>
              <w:rPr>
                <w:rFonts w:ascii="宋体" w:hAnsi="宋体" w:cs="宋体" w:eastAsia="宋体" w:hint="default"/>
                <w:sz w:val="18"/>
                <w:szCs w:val="18"/>
              </w:rPr>
              <w:t>争的业务及活动，或拥 有与公司存在竞争关 系的任何经济实体、机 构、经济组织的权益， 或以其他任何形式取 得该经济实体、机构、 经济组织的控制权，或 在该经济实体、机构、 经济组织中担任高级 管理人员或核心技术 人员。</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、本人在作为 公司实际控制人期间， 本承诺持续有效。</w:t>
            </w:r>
            <w:r>
              <w:rPr>
                <w:rFonts w:ascii="Times New Roman" w:hAnsi="Times New Roman" w:cs="Times New Roman" w:eastAsia="Times New Roman" w:hint="default"/>
                <w:sz w:val="18"/>
                <w:szCs w:val="18"/>
              </w:rPr>
              <w:t>3</w:t>
            </w:r>
            <w:r>
              <w:rPr>
                <w:rFonts w:ascii="宋体" w:hAnsi="宋体" w:cs="宋体" w:eastAsia="宋体" w:hint="default"/>
                <w:sz w:val="18"/>
                <w:szCs w:val="18"/>
              </w:rPr>
              <w:t>、 本人愿意承担因违反 上述承诺而给公司造 成的全部经济损失。</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897" w:hRule="exact"/>
        </w:trPr>
        <w:tc>
          <w:tcPr>
            <w:tcW w:w="2128"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86"/>
              <w:jc w:val="left"/>
              <w:rPr>
                <w:rFonts w:ascii="宋体" w:hAnsi="宋体" w:cs="宋体" w:eastAsia="宋体" w:hint="default"/>
                <w:sz w:val="18"/>
                <w:szCs w:val="18"/>
              </w:rPr>
            </w:pPr>
            <w:r>
              <w:rPr>
                <w:rFonts w:ascii="宋体" w:hAnsi="宋体" w:cs="宋体" w:eastAsia="宋体" w:hint="default"/>
                <w:sz w:val="18"/>
                <w:szCs w:val="18"/>
              </w:rPr>
              <w:t>公司实际控制人田 昱、夏传武</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延长锁定所持的公司 股权，自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日限售期满日至</w:t>
            </w:r>
          </w:p>
          <w:p>
            <w:pPr>
              <w:pStyle w:val="TableParagraph"/>
              <w:spacing w:line="314"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日止， </w:t>
            </w:r>
            <w:r>
              <w:rPr>
                <w:rFonts w:ascii="宋体" w:hAnsi="宋体" w:cs="宋体" w:eastAsia="宋体" w:hint="default"/>
                <w:spacing w:val="-2"/>
                <w:sz w:val="18"/>
                <w:szCs w:val="18"/>
              </w:rPr>
              <w:t>在此期间，不转让或者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委托他人管理本人直 接和间接持有的公司 </w:t>
            </w:r>
            <w:r>
              <w:rPr>
                <w:rFonts w:ascii="宋体" w:hAnsi="宋体" w:cs="宋体" w:eastAsia="宋体" w:hint="default"/>
                <w:spacing w:val="-2"/>
                <w:sz w:val="18"/>
                <w:szCs w:val="18"/>
              </w:rPr>
              <w:t>股份，也不由公司收购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该部分股份。</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r>
        <w:trPr>
          <w:trHeight w:val="383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12"/>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公司股东田昱、夏 传武、王杏才、程 </w:t>
            </w:r>
            <w:r>
              <w:rPr>
                <w:rFonts w:ascii="宋体" w:hAnsi="宋体" w:cs="宋体" w:eastAsia="宋体" w:hint="default"/>
                <w:spacing w:val="-3"/>
                <w:sz w:val="18"/>
                <w:szCs w:val="18"/>
              </w:rPr>
              <w:t>文、李彤彤、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李超、董海军、魏 </w:t>
            </w:r>
            <w:r>
              <w:rPr>
                <w:rFonts w:ascii="宋体" w:hAnsi="宋体" w:cs="宋体" w:eastAsia="宋体" w:hint="default"/>
                <w:spacing w:val="-3"/>
                <w:sz w:val="18"/>
                <w:szCs w:val="18"/>
              </w:rPr>
              <w:t>代英、冯健、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魏敢、陈新民、周 诗红、周鲁平</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若税收主管部门对股 份公司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日至本次公开发行完 成之日期间已经享受 的企业所得税减免款 </w:t>
            </w:r>
            <w:r>
              <w:rPr>
                <w:rFonts w:ascii="宋体" w:hAnsi="宋体" w:cs="宋体" w:eastAsia="宋体" w:hint="default"/>
                <w:spacing w:val="-2"/>
                <w:sz w:val="18"/>
                <w:szCs w:val="18"/>
              </w:rPr>
              <w:t>进行追缴，将以现金方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式，按股份公司本次公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股前的持股 </w:t>
            </w:r>
            <w:r>
              <w:rPr>
                <w:rFonts w:ascii="宋体" w:hAnsi="宋体" w:cs="宋体" w:eastAsia="宋体" w:hint="default"/>
                <w:spacing w:val="-2"/>
                <w:sz w:val="18"/>
                <w:szCs w:val="18"/>
              </w:rPr>
              <w:t>比例，全额承担股份上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述期间应补交的税款 及因此所产生的所有 相关费用。</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r>
        <w:trPr>
          <w:trHeight w:val="192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2" w:right="86"/>
              <w:jc w:val="left"/>
              <w:rPr>
                <w:rFonts w:ascii="宋体" w:hAnsi="宋体" w:cs="宋体" w:eastAsia="宋体" w:hint="default"/>
                <w:sz w:val="18"/>
                <w:szCs w:val="18"/>
              </w:rPr>
            </w:pPr>
            <w:r>
              <w:rPr>
                <w:rFonts w:ascii="宋体" w:hAnsi="宋体" w:cs="宋体" w:eastAsia="宋体" w:hint="default"/>
                <w:sz w:val="18"/>
                <w:szCs w:val="18"/>
              </w:rPr>
              <w:t>公司实际控制人田 昱、夏传武</w:t>
            </w: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如在租赁期内因现租 赁厂房拆迁原因致使 公司搬迁而造成的损 </w:t>
            </w:r>
            <w:r>
              <w:rPr>
                <w:rFonts w:ascii="宋体" w:hAnsi="宋体" w:cs="宋体" w:eastAsia="宋体" w:hint="default"/>
                <w:spacing w:val="-2"/>
                <w:sz w:val="18"/>
                <w:szCs w:val="18"/>
              </w:rPr>
              <w:t>失，将由二人按比例以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现金方式全额承担，其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中田昱承担损失的</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人未有违反承 </w:t>
            </w:r>
            <w:r>
              <w:rPr>
                <w:rFonts w:ascii="宋体" w:hAnsi="宋体" w:cs="宋体" w:eastAsia="宋体" w:hint="default"/>
                <w:spacing w:val="-7"/>
                <w:sz w:val="18"/>
                <w:szCs w:val="18"/>
              </w:rPr>
              <w:t>诺的情况，该承</w:t>
            </w:r>
            <w:r>
              <w:rPr>
                <w:rFonts w:ascii="宋体" w:hAnsi="宋体" w:cs="宋体" w:eastAsia="宋体" w:hint="default"/>
                <w:sz w:val="18"/>
                <w:szCs w:val="18"/>
              </w:rPr>
              <w:t> 诺事项正在履 行中。</w:t>
            </w:r>
          </w:p>
        </w:tc>
      </w:tr>
    </w:tbl>
    <w:p>
      <w:pPr>
        <w:spacing w:after="0" w:line="316" w:lineRule="auto"/>
        <w:jc w:val="left"/>
        <w:rPr>
          <w:rFonts w:ascii="宋体" w:hAnsi="宋体" w:cs="宋体" w:eastAsia="宋体" w:hint="default"/>
          <w:sz w:val="18"/>
          <w:szCs w:val="18"/>
        </w:rPr>
        <w:sectPr>
          <w:footerReference w:type="default" r:id="rId34"/>
          <w:pgSz w:w="11910" w:h="16840"/>
          <w:pgMar w:footer="1340" w:header="877" w:top="1060" w:bottom="1540" w:left="980" w:right="0"/>
          <w:pgNumType w:start="35"/>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6"/>
        <w:gridCol w:w="1561"/>
        <w:gridCol w:w="1844"/>
        <w:gridCol w:w="1493"/>
        <w:gridCol w:w="1277"/>
        <w:gridCol w:w="1270"/>
      </w:tblGrid>
      <w:tr>
        <w:trPr>
          <w:trHeight w:val="675" w:hRule="exact"/>
        </w:trPr>
        <w:tc>
          <w:tcPr>
            <w:tcW w:w="212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8"/>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60.71%</w:t>
            </w:r>
            <w:r>
              <w:rPr>
                <w:rFonts w:ascii="宋体" w:hAnsi="宋体" w:cs="宋体" w:eastAsia="宋体" w:hint="default"/>
                <w:spacing w:val="-3"/>
                <w:sz w:val="18"/>
                <w:szCs w:val="18"/>
              </w:rPr>
              <w:t>，夏传武承担损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失的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39.29%</w:t>
            </w:r>
            <w:r>
              <w:rPr>
                <w:rFonts w:ascii="宋体" w:hAnsi="宋体" w:cs="宋体" w:eastAsia="宋体" w:hint="default"/>
                <w:sz w:val="18"/>
                <w:szCs w:val="18"/>
              </w:rPr>
              <w:t>。</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4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1"/>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w:t>
            </w:r>
          </w:p>
        </w:tc>
        <w:tc>
          <w:tcPr>
            <w:tcW w:w="744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1"/>
              <w:jc w:val="left"/>
              <w:rPr>
                <w:rFonts w:ascii="宋体" w:hAnsi="宋体" w:cs="宋体" w:eastAsia="宋体" w:hint="default"/>
                <w:sz w:val="18"/>
                <w:szCs w:val="18"/>
              </w:rPr>
            </w:pPr>
            <w:r>
              <w:rPr>
                <w:rFonts w:ascii="宋体" w:hAnsi="宋体" w:cs="宋体" w:eastAsia="宋体" w:hint="default"/>
                <w:sz w:val="18"/>
                <w:szCs w:val="18"/>
              </w:rPr>
              <w:t>是否就导致的同业竞争和 关联交易问题作出承诺</w:t>
            </w:r>
          </w:p>
        </w:tc>
        <w:tc>
          <w:tcPr>
            <w:tcW w:w="74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44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44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44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上述承诺均按规定严格履行中，不存在超过履行期限而未履行承诺的情况。</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2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四、聘任、解聘会计师事务所情况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邱俊洲、张晓义</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当期是否改聘会计师事务所</w:t>
      </w:r>
    </w:p>
    <w:p>
      <w:pPr>
        <w:pStyle w:val="BodyText"/>
        <w:spacing w:line="360" w:lineRule="auto" w:before="115"/>
        <w:ind w:right="6254"/>
        <w:jc w:val="left"/>
      </w:pPr>
      <w:r>
        <w:rPr/>
        <w:t>□ 是 √</w:t>
      </w:r>
      <w:r>
        <w:rPr>
          <w:spacing w:val="3"/>
        </w:rPr>
        <w:t> </w:t>
      </w:r>
      <w:r>
        <w:rPr/>
        <w:t>否</w:t>
      </w:r>
      <w:r>
        <w:rPr/>
        <w:t> 聘请内部控制审计会计师事务所、财务顾问或保荐人情况</w:t>
      </w:r>
    </w:p>
    <w:p>
      <w:pPr>
        <w:pStyle w:val="BodyText"/>
        <w:spacing w:line="240" w:lineRule="auto" w:before="27"/>
        <w:ind w:right="1123"/>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五、其他重大事项的说明</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91"/>
        <w:gridCol w:w="1935"/>
      </w:tblGrid>
      <w:tr>
        <w:trPr>
          <w:trHeight w:val="346" w:hRule="exact"/>
        </w:trPr>
        <w:tc>
          <w:tcPr>
            <w:tcW w:w="1366" w:type="dxa"/>
            <w:tcBorders>
              <w:top w:val="single" w:sz="4" w:space="0" w:color="000000"/>
              <w:left w:val="single" w:sz="6" w:space="0" w:color="000000"/>
              <w:bottom w:val="single" w:sz="6" w:space="0" w:color="000000"/>
              <w:right w:val="single" w:sz="6" w:space="0" w:color="000000"/>
            </w:tcBorders>
          </w:tcPr>
          <w:p>
            <w:pPr>
              <w:pStyle w:val="TableParagraph"/>
              <w:spacing w:line="286" w:lineRule="exact"/>
              <w:ind w:left="194" w:right="0"/>
              <w:jc w:val="left"/>
              <w:rPr>
                <w:rFonts w:ascii="宋体" w:hAnsi="宋体" w:cs="宋体" w:eastAsia="宋体" w:hint="default"/>
                <w:sz w:val="24"/>
                <w:szCs w:val="24"/>
              </w:rPr>
            </w:pPr>
            <w:r>
              <w:rPr>
                <w:rFonts w:ascii="宋体" w:hAnsi="宋体" w:cs="宋体" w:eastAsia="宋体" w:hint="default"/>
                <w:b/>
                <w:bCs/>
                <w:sz w:val="24"/>
                <w:szCs w:val="24"/>
              </w:rPr>
              <w:t>公告编号</w:t>
            </w:r>
            <w:r>
              <w:rPr>
                <w:rFonts w:ascii="宋体" w:hAnsi="宋体" w:cs="宋体" w:eastAsia="宋体" w:hint="default"/>
                <w:sz w:val="24"/>
                <w:szCs w:val="24"/>
              </w:rPr>
            </w:r>
          </w:p>
        </w:tc>
        <w:tc>
          <w:tcPr>
            <w:tcW w:w="3675" w:type="dxa"/>
            <w:tcBorders>
              <w:top w:val="single" w:sz="4" w:space="0" w:color="000000"/>
              <w:left w:val="single" w:sz="6" w:space="0" w:color="000000"/>
              <w:bottom w:val="single" w:sz="6" w:space="0" w:color="000000"/>
              <w:right w:val="single" w:sz="6" w:space="0" w:color="000000"/>
            </w:tcBorders>
          </w:tcPr>
          <w:p>
            <w:pPr>
              <w:pStyle w:val="TableParagraph"/>
              <w:spacing w:line="286" w:lineRule="exact"/>
              <w:ind w:left="3" w:right="0"/>
              <w:jc w:val="center"/>
              <w:rPr>
                <w:rFonts w:ascii="宋体" w:hAnsi="宋体" w:cs="宋体" w:eastAsia="宋体" w:hint="default"/>
                <w:sz w:val="24"/>
                <w:szCs w:val="24"/>
              </w:rPr>
            </w:pPr>
            <w:r>
              <w:rPr>
                <w:rFonts w:ascii="宋体" w:hAnsi="宋体" w:cs="宋体" w:eastAsia="宋体" w:hint="default"/>
                <w:b/>
                <w:bCs/>
                <w:sz w:val="24"/>
                <w:szCs w:val="24"/>
              </w:rPr>
              <w:t>事项</w:t>
            </w:r>
            <w:r>
              <w:rPr>
                <w:rFonts w:ascii="宋体" w:hAnsi="宋体" w:cs="宋体" w:eastAsia="宋体" w:hint="default"/>
                <w:sz w:val="24"/>
                <w:szCs w:val="24"/>
              </w:rPr>
            </w:r>
          </w:p>
        </w:tc>
        <w:tc>
          <w:tcPr>
            <w:tcW w:w="2391" w:type="dxa"/>
            <w:tcBorders>
              <w:top w:val="single" w:sz="4" w:space="0" w:color="000000"/>
              <w:left w:val="single" w:sz="6" w:space="0" w:color="000000"/>
              <w:bottom w:val="single" w:sz="6" w:space="0" w:color="000000"/>
              <w:right w:val="single" w:sz="6" w:space="0" w:color="000000"/>
            </w:tcBorders>
          </w:tcPr>
          <w:p>
            <w:pPr>
              <w:pStyle w:val="TableParagraph"/>
              <w:spacing w:line="286" w:lineRule="exact"/>
              <w:ind w:left="708" w:right="0"/>
              <w:jc w:val="left"/>
              <w:rPr>
                <w:rFonts w:ascii="宋体" w:hAnsi="宋体" w:cs="宋体" w:eastAsia="宋体" w:hint="default"/>
                <w:sz w:val="24"/>
                <w:szCs w:val="24"/>
              </w:rPr>
            </w:pPr>
            <w:r>
              <w:rPr>
                <w:rFonts w:ascii="宋体" w:hAnsi="宋体" w:cs="宋体" w:eastAsia="宋体" w:hint="default"/>
                <w:b/>
                <w:bCs/>
                <w:sz w:val="24"/>
                <w:szCs w:val="24"/>
              </w:rPr>
              <w:t>刊载日期</w:t>
            </w:r>
            <w:r>
              <w:rPr>
                <w:rFonts w:ascii="宋体" w:hAnsi="宋体" w:cs="宋体" w:eastAsia="宋体" w:hint="default"/>
                <w:sz w:val="24"/>
                <w:szCs w:val="24"/>
              </w:rPr>
            </w:r>
          </w:p>
        </w:tc>
        <w:tc>
          <w:tcPr>
            <w:tcW w:w="1935" w:type="dxa"/>
            <w:tcBorders>
              <w:top w:val="single" w:sz="4" w:space="0" w:color="000000"/>
              <w:left w:val="single" w:sz="6" w:space="0" w:color="000000"/>
              <w:bottom w:val="single" w:sz="6" w:space="0" w:color="000000"/>
              <w:right w:val="single" w:sz="6" w:space="0" w:color="000000"/>
            </w:tcBorders>
          </w:tcPr>
          <w:p>
            <w:pPr>
              <w:pStyle w:val="TableParagraph"/>
              <w:spacing w:line="286" w:lineRule="exact"/>
              <w:ind w:left="478" w:right="0"/>
              <w:jc w:val="left"/>
              <w:rPr>
                <w:rFonts w:ascii="宋体" w:hAnsi="宋体" w:cs="宋体" w:eastAsia="宋体" w:hint="default"/>
                <w:sz w:val="24"/>
                <w:szCs w:val="24"/>
              </w:rPr>
            </w:pPr>
            <w:r>
              <w:rPr>
                <w:rFonts w:ascii="宋体" w:hAnsi="宋体" w:cs="宋体" w:eastAsia="宋体" w:hint="default"/>
                <w:b/>
                <w:bCs/>
                <w:sz w:val="24"/>
                <w:szCs w:val="24"/>
              </w:rPr>
              <w:t>刊载媒体</w:t>
            </w:r>
            <w:r>
              <w:rPr>
                <w:rFonts w:ascii="宋体" w:hAnsi="宋体" w:cs="宋体" w:eastAsia="宋体" w:hint="default"/>
                <w:sz w:val="24"/>
                <w:szCs w:val="24"/>
              </w:rPr>
            </w:r>
          </w:p>
        </w:tc>
      </w:tr>
      <w:tr>
        <w:trPr>
          <w:trHeight w:val="96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2012-001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年度业绩预告的修正公告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47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B13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tc>
      </w:tr>
    </w:tbl>
    <w:p>
      <w:pPr>
        <w:spacing w:after="0" w:line="271" w:lineRule="auto"/>
        <w:jc w:val="left"/>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91"/>
        <w:gridCol w:w="1935"/>
      </w:tblGrid>
      <w:tr>
        <w:trPr>
          <w:trHeight w:val="339"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91" w:type="dxa"/>
            <w:tcBorders>
              <w:top w:val="nil" w:sz="6" w:space="0" w:color="auto"/>
              <w:left w:val="single" w:sz="6" w:space="0" w:color="000000"/>
              <w:bottom w:val="single" w:sz="6" w:space="0" w:color="000000"/>
              <w:right w:val="single" w:sz="6" w:space="0" w:color="000000"/>
            </w:tcBorders>
          </w:tcPr>
          <w:p>
            <w:pPr/>
          </w:p>
        </w:tc>
        <w:tc>
          <w:tcPr>
            <w:tcW w:w="19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2012-002</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2012-003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对外担保公告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2012-004</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年第一次临时股东大会的通知</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7"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2012-005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年第一次临时股东大会决议公告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B1</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A06</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2012-006</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关于取得高新技术企业证书的公告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D16</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2012-007</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年度业绩快报</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B042</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2012-008</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第二届董事会第十一次会议决议公告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13</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D5</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2012-009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年度报告网上说明会的通知</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D137</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3"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2012-010</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第二届董事会第十二次会议决议公告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D137</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第二届监事会第七次会议决议公告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D137</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648"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2012-012</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年年度股东大会的通知</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D137</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p>
        </w:tc>
      </w:tr>
    </w:tbl>
    <w:p>
      <w:pPr>
        <w:spacing w:after="0" w:line="240" w:lineRule="auto"/>
        <w:jc w:val="lef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91"/>
        <w:gridCol w:w="1935"/>
      </w:tblGrid>
      <w:tr>
        <w:trPr>
          <w:trHeight w:val="651"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91" w:type="dxa"/>
            <w:tcBorders>
              <w:top w:val="nil" w:sz="6" w:space="0" w:color="auto"/>
              <w:left w:val="single" w:sz="6" w:space="0" w:color="000000"/>
              <w:bottom w:val="single" w:sz="6" w:space="0" w:color="000000"/>
              <w:right w:val="single" w:sz="6" w:space="0" w:color="000000"/>
            </w:tcBorders>
          </w:tcPr>
          <w:p>
            <w:pPr/>
          </w:p>
        </w:tc>
        <w:tc>
          <w:tcPr>
            <w:tcW w:w="19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2012-013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年年度报告摘要</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D137</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2012-014</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日常关联交易公告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D137</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对外担保公告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D137</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2012-016</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年第一季度报告正文</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D140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2012-017</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第二届董事会第十四次会议决议公告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B69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2012-018</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第二届监事会第九次会议决议公告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B69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2012-019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关于变更坏账准备会计估计事项的公告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B69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2012-020</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关于日常关联交易事项的公告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B69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3"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年年度股东大会决议公告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B25</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2012-022</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关于募集资金投资项目市场前景的公告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338"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2012-023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pacing w:val="3"/>
                <w:sz w:val="20"/>
                <w:szCs w:val="20"/>
              </w:rPr>
              <w:t>关于第二届监事会职工代表监事离职的公</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B24</w:t>
            </w:r>
          </w:p>
        </w:tc>
      </w:tr>
    </w:tbl>
    <w:p>
      <w:pPr>
        <w:spacing w:after="0" w:line="271" w:lineRule="exact"/>
        <w:jc w:val="lef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91"/>
        <w:gridCol w:w="1935"/>
      </w:tblGrid>
      <w:tr>
        <w:trPr>
          <w:trHeight w:val="963"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w w:val="99"/>
                <w:sz w:val="20"/>
                <w:szCs w:val="20"/>
              </w:rPr>
              <w:t>告</w:t>
            </w:r>
            <w:r>
              <w:rPr>
                <w:rFonts w:ascii="宋体" w:hAnsi="宋体" w:cs="宋体" w:eastAsia="宋体" w:hint="default"/>
                <w:sz w:val="20"/>
                <w:szCs w:val="20"/>
              </w:rPr>
            </w:r>
          </w:p>
        </w:tc>
        <w:tc>
          <w:tcPr>
            <w:tcW w:w="2391" w:type="dxa"/>
            <w:tcBorders>
              <w:top w:val="nil" w:sz="6" w:space="0" w:color="auto"/>
              <w:left w:val="single" w:sz="6" w:space="0" w:color="000000"/>
              <w:bottom w:val="single" w:sz="6" w:space="0" w:color="000000"/>
              <w:right w:val="single" w:sz="6" w:space="0" w:color="000000"/>
            </w:tcBorders>
          </w:tcPr>
          <w:p>
            <w:pPr/>
          </w:p>
        </w:tc>
        <w:tc>
          <w:tcPr>
            <w:tcW w:w="1935" w:type="dxa"/>
            <w:tcBorders>
              <w:top w:val="nil" w:sz="6" w:space="0" w:color="auto"/>
              <w:left w:val="single" w:sz="6" w:space="0" w:color="000000"/>
              <w:bottom w:val="single" w:sz="6" w:space="0" w:color="000000"/>
              <w:right w:val="single" w:sz="6" w:space="0" w:color="000000"/>
            </w:tcBorders>
          </w:tcPr>
          <w:p>
            <w:pPr>
              <w:pStyle w:val="TableParagraph"/>
              <w:spacing w:line="271" w:lineRule="auto" w:before="1"/>
              <w:ind w:left="4" w:right="289"/>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B022</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2012-024</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关于日常经营重大合同中标及进展的公告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D8</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B004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第二届董事会第十五次会议决议公告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2012-026</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年第二次临时股东大会的通知</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2012-027</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对外担保公告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2012-028</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年年度权益分派实施公告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B006</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2012-029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5"/>
              <w:jc w:val="left"/>
              <w:rPr>
                <w:rFonts w:ascii="宋体" w:hAnsi="宋体" w:cs="宋体" w:eastAsia="宋体" w:hint="default"/>
                <w:sz w:val="20"/>
                <w:szCs w:val="20"/>
              </w:rPr>
            </w:pPr>
            <w:r>
              <w:rPr>
                <w:rFonts w:ascii="宋体" w:hAnsi="宋体" w:cs="宋体" w:eastAsia="宋体" w:hint="default"/>
                <w:spacing w:val="2"/>
                <w:sz w:val="20"/>
                <w:szCs w:val="20"/>
              </w:rPr>
              <w:t>关于实施</w:t>
            </w:r>
            <w:r>
              <w:rPr>
                <w:rFonts w:ascii="Times New Roman" w:hAnsi="Times New Roman" w:cs="Times New Roman" w:eastAsia="Times New Roman" w:hint="default"/>
                <w:spacing w:val="2"/>
                <w:sz w:val="20"/>
                <w:szCs w:val="20"/>
              </w:rPr>
              <w:t>2011</w:t>
            </w:r>
            <w:r>
              <w:rPr>
                <w:rFonts w:ascii="宋体" w:hAnsi="宋体" w:cs="宋体" w:eastAsia="宋体" w:hint="default"/>
                <w:spacing w:val="2"/>
                <w:sz w:val="20"/>
                <w:szCs w:val="20"/>
              </w:rPr>
              <w:t>年年度权益分派方案后调整</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非公开发行股票发行价格的公告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B006</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2012-030</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7"/>
              <w:jc w:val="left"/>
              <w:rPr>
                <w:rFonts w:ascii="宋体" w:hAnsi="宋体" w:cs="宋体" w:eastAsia="宋体" w:hint="default"/>
                <w:sz w:val="20"/>
                <w:szCs w:val="20"/>
              </w:rPr>
            </w:pPr>
            <w:r>
              <w:rPr>
                <w:rFonts w:ascii="宋体" w:hAnsi="宋体" w:cs="宋体" w:eastAsia="宋体" w:hint="default"/>
                <w:spacing w:val="3"/>
                <w:sz w:val="20"/>
                <w:szCs w:val="20"/>
              </w:rPr>
              <w:t>关于修正最近三年累计现金分红占最近年</w:t>
            </w:r>
            <w:r>
              <w:rPr>
                <w:rFonts w:ascii="宋体" w:hAnsi="宋体" w:cs="宋体" w:eastAsia="宋体" w:hint="default"/>
                <w:w w:val="99"/>
                <w:sz w:val="20"/>
                <w:szCs w:val="20"/>
              </w:rPr>
              <w:t> </w:t>
            </w:r>
            <w:r>
              <w:rPr>
                <w:rFonts w:ascii="宋体" w:hAnsi="宋体" w:cs="宋体" w:eastAsia="宋体" w:hint="default"/>
                <w:sz w:val="20"/>
                <w:szCs w:val="20"/>
              </w:rPr>
              <w:t>均净利润的修正公告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年第二次临时股东大会决议公告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2012-032</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4"/>
              <w:jc w:val="left"/>
              <w:rPr>
                <w:rFonts w:ascii="宋体" w:hAnsi="宋体" w:cs="宋体" w:eastAsia="宋体" w:hint="default"/>
                <w:sz w:val="20"/>
                <w:szCs w:val="20"/>
              </w:rPr>
            </w:pPr>
            <w:r>
              <w:rPr>
                <w:rFonts w:ascii="宋体" w:hAnsi="宋体" w:cs="宋体" w:eastAsia="宋体" w:hint="default"/>
                <w:spacing w:val="6"/>
                <w:sz w:val="20"/>
                <w:szCs w:val="20"/>
              </w:rPr>
              <w:t>关于非公开发行</w:t>
            </w:r>
            <w:r>
              <w:rPr>
                <w:rFonts w:ascii="Times New Roman" w:hAnsi="Times New Roman" w:cs="Times New Roman" w:eastAsia="Times New Roman" w:hint="default"/>
                <w:spacing w:val="6"/>
                <w:sz w:val="20"/>
                <w:szCs w:val="20"/>
              </w:rPr>
              <w:t>A</w:t>
            </w:r>
            <w:r>
              <w:rPr>
                <w:rFonts w:ascii="宋体" w:hAnsi="宋体" w:cs="宋体" w:eastAsia="宋体" w:hint="default"/>
                <w:spacing w:val="6"/>
                <w:sz w:val="20"/>
                <w:szCs w:val="20"/>
              </w:rPr>
              <w:t>股股票获中国证监会发</w:t>
            </w:r>
            <w:r>
              <w:rPr>
                <w:rFonts w:ascii="宋体" w:hAnsi="宋体" w:cs="宋体" w:eastAsia="宋体" w:hint="default"/>
                <w:w w:val="99"/>
                <w:sz w:val="20"/>
                <w:szCs w:val="20"/>
              </w:rPr>
              <w:t> </w:t>
            </w:r>
            <w:r>
              <w:rPr>
                <w:rFonts w:ascii="宋体" w:hAnsi="宋体" w:cs="宋体" w:eastAsia="宋体" w:hint="default"/>
                <w:sz w:val="20"/>
                <w:szCs w:val="20"/>
              </w:rPr>
              <w:t>审委审核通过的公告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289"/>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D20</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巨潮资讯网</w:t>
            </w:r>
          </w:p>
          <w:p>
            <w:pPr>
              <w:pStyle w:val="TableParagraph"/>
              <w:spacing w:line="240" w:lineRule="auto" w:before="71"/>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关于分红情况的说明</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D37</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B031</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91"/>
        <w:gridCol w:w="1935"/>
      </w:tblGrid>
      <w:tr>
        <w:trPr>
          <w:trHeight w:val="1275" w:hRule="exact"/>
        </w:trPr>
        <w:tc>
          <w:tcPr>
            <w:tcW w:w="136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2012-034</w:t>
            </w:r>
          </w:p>
        </w:tc>
        <w:tc>
          <w:tcPr>
            <w:tcW w:w="36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关于选举公司职工监事的公告</w:t>
            </w:r>
          </w:p>
        </w:tc>
        <w:tc>
          <w:tcPr>
            <w:tcW w:w="23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9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B17</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B014</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2012-035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关于聘任证券事务代表的公告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B17</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B014</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2012-036</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第二届董事会第十六次会议决议公告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B17</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B014</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2012-037</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Times New Roman" w:hAnsi="Times New Roman" w:cs="Times New Roman" w:eastAsia="Times New Roman" w:hint="default"/>
                <w:sz w:val="20"/>
                <w:szCs w:val="20"/>
              </w:rPr>
              <w:t>2012</w:t>
            </w:r>
            <w:r>
              <w:rPr>
                <w:rFonts w:ascii="宋体" w:hAnsi="宋体" w:cs="宋体" w:eastAsia="宋体" w:hint="default"/>
                <w:sz w:val="20"/>
                <w:szCs w:val="20"/>
              </w:rPr>
              <w:t>年半年度业绩预告的修正公告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B5</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B035</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2012-038</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重大事项停牌公告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16</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D9</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B037</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2012-039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关于战略合作备忘的重大事项公告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D40</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B014</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2012-040</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关于日常经营重大合同中标的公告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D5</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B015</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2012-041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年半年度报告摘要</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3</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D36</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B042</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2012-042</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7"/>
              <w:jc w:val="left"/>
              <w:rPr>
                <w:rFonts w:ascii="宋体" w:hAnsi="宋体" w:cs="宋体" w:eastAsia="宋体" w:hint="default"/>
                <w:sz w:val="20"/>
                <w:szCs w:val="20"/>
              </w:rPr>
            </w:pPr>
            <w:r>
              <w:rPr>
                <w:rFonts w:ascii="宋体" w:hAnsi="宋体" w:cs="宋体" w:eastAsia="宋体" w:hint="default"/>
                <w:spacing w:val="3"/>
                <w:sz w:val="20"/>
                <w:szCs w:val="20"/>
              </w:rPr>
              <w:t>关于非公开发行股票申请获得中国证监会</w:t>
            </w:r>
            <w:r>
              <w:rPr>
                <w:rFonts w:ascii="宋体" w:hAnsi="宋体" w:cs="宋体" w:eastAsia="宋体" w:hint="default"/>
                <w:w w:val="99"/>
                <w:sz w:val="20"/>
                <w:szCs w:val="20"/>
              </w:rPr>
              <w:t> </w:t>
            </w:r>
            <w:r>
              <w:rPr>
                <w:rFonts w:ascii="宋体" w:hAnsi="宋体" w:cs="宋体" w:eastAsia="宋体" w:hint="default"/>
                <w:sz w:val="20"/>
                <w:szCs w:val="20"/>
              </w:rPr>
              <w:t>核准的公告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C8</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B096</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2012-043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关于公司高级管理人员辞职的公告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21</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D24</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B129</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p>
            <w:pPr>
              <w:pStyle w:val="TableParagraph"/>
              <w:spacing w:line="240" w:lineRule="auto" w:before="97"/>
              <w:ind w:left="4"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96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2012-044</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第二届董事会第十八次会议决议公告</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21</w:t>
            </w:r>
            <w:r>
              <w:rPr>
                <w:rFonts w:ascii="宋体" w:hAnsi="宋体" w:cs="宋体" w:eastAsia="宋体" w:hint="default"/>
                <w:sz w:val="20"/>
                <w:szCs w:val="20"/>
              </w:rPr>
              <w:t>日</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D24</w:t>
            </w:r>
          </w:p>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B129</w:t>
            </w:r>
          </w:p>
          <w:p>
            <w:pPr>
              <w:pStyle w:val="TableParagraph"/>
              <w:tabs>
                <w:tab w:pos="431" w:val="left" w:leader="none"/>
                <w:tab w:pos="858" w:val="left" w:leader="none"/>
                <w:tab w:pos="1288" w:val="left" w:leader="none"/>
                <w:tab w:pos="1715" w:val="left" w:leader="none"/>
              </w:tabs>
              <w:spacing w:line="240" w:lineRule="auto" w:before="35"/>
              <w:ind w:left="4"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t>讯</w:t>
              <w:tab/>
            </w:r>
            <w:r>
              <w:rPr>
                <w:rFonts w:ascii="宋体" w:hAnsi="宋体" w:cs="宋体" w:eastAsia="宋体" w:hint="default"/>
                <w:sz w:val="20"/>
                <w:szCs w:val="20"/>
              </w:rPr>
              <w:t>网</w:t>
            </w:r>
          </w:p>
        </w:tc>
      </w:tr>
    </w:tbl>
    <w:p>
      <w:pPr>
        <w:spacing w:after="0" w:line="240" w:lineRule="auto"/>
        <w:jc w:val="left"/>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86"/>
        <w:gridCol w:w="1637"/>
        <w:gridCol w:w="303"/>
      </w:tblGrid>
      <w:tr>
        <w:trPr>
          <w:trHeight w:val="339"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940"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48"/>
              <w:ind w:left="9" w:right="0"/>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Times New Roman" w:hAnsi="Times New Roman" w:cs="Times New Roman" w:eastAsia="Times New Roman" w:hint="default"/>
                <w:sz w:val="20"/>
                <w:szCs w:val="20"/>
              </w:rPr>
            </w:pPr>
            <w:r>
              <w:rPr>
                <w:rFonts w:ascii="Times New Roman"/>
                <w:sz w:val="20"/>
              </w:rPr>
              <w:t>2012-045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关于签订日常经营重大合同的公告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5</w:t>
            </w:r>
            <w:r>
              <w:rPr>
                <w:rFonts w:ascii="宋体" w:hAnsi="宋体" w:cs="宋体" w:eastAsia="宋体" w:hint="default"/>
                <w:sz w:val="20"/>
                <w:szCs w:val="20"/>
              </w:rPr>
              <w:t>日</w:t>
            </w:r>
          </w:p>
        </w:tc>
        <w:tc>
          <w:tcPr>
            <w:tcW w:w="1637" w:type="dxa"/>
            <w:tcBorders>
              <w:top w:val="single" w:sz="6" w:space="0" w:color="000000"/>
              <w:left w:val="single" w:sz="6" w:space="0" w:color="000000"/>
              <w:bottom w:val="single" w:sz="6" w:space="0" w:color="000000"/>
              <w:right w:val="nil" w:sz="6" w:space="0" w:color="auto"/>
            </w:tcBorders>
          </w:tcPr>
          <w:p>
            <w:pPr>
              <w:pStyle w:val="TableParagraph"/>
              <w:tabs>
                <w:tab w:pos="436" w:val="left" w:leader="none"/>
                <w:tab w:pos="863" w:val="left" w:leader="none"/>
                <w:tab w:pos="1293" w:val="left" w:leader="none"/>
              </w:tabs>
              <w:spacing w:line="271" w:lineRule="auto"/>
              <w:ind w:left="9" w:right="-4"/>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D13</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B015</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9" w:right="-4"/>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5"/>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2012-046</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关于日常经营重大合同中标的公告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w:t>
            </w:r>
          </w:p>
        </w:tc>
        <w:tc>
          <w:tcPr>
            <w:tcW w:w="1637" w:type="dxa"/>
            <w:tcBorders>
              <w:top w:val="single" w:sz="6" w:space="0" w:color="000000"/>
              <w:left w:val="single" w:sz="6" w:space="0" w:color="000000"/>
              <w:bottom w:val="single" w:sz="6" w:space="0" w:color="000000"/>
              <w:right w:val="nil" w:sz="6" w:space="0" w:color="auto"/>
            </w:tcBorders>
          </w:tcPr>
          <w:p>
            <w:pPr>
              <w:pStyle w:val="TableParagraph"/>
              <w:tabs>
                <w:tab w:pos="436" w:val="left" w:leader="none"/>
                <w:tab w:pos="863" w:val="left" w:leader="none"/>
                <w:tab w:pos="1293" w:val="left" w:leader="none"/>
              </w:tabs>
              <w:spacing w:line="271" w:lineRule="auto"/>
              <w:ind w:left="9" w:right="-4"/>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B016</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9" w:right="-4"/>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5"/>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7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0"/>
                <w:szCs w:val="20"/>
              </w:rPr>
            </w:pPr>
            <w:r>
              <w:rPr>
                <w:rFonts w:ascii="Times New Roman"/>
                <w:sz w:val="20"/>
              </w:rPr>
              <w:t>2012-047</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股东追加承诺公告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w:t>
            </w:r>
          </w:p>
        </w:tc>
        <w:tc>
          <w:tcPr>
            <w:tcW w:w="1637" w:type="dxa"/>
            <w:tcBorders>
              <w:top w:val="single" w:sz="6" w:space="0" w:color="000000"/>
              <w:left w:val="single" w:sz="6" w:space="0" w:color="000000"/>
              <w:bottom w:val="single" w:sz="6" w:space="0" w:color="000000"/>
              <w:right w:val="nil" w:sz="6" w:space="0" w:color="auto"/>
            </w:tcBorders>
          </w:tcPr>
          <w:p>
            <w:pPr>
              <w:pStyle w:val="TableParagraph"/>
              <w:tabs>
                <w:tab w:pos="436" w:val="left" w:leader="none"/>
                <w:tab w:pos="863" w:val="left" w:leader="none"/>
                <w:tab w:pos="1293" w:val="left" w:leader="none"/>
              </w:tabs>
              <w:spacing w:line="271" w:lineRule="auto"/>
              <w:ind w:left="9" w:right="-4"/>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D1</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B016</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9" w:right="-4"/>
              <w:jc w:val="left"/>
              <w:rPr>
                <w:rFonts w:ascii="Times New Roman" w:hAnsi="Times New Roman" w:cs="Times New Roman" w:eastAsia="Times New Roman" w:hint="default"/>
                <w:sz w:val="20"/>
                <w:szCs w:val="20"/>
              </w:rPr>
            </w:pPr>
            <w:r>
              <w:rPr>
                <w:rFonts w:ascii="Times New Roman"/>
                <w:color w:val="6C6C6C"/>
                <w:w w:val="99"/>
                <w:sz w:val="20"/>
              </w:rPr>
            </w:r>
            <w:hyperlink r:id="rId9">
              <w:r>
                <w:rPr>
                  <w:rFonts w:ascii="Times New Roman"/>
                  <w:color w:val="6C6C6C"/>
                  <w:sz w:val="20"/>
                  <w:u w:val="single" w:color="6C6C6C"/>
                </w:rPr>
                <w:t>www.cninfo.com.cn</w:t>
              </w:r>
              <w:r>
                <w:rPr>
                  <w:rFonts w:ascii="Times New Roman"/>
                  <w:color w:val="6C6C6C"/>
                  <w:sz w:val="20"/>
                </w:rPr>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5"/>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43"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2012-048</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20"/>
              <w:jc w:val="left"/>
              <w:rPr>
                <w:rFonts w:ascii="宋体" w:hAnsi="宋体" w:cs="宋体" w:eastAsia="宋体" w:hint="default"/>
                <w:sz w:val="20"/>
                <w:szCs w:val="20"/>
              </w:rPr>
            </w:pPr>
            <w:r>
              <w:rPr>
                <w:rFonts w:ascii="宋体" w:hAnsi="宋体" w:cs="宋体" w:eastAsia="宋体" w:hint="default"/>
                <w:spacing w:val="-6"/>
                <w:sz w:val="20"/>
                <w:szCs w:val="20"/>
              </w:rPr>
              <w:t>非公开发行情况报告暨上市公告书（摘要）</w:t>
            </w:r>
            <w:r>
              <w:rPr>
                <w:rFonts w:ascii="宋体" w:hAnsi="宋体" w:cs="宋体" w:eastAsia="宋体" w:hint="default"/>
                <w:sz w:val="20"/>
                <w:szCs w:val="20"/>
              </w:rPr>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w:t>
            </w:r>
          </w:p>
        </w:tc>
        <w:tc>
          <w:tcPr>
            <w:tcW w:w="1637" w:type="dxa"/>
            <w:tcBorders>
              <w:top w:val="single" w:sz="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1"/>
              <w:ind w:left="2" w:right="137"/>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A15</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8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20"/>
                <w:szCs w:val="20"/>
              </w:rPr>
            </w:pPr>
            <w:r>
              <w:rPr>
                <w:rFonts w:ascii="Times New Roman"/>
                <w:sz w:val="20"/>
              </w:rPr>
              <w:t>2012-049</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2"/>
              <w:ind w:left="2" w:right="7"/>
              <w:jc w:val="left"/>
              <w:rPr>
                <w:rFonts w:ascii="宋体" w:hAnsi="宋体" w:cs="宋体" w:eastAsia="宋体" w:hint="default"/>
                <w:sz w:val="20"/>
                <w:szCs w:val="20"/>
              </w:rPr>
            </w:pPr>
            <w:r>
              <w:rPr>
                <w:rFonts w:ascii="宋体" w:hAnsi="宋体" w:cs="宋体" w:eastAsia="宋体" w:hint="default"/>
                <w:spacing w:val="3"/>
                <w:sz w:val="20"/>
                <w:szCs w:val="20"/>
              </w:rPr>
              <w:t>关于非公开发行股票股东权益变动的提示</w:t>
            </w:r>
            <w:r>
              <w:rPr>
                <w:rFonts w:ascii="宋体" w:hAnsi="宋体" w:cs="宋体" w:eastAsia="宋体" w:hint="default"/>
                <w:w w:val="99"/>
                <w:sz w:val="20"/>
                <w:szCs w:val="20"/>
              </w:rPr>
              <w:t> </w:t>
            </w:r>
            <w:r>
              <w:rPr>
                <w:rFonts w:ascii="宋体" w:hAnsi="宋体" w:cs="宋体" w:eastAsia="宋体" w:hint="default"/>
                <w:sz w:val="20"/>
                <w:szCs w:val="20"/>
              </w:rPr>
              <w:t>性公告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w:t>
            </w:r>
          </w:p>
        </w:tc>
        <w:tc>
          <w:tcPr>
            <w:tcW w:w="1637" w:type="dxa"/>
            <w:tcBorders>
              <w:top w:val="single" w:sz="3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5"/>
              <w:ind w:left="2" w:right="137"/>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A15</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8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0"/>
                <w:szCs w:val="20"/>
              </w:rPr>
            </w:pPr>
            <w:r>
              <w:rPr>
                <w:rFonts w:ascii="Times New Roman"/>
                <w:sz w:val="20"/>
              </w:rPr>
              <w:t>2012-050</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宋体" w:hAnsi="宋体" w:cs="宋体" w:eastAsia="宋体" w:hint="default"/>
                <w:sz w:val="20"/>
                <w:szCs w:val="20"/>
              </w:rPr>
            </w:pPr>
            <w:r>
              <w:rPr>
                <w:rFonts w:ascii="宋体" w:hAnsi="宋体" w:cs="宋体" w:eastAsia="宋体" w:hint="default"/>
                <w:sz w:val="20"/>
                <w:szCs w:val="20"/>
              </w:rPr>
              <w:t>第二届董事会第十九次会议决议公告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w:t>
            </w:r>
          </w:p>
        </w:tc>
        <w:tc>
          <w:tcPr>
            <w:tcW w:w="1637" w:type="dxa"/>
            <w:tcBorders>
              <w:top w:val="single" w:sz="3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3"/>
              <w:ind w:left="2" w:right="1"/>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D24</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B022</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8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20"/>
                <w:szCs w:val="20"/>
              </w:rPr>
            </w:pPr>
            <w:r>
              <w:rPr>
                <w:rFonts w:ascii="Times New Roman"/>
                <w:sz w:val="20"/>
              </w:rPr>
              <w:t>2012-051</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0"/>
                <w:szCs w:val="20"/>
              </w:rPr>
            </w:pPr>
            <w:r>
              <w:rPr>
                <w:rFonts w:ascii="宋体" w:hAnsi="宋体" w:cs="宋体" w:eastAsia="宋体" w:hint="default"/>
                <w:sz w:val="20"/>
                <w:szCs w:val="20"/>
              </w:rPr>
              <w:t>关于完成工商变更登记手续的公告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13</w:t>
            </w:r>
            <w:r>
              <w:rPr>
                <w:rFonts w:ascii="宋体" w:hAnsi="宋体" w:cs="宋体" w:eastAsia="宋体" w:hint="default"/>
                <w:sz w:val="20"/>
                <w:szCs w:val="20"/>
              </w:rPr>
              <w:t>日</w:t>
            </w:r>
          </w:p>
        </w:tc>
        <w:tc>
          <w:tcPr>
            <w:tcW w:w="1637" w:type="dxa"/>
            <w:tcBorders>
              <w:top w:val="single" w:sz="3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5"/>
              <w:ind w:left="2" w:right="1"/>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B29</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B016</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8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0"/>
                <w:szCs w:val="20"/>
              </w:rPr>
            </w:pPr>
            <w:r>
              <w:rPr>
                <w:rFonts w:ascii="Times New Roman"/>
                <w:sz w:val="20"/>
              </w:rPr>
              <w:t>2012-052</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0"/>
              <w:ind w:left="2" w:right="7"/>
              <w:jc w:val="left"/>
              <w:rPr>
                <w:rFonts w:ascii="宋体" w:hAnsi="宋体" w:cs="宋体" w:eastAsia="宋体" w:hint="default"/>
                <w:sz w:val="20"/>
                <w:szCs w:val="20"/>
              </w:rPr>
            </w:pPr>
            <w:r>
              <w:rPr>
                <w:rFonts w:ascii="宋体" w:hAnsi="宋体" w:cs="宋体" w:eastAsia="宋体" w:hint="default"/>
                <w:spacing w:val="3"/>
                <w:sz w:val="20"/>
                <w:szCs w:val="20"/>
              </w:rPr>
              <w:t>通过韩国三星电子有限公司合格供应商认</w:t>
            </w:r>
            <w:r>
              <w:rPr>
                <w:rFonts w:ascii="宋体" w:hAnsi="宋体" w:cs="宋体" w:eastAsia="宋体" w:hint="default"/>
                <w:w w:val="99"/>
                <w:sz w:val="20"/>
                <w:szCs w:val="20"/>
              </w:rPr>
              <w:t> </w:t>
            </w:r>
            <w:r>
              <w:rPr>
                <w:rFonts w:ascii="宋体" w:hAnsi="宋体" w:cs="宋体" w:eastAsia="宋体" w:hint="default"/>
                <w:sz w:val="20"/>
                <w:szCs w:val="20"/>
              </w:rPr>
              <w:t>证的公告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18</w:t>
            </w:r>
            <w:r>
              <w:rPr>
                <w:rFonts w:ascii="宋体" w:hAnsi="宋体" w:cs="宋体" w:eastAsia="宋体" w:hint="default"/>
                <w:sz w:val="20"/>
                <w:szCs w:val="20"/>
              </w:rPr>
              <w:t>日</w:t>
            </w:r>
          </w:p>
        </w:tc>
        <w:tc>
          <w:tcPr>
            <w:tcW w:w="1637" w:type="dxa"/>
            <w:tcBorders>
              <w:top w:val="single" w:sz="3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3"/>
              <w:ind w:left="2" w:right="1"/>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D5</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B002</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8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20"/>
                <w:szCs w:val="20"/>
              </w:rPr>
            </w:pPr>
            <w:r>
              <w:rPr>
                <w:rFonts w:ascii="Times New Roman"/>
                <w:sz w:val="20"/>
              </w:rPr>
              <w:t>2012-053</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0"/>
                <w:szCs w:val="20"/>
              </w:rPr>
            </w:pPr>
            <w:r>
              <w:rPr>
                <w:rFonts w:ascii="宋体" w:hAnsi="宋体" w:cs="宋体" w:eastAsia="宋体" w:hint="default"/>
                <w:sz w:val="20"/>
                <w:szCs w:val="20"/>
              </w:rPr>
              <w:t>关于签订募集资金监管协议的公告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3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5"/>
              <w:ind w:left="2" w:right="1"/>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D22</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1283"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0"/>
                <w:szCs w:val="20"/>
              </w:rPr>
            </w:pPr>
            <w:r>
              <w:rPr>
                <w:rFonts w:ascii="Times New Roman"/>
                <w:sz w:val="20"/>
              </w:rPr>
              <w:t>2012-054</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0"/>
              <w:ind w:left="2" w:right="7"/>
              <w:jc w:val="left"/>
              <w:rPr>
                <w:rFonts w:ascii="宋体" w:hAnsi="宋体" w:cs="宋体" w:eastAsia="宋体" w:hint="default"/>
                <w:sz w:val="20"/>
                <w:szCs w:val="20"/>
              </w:rPr>
            </w:pPr>
            <w:r>
              <w:rPr>
                <w:rFonts w:ascii="宋体" w:hAnsi="宋体" w:cs="宋体" w:eastAsia="宋体" w:hint="default"/>
                <w:spacing w:val="3"/>
                <w:sz w:val="20"/>
                <w:szCs w:val="20"/>
              </w:rPr>
              <w:t>关于更换公司董事会秘书和财务总监的公</w:t>
            </w:r>
            <w:r>
              <w:rPr>
                <w:rFonts w:ascii="宋体" w:hAnsi="宋体" w:cs="宋体" w:eastAsia="宋体" w:hint="default"/>
                <w:w w:val="99"/>
                <w:sz w:val="20"/>
                <w:szCs w:val="20"/>
              </w:rPr>
              <w:t> </w:t>
            </w:r>
            <w:r>
              <w:rPr>
                <w:rFonts w:ascii="宋体" w:hAnsi="宋体" w:cs="宋体" w:eastAsia="宋体" w:hint="default"/>
                <w:sz w:val="20"/>
                <w:szCs w:val="20"/>
              </w:rPr>
              <w:t>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3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71" w:lineRule="auto" w:before="3"/>
              <w:ind w:left="2" w:right="1"/>
              <w:jc w:val="left"/>
              <w:rPr>
                <w:rFonts w:ascii="宋体" w:hAnsi="宋体" w:cs="宋体" w:eastAsia="宋体" w:hint="default"/>
                <w:sz w:val="20"/>
                <w:szCs w:val="20"/>
              </w:rPr>
            </w:pPr>
            <w:r>
              <w:rPr>
                <w:rFonts w:ascii="宋体" w:hAnsi="宋体" w:cs="宋体" w:eastAsia="宋体" w:hint="default"/>
                <w:sz w:val="20"/>
                <w:szCs w:val="20"/>
              </w:rPr>
              <w:t>证券时报</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D22</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7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697"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 w:right="0"/>
              <w:jc w:val="left"/>
              <w:rPr>
                <w:rFonts w:ascii="Times New Roman" w:hAnsi="Times New Roman" w:cs="Times New Roman" w:eastAsia="Times New Roman" w:hint="default"/>
                <w:sz w:val="20"/>
                <w:szCs w:val="20"/>
              </w:rPr>
            </w:pPr>
            <w:r>
              <w:rPr>
                <w:rFonts w:ascii="Times New Roman"/>
                <w:sz w:val="20"/>
              </w:rPr>
              <w:t>2012-055</w:t>
            </w:r>
          </w:p>
        </w:tc>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left"/>
              <w:rPr>
                <w:rFonts w:ascii="宋体" w:hAnsi="宋体" w:cs="宋体" w:eastAsia="宋体" w:hint="default"/>
                <w:sz w:val="20"/>
                <w:szCs w:val="20"/>
              </w:rPr>
            </w:pPr>
            <w:r>
              <w:rPr>
                <w:rFonts w:ascii="宋体" w:hAnsi="宋体" w:cs="宋体" w:eastAsia="宋体" w:hint="default"/>
                <w:sz w:val="20"/>
                <w:szCs w:val="20"/>
              </w:rPr>
              <w:t>第二届董事会第二十次会议决议公告</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9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D22</w:t>
            </w:r>
          </w:p>
          <w:p>
            <w:pPr>
              <w:pStyle w:val="TableParagraph"/>
              <w:spacing w:line="240" w:lineRule="auto" w:before="3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p>
        </w:tc>
      </w:tr>
    </w:tbl>
    <w:p>
      <w:pPr>
        <w:spacing w:after="0" w:line="240" w:lineRule="auto"/>
        <w:jc w:val="left"/>
        <w:rPr>
          <w:rFonts w:ascii="Times New Roman" w:hAnsi="Times New Roman" w:cs="Times New Roman" w:eastAsia="Times New Roman" w:hint="default"/>
          <w:sz w:val="20"/>
          <w:szCs w:val="20"/>
        </w:rPr>
        <w:sectPr>
          <w:pgSz w:w="11910" w:h="16840"/>
          <w:pgMar w:header="877" w:footer="1340"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366"/>
        <w:gridCol w:w="3675"/>
        <w:gridCol w:w="2386"/>
        <w:gridCol w:w="1637"/>
        <w:gridCol w:w="303"/>
      </w:tblGrid>
      <w:tr>
        <w:trPr>
          <w:trHeight w:val="621"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3675" w:type="dxa"/>
            <w:tcBorders>
              <w:top w:val="single" w:sz="6" w:space="0" w:color="000000"/>
              <w:left w:val="single" w:sz="6" w:space="0" w:color="000000"/>
              <w:bottom w:val="single" w:sz="6" w:space="0" w:color="000000"/>
              <w:right w:val="single" w:sz="6" w:space="0" w:color="000000"/>
            </w:tcBorders>
          </w:tcPr>
          <w:p>
            <w:pPr/>
          </w:p>
        </w:tc>
        <w:tc>
          <w:tcPr>
            <w:tcW w:w="238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36" w:space="0" w:color="000000"/>
              <w:right w:val="nil" w:sz="6" w:space="0" w:color="auto"/>
            </w:tcBorders>
          </w:tcPr>
          <w:p>
            <w:pPr>
              <w:pStyle w:val="TableParagraph"/>
              <w:tabs>
                <w:tab w:pos="431" w:val="left" w:leader="none"/>
                <w:tab w:pos="861" w:val="left" w:leader="none"/>
                <w:tab w:pos="1291" w:val="left" w:leader="none"/>
              </w:tabs>
              <w:spacing w:line="240" w:lineRule="auto" w:before="1"/>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p>
            <w:pPr>
              <w:pStyle w:val="TableParagraph"/>
              <w:spacing w:line="240" w:lineRule="auto" w:before="97"/>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372"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8"/>
              <w:ind w:left="4" w:right="0"/>
              <w:jc w:val="left"/>
              <w:rPr>
                <w:rFonts w:ascii="Times New Roman" w:hAnsi="Times New Roman" w:cs="Times New Roman" w:eastAsia="Times New Roman" w:hint="default"/>
                <w:sz w:val="20"/>
                <w:szCs w:val="20"/>
              </w:rPr>
            </w:pPr>
            <w:r>
              <w:rPr>
                <w:rFonts w:ascii="Times New Roman"/>
                <w:sz w:val="20"/>
              </w:rPr>
              <w:t>2012-056</w:t>
            </w:r>
          </w:p>
        </w:tc>
        <w:tc>
          <w:tcPr>
            <w:tcW w:w="36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1"/>
              <w:ind w:left="2" w:right="0"/>
              <w:jc w:val="left"/>
              <w:rPr>
                <w:rFonts w:ascii="宋体" w:hAnsi="宋体" w:cs="宋体" w:eastAsia="宋体" w:hint="default"/>
                <w:sz w:val="20"/>
                <w:szCs w:val="20"/>
              </w:rPr>
            </w:pPr>
            <w:r>
              <w:rPr>
                <w:rFonts w:ascii="宋体" w:hAnsi="宋体" w:cs="宋体" w:eastAsia="宋体" w:hint="default"/>
                <w:sz w:val="20"/>
                <w:szCs w:val="20"/>
              </w:rPr>
              <w:t>第二届监事会第十一次会议决议公告</w:t>
            </w: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36" w:space="0" w:color="000000"/>
              <w:left w:val="single" w:sz="6" w:space="0" w:color="000000"/>
              <w:bottom w:val="nil" w:sz="6" w:space="0" w:color="auto"/>
              <w:right w:val="nil" w:sz="6" w:space="0" w:color="auto"/>
            </w:tcBorders>
          </w:tcPr>
          <w:p>
            <w:pPr>
              <w:pStyle w:val="TableParagraph"/>
              <w:spacing w:line="240" w:lineRule="auto" w:before="3"/>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D22</w:t>
            </w:r>
          </w:p>
        </w:tc>
        <w:tc>
          <w:tcPr>
            <w:tcW w:w="303" w:type="dxa"/>
            <w:tcBorders>
              <w:top w:val="single" w:sz="6" w:space="0" w:color="000000"/>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p>
        </w:tc>
        <w:tc>
          <w:tcPr>
            <w:tcW w:w="303" w:type="dxa"/>
            <w:tcBorders>
              <w:top w:val="nil" w:sz="6" w:space="0" w:color="auto"/>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50"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50"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87"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36" w:space="0" w:color="000000"/>
              <w:right w:val="nil" w:sz="6" w:space="0" w:color="auto"/>
            </w:tcBorders>
          </w:tcPr>
          <w:p>
            <w:pPr>
              <w:pStyle w:val="TableParagraph"/>
              <w:spacing w:line="240" w:lineRule="auto" w:before="35"/>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single" w:sz="6" w:space="0" w:color="000000"/>
              <w:right w:val="single" w:sz="6" w:space="0" w:color="000000"/>
            </w:tcBorders>
          </w:tcPr>
          <w:p>
            <w:pPr/>
          </w:p>
        </w:tc>
      </w:tr>
      <w:tr>
        <w:trPr>
          <w:trHeight w:val="373"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20"/>
                <w:szCs w:val="20"/>
              </w:rPr>
            </w:pPr>
            <w:r>
              <w:rPr>
                <w:rFonts w:ascii="Times New Roman"/>
                <w:sz w:val="20"/>
              </w:rPr>
              <w:t>2012-057</w:t>
            </w:r>
          </w:p>
        </w:tc>
        <w:tc>
          <w:tcPr>
            <w:tcW w:w="3675" w:type="dxa"/>
            <w:tcBorders>
              <w:top w:val="single" w:sz="6" w:space="0" w:color="000000"/>
              <w:left w:val="single" w:sz="6" w:space="0" w:color="000000"/>
              <w:bottom w:val="nil" w:sz="6" w:space="0" w:color="auto"/>
              <w:right w:val="single" w:sz="6" w:space="0" w:color="000000"/>
            </w:tcBorders>
          </w:tcPr>
          <w:p>
            <w:pP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36" w:space="0" w:color="000000"/>
              <w:left w:val="single" w:sz="6" w:space="0" w:color="000000"/>
              <w:bottom w:val="nil" w:sz="6" w:space="0" w:color="auto"/>
              <w:right w:val="nil" w:sz="6" w:space="0" w:color="auto"/>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D22</w:t>
            </w:r>
          </w:p>
        </w:tc>
        <w:tc>
          <w:tcPr>
            <w:tcW w:w="303" w:type="dxa"/>
            <w:tcBorders>
              <w:top w:val="single" w:sz="6" w:space="0" w:color="000000"/>
              <w:left w:val="nil" w:sz="6" w:space="0" w:color="auto"/>
              <w:bottom w:val="nil" w:sz="6" w:space="0" w:color="auto"/>
              <w:right w:val="single" w:sz="6" w:space="0" w:color="000000"/>
            </w:tcBorders>
          </w:tcPr>
          <w:p>
            <w:pPr/>
          </w:p>
        </w:tc>
      </w:tr>
      <w:tr>
        <w:trPr>
          <w:trHeight w:val="326"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20"/>
                <w:szCs w:val="20"/>
              </w:rPr>
            </w:pPr>
            <w:r>
              <w:rPr>
                <w:rFonts w:ascii="宋体" w:hAnsi="宋体" w:cs="宋体" w:eastAsia="宋体" w:hint="default"/>
                <w:spacing w:val="2"/>
                <w:sz w:val="20"/>
                <w:szCs w:val="20"/>
              </w:rPr>
              <w:t>深圳市卓翼科技股份有限公司</w:t>
            </w:r>
            <w:r>
              <w:rPr>
                <w:rFonts w:ascii="Times New Roman" w:hAnsi="Times New Roman" w:cs="Times New Roman" w:eastAsia="Times New Roman" w:hint="default"/>
                <w:spacing w:val="2"/>
                <w:sz w:val="20"/>
                <w:szCs w:val="20"/>
              </w:rPr>
              <w:t>2012</w:t>
            </w:r>
            <w:r>
              <w:rPr>
                <w:rFonts w:ascii="宋体" w:hAnsi="宋体" w:cs="宋体" w:eastAsia="宋体" w:hint="default"/>
                <w:spacing w:val="2"/>
                <w:sz w:val="20"/>
                <w:szCs w:val="20"/>
              </w:rPr>
              <w:t>年第三</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p>
        </w:tc>
        <w:tc>
          <w:tcPr>
            <w:tcW w:w="303" w:type="dxa"/>
            <w:tcBorders>
              <w:top w:val="nil" w:sz="6" w:space="0" w:color="auto"/>
              <w:left w:val="nil" w:sz="6" w:space="0" w:color="auto"/>
              <w:bottom w:val="nil" w:sz="6" w:space="0" w:color="auto"/>
              <w:right w:val="single" w:sz="6" w:space="0" w:color="000000"/>
            </w:tcBorders>
          </w:tcPr>
          <w:p>
            <w:pPr/>
          </w:p>
        </w:tc>
      </w:tr>
      <w:tr>
        <w:trPr>
          <w:trHeight w:val="311"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季度报告摘要</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36"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36"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35"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single" w:sz="4" w:space="0" w:color="6C6C6C"/>
              <w:right w:val="nil" w:sz="6" w:space="0" w:color="auto"/>
            </w:tcBorders>
          </w:tcPr>
          <w:p>
            <w:pPr>
              <w:pStyle w:val="TableParagraph"/>
              <w:spacing w:line="240" w:lineRule="auto" w:before="22"/>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nil" w:sz="6" w:space="0" w:color="auto"/>
              <w:right w:val="single" w:sz="6" w:space="0" w:color="000000"/>
            </w:tcBorders>
          </w:tcPr>
          <w:p>
            <w:pPr/>
          </w:p>
        </w:tc>
      </w:tr>
      <w:tr>
        <w:trPr>
          <w:trHeight w:val="122"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single" w:sz="4" w:space="0" w:color="6C6C6C"/>
              <w:left w:val="single" w:sz="6" w:space="0" w:color="000000"/>
              <w:bottom w:val="single" w:sz="6" w:space="0" w:color="000000"/>
              <w:right w:val="nil" w:sz="6" w:space="0" w:color="auto"/>
            </w:tcBorders>
          </w:tcPr>
          <w:p>
            <w:pPr/>
          </w:p>
        </w:tc>
        <w:tc>
          <w:tcPr>
            <w:tcW w:w="303" w:type="dxa"/>
            <w:tcBorders>
              <w:top w:val="nil" w:sz="6" w:space="0" w:color="auto"/>
              <w:left w:val="nil" w:sz="6" w:space="0" w:color="auto"/>
              <w:bottom w:val="single" w:sz="6" w:space="0" w:color="000000"/>
              <w:right w:val="single" w:sz="6" w:space="0" w:color="000000"/>
            </w:tcBorders>
          </w:tcPr>
          <w:p>
            <w:pPr/>
          </w:p>
        </w:tc>
      </w:tr>
      <w:tr>
        <w:trPr>
          <w:trHeight w:val="332"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2012-058</w:t>
            </w:r>
          </w:p>
        </w:tc>
        <w:tc>
          <w:tcPr>
            <w:tcW w:w="3675" w:type="dxa"/>
            <w:tcBorders>
              <w:top w:val="single" w:sz="6" w:space="0" w:color="000000"/>
              <w:left w:val="single" w:sz="6" w:space="0" w:color="000000"/>
              <w:bottom w:val="nil" w:sz="6" w:space="0" w:color="auto"/>
              <w:right w:val="single" w:sz="6" w:space="0" w:color="000000"/>
            </w:tcBorders>
          </w:tcPr>
          <w:p>
            <w:pP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6" w:space="0" w:color="000000"/>
              <w:left w:val="single" w:sz="6" w:space="0" w:color="000000"/>
              <w:bottom w:val="nil" w:sz="6" w:space="0" w:color="auto"/>
              <w:right w:val="nil" w:sz="6" w:space="0" w:color="auto"/>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D22</w:t>
            </w:r>
          </w:p>
        </w:tc>
        <w:tc>
          <w:tcPr>
            <w:tcW w:w="303" w:type="dxa"/>
            <w:tcBorders>
              <w:top w:val="single" w:sz="6" w:space="0" w:color="000000"/>
              <w:left w:val="nil" w:sz="6" w:space="0" w:color="auto"/>
              <w:bottom w:val="nil" w:sz="6" w:space="0" w:color="auto"/>
              <w:right w:val="single" w:sz="6" w:space="0" w:color="000000"/>
            </w:tcBorders>
          </w:tcPr>
          <w:p>
            <w:pPr/>
          </w:p>
        </w:tc>
      </w:tr>
      <w:tr>
        <w:trPr>
          <w:trHeight w:val="321"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20"/>
                <w:szCs w:val="20"/>
              </w:rPr>
            </w:pPr>
            <w:r>
              <w:rPr>
                <w:rFonts w:ascii="宋体" w:hAnsi="宋体" w:cs="宋体" w:eastAsia="宋体" w:hint="default"/>
                <w:spacing w:val="3"/>
                <w:sz w:val="20"/>
                <w:szCs w:val="20"/>
              </w:rPr>
              <w:t>关于以募集资金置换已预先投入募集资金</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p>
        </w:tc>
        <w:tc>
          <w:tcPr>
            <w:tcW w:w="303" w:type="dxa"/>
            <w:tcBorders>
              <w:top w:val="nil" w:sz="6" w:space="0" w:color="auto"/>
              <w:left w:val="nil" w:sz="6" w:space="0" w:color="auto"/>
              <w:bottom w:val="nil" w:sz="6" w:space="0" w:color="auto"/>
              <w:right w:val="single" w:sz="6" w:space="0" w:color="000000"/>
            </w:tcBorders>
          </w:tcPr>
          <w:p>
            <w:pPr/>
          </w:p>
        </w:tc>
      </w:tr>
      <w:tr>
        <w:trPr>
          <w:trHeight w:val="318"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2" w:right="0"/>
              <w:jc w:val="left"/>
              <w:rPr>
                <w:rFonts w:ascii="宋体" w:hAnsi="宋体" w:cs="宋体" w:eastAsia="宋体" w:hint="default"/>
                <w:sz w:val="20"/>
                <w:szCs w:val="20"/>
              </w:rPr>
            </w:pPr>
            <w:r>
              <w:rPr>
                <w:rFonts w:ascii="宋体" w:hAnsi="宋体" w:cs="宋体" w:eastAsia="宋体" w:hint="default"/>
                <w:sz w:val="20"/>
                <w:szCs w:val="20"/>
              </w:rPr>
              <w:t>投资项目自筹资金的公告</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42"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42"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34"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single" w:sz="4" w:space="0" w:color="6C6C6C"/>
              <w:right w:val="nil" w:sz="6" w:space="0" w:color="auto"/>
            </w:tcBorders>
          </w:tcPr>
          <w:p>
            <w:pPr>
              <w:pStyle w:val="TableParagraph"/>
              <w:spacing w:line="240" w:lineRule="auto" w:before="2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nil" w:sz="6" w:space="0" w:color="auto"/>
              <w:right w:val="single" w:sz="6" w:space="0" w:color="000000"/>
            </w:tcBorders>
          </w:tcPr>
          <w:p>
            <w:pPr/>
          </w:p>
        </w:tc>
      </w:tr>
      <w:tr>
        <w:trPr>
          <w:trHeight w:val="125"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single" w:sz="4" w:space="0" w:color="6C6C6C"/>
              <w:left w:val="single" w:sz="6" w:space="0" w:color="000000"/>
              <w:bottom w:val="single" w:sz="6" w:space="0" w:color="000000"/>
              <w:right w:val="nil" w:sz="6" w:space="0" w:color="auto"/>
            </w:tcBorders>
          </w:tcPr>
          <w:p>
            <w:pPr/>
          </w:p>
        </w:tc>
        <w:tc>
          <w:tcPr>
            <w:tcW w:w="303" w:type="dxa"/>
            <w:tcBorders>
              <w:top w:val="nil" w:sz="6" w:space="0" w:color="auto"/>
              <w:left w:val="nil" w:sz="6" w:space="0" w:color="auto"/>
              <w:bottom w:val="single" w:sz="6" w:space="0" w:color="000000"/>
              <w:right w:val="single" w:sz="6" w:space="0" w:color="000000"/>
            </w:tcBorders>
          </w:tcPr>
          <w:p>
            <w:pPr/>
          </w:p>
        </w:tc>
      </w:tr>
      <w:tr>
        <w:trPr>
          <w:trHeight w:val="332"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2012-059</w:t>
            </w:r>
          </w:p>
        </w:tc>
        <w:tc>
          <w:tcPr>
            <w:tcW w:w="3675" w:type="dxa"/>
            <w:tcBorders>
              <w:top w:val="single" w:sz="6" w:space="0" w:color="000000"/>
              <w:left w:val="single" w:sz="6" w:space="0" w:color="000000"/>
              <w:bottom w:val="nil" w:sz="6" w:space="0" w:color="auto"/>
              <w:right w:val="single" w:sz="6" w:space="0" w:color="000000"/>
            </w:tcBorders>
          </w:tcPr>
          <w:p>
            <w:pP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6" w:space="0" w:color="000000"/>
              <w:left w:val="single" w:sz="6" w:space="0" w:color="000000"/>
              <w:bottom w:val="nil" w:sz="6" w:space="0" w:color="auto"/>
              <w:right w:val="nil" w:sz="6" w:space="0" w:color="auto"/>
            </w:tcBorders>
          </w:tcPr>
          <w:p>
            <w:pPr>
              <w:pStyle w:val="TableParagraph"/>
              <w:spacing w:line="240" w:lineRule="auto" w:before="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D22</w:t>
            </w:r>
          </w:p>
        </w:tc>
        <w:tc>
          <w:tcPr>
            <w:tcW w:w="303" w:type="dxa"/>
            <w:tcBorders>
              <w:top w:val="single" w:sz="6" w:space="0" w:color="000000"/>
              <w:left w:val="nil" w:sz="6" w:space="0" w:color="auto"/>
              <w:bottom w:val="nil" w:sz="6" w:space="0" w:color="auto"/>
              <w:right w:val="single" w:sz="6" w:space="0" w:color="000000"/>
            </w:tcBorders>
          </w:tcPr>
          <w:p>
            <w:pPr/>
          </w:p>
        </w:tc>
      </w:tr>
      <w:tr>
        <w:trPr>
          <w:trHeight w:val="321"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20"/>
                <w:szCs w:val="20"/>
              </w:rPr>
            </w:pPr>
            <w:r>
              <w:rPr>
                <w:rFonts w:ascii="宋体" w:hAnsi="宋体" w:cs="宋体" w:eastAsia="宋体" w:hint="default"/>
                <w:spacing w:val="3"/>
                <w:sz w:val="20"/>
                <w:szCs w:val="20"/>
              </w:rPr>
              <w:t>关于使用部分闲置募集资金暂时补充流动</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p>
        </w:tc>
        <w:tc>
          <w:tcPr>
            <w:tcW w:w="303" w:type="dxa"/>
            <w:tcBorders>
              <w:top w:val="nil" w:sz="6" w:space="0" w:color="auto"/>
              <w:left w:val="nil" w:sz="6" w:space="0" w:color="auto"/>
              <w:bottom w:val="nil" w:sz="6" w:space="0" w:color="auto"/>
              <w:right w:val="single" w:sz="6" w:space="0" w:color="000000"/>
            </w:tcBorders>
          </w:tcPr>
          <w:p>
            <w:pPr/>
          </w:p>
        </w:tc>
      </w:tr>
      <w:tr>
        <w:trPr>
          <w:trHeight w:val="317"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2" w:right="0"/>
              <w:jc w:val="left"/>
              <w:rPr>
                <w:rFonts w:ascii="宋体" w:hAnsi="宋体" w:cs="宋体" w:eastAsia="宋体" w:hint="default"/>
                <w:sz w:val="20"/>
                <w:szCs w:val="20"/>
              </w:rPr>
            </w:pPr>
            <w:r>
              <w:rPr>
                <w:rFonts w:ascii="宋体" w:hAnsi="宋体" w:cs="宋体" w:eastAsia="宋体" w:hint="default"/>
                <w:sz w:val="20"/>
                <w:szCs w:val="20"/>
              </w:rPr>
              <w:t>资金的公告</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41"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41"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34"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single" w:sz="4" w:space="0" w:color="6C6C6C"/>
              <w:right w:val="nil" w:sz="6" w:space="0" w:color="auto"/>
            </w:tcBorders>
          </w:tcPr>
          <w:p>
            <w:pPr>
              <w:pStyle w:val="TableParagraph"/>
              <w:spacing w:line="240" w:lineRule="auto" w:before="21"/>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nil" w:sz="6" w:space="0" w:color="auto"/>
              <w:right w:val="single" w:sz="6" w:space="0" w:color="000000"/>
            </w:tcBorders>
          </w:tcPr>
          <w:p>
            <w:pPr/>
          </w:p>
        </w:tc>
      </w:tr>
      <w:tr>
        <w:trPr>
          <w:trHeight w:val="122"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single" w:sz="4" w:space="0" w:color="6C6C6C"/>
              <w:left w:val="single" w:sz="6" w:space="0" w:color="000000"/>
              <w:bottom w:val="single" w:sz="6" w:space="0" w:color="000000"/>
              <w:right w:val="nil" w:sz="6" w:space="0" w:color="auto"/>
            </w:tcBorders>
          </w:tcPr>
          <w:p>
            <w:pPr/>
          </w:p>
        </w:tc>
        <w:tc>
          <w:tcPr>
            <w:tcW w:w="303" w:type="dxa"/>
            <w:tcBorders>
              <w:top w:val="nil" w:sz="6" w:space="0" w:color="auto"/>
              <w:left w:val="nil" w:sz="6" w:space="0" w:color="auto"/>
              <w:bottom w:val="single" w:sz="6" w:space="0" w:color="000000"/>
              <w:right w:val="single" w:sz="6" w:space="0" w:color="000000"/>
            </w:tcBorders>
          </w:tcPr>
          <w:p>
            <w:pPr/>
          </w:p>
        </w:tc>
      </w:tr>
      <w:tr>
        <w:trPr>
          <w:trHeight w:val="335"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2012-060</w:t>
            </w:r>
          </w:p>
        </w:tc>
        <w:tc>
          <w:tcPr>
            <w:tcW w:w="3675" w:type="dxa"/>
            <w:tcBorders>
              <w:top w:val="single" w:sz="6" w:space="0" w:color="000000"/>
              <w:left w:val="single" w:sz="6" w:space="0" w:color="000000"/>
              <w:bottom w:val="nil" w:sz="6" w:space="0" w:color="auto"/>
              <w:right w:val="single" w:sz="6" w:space="0" w:color="000000"/>
            </w:tcBorders>
          </w:tcPr>
          <w:p>
            <w:pP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w:t>
            </w:r>
          </w:p>
        </w:tc>
        <w:tc>
          <w:tcPr>
            <w:tcW w:w="1637" w:type="dxa"/>
            <w:tcBorders>
              <w:top w:val="single" w:sz="6" w:space="0" w:color="000000"/>
              <w:left w:val="single" w:sz="6" w:space="0" w:color="000000"/>
              <w:bottom w:val="nil" w:sz="6" w:space="0" w:color="auto"/>
              <w:right w:val="nil" w:sz="6" w:space="0" w:color="auto"/>
            </w:tcBorders>
          </w:tcPr>
          <w:p>
            <w:pPr>
              <w:pStyle w:val="TableParagraph"/>
              <w:spacing w:line="240" w:lineRule="auto" w:before="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D22</w:t>
            </w:r>
          </w:p>
        </w:tc>
        <w:tc>
          <w:tcPr>
            <w:tcW w:w="303" w:type="dxa"/>
            <w:tcBorders>
              <w:top w:val="single" w:sz="6" w:space="0" w:color="000000"/>
              <w:left w:val="nil" w:sz="6" w:space="0" w:color="auto"/>
              <w:bottom w:val="nil" w:sz="6" w:space="0" w:color="auto"/>
              <w:right w:val="single" w:sz="6" w:space="0" w:color="000000"/>
            </w:tcBorders>
          </w:tcPr>
          <w:p>
            <w:pPr/>
          </w:p>
        </w:tc>
      </w:tr>
      <w:tr>
        <w:trPr>
          <w:trHeight w:val="326"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20"/>
                <w:szCs w:val="20"/>
              </w:rPr>
            </w:pPr>
            <w:r>
              <w:rPr>
                <w:rFonts w:ascii="宋体" w:hAnsi="宋体" w:cs="宋体" w:eastAsia="宋体" w:hint="default"/>
                <w:spacing w:val="2"/>
                <w:sz w:val="20"/>
                <w:szCs w:val="20"/>
              </w:rPr>
              <w:t>关于召开</w:t>
            </w:r>
            <w:r>
              <w:rPr>
                <w:rFonts w:ascii="Times New Roman" w:hAnsi="Times New Roman" w:cs="Times New Roman" w:eastAsia="Times New Roman" w:hint="default"/>
                <w:spacing w:val="2"/>
                <w:sz w:val="20"/>
                <w:szCs w:val="20"/>
              </w:rPr>
              <w:t>2012</w:t>
            </w:r>
            <w:r>
              <w:rPr>
                <w:rFonts w:ascii="宋体" w:hAnsi="宋体" w:cs="宋体" w:eastAsia="宋体" w:hint="default"/>
                <w:spacing w:val="2"/>
                <w:sz w:val="20"/>
                <w:szCs w:val="20"/>
              </w:rPr>
              <w:t>年第三次临时股东大会的通</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B038</w:t>
            </w:r>
          </w:p>
        </w:tc>
        <w:tc>
          <w:tcPr>
            <w:tcW w:w="303" w:type="dxa"/>
            <w:tcBorders>
              <w:top w:val="nil" w:sz="6" w:space="0" w:color="auto"/>
              <w:left w:val="nil" w:sz="6" w:space="0" w:color="auto"/>
              <w:bottom w:val="nil" w:sz="6" w:space="0" w:color="auto"/>
              <w:right w:val="single" w:sz="6" w:space="0" w:color="000000"/>
            </w:tcBorders>
          </w:tcPr>
          <w:p>
            <w:pPr/>
          </w:p>
        </w:tc>
      </w:tr>
      <w:tr>
        <w:trPr>
          <w:trHeight w:val="311"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w w:val="99"/>
                <w:sz w:val="20"/>
                <w:szCs w:val="20"/>
              </w:rPr>
              <w:t>知</w:t>
            </w:r>
            <w:r>
              <w:rPr>
                <w:rFonts w:ascii="宋体" w:hAnsi="宋体" w:cs="宋体" w:eastAsia="宋体" w:hint="default"/>
                <w:sz w:val="20"/>
                <w:szCs w:val="20"/>
              </w:rPr>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36"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36"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35"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single" w:sz="4" w:space="0" w:color="6C6C6C"/>
              <w:right w:val="nil" w:sz="6" w:space="0" w:color="auto"/>
            </w:tcBorders>
          </w:tcPr>
          <w:p>
            <w:pPr>
              <w:pStyle w:val="TableParagraph"/>
              <w:spacing w:line="240" w:lineRule="auto" w:before="22"/>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nil" w:sz="6" w:space="0" w:color="auto"/>
              <w:right w:val="single" w:sz="6" w:space="0" w:color="000000"/>
            </w:tcBorders>
          </w:tcPr>
          <w:p>
            <w:pPr/>
          </w:p>
        </w:tc>
      </w:tr>
      <w:tr>
        <w:trPr>
          <w:trHeight w:val="122"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single" w:sz="4" w:space="0" w:color="6C6C6C"/>
              <w:left w:val="single" w:sz="6" w:space="0" w:color="000000"/>
              <w:bottom w:val="single" w:sz="6" w:space="0" w:color="000000"/>
              <w:right w:val="nil" w:sz="6" w:space="0" w:color="auto"/>
            </w:tcBorders>
          </w:tcPr>
          <w:p>
            <w:pPr/>
          </w:p>
        </w:tc>
        <w:tc>
          <w:tcPr>
            <w:tcW w:w="303" w:type="dxa"/>
            <w:tcBorders>
              <w:top w:val="nil" w:sz="6" w:space="0" w:color="auto"/>
              <w:left w:val="nil" w:sz="6" w:space="0" w:color="auto"/>
              <w:bottom w:val="single" w:sz="6" w:space="0" w:color="000000"/>
              <w:right w:val="single" w:sz="6" w:space="0" w:color="000000"/>
            </w:tcBorders>
          </w:tcPr>
          <w:p>
            <w:pPr/>
          </w:p>
        </w:tc>
      </w:tr>
      <w:tr>
        <w:trPr>
          <w:trHeight w:val="335"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2012-061</w:t>
            </w:r>
          </w:p>
        </w:tc>
        <w:tc>
          <w:tcPr>
            <w:tcW w:w="36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更正公告</w:t>
            </w: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c>
          <w:tcPr>
            <w:tcW w:w="1637" w:type="dxa"/>
            <w:tcBorders>
              <w:top w:val="single" w:sz="6" w:space="0" w:color="000000"/>
              <w:left w:val="single" w:sz="6" w:space="0" w:color="000000"/>
              <w:bottom w:val="nil" w:sz="6" w:space="0" w:color="auto"/>
              <w:right w:val="nil" w:sz="6" w:space="0" w:color="auto"/>
            </w:tcBorders>
          </w:tcPr>
          <w:p>
            <w:pPr>
              <w:pStyle w:val="TableParagraph"/>
              <w:spacing w:line="240" w:lineRule="auto" w:before="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D25</w:t>
            </w:r>
          </w:p>
        </w:tc>
        <w:tc>
          <w:tcPr>
            <w:tcW w:w="303" w:type="dxa"/>
            <w:tcBorders>
              <w:top w:val="single" w:sz="6" w:space="0" w:color="000000"/>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B107</w:t>
            </w:r>
          </w:p>
        </w:tc>
        <w:tc>
          <w:tcPr>
            <w:tcW w:w="303" w:type="dxa"/>
            <w:tcBorders>
              <w:top w:val="nil" w:sz="6" w:space="0" w:color="auto"/>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50"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50"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87"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36" w:space="0" w:color="000000"/>
              <w:right w:val="nil" w:sz="6" w:space="0" w:color="auto"/>
            </w:tcBorders>
          </w:tcPr>
          <w:p>
            <w:pPr>
              <w:pStyle w:val="TableParagraph"/>
              <w:spacing w:line="240" w:lineRule="auto" w:before="35"/>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single" w:sz="6" w:space="0" w:color="000000"/>
              <w:right w:val="single" w:sz="6" w:space="0" w:color="000000"/>
            </w:tcBorders>
          </w:tcPr>
          <w:p>
            <w:pPr/>
          </w:p>
        </w:tc>
      </w:tr>
      <w:tr>
        <w:trPr>
          <w:trHeight w:val="371"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0"/>
                <w:szCs w:val="20"/>
              </w:rPr>
            </w:pPr>
            <w:r>
              <w:rPr>
                <w:rFonts w:ascii="Times New Roman"/>
                <w:sz w:val="20"/>
              </w:rPr>
              <w:t>2012-062</w:t>
            </w:r>
          </w:p>
        </w:tc>
        <w:tc>
          <w:tcPr>
            <w:tcW w:w="36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2" w:right="0"/>
              <w:jc w:val="left"/>
              <w:rPr>
                <w:rFonts w:ascii="宋体" w:hAnsi="宋体" w:cs="宋体" w:eastAsia="宋体" w:hint="default"/>
                <w:sz w:val="20"/>
                <w:szCs w:val="20"/>
              </w:rPr>
            </w:pPr>
            <w:r>
              <w:rPr>
                <w:rFonts w:ascii="宋体" w:hAnsi="宋体" w:cs="宋体" w:eastAsia="宋体" w:hint="default"/>
                <w:spacing w:val="3"/>
                <w:sz w:val="20"/>
                <w:szCs w:val="20"/>
              </w:rPr>
              <w:t>关于公司股东、关联方以及公司承诺事项</w:t>
            </w: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7</w:t>
            </w:r>
            <w:r>
              <w:rPr>
                <w:rFonts w:ascii="宋体" w:hAnsi="宋体" w:cs="宋体" w:eastAsia="宋体" w:hint="default"/>
                <w:sz w:val="20"/>
                <w:szCs w:val="20"/>
              </w:rPr>
              <w:t>日</w:t>
            </w:r>
          </w:p>
        </w:tc>
        <w:tc>
          <w:tcPr>
            <w:tcW w:w="1637" w:type="dxa"/>
            <w:tcBorders>
              <w:top w:val="single" w:sz="36" w:space="0" w:color="000000"/>
              <w:left w:val="single" w:sz="6" w:space="0" w:color="000000"/>
              <w:bottom w:val="nil" w:sz="6" w:space="0" w:color="auto"/>
              <w:right w:val="nil" w:sz="6" w:space="0" w:color="auto"/>
            </w:tcBorders>
          </w:tcPr>
          <w:p>
            <w:pPr>
              <w:pStyle w:val="TableParagraph"/>
              <w:spacing w:line="240" w:lineRule="auto" w:before="3"/>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D1</w:t>
            </w:r>
          </w:p>
        </w:tc>
        <w:tc>
          <w:tcPr>
            <w:tcW w:w="303" w:type="dxa"/>
            <w:tcBorders>
              <w:top w:val="single" w:sz="6" w:space="0" w:color="000000"/>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2" w:right="0"/>
              <w:jc w:val="left"/>
              <w:rPr>
                <w:rFonts w:ascii="宋体" w:hAnsi="宋体" w:cs="宋体" w:eastAsia="宋体" w:hint="default"/>
                <w:sz w:val="20"/>
                <w:szCs w:val="20"/>
              </w:rPr>
            </w:pPr>
            <w:r>
              <w:rPr>
                <w:rFonts w:ascii="宋体" w:hAnsi="宋体" w:cs="宋体" w:eastAsia="宋体" w:hint="default"/>
                <w:sz w:val="20"/>
                <w:szCs w:val="20"/>
              </w:rPr>
              <w:t>履行情况的公告</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B016</w:t>
            </w:r>
          </w:p>
        </w:tc>
        <w:tc>
          <w:tcPr>
            <w:tcW w:w="303" w:type="dxa"/>
            <w:tcBorders>
              <w:top w:val="nil" w:sz="6" w:space="0" w:color="auto"/>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50"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50"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87"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36" w:space="0" w:color="000000"/>
              <w:right w:val="nil" w:sz="6" w:space="0" w:color="auto"/>
            </w:tcBorders>
          </w:tcPr>
          <w:p>
            <w:pPr>
              <w:pStyle w:val="TableParagraph"/>
              <w:spacing w:line="240" w:lineRule="auto" w:before="35"/>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single" w:sz="6" w:space="0" w:color="000000"/>
              <w:right w:val="single" w:sz="6" w:space="0" w:color="000000"/>
            </w:tcBorders>
          </w:tcPr>
          <w:p>
            <w:pPr/>
          </w:p>
        </w:tc>
      </w:tr>
      <w:tr>
        <w:trPr>
          <w:trHeight w:val="373"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20"/>
                <w:szCs w:val="20"/>
              </w:rPr>
            </w:pPr>
            <w:r>
              <w:rPr>
                <w:rFonts w:ascii="Times New Roman"/>
                <w:sz w:val="20"/>
              </w:rPr>
              <w:t>2012-063</w:t>
            </w:r>
          </w:p>
        </w:tc>
        <w:tc>
          <w:tcPr>
            <w:tcW w:w="36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2"/>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年第三次临时股东大会决议公告</w:t>
            </w: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w:t>
            </w:r>
          </w:p>
        </w:tc>
        <w:tc>
          <w:tcPr>
            <w:tcW w:w="1637" w:type="dxa"/>
            <w:tcBorders>
              <w:top w:val="single" w:sz="36" w:space="0" w:color="000000"/>
              <w:left w:val="single" w:sz="6" w:space="0" w:color="000000"/>
              <w:bottom w:val="nil" w:sz="6" w:space="0" w:color="auto"/>
              <w:right w:val="nil" w:sz="6" w:space="0" w:color="auto"/>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D32</w:t>
            </w:r>
          </w:p>
        </w:tc>
        <w:tc>
          <w:tcPr>
            <w:tcW w:w="303" w:type="dxa"/>
            <w:tcBorders>
              <w:top w:val="single" w:sz="6" w:space="0" w:color="000000"/>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65" w:lineRule="exact"/>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B013</w:t>
            </w:r>
          </w:p>
        </w:tc>
        <w:tc>
          <w:tcPr>
            <w:tcW w:w="303" w:type="dxa"/>
            <w:tcBorders>
              <w:top w:val="nil" w:sz="6" w:space="0" w:color="auto"/>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50"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50" w:lineRule="exact"/>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87"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36" w:space="0" w:color="000000"/>
              <w:right w:val="nil" w:sz="6" w:space="0" w:color="auto"/>
            </w:tcBorders>
          </w:tcPr>
          <w:p>
            <w:pPr>
              <w:pStyle w:val="TableParagraph"/>
              <w:spacing w:line="240" w:lineRule="auto" w:before="35"/>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single" w:sz="6" w:space="0" w:color="000000"/>
              <w:right w:val="single" w:sz="6" w:space="0" w:color="000000"/>
            </w:tcBorders>
          </w:tcPr>
          <w:p>
            <w:pPr/>
          </w:p>
        </w:tc>
      </w:tr>
      <w:tr>
        <w:trPr>
          <w:trHeight w:val="328" w:hRule="exact"/>
        </w:trPr>
        <w:tc>
          <w:tcPr>
            <w:tcW w:w="1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7"/>
              <w:ind w:left="4" w:right="0"/>
              <w:jc w:val="left"/>
              <w:rPr>
                <w:rFonts w:ascii="Times New Roman" w:hAnsi="Times New Roman" w:cs="Times New Roman" w:eastAsia="Times New Roman" w:hint="default"/>
                <w:sz w:val="20"/>
                <w:szCs w:val="20"/>
              </w:rPr>
            </w:pPr>
            <w:r>
              <w:rPr>
                <w:rFonts w:ascii="Times New Roman"/>
                <w:sz w:val="20"/>
              </w:rPr>
              <w:t>2012-064</w:t>
            </w:r>
          </w:p>
        </w:tc>
        <w:tc>
          <w:tcPr>
            <w:tcW w:w="3675" w:type="dxa"/>
            <w:tcBorders>
              <w:top w:val="single" w:sz="6" w:space="0" w:color="000000"/>
              <w:left w:val="single" w:sz="6" w:space="0" w:color="000000"/>
              <w:bottom w:val="nil" w:sz="6" w:space="0" w:color="auto"/>
              <w:right w:val="single" w:sz="6" w:space="0" w:color="000000"/>
            </w:tcBorders>
          </w:tcPr>
          <w:p>
            <w:pPr/>
          </w:p>
        </w:tc>
        <w:tc>
          <w:tcPr>
            <w:tcW w:w="23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c>
          <w:tcPr>
            <w:tcW w:w="1637" w:type="dxa"/>
            <w:tcBorders>
              <w:top w:val="single" w:sz="36" w:space="0" w:color="000000"/>
              <w:left w:val="single" w:sz="6" w:space="0" w:color="000000"/>
              <w:bottom w:val="nil" w:sz="6" w:space="0" w:color="auto"/>
              <w:right w:val="nil" w:sz="6" w:space="0" w:color="auto"/>
            </w:tcBorders>
          </w:tcPr>
          <w:p>
            <w:pPr>
              <w:pStyle w:val="TableParagraph"/>
              <w:spacing w:line="240" w:lineRule="auto" w:before="2"/>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证券时报</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B4</w:t>
            </w:r>
          </w:p>
        </w:tc>
        <w:tc>
          <w:tcPr>
            <w:tcW w:w="303" w:type="dxa"/>
            <w:tcBorders>
              <w:top w:val="single" w:sz="6" w:space="0" w:color="000000"/>
              <w:left w:val="nil" w:sz="6" w:space="0" w:color="auto"/>
              <w:bottom w:val="nil" w:sz="6" w:space="0" w:color="auto"/>
              <w:right w:val="single" w:sz="6" w:space="0" w:color="000000"/>
            </w:tcBorders>
          </w:tcPr>
          <w:p>
            <w:pPr/>
          </w:p>
        </w:tc>
      </w:tr>
      <w:tr>
        <w:trPr>
          <w:trHeight w:val="312"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2" w:right="0"/>
              <w:jc w:val="left"/>
              <w:rPr>
                <w:rFonts w:ascii="宋体" w:hAnsi="宋体" w:cs="宋体" w:eastAsia="宋体" w:hint="default"/>
                <w:sz w:val="20"/>
                <w:szCs w:val="20"/>
              </w:rPr>
            </w:pPr>
            <w:r>
              <w:rPr>
                <w:rFonts w:ascii="宋体" w:hAnsi="宋体" w:cs="宋体" w:eastAsia="宋体" w:hint="default"/>
                <w:spacing w:val="3"/>
                <w:sz w:val="20"/>
                <w:szCs w:val="20"/>
              </w:rPr>
              <w:t>关于所聘审计机构大华会计师事务所有限</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B018</w:t>
            </w:r>
          </w:p>
        </w:tc>
        <w:tc>
          <w:tcPr>
            <w:tcW w:w="303" w:type="dxa"/>
            <w:tcBorders>
              <w:top w:val="nil" w:sz="6" w:space="0" w:color="auto"/>
              <w:left w:val="nil" w:sz="6" w:space="0" w:color="auto"/>
              <w:bottom w:val="nil" w:sz="6" w:space="0" w:color="auto"/>
              <w:right w:val="single" w:sz="6" w:space="0" w:color="000000"/>
            </w:tcBorders>
          </w:tcPr>
          <w:p>
            <w:pPr/>
          </w:p>
        </w:tc>
      </w:tr>
      <w:tr>
        <w:trPr>
          <w:trHeight w:val="355" w:hRule="exact"/>
        </w:trPr>
        <w:tc>
          <w:tcPr>
            <w:tcW w:w="1366" w:type="dxa"/>
            <w:tcBorders>
              <w:top w:val="nil" w:sz="6" w:space="0" w:color="auto"/>
              <w:left w:val="single" w:sz="6" w:space="0" w:color="000000"/>
              <w:bottom w:val="nil" w:sz="6" w:space="0" w:color="auto"/>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2" w:right="0"/>
              <w:jc w:val="left"/>
              <w:rPr>
                <w:rFonts w:ascii="宋体" w:hAnsi="宋体" w:cs="宋体" w:eastAsia="宋体" w:hint="default"/>
                <w:sz w:val="20"/>
                <w:szCs w:val="20"/>
              </w:rPr>
            </w:pPr>
            <w:r>
              <w:rPr>
                <w:rFonts w:ascii="宋体" w:hAnsi="宋体" w:cs="宋体" w:eastAsia="宋体" w:hint="default"/>
                <w:sz w:val="20"/>
                <w:szCs w:val="20"/>
              </w:rPr>
              <w:t>公司转制更名的公告</w:t>
            </w:r>
          </w:p>
        </w:tc>
        <w:tc>
          <w:tcPr>
            <w:tcW w:w="2386" w:type="dxa"/>
            <w:tcBorders>
              <w:top w:val="nil" w:sz="6" w:space="0" w:color="auto"/>
              <w:left w:val="single" w:sz="6" w:space="0" w:color="000000"/>
              <w:bottom w:val="nil" w:sz="6" w:space="0" w:color="auto"/>
              <w:right w:val="single" w:sz="6" w:space="0" w:color="000000"/>
            </w:tcBorders>
          </w:tcPr>
          <w:p>
            <w:pPr/>
          </w:p>
        </w:tc>
        <w:tc>
          <w:tcPr>
            <w:tcW w:w="1637" w:type="dxa"/>
            <w:tcBorders>
              <w:top w:val="nil" w:sz="6" w:space="0" w:color="auto"/>
              <w:left w:val="single" w:sz="6" w:space="0" w:color="000000"/>
              <w:bottom w:val="nil" w:sz="6" w:space="0" w:color="auto"/>
              <w:right w:val="nil" w:sz="6" w:space="0" w:color="auto"/>
            </w:tcBorders>
          </w:tcPr>
          <w:p>
            <w:pPr>
              <w:pStyle w:val="TableParagraph"/>
              <w:tabs>
                <w:tab w:pos="431" w:val="left" w:leader="none"/>
                <w:tab w:pos="861" w:val="left" w:leader="none"/>
                <w:tab w:pos="1291" w:val="left" w:leader="none"/>
              </w:tabs>
              <w:spacing w:line="240" w:lineRule="auto" w:before="31"/>
              <w:ind w:left="2" w:right="0"/>
              <w:jc w:val="left"/>
              <w:rPr>
                <w:rFonts w:ascii="宋体" w:hAnsi="宋体" w:cs="宋体" w:eastAsia="宋体" w:hint="default"/>
                <w:sz w:val="20"/>
                <w:szCs w:val="20"/>
              </w:rPr>
            </w:pPr>
            <w:r>
              <w:rPr>
                <w:rFonts w:ascii="宋体" w:hAnsi="宋体" w:cs="宋体" w:eastAsia="宋体" w:hint="default"/>
                <w:w w:val="95"/>
                <w:sz w:val="20"/>
                <w:szCs w:val="20"/>
              </w:rPr>
              <w:t>巨</w:t>
              <w:tab/>
              <w:t>潮</w:t>
              <w:tab/>
              <w:t>资</w:t>
              <w:tab/>
            </w:r>
            <w:r>
              <w:rPr>
                <w:rFonts w:ascii="宋体" w:hAnsi="宋体" w:cs="宋体" w:eastAsia="宋体" w:hint="default"/>
                <w:sz w:val="20"/>
                <w:szCs w:val="20"/>
              </w:rPr>
              <w:t>讯</w:t>
            </w:r>
          </w:p>
        </w:tc>
        <w:tc>
          <w:tcPr>
            <w:tcW w:w="303"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right="3"/>
              <w:jc w:val="right"/>
              <w:rPr>
                <w:rFonts w:ascii="宋体" w:hAnsi="宋体" w:cs="宋体" w:eastAsia="宋体" w:hint="default"/>
                <w:sz w:val="20"/>
                <w:szCs w:val="20"/>
              </w:rPr>
            </w:pPr>
            <w:r>
              <w:rPr>
                <w:rFonts w:ascii="宋体" w:hAnsi="宋体" w:cs="宋体" w:eastAsia="宋体" w:hint="default"/>
                <w:w w:val="99"/>
                <w:sz w:val="20"/>
                <w:szCs w:val="20"/>
              </w:rPr>
              <w:t>网</w:t>
            </w:r>
            <w:r>
              <w:rPr>
                <w:rFonts w:ascii="宋体" w:hAnsi="宋体" w:cs="宋体" w:eastAsia="宋体" w:hint="default"/>
                <w:sz w:val="20"/>
                <w:szCs w:val="20"/>
              </w:rPr>
            </w:r>
          </w:p>
        </w:tc>
      </w:tr>
      <w:tr>
        <w:trPr>
          <w:trHeight w:val="288" w:hRule="exact"/>
        </w:trPr>
        <w:tc>
          <w:tcPr>
            <w:tcW w:w="1366" w:type="dxa"/>
            <w:tcBorders>
              <w:top w:val="nil" w:sz="6" w:space="0" w:color="auto"/>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
        </w:tc>
        <w:tc>
          <w:tcPr>
            <w:tcW w:w="2386"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36" w:space="0" w:color="000000"/>
              <w:right w:val="nil" w:sz="6" w:space="0" w:color="auto"/>
            </w:tcBorders>
          </w:tcPr>
          <w:p>
            <w:pPr>
              <w:pStyle w:val="TableParagraph"/>
              <w:spacing w:line="240" w:lineRule="auto" w:before="35"/>
              <w:ind w:left="2" w:right="0"/>
              <w:jc w:val="left"/>
              <w:rPr>
                <w:rFonts w:ascii="Times New Roman" w:hAnsi="Times New Roman" w:cs="Times New Roman" w:eastAsia="Times New Roman" w:hint="default"/>
                <w:sz w:val="20"/>
                <w:szCs w:val="20"/>
              </w:rPr>
            </w:pPr>
            <w:hyperlink r:id="rId9">
              <w:r>
                <w:rPr>
                  <w:rFonts w:ascii="Times New Roman"/>
                  <w:color w:val="6C6C6C"/>
                  <w:sz w:val="20"/>
                </w:rPr>
                <w:t>www.cninfo.com.cn</w:t>
              </w:r>
              <w:r>
                <w:rPr>
                  <w:rFonts w:ascii="Times New Roman"/>
                  <w:sz w:val="20"/>
                </w:rPr>
              </w:r>
            </w:hyperlink>
          </w:p>
        </w:tc>
        <w:tc>
          <w:tcPr>
            <w:tcW w:w="303" w:type="dxa"/>
            <w:tcBorders>
              <w:top w:val="nil" w:sz="6" w:space="0" w:color="auto"/>
              <w:left w:val="nil" w:sz="6" w:space="0" w:color="auto"/>
              <w:bottom w:val="single" w:sz="6" w:space="0" w:color="000000"/>
              <w:right w:val="single" w:sz="6"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7"/>
        <w:ind w:left="2964" w:right="1123" w:firstLine="0"/>
        <w:jc w:val="left"/>
        <w:rPr>
          <w:rFonts w:ascii="宋体" w:hAnsi="宋体" w:cs="宋体" w:eastAsia="宋体" w:hint="default"/>
          <w:sz w:val="32"/>
          <w:szCs w:val="32"/>
        </w:rPr>
      </w:pPr>
      <w:r>
        <w:rPr>
          <w:rFonts w:ascii="宋体" w:hAnsi="宋体" w:cs="宋体" w:eastAsia="宋体" w:hint="default"/>
          <w:b/>
          <w:bCs/>
          <w:sz w:val="32"/>
          <w:szCs w:val="32"/>
        </w:rPr>
        <w:t>第六节</w:t>
      </w:r>
      <w:r>
        <w:rPr>
          <w:rFonts w:ascii="宋体" w:hAnsi="宋体" w:cs="宋体" w:eastAsia="宋体" w:hint="default"/>
          <w:b/>
          <w:bCs/>
          <w:spacing w:val="-6"/>
          <w:sz w:val="32"/>
          <w:szCs w:val="32"/>
        </w:rPr>
        <w:t> </w:t>
      </w:r>
      <w:r>
        <w:rPr>
          <w:rFonts w:ascii="宋体" w:hAnsi="宋体" w:cs="宋体" w:eastAsia="宋体" w:hint="default"/>
          <w:b/>
          <w:bCs/>
          <w:sz w:val="32"/>
          <w:szCs w:val="32"/>
        </w:rPr>
        <w:t>股份变动及股东情况</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一、股份变动情况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1185"/>
        <w:gridCol w:w="845"/>
        <w:gridCol w:w="1099"/>
        <w:gridCol w:w="588"/>
        <w:gridCol w:w="547"/>
        <w:gridCol w:w="850"/>
        <w:gridCol w:w="994"/>
        <w:gridCol w:w="991"/>
        <w:gridCol w:w="775"/>
      </w:tblGrid>
      <w:tr>
        <w:trPr>
          <w:trHeight w:val="401" w:hRule="exact"/>
        </w:trPr>
        <w:tc>
          <w:tcPr>
            <w:tcW w:w="1679" w:type="dxa"/>
            <w:vMerge w:val="restart"/>
            <w:tcBorders>
              <w:top w:val="single" w:sz="4" w:space="0" w:color="000000"/>
              <w:left w:val="single" w:sz="4" w:space="0" w:color="000000"/>
              <w:right w:val="single" w:sz="4" w:space="0" w:color="000000"/>
            </w:tcBorders>
            <w:shd w:val="clear" w:color="auto" w:fill="D2D2D2"/>
          </w:tcPr>
          <w:p>
            <w:pP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8"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single" w:sz="4" w:space="0" w:color="000000"/>
              <w:left w:val="single" w:sz="4" w:space="0" w:color="000000"/>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
        </w:tc>
        <w:tc>
          <w:tcPr>
            <w:tcW w:w="588" w:type="dxa"/>
            <w:vMerge w:val="restart"/>
            <w:tcBorders>
              <w:top w:val="single" w:sz="4" w:space="0" w:color="000000"/>
              <w:left w:val="single" w:sz="4" w:space="0" w:color="000000"/>
              <w:right w:val="single" w:sz="4" w:space="0" w:color="000000"/>
            </w:tcBorders>
            <w:shd w:val="clear" w:color="auto" w:fill="D2D2D2"/>
          </w:tcPr>
          <w:p>
            <w:pPr/>
          </w:p>
        </w:tc>
        <w:tc>
          <w:tcPr>
            <w:tcW w:w="5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
        </w:tc>
      </w:tr>
      <w:tr>
        <w:trPr>
          <w:trHeight w:val="199"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bottom w:val="nil" w:sz="6" w:space="0" w:color="auto"/>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47"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588" w:type="dxa"/>
            <w:vMerge/>
            <w:tcBorders>
              <w:left w:val="single" w:sz="4" w:space="0" w:color="000000"/>
              <w:bottom w:val="nil" w:sz="6" w:space="0" w:color="auto"/>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135,786,440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67.89%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167,572,440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69.82%</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127,572,440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63.78%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166,572,440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127,572,440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63.78%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127,572,440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64,213,560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72,427,560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30.18%</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64,213,560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72,427,560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30.18%</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、境内上市的外资股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、境外上市的外资股</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123"/>
        <w:jc w:val="left"/>
      </w:pPr>
      <w:r>
        <w:rPr/>
        <w:t>股份变动的原因</w:t>
      </w:r>
    </w:p>
    <w:p>
      <w:pPr>
        <w:pStyle w:val="BodyText"/>
        <w:spacing w:line="300" w:lineRule="auto" w:before="115"/>
        <w:ind w:right="1131" w:firstLine="398"/>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日，公司非公开发行的新增股份</w:t>
      </w:r>
      <w:r>
        <w:rPr>
          <w:rFonts w:ascii="Times New Roman" w:hAnsi="Times New Roman" w:cs="Times New Roman" w:eastAsia="Times New Roman" w:hint="default"/>
        </w:rPr>
        <w:t>4,000</w:t>
      </w:r>
      <w:r>
        <w:rPr/>
        <w:t>万股上市流通，并完成相关的工商变更登记手续。变更后，公司总 股份由原来的</w:t>
      </w:r>
      <w:r>
        <w:rPr>
          <w:rFonts w:ascii="Times New Roman" w:hAnsi="Times New Roman" w:cs="Times New Roman" w:eastAsia="Times New Roman" w:hint="default"/>
        </w:rPr>
        <w:t>20,000</w:t>
      </w:r>
      <w:r>
        <w:rPr/>
        <w:t>万股变为</w:t>
      </w:r>
      <w:r>
        <w:rPr>
          <w:rFonts w:ascii="Times New Roman" w:hAnsi="Times New Roman" w:cs="Times New Roman" w:eastAsia="Times New Roman" w:hint="default"/>
        </w:rPr>
        <w:t>24,000</w:t>
      </w:r>
      <w:r>
        <w:rPr/>
        <w:t>万股。</w:t>
      </w:r>
    </w:p>
    <w:p>
      <w:pPr>
        <w:pStyle w:val="BodyText"/>
        <w:spacing w:line="240" w:lineRule="auto" w:before="54"/>
        <w:ind w:right="1123"/>
        <w:jc w:val="left"/>
      </w:pPr>
      <w:r>
        <w:rPr/>
        <w:t>股份变动的批准情况</w:t>
      </w:r>
    </w:p>
    <w:p>
      <w:pPr>
        <w:pStyle w:val="BodyText"/>
        <w:spacing w:line="338" w:lineRule="auto" w:before="117"/>
        <w:ind w:left="532" w:right="982" w:hanging="3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公司非公开发行的</w:t>
      </w:r>
      <w:r>
        <w:rPr>
          <w:rFonts w:ascii="Times New Roman" w:hAnsi="Times New Roman" w:cs="Times New Roman" w:eastAsia="Times New Roman" w:hint="default"/>
        </w:rPr>
        <w:t>4,000</w:t>
      </w:r>
      <w:r>
        <w:rPr/>
        <w:t>万股新股已于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日在中国证券登记结算有限责任公司深圳分公司完成登记托管手续，</w:t>
      </w:r>
    </w:p>
    <w:p>
      <w:pPr>
        <w:pStyle w:val="BodyText"/>
        <w:spacing w:line="230" w:lineRule="exact"/>
        <w:ind w:right="0"/>
        <w:jc w:val="left"/>
      </w:pPr>
      <w:r>
        <w:rPr/>
        <w:t>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日在深圳证券交易所上市。公司注册资本变更事项已经获得深圳市市场监督管理局批准，并办理完毕工商</w:t>
      </w:r>
    </w:p>
    <w:p>
      <w:pPr>
        <w:pStyle w:val="BodyText"/>
        <w:spacing w:line="360" w:lineRule="auto" w:before="63"/>
        <w:ind w:right="4634"/>
        <w:jc w:val="left"/>
      </w:pPr>
      <w:r>
        <w:rPr/>
        <w:t>变更登记手续，领取了深圳市市场监督管理局核发的《企业法人营业执照》。 股份变动的过户情况</w:t>
      </w:r>
    </w:p>
    <w:p>
      <w:pPr>
        <w:pStyle w:val="BodyText"/>
        <w:spacing w:line="360" w:lineRule="auto" w:before="27"/>
        <w:ind w:right="1394"/>
        <w:jc w:val="left"/>
      </w:pPr>
      <w:r>
        <w:rPr/>
        <w:t>无 股份变动对最近一年和最近一期基本每股收益和稀释每股收益、归属于公司普通股股东的每股净资产等财务指标的影响</w:t>
      </w:r>
    </w:p>
    <w:p>
      <w:pPr>
        <w:spacing w:after="0" w:line="36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32" w:right="1123" w:hanging="3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由于报告期内公司非公开发行</w:t>
      </w:r>
      <w:r>
        <w:rPr>
          <w:rFonts w:ascii="Times New Roman" w:hAnsi="Times New Roman" w:cs="Times New Roman" w:eastAsia="Times New Roman" w:hint="default"/>
          <w:spacing w:val="-2"/>
        </w:rPr>
        <w:t>4,000</w:t>
      </w:r>
      <w:r>
        <w:rPr>
          <w:spacing w:val="-2"/>
        </w:rPr>
        <w:t>万股新股，公司总股份由原来</w:t>
      </w:r>
      <w:r>
        <w:rPr>
          <w:rFonts w:ascii="Times New Roman" w:hAnsi="Times New Roman" w:cs="Times New Roman" w:eastAsia="Times New Roman" w:hint="default"/>
          <w:spacing w:val="-2"/>
        </w:rPr>
        <w:t>20,000</w:t>
      </w:r>
      <w:r>
        <w:rPr>
          <w:spacing w:val="-2"/>
        </w:rPr>
        <w:t>万股变为</w:t>
      </w:r>
      <w:r>
        <w:rPr>
          <w:rFonts w:ascii="Times New Roman" w:hAnsi="Times New Roman" w:cs="Times New Roman" w:eastAsia="Times New Roman" w:hint="default"/>
          <w:spacing w:val="-2"/>
        </w:rPr>
        <w:t>24,000</w:t>
      </w:r>
      <w:r>
        <w:rPr>
          <w:spacing w:val="-2"/>
        </w:rPr>
        <w:t>万股，使公司</w:t>
      </w:r>
      <w:r>
        <w:rPr>
          <w:rFonts w:ascii="Times New Roman" w:hAnsi="Times New Roman" w:cs="Times New Roman" w:eastAsia="Times New Roman" w:hint="default"/>
          <w:spacing w:val="-2"/>
        </w:rPr>
        <w:t>2012</w:t>
      </w:r>
      <w:r>
        <w:rPr>
          <w:spacing w:val="-2"/>
        </w:rPr>
        <w:t>年度基本每股</w:t>
      </w:r>
    </w:p>
    <w:p>
      <w:pPr>
        <w:pStyle w:val="BodyText"/>
        <w:spacing w:line="228" w:lineRule="exact"/>
        <w:ind w:right="1123"/>
        <w:jc w:val="left"/>
      </w:pPr>
      <w:r>
        <w:rPr/>
        <w:t>收益由</w:t>
      </w:r>
      <w:r>
        <w:rPr>
          <w:rFonts w:ascii="Times New Roman" w:hAnsi="Times New Roman" w:cs="Times New Roman" w:eastAsia="Times New Roman" w:hint="default"/>
        </w:rPr>
        <w:t>0.49</w:t>
      </w:r>
      <w:r>
        <w:rPr/>
        <w:t>元下降到</w:t>
      </w:r>
      <w:r>
        <w:rPr>
          <w:rFonts w:ascii="Times New Roman" w:hAnsi="Times New Roman" w:cs="Times New Roman" w:eastAsia="Times New Roman" w:hint="default"/>
        </w:rPr>
        <w:t>0.4</w:t>
      </w:r>
      <w:r>
        <w:rPr/>
        <w:t>元，使</w:t>
      </w:r>
      <w:r>
        <w:rPr>
          <w:rFonts w:ascii="Times New Roman" w:hAnsi="Times New Roman" w:cs="Times New Roman" w:eastAsia="Times New Roman" w:hint="default"/>
        </w:rPr>
        <w:t>2012</w:t>
      </w:r>
      <w:r>
        <w:rPr/>
        <w:t>年末归属上市公司股东每股净资产由</w:t>
      </w:r>
      <w:r>
        <w:rPr>
          <w:rFonts w:ascii="Times New Roman" w:hAnsi="Times New Roman" w:cs="Times New Roman" w:eastAsia="Times New Roman" w:hint="default"/>
        </w:rPr>
        <w:t>3.84</w:t>
      </w:r>
      <w:r>
        <w:rPr/>
        <w:t>元增长到</w:t>
      </w:r>
      <w:r>
        <w:rPr>
          <w:rFonts w:ascii="Times New Roman" w:hAnsi="Times New Roman" w:cs="Times New Roman" w:eastAsia="Times New Roman" w:hint="default"/>
        </w:rPr>
        <w:t>6.25</w:t>
      </w:r>
      <w:r>
        <w:rPr/>
        <w:t>元。</w:t>
      </w:r>
    </w:p>
    <w:p>
      <w:pPr>
        <w:pStyle w:val="BodyText"/>
        <w:spacing w:line="357" w:lineRule="auto" w:before="103"/>
        <w:ind w:right="6794"/>
        <w:jc w:val="left"/>
      </w:pPr>
      <w:r>
        <w:rPr/>
        <w:t>公司认为必要或证券监管机构要求披露的其他内容 无</w:t>
      </w:r>
    </w:p>
    <w:p>
      <w:pPr>
        <w:spacing w:line="240" w:lineRule="auto" w:before="7"/>
        <w:rPr>
          <w:rFonts w:ascii="宋体" w:hAnsi="宋体" w:cs="宋体" w:eastAsia="宋体" w:hint="default"/>
          <w:sz w:val="18"/>
          <w:szCs w:val="18"/>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1561"/>
        <w:gridCol w:w="1411"/>
        <w:gridCol w:w="1283"/>
        <w:gridCol w:w="1558"/>
        <w:gridCol w:w="1136"/>
        <w:gridCol w:w="1066"/>
      </w:tblGrid>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3" w:hanging="541"/>
              <w:jc w:val="left"/>
              <w:rPr>
                <w:rFonts w:ascii="宋体" w:hAnsi="宋体" w:cs="宋体" w:eastAsia="宋体" w:hint="default"/>
                <w:sz w:val="18"/>
                <w:szCs w:val="18"/>
              </w:rPr>
            </w:pPr>
            <w:r>
              <w:rPr>
                <w:rFonts w:ascii="宋体" w:hAnsi="宋体" w:cs="宋体" w:eastAsia="宋体" w:hint="default"/>
                <w:sz w:val="18"/>
                <w:szCs w:val="18"/>
              </w:rPr>
              <w:t>股票及其衍生证券 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64" w:hanging="449"/>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4"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396"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8" w:hRule="exact"/>
        </w:trPr>
        <w:tc>
          <w:tcPr>
            <w:tcW w:w="1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23"/>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22.58</w:t>
            </w:r>
          </w:p>
        </w:tc>
        <w:tc>
          <w:tcPr>
            <w:tcW w:w="128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12.95</w:t>
            </w:r>
          </w:p>
        </w:tc>
        <w:tc>
          <w:tcPr>
            <w:tcW w:w="1283"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60" w:lineRule="auto" w:before="49"/>
        <w:ind w:left="532" w:right="1124" w:hanging="380"/>
        <w:jc w:val="left"/>
      </w:pPr>
      <w:r>
        <w:rPr/>
        <w:t>前三年历次证券发行情况的说明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118</w:t>
      </w:r>
      <w:r>
        <w:rPr/>
        <w:t>号文</w:t>
      </w:r>
      <w:r>
        <w:rPr>
          <w:rFonts w:ascii="Times New Roman" w:hAnsi="Times New Roman" w:cs="Times New Roman" w:eastAsia="Times New Roman" w:hint="default"/>
        </w:rPr>
        <w:t>”</w:t>
      </w:r>
      <w:r>
        <w:rPr/>
        <w:t>《关于核准深圳市卓翼科技股份有限公司首次公开发行股票的</w:t>
      </w:r>
    </w:p>
    <w:p>
      <w:pPr>
        <w:pStyle w:val="BodyText"/>
        <w:spacing w:line="212" w:lineRule="exact"/>
        <w:ind w:right="1123"/>
        <w:jc w:val="left"/>
        <w:rPr>
          <w:rFonts w:ascii="Times New Roman" w:hAnsi="Times New Roman" w:cs="Times New Roman" w:eastAsia="Times New Roman" w:hint="default"/>
        </w:rPr>
      </w:pPr>
      <w:r>
        <w:rPr/>
        <w:t>批复》，核准本公司首次向社会公开发行人民币普通股</w:t>
      </w:r>
      <w:r>
        <w:rPr>
          <w:rFonts w:ascii="Times New Roman" w:hAnsi="Times New Roman" w:cs="Times New Roman" w:eastAsia="Times New Roman" w:hint="default"/>
        </w:rPr>
        <w:t>25,000,000</w:t>
      </w:r>
      <w:r>
        <w:rPr/>
        <w:t>股，发行后总股本为</w:t>
      </w:r>
      <w:r>
        <w:rPr>
          <w:rFonts w:ascii="Times New Roman" w:hAnsi="Times New Roman" w:cs="Times New Roman" w:eastAsia="Times New Roman" w:hint="default"/>
        </w:rPr>
        <w:t>100,000,000</w:t>
      </w:r>
      <w:r>
        <w:rPr/>
        <w:t>股。公司股票于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p>
    <w:p>
      <w:pPr>
        <w:pStyle w:val="BodyText"/>
        <w:spacing w:line="240" w:lineRule="auto" w:before="63"/>
        <w:ind w:right="1123"/>
        <w:jc w:val="left"/>
      </w:pPr>
      <w:r>
        <w:rPr/>
        <w:t>月</w:t>
      </w:r>
      <w:r>
        <w:rPr>
          <w:rFonts w:ascii="Times New Roman" w:hAnsi="Times New Roman" w:cs="Times New Roman" w:eastAsia="Times New Roman" w:hint="default"/>
        </w:rPr>
        <w:t>16</w:t>
      </w:r>
      <w:r>
        <w:rPr/>
        <w:t>日在深圳证券交易所中小企业板挂牌上市。</w:t>
      </w:r>
    </w:p>
    <w:p>
      <w:pPr>
        <w:pStyle w:val="BodyText"/>
        <w:spacing w:line="300" w:lineRule="auto" w:before="63"/>
        <w:ind w:right="1131" w:firstLine="360"/>
        <w:jc w:val="both"/>
      </w:pPr>
      <w:r>
        <w:rPr>
          <w:spacing w:val="-12"/>
          <w:w w:val="100"/>
        </w:rPr>
        <w:t>经中国证券监督管理委员会</w:t>
      </w:r>
      <w:r>
        <w:rPr>
          <w:rFonts w:ascii="Times New Roman" w:hAnsi="Times New Roman" w:cs="Times New Roman" w:eastAsia="Times New Roman" w:hint="default"/>
          <w:spacing w:val="-12"/>
          <w:w w:val="100"/>
        </w:rPr>
        <w:t>“</w:t>
      </w:r>
      <w:r>
        <w:rPr>
          <w:spacing w:val="-12"/>
          <w:w w:val="100"/>
        </w:rPr>
        <w:t>证监许可【</w:t>
      </w:r>
      <w:r>
        <w:rPr>
          <w:rFonts w:ascii="Times New Roman" w:hAnsi="Times New Roman" w:cs="Times New Roman" w:eastAsia="Times New Roman" w:hint="default"/>
          <w:spacing w:val="-12"/>
          <w:w w:val="100"/>
        </w:rPr>
        <w:t>2012</w:t>
      </w:r>
      <w:r>
        <w:rPr>
          <w:spacing w:val="-12"/>
          <w:w w:val="100"/>
        </w:rPr>
        <w:t>】</w:t>
      </w:r>
      <w:r>
        <w:rPr>
          <w:rFonts w:ascii="Times New Roman" w:hAnsi="Times New Roman" w:cs="Times New Roman" w:eastAsia="Times New Roman" w:hint="default"/>
          <w:spacing w:val="-12"/>
          <w:w w:val="100"/>
        </w:rPr>
        <w:t>1019</w:t>
      </w:r>
      <w:r>
        <w:rPr>
          <w:spacing w:val="-12"/>
          <w:w w:val="100"/>
        </w:rPr>
        <w:t>号《</w:t>
      </w:r>
      <w:r>
        <w:rPr>
          <w:rFonts w:ascii="Times New Roman" w:hAnsi="Times New Roman" w:cs="Times New Roman" w:eastAsia="Times New Roman" w:hint="default"/>
          <w:spacing w:val="-12"/>
          <w:w w:val="100"/>
        </w:rPr>
        <w:t>”</w:t>
      </w:r>
      <w:r>
        <w:rPr>
          <w:rFonts w:ascii="Times New Roman" w:hAnsi="Times New Roman" w:cs="Times New Roman" w:eastAsia="Times New Roman" w:hint="default"/>
          <w:spacing w:val="20"/>
          <w:w w:val="100"/>
        </w:rPr>
        <w:t> </w:t>
      </w:r>
      <w:r>
        <w:rPr/>
        <w:t>关于核准深圳市卓翼科技股份有限公司非公开发行股票的批复》 </w:t>
      </w:r>
      <w:r>
        <w:rPr>
          <w:spacing w:val="-1"/>
        </w:rPr>
        <w:t>核准，公司向特定投资者非公开发行人民币普通股（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4,000</w:t>
      </w:r>
      <w:r>
        <w:rPr>
          <w:spacing w:val="-1"/>
        </w:rPr>
        <w:t>万股。本次非公开发行的</w:t>
      </w:r>
      <w:r>
        <w:rPr>
          <w:rFonts w:ascii="Times New Roman" w:hAnsi="Times New Roman" w:cs="Times New Roman" w:eastAsia="Times New Roman" w:hint="default"/>
          <w:spacing w:val="-1"/>
        </w:rPr>
        <w:t>4,000</w:t>
      </w:r>
      <w:r>
        <w:rPr>
          <w:spacing w:val="-1"/>
        </w:rPr>
        <w:t>万股新股已于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w:t>
      </w:r>
      <w:r>
        <w:rPr>
          <w:spacing w:val="-68"/>
        </w:rPr>
        <w:t> </w:t>
      </w:r>
      <w:r>
        <w:rPr/>
        <w:t>在中国证券登记结算有限责任公司深圳分公司完成登记托管手续，并于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日在深圳证券交易所上市。</w:t>
      </w:r>
    </w:p>
    <w:p>
      <w:pPr>
        <w:pStyle w:val="BodyText"/>
        <w:spacing w:line="240" w:lineRule="auto" w:before="13"/>
        <w:ind w:left="513" w:right="1123"/>
        <w:jc w:val="left"/>
      </w:pPr>
      <w:r>
        <w:rPr/>
        <w:t>本次非公开发行股票完成后，公司注册资本由人民币</w:t>
      </w:r>
      <w:r>
        <w:rPr>
          <w:rFonts w:ascii="Times New Roman" w:hAnsi="Times New Roman" w:cs="Times New Roman" w:eastAsia="Times New Roman" w:hint="default"/>
        </w:rPr>
        <w:t>20,000</w:t>
      </w:r>
      <w:r>
        <w:rPr/>
        <w:t>万元变更为</w:t>
      </w:r>
      <w:r>
        <w:rPr>
          <w:rFonts w:ascii="Times New Roman" w:hAnsi="Times New Roman" w:cs="Times New Roman" w:eastAsia="Times New Roman" w:hint="default"/>
        </w:rPr>
        <w:t>24,000</w:t>
      </w:r>
      <w:r>
        <w:rPr/>
        <w:t>万元。</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2" w:right="1194"/>
        <w:jc w:val="left"/>
      </w:pPr>
      <w:r>
        <w:rPr/>
        <w:t>报告期内，公司因非公开发行股票导致公司股份总数、股东结构、公司资产和负债结构发生了变动。 非公开发行股票相关事宜经公司第二届董事会第七次会议、第二届董事会第十次会议审议通过，并经</w:t>
      </w:r>
      <w:r>
        <w:rPr>
          <w:rFonts w:ascii="Times New Roman" w:hAnsi="Times New Roman" w:cs="Times New Roman" w:eastAsia="Times New Roman" w:hint="default"/>
        </w:rPr>
        <w:t>2011</w:t>
      </w:r>
      <w:r>
        <w:rPr/>
        <w:t>年第二次临</w:t>
      </w:r>
    </w:p>
    <w:p>
      <w:pPr>
        <w:pStyle w:val="BodyText"/>
        <w:spacing w:line="300" w:lineRule="auto"/>
        <w:ind w:right="0"/>
        <w:jc w:val="left"/>
      </w:pPr>
      <w:r>
        <w:rPr/>
        <w:t>时股东大会、</w:t>
      </w:r>
      <w:r>
        <w:rPr>
          <w:rFonts w:ascii="Times New Roman" w:hAnsi="Times New Roman" w:cs="Times New Roman" w:eastAsia="Times New Roman" w:hint="default"/>
        </w:rPr>
        <w:t>2012</w:t>
      </w:r>
      <w:r>
        <w:rPr/>
        <w:t>年第一次临时股东大会审议通过。</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日，公司收到中国证监会《关于核准深圳市卓翼科技股份有 限公司非公开发行股票的批复》（证监许可</w:t>
      </w:r>
      <w:r>
        <w:rPr>
          <w:rFonts w:ascii="Times New Roman" w:hAnsi="Times New Roman" w:cs="Times New Roman" w:eastAsia="Times New Roman" w:hint="default"/>
        </w:rPr>
        <w:t>[2012]1019</w:t>
      </w:r>
      <w:r>
        <w:rPr/>
        <w:t>号），核准公司向特定投资者非公开发行人民币普通股（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4,000 </w:t>
      </w:r>
      <w:r>
        <w:rPr>
          <w:spacing w:val="-1"/>
        </w:rPr>
        <w:t>万股。本次非公开发行的</w:t>
      </w:r>
      <w:r>
        <w:rPr>
          <w:rFonts w:ascii="Times New Roman" w:hAnsi="Times New Roman" w:cs="Times New Roman" w:eastAsia="Times New Roman" w:hint="default"/>
          <w:spacing w:val="-1"/>
        </w:rPr>
        <w:t>4,000</w:t>
      </w:r>
      <w:r>
        <w:rPr>
          <w:spacing w:val="-1"/>
        </w:rPr>
        <w:t>万股新股已于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日在中国证券登记结算有限责任公司深圳分公司完成登记托管手续，</w:t>
      </w:r>
      <w:r>
        <w:rPr>
          <w:spacing w:val="-70"/>
        </w:rPr>
        <w:t> </w:t>
      </w:r>
      <w:r>
        <w:rPr>
          <w:spacing w:val="-70"/>
        </w:rPr>
      </w:r>
      <w:r>
        <w:rPr/>
        <w:t>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日在深圳证券交易所上市。本次非公开发行股票完成后，公司股份总数由</w:t>
      </w:r>
      <w:r>
        <w:rPr>
          <w:rFonts w:ascii="Times New Roman" w:hAnsi="Times New Roman" w:cs="Times New Roman" w:eastAsia="Times New Roman" w:hint="default"/>
        </w:rPr>
        <w:t>20,000</w:t>
      </w:r>
      <w:r>
        <w:rPr/>
        <w:t>万股变更为</w:t>
      </w:r>
      <w:r>
        <w:rPr>
          <w:rFonts w:ascii="Times New Roman" w:hAnsi="Times New Roman" w:cs="Times New Roman" w:eastAsia="Times New Roman" w:hint="default"/>
        </w:rPr>
        <w:t>24,000</w:t>
      </w:r>
      <w:r>
        <w:rPr/>
        <w:t>万股。</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81"/>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b/>
          <w:bCs/>
          <w:sz w:val="23"/>
          <w:szCs w:val="23"/>
        </w:rPr>
      </w:pPr>
      <w:r>
        <w:rPr/>
        <w:pict>
          <v:group style="position:absolute;margin-left:56.400002pt;margin-top:150.73999pt;width:538.950pt;height:691.2pt;mso-position-horizontal-relative:page;mso-position-vertical-relative:page;z-index:-991288" coordorigin="1128,3015" coordsize="10779,13824">
            <v:group style="position:absolute;left:1151;top:3029;width:2;height:392" coordorigin="1151,3029" coordsize="2,392">
              <v:shape style="position:absolute;left:1151;top:3029;width:2;height:392" coordorigin="1151,3029" coordsize="0,392" path="m1151,3029l1151,3420e" filled="false" stroked="true" strokeweight="1.08pt" strokecolor="#d2d2d2">
                <v:path arrowok="t"/>
              </v:shape>
            </v:group>
            <v:group style="position:absolute;left:3846;top:3029;width:2;height:392" coordorigin="3846,3029" coordsize="2,392">
              <v:shape style="position:absolute;left:3846;top:3029;width:2;height:392" coordorigin="3846,3029" coordsize="0,392" path="m3846,3029l3846,3420e" filled="false" stroked="true" strokeweight="1.2pt" strokecolor="#d2d2d2">
                <v:path arrowok="t"/>
              </v:shape>
            </v:group>
            <v:group style="position:absolute;left:1162;top:3029;width:2673;height:392" coordorigin="1162,3029" coordsize="2673,392">
              <v:shape style="position:absolute;left:1162;top:3029;width:2673;height:392" coordorigin="1162,3029" coordsize="2673,392" path="m1162,3420l3834,3420,3834,3029,1162,3029,1162,3420xe" filled="true" fillcolor="#d2d2d2" stroked="false">
                <v:path arrowok="t"/>
                <v:fill type="solid"/>
              </v:shape>
            </v:group>
            <v:group style="position:absolute;left:1138;top:3024;width:2721;height:2" coordorigin="1138,3024" coordsize="2721,2">
              <v:shape style="position:absolute;left:1138;top:3024;width:2721;height:2" coordorigin="1138,3024" coordsize="2721,0" path="m1138,3024l3858,3024e" filled="false" stroked="true" strokeweight=".48pt" strokecolor="#000000">
                <v:path arrowok="t"/>
              </v:shape>
            </v:group>
            <v:group style="position:absolute;left:5247;top:3029;width:2;height:392" coordorigin="5247,3029" coordsize="2,392">
              <v:shape style="position:absolute;left:5247;top:3029;width:2;height:392" coordorigin="5247,3029" coordsize="0,392" path="m5247,3029l5247,3420e" filled="false" stroked="true" strokeweight="1.2pt" strokecolor="#d2d2d2">
                <v:path arrowok="t"/>
              </v:shape>
            </v:group>
            <v:group style="position:absolute;left:9319;top:3029;width:2;height:392" coordorigin="9319,3029" coordsize="2,392">
              <v:shape style="position:absolute;left:9319;top:3029;width:2;height:392" coordorigin="9319,3029" coordsize="0,392" path="m9319,3029l9319,3420e" filled="false" stroked="true" strokeweight="1.2pt" strokecolor="#d2d2d2">
                <v:path arrowok="t"/>
              </v:shape>
            </v:group>
            <v:group style="position:absolute;left:5259;top:3029;width:4048;height:392" coordorigin="5259,3029" coordsize="4048,392">
              <v:shape style="position:absolute;left:5259;top:3029;width:4048;height:392" coordorigin="5259,3029" coordsize="4048,392" path="m5259,3420l9307,3420,9307,3029,5259,3029,5259,3420xe" filled="true" fillcolor="#d2d2d2" stroked="false">
                <v:path arrowok="t"/>
                <v:fill type="solid"/>
              </v:shape>
            </v:group>
            <v:group style="position:absolute;left:3867;top:3024;width:1359;height:2" coordorigin="3867,3024" coordsize="1359,2">
              <v:shape style="position:absolute;left:3867;top:3024;width:1359;height:2" coordorigin="3867,3024" coordsize="1359,0" path="m3867,3024l5226,3024e" filled="false" stroked="true" strokeweight=".48pt" strokecolor="#000000">
                <v:path arrowok="t"/>
              </v:shape>
            </v:group>
            <v:group style="position:absolute;left:5235;top:3024;width:4096;height:2" coordorigin="5235,3024" coordsize="4096,2">
              <v:shape style="position:absolute;left:5235;top:3024;width:4096;height:2" coordorigin="5235,3024" coordsize="4096,0" path="m5235,3024l9331,3024e" filled="false" stroked="true" strokeweight=".48pt" strokecolor="#000000">
                <v:path arrowok="t"/>
              </v:shape>
            </v:group>
            <v:group style="position:absolute;left:9340;top:3024;width:1359;height:2" coordorigin="9340,3024" coordsize="1359,2">
              <v:shape style="position:absolute;left:9340;top:3024;width:1359;height:2" coordorigin="9340,3024" coordsize="1359,0" path="m9340,3024l10699,3024e" filled="false" stroked="true" strokeweight=".48pt" strokecolor="#000000">
                <v:path arrowok="t"/>
              </v:shape>
            </v:group>
            <v:group style="position:absolute;left:3863;top:3020;width:2;height:411" coordorigin="3863,3020" coordsize="2,411">
              <v:shape style="position:absolute;left:3863;top:3020;width:2;height:411" coordorigin="3863,3020" coordsize="0,411" path="m3863,3020l3863,3430e" filled="false" stroked="true" strokeweight=".48pt" strokecolor="#000000">
                <v:path arrowok="t"/>
              </v:shape>
            </v:group>
            <v:group style="position:absolute;left:5231;top:3020;width:2;height:411" coordorigin="5231,3020" coordsize="2,411">
              <v:shape style="position:absolute;left:5231;top:3020;width:2;height:411" coordorigin="5231,3020" coordsize="0,411" path="m5231,3020l5231,3430e" filled="false" stroked="true" strokeweight=".48pt" strokecolor="#000000">
                <v:path arrowok="t"/>
              </v:shape>
            </v:group>
            <v:group style="position:absolute;left:9336;top:3020;width:2;height:411" coordorigin="9336,3020" coordsize="2,411">
              <v:shape style="position:absolute;left:9336;top:3020;width:2;height:411" coordorigin="9336,3020" coordsize="0,411" path="m9336,3020l9336,3430e" filled="false" stroked="true" strokeweight=".48pt" strokecolor="#000000">
                <v:path arrowok="t"/>
              </v:shape>
            </v:group>
            <v:group style="position:absolute;left:1151;top:3430;width:2;height:394" coordorigin="1151,3430" coordsize="2,394">
              <v:shape style="position:absolute;left:1151;top:3430;width:2;height:394" coordorigin="1151,3430" coordsize="0,394" path="m1151,3430l1151,3824e" filled="false" stroked="true" strokeweight="1.08pt" strokecolor="#d2d2d2">
                <v:path arrowok="t"/>
              </v:shape>
            </v:group>
            <v:group style="position:absolute;left:10687;top:3430;width:2;height:394" coordorigin="10687,3430" coordsize="2,394">
              <v:shape style="position:absolute;left:10687;top:3430;width:2;height:394" coordorigin="10687,3430" coordsize="0,394" path="m10687,3430l10687,3824e" filled="false" stroked="true" strokeweight="1.2pt" strokecolor="#d2d2d2">
                <v:path arrowok="t"/>
              </v:shape>
            </v:group>
            <v:group style="position:absolute;left:1162;top:3430;width:9514;height:394" coordorigin="1162,3430" coordsize="9514,394">
              <v:shape style="position:absolute;left:1162;top:3430;width:9514;height:394" coordorigin="1162,3430" coordsize="9514,394" path="m1162,3824l10675,3824,10675,3430,1162,3430,1162,3824xe" filled="true" fillcolor="#d2d2d2" stroked="false">
                <v:path arrowok="t"/>
                <v:fill type="solid"/>
              </v:shape>
            </v:group>
            <v:group style="position:absolute;left:1138;top:3425;width:2721;height:2" coordorigin="1138,3425" coordsize="2721,2">
              <v:shape style="position:absolute;left:1138;top:3425;width:2721;height:2" coordorigin="1138,3425" coordsize="2721,0" path="m1138,3425l3858,3425e" filled="false" stroked="true" strokeweight=".48pt" strokecolor="#000000">
                <v:path arrowok="t"/>
              </v:shape>
            </v:group>
            <v:group style="position:absolute;left:3867;top:3425;width:1359;height:2" coordorigin="3867,3425" coordsize="1359,2">
              <v:shape style="position:absolute;left:3867;top:3425;width:1359;height:2" coordorigin="3867,3425" coordsize="1359,0" path="m3867,3425l5226,3425e" filled="false" stroked="true" strokeweight=".48pt" strokecolor="#000000">
                <v:path arrowok="t"/>
              </v:shape>
            </v:group>
            <v:group style="position:absolute;left:5235;top:3425;width:4096;height:2" coordorigin="5235,3425" coordsize="4096,2">
              <v:shape style="position:absolute;left:5235;top:3425;width:4096;height:2" coordorigin="5235,3425" coordsize="4096,0" path="m5235,3425l9331,3425e" filled="false" stroked="true" strokeweight=".48pt" strokecolor="#000000">
                <v:path arrowok="t"/>
              </v:shape>
            </v:group>
            <v:group style="position:absolute;left:9340;top:3425;width:1359;height:2" coordorigin="9340,3425" coordsize="1359,2">
              <v:shape style="position:absolute;left:9340;top:3425;width:1359;height:2" coordorigin="9340,3425" coordsize="1359,0" path="m9340,3425l10699,3425e" filled="false" stroked="true" strokeweight=".48pt" strokecolor="#000000">
                <v:path arrowok="t"/>
              </v:shape>
            </v:group>
            <v:group style="position:absolute;left:1140;top:3833;width:1350;height:468" coordorigin="1140,3833" coordsize="1350,468">
              <v:shape style="position:absolute;left:1140;top:3833;width:1350;height:468" coordorigin="1140,3833" coordsize="1350,468" path="m1140,4301l2489,4301,2489,3833,1140,3833,1140,4301xe" filled="true" fillcolor="#d2d2d2" stroked="false">
                <v:path arrowok="t"/>
                <v:fill type="solid"/>
              </v:shape>
            </v:group>
            <v:group style="position:absolute;left:1151;top:4301;width:2;height:392" coordorigin="1151,4301" coordsize="2,392">
              <v:shape style="position:absolute;left:1151;top:4301;width:2;height:392" coordorigin="1151,4301" coordsize="0,392" path="m1151,4301l1151,4692e" filled="false" stroked="true" strokeweight="1.08pt" strokecolor="#d2d2d2">
                <v:path arrowok="t"/>
              </v:shape>
            </v:group>
            <v:group style="position:absolute;left:2477;top:4301;width:2;height:392" coordorigin="2477,4301" coordsize="2,392">
              <v:shape style="position:absolute;left:2477;top:4301;width:2;height:392" coordorigin="2477,4301" coordsize="0,392" path="m2477,4301l2477,4692e" filled="false" stroked="true" strokeweight="1.2pt" strokecolor="#d2d2d2">
                <v:path arrowok="t"/>
              </v:shape>
            </v:group>
            <v:group style="position:absolute;left:1140;top:4692;width:1350;height:468" coordorigin="1140,4692" coordsize="1350,468">
              <v:shape style="position:absolute;left:1140;top:4692;width:1350;height:468" coordorigin="1140,4692" coordsize="1350,468" path="m1140,5160l2489,5160,2489,4692,1140,4692,1140,5160xe" filled="true" fillcolor="#d2d2d2" stroked="false">
                <v:path arrowok="t"/>
                <v:fill type="solid"/>
              </v:shape>
            </v:group>
            <v:group style="position:absolute;left:1162;top:4301;width:1304;height:392" coordorigin="1162,4301" coordsize="1304,392">
              <v:shape style="position:absolute;left:1162;top:4301;width:1304;height:392" coordorigin="1162,4301" coordsize="1304,392" path="m1162,4692l2465,4692,2465,4301,1162,4301,1162,4692xe" filled="true" fillcolor="#d2d2d2" stroked="false">
                <v:path arrowok="t"/>
                <v:fill type="solid"/>
              </v:shape>
            </v:group>
            <v:group style="position:absolute;left:2499;top:3833;width:1359;height:468" coordorigin="2499,3833" coordsize="1359,468">
              <v:shape style="position:absolute;left:2499;top:3833;width:1359;height:468" coordorigin="2499,3833" coordsize="1359,468" path="m2499,4301l3858,4301,3858,3833,2499,3833,2499,4301xe" filled="true" fillcolor="#d2d2d2" stroked="false">
                <v:path arrowok="t"/>
                <v:fill type="solid"/>
              </v:shape>
            </v:group>
            <v:group style="position:absolute;left:2511;top:4301;width:2;height:392" coordorigin="2511,4301" coordsize="2,392">
              <v:shape style="position:absolute;left:2511;top:4301;width:2;height:392" coordorigin="2511,4301" coordsize="0,392" path="m2511,4301l2511,4692e" filled="false" stroked="true" strokeweight="1.2pt" strokecolor="#d2d2d2">
                <v:path arrowok="t"/>
              </v:shape>
            </v:group>
            <v:group style="position:absolute;left:3846;top:4301;width:2;height:392" coordorigin="3846,4301" coordsize="2,392">
              <v:shape style="position:absolute;left:3846;top:4301;width:2;height:392" coordorigin="3846,4301" coordsize="0,392" path="m3846,4301l3846,4692e" filled="false" stroked="true" strokeweight="1.2pt" strokecolor="#d2d2d2">
                <v:path arrowok="t"/>
              </v:shape>
            </v:group>
            <v:group style="position:absolute;left:2499;top:4692;width:1359;height:468" coordorigin="2499,4692" coordsize="1359,468">
              <v:shape style="position:absolute;left:2499;top:4692;width:1359;height:468" coordorigin="2499,4692" coordsize="1359,468" path="m2499,5160l3858,5160,3858,4692,2499,4692,2499,5160xe" filled="true" fillcolor="#d2d2d2" stroked="false">
                <v:path arrowok="t"/>
                <v:fill type="solid"/>
              </v:shape>
            </v:group>
            <v:group style="position:absolute;left:2523;top:4301;width:1311;height:392" coordorigin="2523,4301" coordsize="1311,392">
              <v:shape style="position:absolute;left:2523;top:4301;width:1311;height:392" coordorigin="2523,4301" coordsize="1311,392" path="m2523,4692l3834,4692,3834,4301,2523,4301,2523,4692xe" filled="true" fillcolor="#d2d2d2" stroked="false">
                <v:path arrowok="t"/>
                <v:fill type="solid"/>
              </v:shape>
            </v:group>
            <v:group style="position:absolute;left:3867;top:3833;width:1359;height:468" coordorigin="3867,3833" coordsize="1359,468">
              <v:shape style="position:absolute;left:3867;top:3833;width:1359;height:468" coordorigin="3867,3833" coordsize="1359,468" path="m3867,4301l5226,4301,5226,3833,3867,3833,3867,4301xe" filled="true" fillcolor="#d2d2d2" stroked="false">
                <v:path arrowok="t"/>
                <v:fill type="solid"/>
              </v:shape>
            </v:group>
            <v:group style="position:absolute;left:3879;top:4301;width:2;height:392" coordorigin="3879,4301" coordsize="2,392">
              <v:shape style="position:absolute;left:3879;top:4301;width:2;height:392" coordorigin="3879,4301" coordsize="0,392" path="m3879,4301l3879,4692e" filled="false" stroked="true" strokeweight="1.2pt" strokecolor="#d2d2d2">
                <v:path arrowok="t"/>
              </v:shape>
            </v:group>
            <v:group style="position:absolute;left:5214;top:4301;width:2;height:392" coordorigin="5214,4301" coordsize="2,392">
              <v:shape style="position:absolute;left:5214;top:4301;width:2;height:392" coordorigin="5214,4301" coordsize="0,392" path="m5214,4301l5214,4692e" filled="false" stroked="true" strokeweight="1.2pt" strokecolor="#d2d2d2">
                <v:path arrowok="t"/>
              </v:shape>
            </v:group>
            <v:group style="position:absolute;left:3867;top:4692;width:1359;height:468" coordorigin="3867,4692" coordsize="1359,468">
              <v:shape style="position:absolute;left:3867;top:4692;width:1359;height:468" coordorigin="3867,4692" coordsize="1359,468" path="m3867,5160l5226,5160,5226,4692,3867,4692,3867,5160xe" filled="true" fillcolor="#d2d2d2" stroked="false">
                <v:path arrowok="t"/>
                <v:fill type="solid"/>
              </v:shape>
            </v:group>
            <v:group style="position:absolute;left:3891;top:4301;width:1311;height:392" coordorigin="3891,4301" coordsize="1311,392">
              <v:shape style="position:absolute;left:3891;top:4301;width:1311;height:392" coordorigin="3891,4301" coordsize="1311,392" path="m3891,4692l5202,4692,5202,4301,3891,4301,3891,4692xe" filled="true" fillcolor="#d2d2d2" stroked="false">
                <v:path arrowok="t"/>
                <v:fill type="solid"/>
              </v:shape>
            </v:group>
            <v:group style="position:absolute;left:5235;top:3833;width:999;height:312" coordorigin="5235,3833" coordsize="999,312">
              <v:shape style="position:absolute;left:5235;top:3833;width:999;height:312" coordorigin="5235,3833" coordsize="999,312" path="m5235,4145l6234,4145,6234,3833,5235,3833,5235,4145xe" filled="true" fillcolor="#d2d2d2" stroked="false">
                <v:path arrowok="t"/>
                <v:fill type="solid"/>
              </v:shape>
            </v:group>
            <v:group style="position:absolute;left:5247;top:4145;width:2;height:704" coordorigin="5247,4145" coordsize="2,704">
              <v:shape style="position:absolute;left:5247;top:4145;width:2;height:704" coordorigin="5247,4145" coordsize="0,704" path="m5247,4145l5247,4848e" filled="false" stroked="true" strokeweight="1.2pt" strokecolor="#d2d2d2">
                <v:path arrowok="t"/>
              </v:shape>
            </v:group>
            <v:group style="position:absolute;left:6222;top:4145;width:2;height:704" coordorigin="6222,4145" coordsize="2,704">
              <v:shape style="position:absolute;left:6222;top:4145;width:2;height:704" coordorigin="6222,4145" coordsize="0,704" path="m6222,4145l6222,4848e" filled="false" stroked="true" strokeweight="1.2pt" strokecolor="#d2d2d2">
                <v:path arrowok="t"/>
              </v:shape>
            </v:group>
            <v:group style="position:absolute;left:5235;top:4848;width:999;height:312" coordorigin="5235,4848" coordsize="999,312">
              <v:shape style="position:absolute;left:5235;top:4848;width:999;height:312" coordorigin="5235,4848" coordsize="999,312" path="m5235,5160l6234,5160,6234,4848,5235,4848,5235,5160xe" filled="true" fillcolor="#d2d2d2" stroked="false">
                <v:path arrowok="t"/>
                <v:fill type="solid"/>
              </v:shape>
            </v:group>
            <v:group style="position:absolute;left:5259;top:4145;width:951;height:353" coordorigin="5259,4145" coordsize="951,353">
              <v:shape style="position:absolute;left:5259;top:4145;width:951;height:353" coordorigin="5259,4145" coordsize="951,353" path="m5259,4498l6210,4498,6210,4145,5259,4145,5259,4498xe" filled="true" fillcolor="#d2d2d2" stroked="false">
                <v:path arrowok="t"/>
                <v:fill type="solid"/>
              </v:shape>
            </v:group>
            <v:group style="position:absolute;left:5259;top:4498;width:951;height:351" coordorigin="5259,4498" coordsize="951,351">
              <v:shape style="position:absolute;left:5259;top:4498;width:951;height:351" coordorigin="5259,4498" coordsize="951,351" path="m5259,4848l6210,4848,6210,4498,5259,4498,5259,4848xe" filled="true" fillcolor="#d2d2d2" stroked="false">
                <v:path arrowok="t"/>
                <v:fill type="solid"/>
              </v:shape>
            </v:group>
            <v:group style="position:absolute;left:6254;top:3833;width:2;height:1328" coordorigin="6254,3833" coordsize="2,1328">
              <v:shape style="position:absolute;left:6254;top:3833;width:2;height:1328" coordorigin="6254,3833" coordsize="0,1328" path="m6254,3833l6254,5160e" filled="false" stroked="true" strokeweight="1.08pt" strokecolor="#d2d2d2">
                <v:path arrowok="t"/>
              </v:shape>
            </v:group>
            <v:group style="position:absolute;left:6930;top:3833;width:2;height:1328" coordorigin="6930,3833" coordsize="2,1328">
              <v:shape style="position:absolute;left:6930;top:3833;width:2;height:1328" coordorigin="6930,3833" coordsize="0,1328" path="m6930,3833l6930,5160e" filled="false" stroked="true" strokeweight="1.2pt" strokecolor="#d2d2d2">
                <v:path arrowok="t"/>
              </v:shape>
            </v:group>
            <v:group style="position:absolute;left:6265;top:3833;width:654;height:353" coordorigin="6265,3833" coordsize="654,353">
              <v:shape style="position:absolute;left:6265;top:3833;width:654;height:353" coordorigin="6265,3833" coordsize="654,353" path="m6265,4186l6918,4186,6918,3833,6265,3833,6265,4186xe" filled="true" fillcolor="#d2d2d2" stroked="false">
                <v:path arrowok="t"/>
                <v:fill type="solid"/>
              </v:shape>
            </v:group>
            <v:group style="position:absolute;left:6265;top:4186;width:654;height:312" coordorigin="6265,4186" coordsize="654,312">
              <v:shape style="position:absolute;left:6265;top:4186;width:654;height:312" coordorigin="6265,4186" coordsize="654,312" path="m6265,4498l6918,4498,6918,4186,6265,4186,6265,4498xe" filled="true" fillcolor="#d2d2d2" stroked="false">
                <v:path arrowok="t"/>
                <v:fill type="solid"/>
              </v:shape>
            </v:group>
            <v:group style="position:absolute;left:6265;top:4498;width:654;height:312" coordorigin="6265,4498" coordsize="654,312">
              <v:shape style="position:absolute;left:6265;top:4498;width:654;height:312" coordorigin="6265,4498" coordsize="654,312" path="m6265,4810l6918,4810,6918,4498,6265,4498,6265,4810xe" filled="true" fillcolor="#d2d2d2" stroked="false">
                <v:path arrowok="t"/>
                <v:fill type="solid"/>
              </v:shape>
            </v:group>
            <v:group style="position:absolute;left:6265;top:4810;width:654;height:351" coordorigin="6265,4810" coordsize="654,351">
              <v:shape style="position:absolute;left:6265;top:4810;width:654;height:351" coordorigin="6265,4810" coordsize="654,351" path="m6265,5160l6918,5160,6918,4810,6265,4810,6265,5160xe" filled="true" fillcolor="#d2d2d2" stroked="false">
                <v:path arrowok="t"/>
                <v:fill type="solid"/>
              </v:shape>
            </v:group>
            <v:group style="position:absolute;left:6952;top:3833;width:982;height:156" coordorigin="6952,3833" coordsize="982,156">
              <v:shape style="position:absolute;left:6952;top:3833;width:982;height:156" coordorigin="6952,3833" coordsize="982,156" path="m6952,3989l7933,3989,7933,3833,6952,3833,6952,3989xe" filled="true" fillcolor="#d2d2d2" stroked="false">
                <v:path arrowok="t"/>
                <v:fill type="solid"/>
              </v:shape>
            </v:group>
            <v:group style="position:absolute;left:6964;top:3989;width:2;height:1016" coordorigin="6964,3989" coordsize="2,1016">
              <v:shape style="position:absolute;left:6964;top:3989;width:2;height:1016" coordorigin="6964,3989" coordsize="0,1016" path="m6964,3989l6964,5004e" filled="false" stroked="true" strokeweight="1.2pt" strokecolor="#d2d2d2">
                <v:path arrowok="t"/>
              </v:shape>
            </v:group>
            <v:group style="position:absolute;left:7923;top:3989;width:2;height:1016" coordorigin="7923,3989" coordsize="2,1016">
              <v:shape style="position:absolute;left:7923;top:3989;width:2;height:1016" coordorigin="7923,3989" coordsize="0,1016" path="m7923,3989l7923,5004e" filled="false" stroked="true" strokeweight="1.08pt" strokecolor="#d2d2d2">
                <v:path arrowok="t"/>
              </v:shape>
            </v:group>
            <v:group style="position:absolute;left:6952;top:5004;width:982;height:156" coordorigin="6952,5004" coordsize="982,156">
              <v:shape style="position:absolute;left:6952;top:5004;width:982;height:156" coordorigin="6952,5004" coordsize="982,156" path="m6952,5160l7933,5160,7933,5004,6952,5004,6952,5160xe" filled="true" fillcolor="#d2d2d2" stroked="false">
                <v:path arrowok="t"/>
                <v:fill type="solid"/>
              </v:shape>
            </v:group>
            <v:group style="position:absolute;left:6976;top:3989;width:936;height:353" coordorigin="6976,3989" coordsize="936,353">
              <v:shape style="position:absolute;left:6976;top:3989;width:936;height:353" coordorigin="6976,3989" coordsize="936,353" path="m6976,4342l7912,4342,7912,3989,6976,3989,6976,4342xe" filled="true" fillcolor="#d2d2d2" stroked="false">
                <v:path arrowok="t"/>
                <v:fill type="solid"/>
              </v:shape>
            </v:group>
            <v:group style="position:absolute;left:6976;top:4342;width:936;height:312" coordorigin="6976,4342" coordsize="936,312">
              <v:shape style="position:absolute;left:6976;top:4342;width:936;height:312" coordorigin="6976,4342" coordsize="936,312" path="m6976,4654l7912,4654,7912,4342,6976,4342,6976,4654xe" filled="true" fillcolor="#d2d2d2" stroked="false">
                <v:path arrowok="t"/>
                <v:fill type="solid"/>
              </v:shape>
            </v:group>
            <v:group style="position:absolute;left:6976;top:4654;width:936;height:351" coordorigin="6976,4654" coordsize="936,351">
              <v:shape style="position:absolute;left:6976;top:4654;width:936;height:351" coordorigin="6976,4654" coordsize="936,351" path="m6976,5004l7912,5004,7912,4654,6976,4654,6976,5004xe" filled="true" fillcolor="#d2d2d2" stroked="false">
                <v:path arrowok="t"/>
                <v:fill type="solid"/>
              </v:shape>
            </v:group>
            <v:group style="position:absolute;left:7945;top:3833;width:983;height:156" coordorigin="7945,3833" coordsize="983,156">
              <v:shape style="position:absolute;left:7945;top:3833;width:983;height:156" coordorigin="7945,3833" coordsize="983,156" path="m7945,3989l8927,3989,8927,3833,7945,3833,7945,3989xe" filled="true" fillcolor="#d2d2d2" stroked="false">
                <v:path arrowok="t"/>
                <v:fill type="solid"/>
              </v:shape>
            </v:group>
            <v:group style="position:absolute;left:7956;top:3989;width:2;height:1016" coordorigin="7956,3989" coordsize="2,1016">
              <v:shape style="position:absolute;left:7956;top:3989;width:2;height:1016" coordorigin="7956,3989" coordsize="0,1016" path="m7956,3989l7956,5004e" filled="false" stroked="true" strokeweight="1.08pt" strokecolor="#d2d2d2">
                <v:path arrowok="t"/>
              </v:shape>
            </v:group>
            <v:group style="position:absolute;left:8917;top:3989;width:2;height:1016" coordorigin="8917,3989" coordsize="2,1016">
              <v:shape style="position:absolute;left:8917;top:3989;width:2;height:1016" coordorigin="8917,3989" coordsize="0,1016" path="m8917,3989l8917,5004e" filled="false" stroked="true" strokeweight="1.08pt" strokecolor="#d2d2d2">
                <v:path arrowok="t"/>
              </v:shape>
            </v:group>
            <v:group style="position:absolute;left:7945;top:5004;width:983;height:156" coordorigin="7945,5004" coordsize="983,156">
              <v:shape style="position:absolute;left:7945;top:5004;width:983;height:156" coordorigin="7945,5004" coordsize="983,156" path="m7945,5160l8927,5160,8927,5004,7945,5004,7945,5160xe" filled="true" fillcolor="#d2d2d2" stroked="false">
                <v:path arrowok="t"/>
                <v:fill type="solid"/>
              </v:shape>
            </v:group>
            <v:group style="position:absolute;left:7967;top:3989;width:939;height:353" coordorigin="7967,3989" coordsize="939,353">
              <v:shape style="position:absolute;left:7967;top:3989;width:939;height:353" coordorigin="7967,3989" coordsize="939,353" path="m7967,4342l8906,4342,8906,3989,7967,3989,7967,4342xe" filled="true" fillcolor="#d2d2d2" stroked="false">
                <v:path arrowok="t"/>
                <v:fill type="solid"/>
              </v:shape>
            </v:group>
            <v:group style="position:absolute;left:7967;top:4342;width:939;height:312" coordorigin="7967,4342" coordsize="939,312">
              <v:shape style="position:absolute;left:7967;top:4342;width:939;height:312" coordorigin="7967,4342" coordsize="939,312" path="m7967,4654l8906,4654,8906,4342,7967,4342,7967,4654xe" filled="true" fillcolor="#d2d2d2" stroked="false">
                <v:path arrowok="t"/>
                <v:fill type="solid"/>
              </v:shape>
            </v:group>
            <v:group style="position:absolute;left:7967;top:4654;width:939;height:351" coordorigin="7967,4654" coordsize="939,351">
              <v:shape style="position:absolute;left:7967;top:4654;width:939;height:351" coordorigin="7967,4654" coordsize="939,351" path="m7967,5004l8906,5004,8906,4654,7967,4654,7967,5004xe" filled="true" fillcolor="#d2d2d2" stroked="false">
                <v:path arrowok="t"/>
                <v:fill type="solid"/>
              </v:shape>
            </v:group>
            <v:group style="position:absolute;left:8949;top:3833;width:2;height:392" coordorigin="8949,3833" coordsize="2,392">
              <v:shape style="position:absolute;left:8949;top:3833;width:2;height:392" coordorigin="8949,3833" coordsize="0,392" path="m8949,3833l8949,4224e" filled="false" stroked="true" strokeweight="1.2pt" strokecolor="#d2d2d2">
                <v:path arrowok="t"/>
              </v:shape>
            </v:group>
            <v:group style="position:absolute;left:10687;top:3833;width:2;height:392" coordorigin="10687,3833" coordsize="2,392">
              <v:shape style="position:absolute;left:10687;top:3833;width:2;height:392" coordorigin="10687,3833" coordsize="0,392" path="m10687,3833l10687,4224e" filled="false" stroked="true" strokeweight="1.2pt" strokecolor="#d2d2d2">
                <v:path arrowok="t"/>
              </v:shape>
            </v:group>
            <v:group style="position:absolute;left:8961;top:3833;width:1714;height:392" coordorigin="8961,3833" coordsize="1714,392">
              <v:shape style="position:absolute;left:8961;top:3833;width:1714;height:392" coordorigin="8961,3833" coordsize="1714,392" path="m8961,4224l10675,4224,10675,3833,8961,3833,8961,4224xe" filled="true" fillcolor="#d2d2d2" stroked="false">
                <v:path arrowok="t"/>
                <v:fill type="solid"/>
              </v:shape>
            </v:group>
            <v:group style="position:absolute;left:1138;top:3828;width:1352;height:2" coordorigin="1138,3828" coordsize="1352,2">
              <v:shape style="position:absolute;left:1138;top:3828;width:1352;height:2" coordorigin="1138,3828" coordsize="1352,0" path="m1138,3828l2489,3828e" filled="false" stroked="true" strokeweight=".48pt" strokecolor="#000000">
                <v:path arrowok="t"/>
              </v:shape>
            </v:group>
            <v:group style="position:absolute;left:2499;top:3828;width:1359;height:2" coordorigin="2499,3828" coordsize="1359,2">
              <v:shape style="position:absolute;left:2499;top:3828;width:1359;height:2" coordorigin="2499,3828" coordsize="1359,0" path="m2499,3828l3858,3828e" filled="false" stroked="true" strokeweight=".48pt" strokecolor="#000000">
                <v:path arrowok="t"/>
              </v:shape>
            </v:group>
            <v:group style="position:absolute;left:3867;top:3828;width:1359;height:2" coordorigin="3867,3828" coordsize="1359,2">
              <v:shape style="position:absolute;left:3867;top:3828;width:1359;height:2" coordorigin="3867,3828" coordsize="1359,0" path="m3867,3828l5226,3828e" filled="false" stroked="true" strokeweight=".48pt" strokecolor="#000000">
                <v:path arrowok="t"/>
              </v:shape>
            </v:group>
            <v:group style="position:absolute;left:5235;top:3828;width:996;height:2" coordorigin="5235,3828" coordsize="996,2">
              <v:shape style="position:absolute;left:5235;top:3828;width:996;height:2" coordorigin="5235,3828" coordsize="996,0" path="m5235,3828l6231,3828e" filled="false" stroked="true" strokeweight=".48pt" strokecolor="#000000">
                <v:path arrowok="t"/>
              </v:shape>
            </v:group>
            <v:group style="position:absolute;left:6241;top:3828;width:702;height:2" coordorigin="6241,3828" coordsize="702,2">
              <v:shape style="position:absolute;left:6241;top:3828;width:702;height:2" coordorigin="6241,3828" coordsize="702,0" path="m6241,3828l6942,3828e" filled="false" stroked="true" strokeweight=".48pt" strokecolor="#000000">
                <v:path arrowok="t"/>
              </v:shape>
            </v:group>
            <v:group style="position:absolute;left:6952;top:3828;width:982;height:2" coordorigin="6952,3828" coordsize="982,2">
              <v:shape style="position:absolute;left:6952;top:3828;width:982;height:2" coordorigin="6952,3828" coordsize="982,0" path="m6952,3828l7933,3828e" filled="false" stroked="true" strokeweight=".48pt" strokecolor="#000000">
                <v:path arrowok="t"/>
              </v:shape>
            </v:group>
            <v:group style="position:absolute;left:7943;top:3828;width:985;height:2" coordorigin="7943,3828" coordsize="985,2">
              <v:shape style="position:absolute;left:7943;top:3828;width:985;height:2" coordorigin="7943,3828" coordsize="985,0" path="m7943,3828l8927,3828e" filled="false" stroked="true" strokeweight=".48pt" strokecolor="#000000">
                <v:path arrowok="t"/>
              </v:shape>
            </v:group>
            <v:group style="position:absolute;left:8937;top:3828;width:1762;height:2" coordorigin="8937,3828" coordsize="1762,2">
              <v:shape style="position:absolute;left:8937;top:3828;width:1762;height:2" coordorigin="8937,3828" coordsize="1762,0" path="m8937,3828l10699,3828e" filled="false" stroked="true" strokeweight=".48pt" strokecolor="#000000">
                <v:path arrowok="t"/>
              </v:shape>
            </v:group>
            <v:group style="position:absolute;left:8937;top:4234;width:840;height:269" coordorigin="8937,4234" coordsize="840,269">
              <v:shape style="position:absolute;left:8937;top:4234;width:840;height:269" coordorigin="8937,4234" coordsize="840,269" path="m8937,4503l9777,4503,9777,4234,8937,4234,8937,4503xe" filled="true" fillcolor="#d2d2d2" stroked="false">
                <v:path arrowok="t"/>
                <v:fill type="solid"/>
              </v:shape>
            </v:group>
            <v:group style="position:absolute;left:8949;top:4503;width:2;height:392" coordorigin="8949,4503" coordsize="2,392">
              <v:shape style="position:absolute;left:8949;top:4503;width:2;height:392" coordorigin="8949,4503" coordsize="0,392" path="m8949,4503l8949,4894e" filled="false" stroked="true" strokeweight="1.2pt" strokecolor="#d2d2d2">
                <v:path arrowok="t"/>
              </v:shape>
            </v:group>
            <v:group style="position:absolute;left:9766;top:4503;width:2;height:392" coordorigin="9766,4503" coordsize="2,392">
              <v:shape style="position:absolute;left:9766;top:4503;width:2;height:392" coordorigin="9766,4503" coordsize="0,392" path="m9766,4503l9766,4894e" filled="false" stroked="true" strokeweight="1.08pt" strokecolor="#d2d2d2">
                <v:path arrowok="t"/>
              </v:shape>
            </v:group>
            <v:group style="position:absolute;left:8937;top:4894;width:840;height:267" coordorigin="8937,4894" coordsize="840,267">
              <v:shape style="position:absolute;left:8937;top:4894;width:840;height:267" coordorigin="8937,4894" coordsize="840,267" path="m8937,5160l9777,5160,9777,4894,8937,4894,8937,5160xe" filled="true" fillcolor="#d2d2d2" stroked="false">
                <v:path arrowok="t"/>
                <v:fill type="solid"/>
              </v:shape>
            </v:group>
            <v:group style="position:absolute;left:8961;top:4503;width:795;height:392" coordorigin="8961,4503" coordsize="795,392">
              <v:shape style="position:absolute;left:8961;top:4503;width:795;height:392" coordorigin="8961,4503" coordsize="795,392" path="m8961,4894l9756,4894,9756,4503,8961,4503,8961,4894xe" filled="true" fillcolor="#d2d2d2" stroked="false">
                <v:path arrowok="t"/>
                <v:fill type="solid"/>
              </v:shape>
            </v:group>
            <v:group style="position:absolute;left:9789;top:4234;width:910;height:269" coordorigin="9789,4234" coordsize="910,269">
              <v:shape style="position:absolute;left:9789;top:4234;width:910;height:269" coordorigin="9789,4234" coordsize="910,269" path="m9789,4503l10699,4503,10699,4234,9789,4234,9789,4503xe" filled="true" fillcolor="#d2d2d2" stroked="false">
                <v:path arrowok="t"/>
                <v:fill type="solid"/>
              </v:shape>
            </v:group>
            <v:group style="position:absolute;left:9800;top:4503;width:2;height:392" coordorigin="9800,4503" coordsize="2,392">
              <v:shape style="position:absolute;left:9800;top:4503;width:2;height:392" coordorigin="9800,4503" coordsize="0,392" path="m9800,4503l9800,4894e" filled="false" stroked="true" strokeweight="1.08pt" strokecolor="#d2d2d2">
                <v:path arrowok="t"/>
              </v:shape>
            </v:group>
            <v:group style="position:absolute;left:10687;top:4503;width:2;height:392" coordorigin="10687,4503" coordsize="2,392">
              <v:shape style="position:absolute;left:10687;top:4503;width:2;height:392" coordorigin="10687,4503" coordsize="0,392" path="m10687,4503l10687,4894e" filled="false" stroked="true" strokeweight="1.2pt" strokecolor="#d2d2d2">
                <v:path arrowok="t"/>
              </v:shape>
            </v:group>
            <v:group style="position:absolute;left:9789;top:4894;width:910;height:267" coordorigin="9789,4894" coordsize="910,267">
              <v:shape style="position:absolute;left:9789;top:4894;width:910;height:267" coordorigin="9789,4894" coordsize="910,267" path="m9789,5160l10699,5160,10699,4894,9789,4894,9789,5160xe" filled="true" fillcolor="#d2d2d2" stroked="false">
                <v:path arrowok="t"/>
                <v:fill type="solid"/>
              </v:shape>
            </v:group>
            <v:group style="position:absolute;left:9811;top:4503;width:864;height:392" coordorigin="9811,4503" coordsize="864,392">
              <v:shape style="position:absolute;left:9811;top:4503;width:864;height:392" coordorigin="9811,4503" coordsize="864,392" path="m9811,4894l10675,4894,10675,4503,9811,4503,9811,4894xe" filled="true" fillcolor="#d2d2d2" stroked="false">
                <v:path arrowok="t"/>
                <v:fill type="solid"/>
              </v:shape>
            </v:group>
            <v:group style="position:absolute;left:8937;top:4229;width:840;height:2" coordorigin="8937,4229" coordsize="840,2">
              <v:shape style="position:absolute;left:8937;top:4229;width:840;height:2" coordorigin="8937,4229" coordsize="840,0" path="m8937,4229l9777,4229e" filled="false" stroked="true" strokeweight=".48pt" strokecolor="#000000">
                <v:path arrowok="t"/>
              </v:shape>
            </v:group>
            <v:group style="position:absolute;left:9787;top:4229;width:912;height:2" coordorigin="9787,4229" coordsize="912,2">
              <v:shape style="position:absolute;left:9787;top:4229;width:912;height:2" coordorigin="9787,4229" coordsize="912,0" path="m9787,4229l10699,4229e" filled="false" stroked="true" strokeweight=".48pt" strokecolor="#000000">
                <v:path arrowok="t"/>
              </v:shape>
            </v:group>
            <v:group style="position:absolute;left:1138;top:5165;width:1352;height:2" coordorigin="1138,5165" coordsize="1352,2">
              <v:shape style="position:absolute;left:1138;top:5165;width:1352;height:2" coordorigin="1138,5165" coordsize="1352,0" path="m1138,5165l2489,5165e" filled="false" stroked="true" strokeweight=".48pt" strokecolor="#000000">
                <v:path arrowok="t"/>
              </v:shape>
            </v:group>
            <v:group style="position:absolute;left:2499;top:5165;width:1359;height:2" coordorigin="2499,5165" coordsize="1359,2">
              <v:shape style="position:absolute;left:2499;top:5165;width:1359;height:2" coordorigin="2499,5165" coordsize="1359,0" path="m2499,5165l3858,5165e" filled="false" stroked="true" strokeweight=".48pt" strokecolor="#000000">
                <v:path arrowok="t"/>
              </v:shape>
            </v:group>
            <v:group style="position:absolute;left:3867;top:5165;width:1359;height:2" coordorigin="3867,5165" coordsize="1359,2">
              <v:shape style="position:absolute;left:3867;top:5165;width:1359;height:2" coordorigin="3867,5165" coordsize="1359,0" path="m3867,5165l5226,5165e" filled="false" stroked="true" strokeweight=".48pt" strokecolor="#000000">
                <v:path arrowok="t"/>
              </v:shape>
            </v:group>
            <v:group style="position:absolute;left:5235;top:5165;width:996;height:2" coordorigin="5235,5165" coordsize="996,2">
              <v:shape style="position:absolute;left:5235;top:5165;width:996;height:2" coordorigin="5235,5165" coordsize="996,0" path="m5235,5165l6231,5165e" filled="false" stroked="true" strokeweight=".48pt" strokecolor="#000000">
                <v:path arrowok="t"/>
              </v:shape>
            </v:group>
            <v:group style="position:absolute;left:6241;top:5165;width:702;height:2" coordorigin="6241,5165" coordsize="702,2">
              <v:shape style="position:absolute;left:6241;top:5165;width:702;height:2" coordorigin="6241,5165" coordsize="702,0" path="m6241,5165l6942,5165e" filled="false" stroked="true" strokeweight=".48pt" strokecolor="#000000">
                <v:path arrowok="t"/>
              </v:shape>
            </v:group>
            <v:group style="position:absolute;left:6952;top:5165;width:982;height:2" coordorigin="6952,5165" coordsize="982,2">
              <v:shape style="position:absolute;left:6952;top:5165;width:982;height:2" coordorigin="6952,5165" coordsize="982,0" path="m6952,5165l7933,5165e" filled="false" stroked="true" strokeweight=".48pt" strokecolor="#000000">
                <v:path arrowok="t"/>
              </v:shape>
            </v:group>
            <v:group style="position:absolute;left:7943;top:5165;width:985;height:2" coordorigin="7943,5165" coordsize="985,2">
              <v:shape style="position:absolute;left:7943;top:5165;width:985;height:2" coordorigin="7943,5165" coordsize="985,0" path="m7943,5165l8927,5165e" filled="false" stroked="true" strokeweight=".48pt" strokecolor="#000000">
                <v:path arrowok="t"/>
              </v:shape>
            </v:group>
            <v:group style="position:absolute;left:8937;top:5165;width:840;height:2" coordorigin="8937,5165" coordsize="840,2">
              <v:shape style="position:absolute;left:8937;top:5165;width:840;height:2" coordorigin="8937,5165" coordsize="840,0" path="m8937,5165l9777,5165e" filled="false" stroked="true" strokeweight=".48pt" strokecolor="#000000">
                <v:path arrowok="t"/>
              </v:shape>
            </v:group>
            <v:group style="position:absolute;left:9787;top:5165;width:912;height:2" coordorigin="9787,5165" coordsize="912,2">
              <v:shape style="position:absolute;left:9787;top:5165;width:912;height:2" coordorigin="9787,5165" coordsize="912,0" path="m9787,5165l10699,5165e" filled="false" stroked="true" strokeweight=".48pt" strokecolor="#000000">
                <v:path arrowok="t"/>
              </v:shape>
            </v:group>
            <v:group style="position:absolute;left:1138;top:9229;width:1352;height:2" coordorigin="1138,9229" coordsize="1352,2">
              <v:shape style="position:absolute;left:1138;top:9229;width:1352;height:2" coordorigin="1138,9229" coordsize="1352,0" path="m1138,9229l2489,9229e" filled="false" stroked="true" strokeweight=".48pt" strokecolor="#000000">
                <v:path arrowok="t"/>
              </v:shape>
            </v:group>
            <v:group style="position:absolute;left:2499;top:9229;width:1359;height:2" coordorigin="2499,9229" coordsize="1359,2">
              <v:shape style="position:absolute;left:2499;top:9229;width:1359;height:2" coordorigin="2499,9229" coordsize="1359,0" path="m2499,9229l3858,9229e" filled="false" stroked="true" strokeweight=".48pt" strokecolor="#000000">
                <v:path arrowok="t"/>
              </v:shape>
            </v:group>
            <v:group style="position:absolute;left:3867;top:9229;width:1359;height:2" coordorigin="3867,9229" coordsize="1359,2">
              <v:shape style="position:absolute;left:3867;top:9229;width:1359;height:2" coordorigin="3867,9229" coordsize="1359,0" path="m3867,9229l5226,9229e" filled="false" stroked="true" strokeweight=".48pt" strokecolor="#000000">
                <v:path arrowok="t"/>
              </v:shape>
            </v:group>
            <v:group style="position:absolute;left:5235;top:9229;width:996;height:2" coordorigin="5235,9229" coordsize="996,2">
              <v:shape style="position:absolute;left:5235;top:9229;width:996;height:2" coordorigin="5235,9229" coordsize="996,0" path="m5235,9229l6231,9229e" filled="false" stroked="true" strokeweight=".48pt" strokecolor="#000000">
                <v:path arrowok="t"/>
              </v:shape>
            </v:group>
            <v:group style="position:absolute;left:6241;top:9229;width:702;height:2" coordorigin="6241,9229" coordsize="702,2">
              <v:shape style="position:absolute;left:6241;top:9229;width:702;height:2" coordorigin="6241,9229" coordsize="702,0" path="m6241,9229l6942,9229e" filled="false" stroked="true" strokeweight=".48pt" strokecolor="#000000">
                <v:path arrowok="t"/>
              </v:shape>
            </v:group>
            <v:group style="position:absolute;left:6952;top:9229;width:982;height:2" coordorigin="6952,9229" coordsize="982,2">
              <v:shape style="position:absolute;left:6952;top:9229;width:982;height:2" coordorigin="6952,9229" coordsize="982,0" path="m6952,9229l7933,9229e" filled="false" stroked="true" strokeweight=".48pt" strokecolor="#000000">
                <v:path arrowok="t"/>
              </v:shape>
            </v:group>
            <v:group style="position:absolute;left:7943;top:9229;width:985;height:2" coordorigin="7943,9229" coordsize="985,2">
              <v:shape style="position:absolute;left:7943;top:9229;width:985;height:2" coordorigin="7943,9229" coordsize="985,0" path="m7943,9229l8927,9229e" filled="false" stroked="true" strokeweight=".48pt" strokecolor="#000000">
                <v:path arrowok="t"/>
              </v:shape>
            </v:group>
            <v:group style="position:absolute;left:8937;top:9229;width:840;height:2" coordorigin="8937,9229" coordsize="840,2">
              <v:shape style="position:absolute;left:8937;top:9229;width:840;height:2" coordorigin="8937,9229" coordsize="840,0" path="m8937,9229l9777,9229e" filled="false" stroked="true" strokeweight=".48pt" strokecolor="#000000">
                <v:path arrowok="t"/>
              </v:shape>
            </v:group>
            <v:group style="position:absolute;left:9787;top:9229;width:912;height:2" coordorigin="9787,9229" coordsize="912,2">
              <v:shape style="position:absolute;left:9787;top:9229;width:912;height:2" coordorigin="9787,9229" coordsize="912,0" path="m9787,9229l10699,9229e" filled="false" stroked="true" strokeweight=".48pt" strokecolor="#000000">
                <v:path arrowok="t"/>
              </v:shape>
            </v:group>
            <v:group style="position:absolute;left:1138;top:10254;width:1352;height:2" coordorigin="1138,10254" coordsize="1352,2">
              <v:shape style="position:absolute;left:1138;top:10254;width:1352;height:2" coordorigin="1138,10254" coordsize="1352,0" path="m1138,10254l2489,10254e" filled="false" stroked="true" strokeweight=".48pt" strokecolor="#000000">
                <v:path arrowok="t"/>
              </v:shape>
            </v:group>
            <v:group style="position:absolute;left:2499;top:10254;width:1359;height:2" coordorigin="2499,10254" coordsize="1359,2">
              <v:shape style="position:absolute;left:2499;top:10254;width:1359;height:2" coordorigin="2499,10254" coordsize="1359,0" path="m2499,10254l3858,10254e" filled="false" stroked="true" strokeweight=".48pt" strokecolor="#000000">
                <v:path arrowok="t"/>
              </v:shape>
            </v:group>
            <v:group style="position:absolute;left:3867;top:10254;width:1359;height:2" coordorigin="3867,10254" coordsize="1359,2">
              <v:shape style="position:absolute;left:3867;top:10254;width:1359;height:2" coordorigin="3867,10254" coordsize="1359,0" path="m3867,10254l5226,10254e" filled="false" stroked="true" strokeweight=".48pt" strokecolor="#000000">
                <v:path arrowok="t"/>
              </v:shape>
            </v:group>
            <v:group style="position:absolute;left:5235;top:10254;width:996;height:2" coordorigin="5235,10254" coordsize="996,2">
              <v:shape style="position:absolute;left:5235;top:10254;width:996;height:2" coordorigin="5235,10254" coordsize="996,0" path="m5235,10254l6231,10254e" filled="false" stroked="true" strokeweight=".48pt" strokecolor="#000000">
                <v:path arrowok="t"/>
              </v:shape>
            </v:group>
            <v:group style="position:absolute;left:6241;top:10254;width:702;height:2" coordorigin="6241,10254" coordsize="702,2">
              <v:shape style="position:absolute;left:6241;top:10254;width:702;height:2" coordorigin="6241,10254" coordsize="702,0" path="m6241,10254l6942,10254e" filled="false" stroked="true" strokeweight=".48pt" strokecolor="#000000">
                <v:path arrowok="t"/>
              </v:shape>
            </v:group>
            <v:group style="position:absolute;left:6952;top:10254;width:982;height:2" coordorigin="6952,10254" coordsize="982,2">
              <v:shape style="position:absolute;left:6952;top:10254;width:982;height:2" coordorigin="6952,10254" coordsize="982,0" path="m6952,10254l7933,10254e" filled="false" stroked="true" strokeweight=".48pt" strokecolor="#000000">
                <v:path arrowok="t"/>
              </v:shape>
            </v:group>
            <v:group style="position:absolute;left:7943;top:10254;width:985;height:2" coordorigin="7943,10254" coordsize="985,2">
              <v:shape style="position:absolute;left:7943;top:10254;width:985;height:2" coordorigin="7943,10254" coordsize="985,0" path="m7943,10254l8927,10254e" filled="false" stroked="true" strokeweight=".48pt" strokecolor="#000000">
                <v:path arrowok="t"/>
              </v:shape>
            </v:group>
            <v:group style="position:absolute;left:8937;top:10254;width:840;height:2" coordorigin="8937,10254" coordsize="840,2">
              <v:shape style="position:absolute;left:8937;top:10254;width:840;height:2" coordorigin="8937,10254" coordsize="840,0" path="m8937,10254l9777,10254e" filled="false" stroked="true" strokeweight=".48pt" strokecolor="#000000">
                <v:path arrowok="t"/>
              </v:shape>
            </v:group>
            <v:group style="position:absolute;left:9787;top:10254;width:912;height:2" coordorigin="9787,10254" coordsize="912,2">
              <v:shape style="position:absolute;left:9787;top:10254;width:912;height:2" coordorigin="9787,10254" coordsize="912,0" path="m9787,10254l10699,10254e" filled="false" stroked="true" strokeweight=".48pt" strokecolor="#000000">
                <v:path arrowok="t"/>
              </v:shape>
            </v:group>
            <v:group style="position:absolute;left:2494;top:3824;width:2;height:8267" coordorigin="2494,3824" coordsize="2,8267">
              <v:shape style="position:absolute;left:2494;top:3824;width:2;height:8267" coordorigin="2494,3824" coordsize="0,8267" path="m2494,3824l2494,12090e" filled="false" stroked="true" strokeweight=".48pt" strokecolor="#000000">
                <v:path arrowok="t"/>
              </v:shape>
            </v:group>
            <v:group style="position:absolute;left:5231;top:3824;width:2;height:8267" coordorigin="5231,3824" coordsize="2,8267">
              <v:shape style="position:absolute;left:5231;top:3824;width:2;height:8267" coordorigin="5231,3824" coordsize="0,8267" path="m5231,3824l5231,12090e" filled="false" stroked="true" strokeweight=".48pt" strokecolor="#000000">
                <v:path arrowok="t"/>
              </v:shape>
            </v:group>
            <v:group style="position:absolute;left:6236;top:3824;width:2;height:8267" coordorigin="6236,3824" coordsize="2,8267">
              <v:shape style="position:absolute;left:6236;top:3824;width:2;height:8267" coordorigin="6236,3824" coordsize="0,8267" path="m6236,3824l6236,12090e" filled="false" stroked="true" strokeweight=".48pt" strokecolor="#000000">
                <v:path arrowok="t"/>
              </v:shape>
            </v:group>
            <v:group style="position:absolute;left:6947;top:3824;width:2;height:8267" coordorigin="6947,3824" coordsize="2,8267">
              <v:shape style="position:absolute;left:6947;top:3824;width:2;height:8267" coordorigin="6947,3824" coordsize="0,8267" path="m6947,3824l6947,12090e" filled="false" stroked="true" strokeweight=".48pt" strokecolor="#000000">
                <v:path arrowok="t"/>
              </v:shape>
            </v:group>
            <v:group style="position:absolute;left:7938;top:3824;width:2;height:8267" coordorigin="7938,3824" coordsize="2,8267">
              <v:shape style="position:absolute;left:7938;top:3824;width:2;height:8267" coordorigin="7938,3824" coordsize="0,8267" path="m7938,3824l7938,12090e" filled="false" stroked="true" strokeweight=".48pt" strokecolor="#000000">
                <v:path arrowok="t"/>
              </v:shape>
            </v:group>
            <v:group style="position:absolute;left:8932;top:3824;width:2;height:8267" coordorigin="8932,3824" coordsize="2,8267">
              <v:shape style="position:absolute;left:8932;top:3824;width:2;height:8267" coordorigin="8932,3824" coordsize="0,8267" path="m8932,3824l8932,12090e" filled="false" stroked="true" strokeweight=".48pt" strokecolor="#000000">
                <v:path arrowok="t"/>
              </v:shape>
            </v:group>
            <v:group style="position:absolute;left:9782;top:4224;width:2;height:7866" coordorigin="9782,4224" coordsize="2,7866">
              <v:shape style="position:absolute;left:9782;top:4224;width:2;height:7866" coordorigin="9782,4224" coordsize="0,7866" path="m9782,4224l9782,12090e" filled="false" stroked="true" strokeweight=".48pt" strokecolor="#000000">
                <v:path arrowok="t"/>
              </v:shape>
            </v:group>
            <v:group style="position:absolute;left:1140;top:12090;width:2718;height:1093" coordorigin="1140,12090" coordsize="2718,1093">
              <v:shape style="position:absolute;left:1140;top:12090;width:2718;height:1093" coordorigin="1140,12090" coordsize="2718,1093" path="m1140,13183l3858,13183,3858,12090,1140,12090,1140,13183xe" filled="true" fillcolor="#d2d2d2" stroked="false">
                <v:path arrowok="t"/>
                <v:fill type="solid"/>
              </v:shape>
            </v:group>
            <v:group style="position:absolute;left:1151;top:13183;width:2;height:704" coordorigin="1151,13183" coordsize="2,704">
              <v:shape style="position:absolute;left:1151;top:13183;width:2;height:704" coordorigin="1151,13183" coordsize="0,704" path="m1151,13183l1151,13886e" filled="false" stroked="true" strokeweight="1.08pt" strokecolor="#d2d2d2">
                <v:path arrowok="t"/>
              </v:shape>
            </v:group>
            <v:group style="position:absolute;left:3846;top:13183;width:2;height:704" coordorigin="3846,13183" coordsize="2,704">
              <v:shape style="position:absolute;left:3846;top:13183;width:2;height:704" coordorigin="3846,13183" coordsize="0,704" path="m3846,13183l3846,13886e" filled="false" stroked="true" strokeweight="1.2pt" strokecolor="#d2d2d2">
                <v:path arrowok="t"/>
              </v:shape>
            </v:group>
            <v:group style="position:absolute;left:1140;top:13886;width:2718;height:1092" coordorigin="1140,13886" coordsize="2718,1092">
              <v:shape style="position:absolute;left:1140;top:13886;width:2718;height:1092" coordorigin="1140,13886" coordsize="2718,1092" path="m1140,14978l3858,14978,3858,13886,1140,13886,1140,14978xe" filled="true" fillcolor="#d2d2d2" stroked="false">
                <v:path arrowok="t"/>
                <v:fill type="solid"/>
              </v:shape>
            </v:group>
            <v:group style="position:absolute;left:1162;top:13183;width:2673;height:353" coordorigin="1162,13183" coordsize="2673,353">
              <v:shape style="position:absolute;left:1162;top:13183;width:2673;height:353" coordorigin="1162,13183" coordsize="2673,353" path="m1162,13536l3834,13536,3834,13183,1162,13183,1162,13536xe" filled="true" fillcolor="#d2d2d2" stroked="false">
                <v:path arrowok="t"/>
                <v:fill type="solid"/>
              </v:shape>
            </v:group>
            <v:group style="position:absolute;left:1162;top:13536;width:2673;height:351" coordorigin="1162,13536" coordsize="2673,351">
              <v:shape style="position:absolute;left:1162;top:13536;width:2673;height:351" coordorigin="1162,13536" coordsize="2673,351" path="m1162,13886l3834,13886,3834,13536,1162,13536,1162,13886xe" filled="true" fillcolor="#d2d2d2" stroked="false">
                <v:path arrowok="t"/>
                <v:fill type="solid"/>
              </v:shape>
            </v:group>
            <v:group style="position:absolute;left:3879;top:12090;width:2;height:2888" coordorigin="3879,12090" coordsize="2,2888">
              <v:shape style="position:absolute;left:3879;top:12090;width:2;height:2888" coordorigin="3879,12090" coordsize="0,2888" path="m3879,12090l3879,14978e" filled="false" stroked="true" strokeweight="1.2pt" strokecolor="#c6eccc">
                <v:path arrowok="t"/>
              </v:shape>
            </v:group>
            <v:group style="position:absolute;left:10687;top:12090;width:2;height:2888" coordorigin="10687,12090" coordsize="2,2888">
              <v:shape style="position:absolute;left:10687;top:12090;width:2;height:2888" coordorigin="10687,12090" coordsize="0,2888" path="m10687,12090l10687,14978e" filled="false" stroked="true" strokeweight="1.2pt" strokecolor="#c6eccc">
                <v:path arrowok="t"/>
              </v:shape>
            </v:group>
            <v:group style="position:absolute;left:3891;top:12090;width:6784;height:353" coordorigin="3891,12090" coordsize="6784,353">
              <v:shape style="position:absolute;left:3891;top:12090;width:6784;height:353" coordorigin="3891,12090" coordsize="6784,353" path="m3891,12443l10675,12443,10675,12090,3891,12090,3891,12443xe" filled="true" fillcolor="#c6eccc" stroked="false">
                <v:path arrowok="t"/>
                <v:fill type="solid"/>
              </v:shape>
            </v:group>
            <v:group style="position:absolute;left:3891;top:12443;width:6784;height:313" coordorigin="3891,12443" coordsize="6784,313">
              <v:shape style="position:absolute;left:3891;top:12443;width:6784;height:313" coordorigin="3891,12443" coordsize="6784,313" path="m3891,12756l10675,12756,10675,12443,3891,12443,3891,12756xe" filled="true" fillcolor="#c6eccc" stroked="false">
                <v:path arrowok="t"/>
                <v:fill type="solid"/>
              </v:shape>
            </v:group>
            <v:group style="position:absolute;left:3891;top:12756;width:6784;height:312" coordorigin="3891,12756" coordsize="6784,312">
              <v:shape style="position:absolute;left:3891;top:12756;width:6784;height:312" coordorigin="3891,12756" coordsize="6784,312" path="m3891,13068l10675,13068,10675,12756,3891,12756,3891,13068xe" filled="true" fillcolor="#c6eccc" stroked="false">
                <v:path arrowok="t"/>
                <v:fill type="solid"/>
              </v:shape>
            </v:group>
            <v:group style="position:absolute;left:3891;top:13068;width:6784;height:312" coordorigin="3891,13068" coordsize="6784,312">
              <v:shape style="position:absolute;left:3891;top:13068;width:6784;height:312" coordorigin="3891,13068" coordsize="6784,312" path="m3891,13380l10675,13380,10675,13068,3891,13068,3891,13380xe" filled="true" fillcolor="#c6eccc" stroked="false">
                <v:path arrowok="t"/>
                <v:fill type="solid"/>
              </v:shape>
            </v:group>
            <v:group style="position:absolute;left:3891;top:13380;width:6784;height:312" coordorigin="3891,13380" coordsize="6784,312">
              <v:shape style="position:absolute;left:3891;top:13380;width:6784;height:312" coordorigin="3891,13380" coordsize="6784,312" path="m3891,13692l10675,13692,10675,13380,3891,13380,3891,13692xe" filled="true" fillcolor="#c6eccc" stroked="false">
                <v:path arrowok="t"/>
                <v:fill type="solid"/>
              </v:shape>
            </v:group>
            <v:group style="position:absolute;left:3891;top:13692;width:6784;height:312" coordorigin="3891,13692" coordsize="6784,312">
              <v:shape style="position:absolute;left:3891;top:13692;width:6784;height:312" coordorigin="3891,13692" coordsize="6784,312" path="m3891,14004l10675,14004,10675,13692,3891,13692,3891,14004xe" filled="true" fillcolor="#c6eccc" stroked="false">
                <v:path arrowok="t"/>
                <v:fill type="solid"/>
              </v:shape>
            </v:group>
            <v:group style="position:absolute;left:3891;top:14004;width:6784;height:312" coordorigin="3891,14004" coordsize="6784,312">
              <v:shape style="position:absolute;left:3891;top:14004;width:6784;height:312" coordorigin="3891,14004" coordsize="6784,312" path="m3891,14316l10675,14316,10675,14004,3891,14004,3891,14316xe" filled="true" fillcolor="#c6eccc" stroked="false">
                <v:path arrowok="t"/>
                <v:fill type="solid"/>
              </v:shape>
            </v:group>
            <v:group style="position:absolute;left:3891;top:14316;width:6784;height:312" coordorigin="3891,14316" coordsize="6784,312">
              <v:shape style="position:absolute;left:3891;top:14316;width:6784;height:312" coordorigin="3891,14316" coordsize="6784,312" path="m3891,14628l10675,14628,10675,14316,3891,14316,3891,14628xe" filled="true" fillcolor="#c6eccc" stroked="false">
                <v:path arrowok="t"/>
                <v:fill type="solid"/>
              </v:shape>
            </v:group>
            <v:group style="position:absolute;left:3891;top:14628;width:6784;height:351" coordorigin="3891,14628" coordsize="6784,351">
              <v:shape style="position:absolute;left:3891;top:14628;width:6784;height:351" coordorigin="3891,14628" coordsize="6784,351" path="m3891,14978l10675,14978,10675,14628,3891,14628,3891,14978xe" filled="true" fillcolor="#c6eccc" stroked="false">
                <v:path arrowok="t"/>
                <v:fill type="solid"/>
              </v:shape>
            </v:group>
            <v:group style="position:absolute;left:1138;top:12085;width:1352;height:2" coordorigin="1138,12085" coordsize="1352,2">
              <v:shape style="position:absolute;left:1138;top:12085;width:1352;height:2" coordorigin="1138,12085" coordsize="1352,0" path="m1138,12085l2489,12085e" filled="false" stroked="true" strokeweight=".48pt" strokecolor="#000000">
                <v:path arrowok="t"/>
              </v:shape>
            </v:group>
            <v:group style="position:absolute;left:2499;top:12085;width:1359;height:2" coordorigin="2499,12085" coordsize="1359,2">
              <v:shape style="position:absolute;left:2499;top:12085;width:1359;height:2" coordorigin="2499,12085" coordsize="1359,0" path="m2499,12085l3858,12085e" filled="false" stroked="true" strokeweight=".48pt" strokecolor="#000000">
                <v:path arrowok="t"/>
              </v:shape>
            </v:group>
            <v:group style="position:absolute;left:3867;top:12085;width:1359;height:2" coordorigin="3867,12085" coordsize="1359,2">
              <v:shape style="position:absolute;left:3867;top:12085;width:1359;height:2" coordorigin="3867,12085" coordsize="1359,0" path="m3867,12085l5226,12085e" filled="false" stroked="true" strokeweight=".48pt" strokecolor="#000000">
                <v:path arrowok="t"/>
              </v:shape>
            </v:group>
            <v:group style="position:absolute;left:5235;top:12085;width:996;height:2" coordorigin="5235,12085" coordsize="996,2">
              <v:shape style="position:absolute;left:5235;top:12085;width:996;height:2" coordorigin="5235,12085" coordsize="996,0" path="m5235,12085l6231,12085e" filled="false" stroked="true" strokeweight=".48pt" strokecolor="#000000">
                <v:path arrowok="t"/>
              </v:shape>
            </v:group>
            <v:group style="position:absolute;left:6241;top:12085;width:702;height:2" coordorigin="6241,12085" coordsize="702,2">
              <v:shape style="position:absolute;left:6241;top:12085;width:702;height:2" coordorigin="6241,12085" coordsize="702,0" path="m6241,12085l6942,12085e" filled="false" stroked="true" strokeweight=".48pt" strokecolor="#000000">
                <v:path arrowok="t"/>
              </v:shape>
            </v:group>
            <v:group style="position:absolute;left:6952;top:12085;width:982;height:2" coordorigin="6952,12085" coordsize="982,2">
              <v:shape style="position:absolute;left:6952;top:12085;width:982;height:2" coordorigin="6952,12085" coordsize="982,0" path="m6952,12085l7933,12085e" filled="false" stroked="true" strokeweight=".48pt" strokecolor="#000000">
                <v:path arrowok="t"/>
              </v:shape>
            </v:group>
            <v:group style="position:absolute;left:7943;top:12085;width:985;height:2" coordorigin="7943,12085" coordsize="985,2">
              <v:shape style="position:absolute;left:7943;top:12085;width:985;height:2" coordorigin="7943,12085" coordsize="985,0" path="m7943,12085l8927,12085e" filled="false" stroked="true" strokeweight=".48pt" strokecolor="#000000">
                <v:path arrowok="t"/>
              </v:shape>
            </v:group>
            <v:group style="position:absolute;left:8937;top:12085;width:840;height:2" coordorigin="8937,12085" coordsize="840,2">
              <v:shape style="position:absolute;left:8937;top:12085;width:840;height:2" coordorigin="8937,12085" coordsize="840,0" path="m8937,12085l9777,12085e" filled="false" stroked="true" strokeweight=".48pt" strokecolor="#000000">
                <v:path arrowok="t"/>
              </v:shape>
            </v:group>
            <v:group style="position:absolute;left:9787;top:12085;width:912;height:2" coordorigin="9787,12085" coordsize="912,2">
              <v:shape style="position:absolute;left:9787;top:12085;width:912;height:2" coordorigin="9787,12085" coordsize="912,0" path="m9787,12085l10699,12085e" filled="false" stroked="true" strokeweight=".48pt" strokecolor="#000000">
                <v:path arrowok="t"/>
              </v:shape>
            </v:group>
            <v:group style="position:absolute;left:1151;top:14988;width:2;height:353" coordorigin="1151,14988" coordsize="2,353">
              <v:shape style="position:absolute;left:1151;top:14988;width:2;height:353" coordorigin="1151,14988" coordsize="0,353" path="m1151,14988l1151,15340e" filled="false" stroked="true" strokeweight="1.08pt" strokecolor="#d2d2d2">
                <v:path arrowok="t"/>
              </v:shape>
            </v:group>
            <v:group style="position:absolute;left:3846;top:14988;width:2;height:353" coordorigin="3846,14988" coordsize="2,353">
              <v:shape style="position:absolute;left:3846;top:14988;width:2;height:353" coordorigin="3846,14988" coordsize="0,353" path="m3846,14988l3846,15340e" filled="false" stroked="true" strokeweight="1.2pt" strokecolor="#d2d2d2">
                <v:path arrowok="t"/>
              </v:shape>
            </v:group>
            <v:group style="position:absolute;left:1162;top:14988;width:2673;height:353" coordorigin="1162,14988" coordsize="2673,353">
              <v:shape style="position:absolute;left:1162;top:14988;width:2673;height:353" coordorigin="1162,14988" coordsize="2673,353" path="m1162,15340l3834,15340,3834,14988,1162,14988,1162,15340xe" filled="true" fillcolor="#d2d2d2" stroked="false">
                <v:path arrowok="t"/>
                <v:fill type="solid"/>
              </v:shape>
            </v:group>
            <v:group style="position:absolute;left:3879;top:14988;width:2;height:353" coordorigin="3879,14988" coordsize="2,353">
              <v:shape style="position:absolute;left:3879;top:14988;width:2;height:353" coordorigin="3879,14988" coordsize="0,353" path="m3879,14988l3879,15340e" filled="false" stroked="true" strokeweight="1.2pt" strokecolor="#c6eccc">
                <v:path arrowok="t"/>
              </v:shape>
            </v:group>
            <v:group style="position:absolute;left:10687;top:14988;width:2;height:353" coordorigin="10687,14988" coordsize="2,353">
              <v:shape style="position:absolute;left:10687;top:14988;width:2;height:353" coordorigin="10687,14988" coordsize="0,353" path="m10687,14988l10687,15340e" filled="false" stroked="true" strokeweight="1.2pt" strokecolor="#c6eccc">
                <v:path arrowok="t"/>
              </v:shape>
            </v:group>
            <v:group style="position:absolute;left:3891;top:14988;width:6784;height:353" coordorigin="3891,14988" coordsize="6784,353">
              <v:shape style="position:absolute;left:3891;top:14988;width:6784;height:353" coordorigin="3891,14988" coordsize="6784,353" path="m3891,15340l10675,15340,10675,14988,3891,14988,3891,15340xe" filled="true" fillcolor="#c6eccc" stroked="false">
                <v:path arrowok="t"/>
                <v:fill type="solid"/>
              </v:shape>
            </v:group>
            <v:group style="position:absolute;left:1133;top:3020;width:2;height:12331" coordorigin="1133,3020" coordsize="2,12331">
              <v:shape style="position:absolute;left:1133;top:3020;width:2;height:12331" coordorigin="1133,3020" coordsize="0,12331" path="m1133,3020l1133,15350e" filled="false" stroked="true" strokeweight=".48pt" strokecolor="#000000">
                <v:path arrowok="t"/>
              </v:shape>
            </v:group>
            <v:group style="position:absolute;left:1138;top:15345;width:2721;height:2" coordorigin="1138,15345" coordsize="2721,2">
              <v:shape style="position:absolute;left:1138;top:15345;width:2721;height:2" coordorigin="1138,15345" coordsize="2721,0" path="m1138,15345l3858,15345e" filled="false" stroked="true" strokeweight=".48pt" strokecolor="#000000">
                <v:path arrowok="t"/>
              </v:shape>
            </v:group>
            <v:group style="position:absolute;left:3863;top:3824;width:2;height:11527" coordorigin="3863,3824" coordsize="2,11527">
              <v:shape style="position:absolute;left:3863;top:3824;width:2;height:11527" coordorigin="3863,3824" coordsize="0,11527" path="m3863,3824l3863,15350e" filled="false" stroked="true" strokeweight=".48pt" strokecolor="#000000">
                <v:path arrowok="t"/>
              </v:shape>
            </v:group>
            <v:group style="position:absolute;left:3867;top:15345;width:6832;height:2" coordorigin="3867,15345" coordsize="6832,2">
              <v:shape style="position:absolute;left:3867;top:15345;width:6832;height:2" coordorigin="3867,15345" coordsize="6832,0" path="m3867,15345l10699,15345e" filled="false" stroked="true" strokeweight=".48pt" strokecolor="#000000">
                <v:path arrowok="t"/>
              </v:shape>
            </v:group>
            <v:group style="position:absolute;left:10704;top:3020;width:2;height:12331" coordorigin="10704,3020" coordsize="2,12331">
              <v:shape style="position:absolute;left:10704;top:3020;width:2;height:12331" coordorigin="10704,3020" coordsize="0,12331" path="m10704,3020l10704,15350e" filled="false" stroked="true" strokeweight=".48pt" strokecolor="#000000">
                <v:path arrowok="t"/>
              </v:shape>
              <v:shape style="position:absolute;left:9206;top:15298;width:2700;height:1540" type="#_x0000_t75" stroked="false">
                <v:imagedata r:id="rId15" o:title=""/>
              </v:shape>
            </v:group>
            <w10:wrap type="none"/>
          </v:group>
        </w:pict>
      </w:r>
    </w:p>
    <w:p>
      <w:pPr>
        <w:pStyle w:val="Heading2"/>
        <w:spacing w:line="240" w:lineRule="auto" w:before="26"/>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7275" w:right="1123"/>
        <w:jc w:val="left"/>
      </w:pPr>
      <w:r>
        <w:rPr/>
        <w:pict>
          <v:shape style="position:absolute;margin-left:56.639999pt;margin-top:-81.88829pt;width:478.55pt;height:616.050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1"/>
                    <w:gridCol w:w="1363"/>
                    <w:gridCol w:w="1380"/>
                    <w:gridCol w:w="1710"/>
                    <w:gridCol w:w="991"/>
                    <w:gridCol w:w="1385"/>
                    <w:gridCol w:w="458"/>
                    <w:gridCol w:w="922"/>
                  </w:tblGrid>
                  <w:tr>
                    <w:trPr>
                      <w:trHeight w:val="2545" w:hRule="exact"/>
                    </w:trPr>
                    <w:tc>
                      <w:tcPr>
                        <w:tcW w:w="1361"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before="53"/>
                          <w:ind w:left="319" w:right="0" w:hanging="291"/>
                          <w:jc w:val="left"/>
                          <w:rPr>
                            <w:rFonts w:ascii="宋体" w:hAnsi="宋体" w:cs="宋体" w:eastAsia="宋体" w:hint="default"/>
                            <w:sz w:val="18"/>
                            <w:szCs w:val="18"/>
                          </w:rPr>
                        </w:pPr>
                        <w:r>
                          <w:rPr>
                            <w:rFonts w:ascii="宋体" w:hAnsi="宋体" w:cs="宋体" w:eastAsia="宋体" w:hint="default"/>
                            <w:sz w:val="18"/>
                            <w:szCs w:val="18"/>
                          </w:rPr>
                          <w:t>报告期股东总数</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1363"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股东性质</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4082" w:type="dxa"/>
                        <w:gridSpan w:val="3"/>
                        <w:tcBorders>
                          <w:top w:val="nil" w:sz="6" w:space="0" w:color="auto"/>
                          <w:left w:val="nil" w:sz="6" w:space="0" w:color="auto"/>
                          <w:bottom w:val="single" w:sz="4" w:space="0" w:color="000000"/>
                          <w:right w:val="nil" w:sz="6" w:space="0" w:color="auto"/>
                        </w:tcBorders>
                        <w:shd w:val="clear" w:color="auto" w:fill="D2D2D2"/>
                      </w:tcPr>
                      <w:p>
                        <w:pPr>
                          <w:pStyle w:val="TableParagraph"/>
                          <w:spacing w:line="386" w:lineRule="auto" w:before="53"/>
                          <w:ind w:left="927" w:right="-22" w:firstLine="14"/>
                          <w:jc w:val="left"/>
                          <w:rPr>
                            <w:rFonts w:ascii="宋体" w:hAnsi="宋体" w:cs="宋体" w:eastAsia="宋体" w:hint="default"/>
                            <w:sz w:val="18"/>
                            <w:szCs w:val="18"/>
                          </w:rPr>
                        </w:pPr>
                        <w:r>
                          <w:rPr>
                            <w:rFonts w:ascii="Times New Roman" w:hAnsi="Times New Roman" w:cs="Times New Roman" w:eastAsia="Times New Roman" w:hint="default"/>
                            <w:sz w:val="18"/>
                            <w:szCs w:val="18"/>
                          </w:rPr>
                          <w:t>5,944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p>
                        <w:pPr>
                          <w:pStyle w:val="TableParagraph"/>
                          <w:spacing w:line="196" w:lineRule="exact" w:before="32"/>
                          <w:ind w:left="1386" w:right="0"/>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156" w:lineRule="exact"/>
                          <w:ind w:right="43"/>
                          <w:jc w:val="righ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156" w:lineRule="exact"/>
                          <w:ind w:left="1426" w:right="0"/>
                          <w:jc w:val="left"/>
                          <w:rPr>
                            <w:rFonts w:ascii="宋体" w:hAnsi="宋体" w:cs="宋体" w:eastAsia="宋体" w:hint="default"/>
                            <w:sz w:val="18"/>
                            <w:szCs w:val="18"/>
                          </w:rPr>
                        </w:pPr>
                        <w:r>
                          <w:rPr>
                            <w:rFonts w:ascii="宋体" w:hAnsi="宋体" w:cs="宋体" w:eastAsia="宋体" w:hint="default"/>
                            <w:sz w:val="18"/>
                            <w:szCs w:val="18"/>
                          </w:rPr>
                          <w:t>报告期末持</w:t>
                        </w:r>
                        <w:r>
                          <w:rPr>
                            <w:rFonts w:ascii="宋体" w:hAnsi="宋体" w:cs="宋体" w:eastAsia="宋体" w:hint="default"/>
                            <w:spacing w:val="47"/>
                            <w:sz w:val="18"/>
                            <w:szCs w:val="18"/>
                          </w:rPr>
                          <w:t> </w:t>
                        </w:r>
                        <w:r>
                          <w:rPr>
                            <w:rFonts w:ascii="宋体" w:hAnsi="宋体" w:cs="宋体" w:eastAsia="宋体" w:hint="default"/>
                            <w:sz w:val="18"/>
                            <w:szCs w:val="18"/>
                          </w:rPr>
                          <w:t>内增减</w:t>
                        </w:r>
                      </w:p>
                      <w:p>
                        <w:pPr>
                          <w:pStyle w:val="TableParagraph"/>
                          <w:tabs>
                            <w:tab w:pos="2463" w:val="left" w:leader="none"/>
                            <w:tab w:pos="3135" w:val="left" w:leader="none"/>
                          </w:tabs>
                          <w:spacing w:line="151" w:lineRule="auto" w:before="38"/>
                          <w:ind w:left="1606" w:right="43" w:hanging="1532"/>
                          <w:jc w:val="left"/>
                          <w:rPr>
                            <w:rFonts w:ascii="宋体" w:hAnsi="宋体" w:cs="宋体" w:eastAsia="宋体" w:hint="default"/>
                            <w:sz w:val="18"/>
                            <w:szCs w:val="18"/>
                          </w:rPr>
                        </w:pPr>
                        <w:r>
                          <w:rPr>
                            <w:rFonts w:ascii="宋体" w:hAnsi="宋体" w:cs="宋体" w:eastAsia="宋体" w:hint="default"/>
                            <w:spacing w:val="-1"/>
                            <w:sz w:val="18"/>
                            <w:szCs w:val="18"/>
                          </w:rPr>
                          <w:t>持股比例（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tab/>
                          <w:tab/>
                        </w:r>
                        <w:r>
                          <w:rPr>
                            <w:rFonts w:ascii="宋体" w:hAnsi="宋体" w:cs="宋体" w:eastAsia="宋体" w:hint="default"/>
                            <w:sz w:val="18"/>
                            <w:szCs w:val="18"/>
                          </w:rPr>
                          <w:t>条件的股份 股数量</w:t>
                          <w:tab/>
                          <w:t>变动情</w:t>
                        </w:r>
                      </w:p>
                      <w:p>
                        <w:pPr>
                          <w:pStyle w:val="TableParagraph"/>
                          <w:spacing w:line="126" w:lineRule="exact"/>
                          <w:ind w:right="312"/>
                          <w:jc w:val="right"/>
                          <w:rPr>
                            <w:rFonts w:ascii="宋体" w:hAnsi="宋体" w:cs="宋体" w:eastAsia="宋体" w:hint="default"/>
                            <w:sz w:val="18"/>
                            <w:szCs w:val="18"/>
                          </w:rPr>
                        </w:pPr>
                        <w:r>
                          <w:rPr>
                            <w:rFonts w:ascii="宋体" w:hAnsi="宋体" w:cs="宋体" w:eastAsia="宋体" w:hint="default"/>
                            <w:sz w:val="18"/>
                            <w:szCs w:val="18"/>
                          </w:rPr>
                          <w:t>数量</w:t>
                        </w:r>
                      </w:p>
                      <w:p>
                        <w:pPr>
                          <w:pStyle w:val="TableParagraph"/>
                          <w:spacing w:line="196" w:lineRule="exact"/>
                          <w:ind w:left="1386" w:right="0"/>
                          <w:jc w:val="center"/>
                          <w:rPr>
                            <w:rFonts w:ascii="宋体" w:hAnsi="宋体" w:cs="宋体" w:eastAsia="宋体" w:hint="default"/>
                            <w:sz w:val="18"/>
                            <w:szCs w:val="18"/>
                          </w:rPr>
                        </w:pPr>
                        <w:r>
                          <w:rPr>
                            <w:rFonts w:ascii="宋体" w:hAnsi="宋体" w:cs="宋体" w:eastAsia="宋体" w:hint="default"/>
                            <w:sz w:val="18"/>
                            <w:szCs w:val="18"/>
                          </w:rPr>
                          <w:t>况</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2450" w:val="left" w:leader="none"/>
                          </w:tabs>
                          <w:spacing w:line="240" w:lineRule="auto"/>
                          <w:ind w:right="2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24.14%    </w:t>
                        </w:r>
                        <w:r>
                          <w:rPr>
                            <w:rFonts w:ascii="Times New Roman" w:hAnsi="Times New Roman" w:cs="Times New Roman" w:eastAsia="Times New Roman" w:hint="default"/>
                            <w:spacing w:val="-1"/>
                            <w:sz w:val="18"/>
                            <w:szCs w:val="18"/>
                          </w:rPr>
                          <w:t>57,942,000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无变动</w:t>
                          <w:tab/>
                        </w:r>
                        <w:r>
                          <w:rPr>
                            <w:rFonts w:ascii="Times New Roman" w:hAnsi="Times New Roman" w:cs="Times New Roman" w:eastAsia="Times New Roman" w:hint="default"/>
                            <w:spacing w:val="-1"/>
                            <w:sz w:val="18"/>
                            <w:szCs w:val="18"/>
                          </w:rPr>
                          <w:t>57,942,000</w:t>
                        </w:r>
                      </w:p>
                    </w:tc>
                    <w:tc>
                      <w:tcPr>
                        <w:tcW w:w="2765" w:type="dxa"/>
                        <w:gridSpan w:val="3"/>
                        <w:tcBorders>
                          <w:top w:val="nil" w:sz="6" w:space="0" w:color="auto"/>
                          <w:left w:val="nil" w:sz="6" w:space="0" w:color="auto"/>
                          <w:bottom w:val="single" w:sz="4" w:space="0" w:color="000000"/>
                          <w:right w:val="nil" w:sz="6" w:space="0" w:color="auto"/>
                        </w:tcBorders>
                        <w:shd w:val="clear" w:color="auto" w:fill="D2D2D2"/>
                      </w:tcPr>
                      <w:p>
                        <w:pPr>
                          <w:pStyle w:val="TableParagraph"/>
                          <w:tabs>
                            <w:tab w:pos="2244" w:val="left" w:leader="none"/>
                          </w:tabs>
                          <w:spacing w:line="240" w:lineRule="auto" w:before="5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股东总数</w:t>
                          <w:tab/>
                        </w:r>
                        <w:r>
                          <w:rPr>
                            <w:rFonts w:ascii="Times New Roman" w:hAnsi="Times New Roman" w:cs="Times New Roman" w:eastAsia="Times New Roman" w:hint="default"/>
                            <w:sz w:val="18"/>
                            <w:szCs w:val="18"/>
                          </w:rPr>
                          <w:t>10,797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41"/>
                          <w:ind w:left="996" w:right="0"/>
                          <w:jc w:val="center"/>
                          <w:rPr>
                            <w:rFonts w:ascii="宋体" w:hAnsi="宋体" w:cs="宋体" w:eastAsia="宋体" w:hint="default"/>
                            <w:sz w:val="18"/>
                            <w:szCs w:val="18"/>
                          </w:rPr>
                        </w:pPr>
                        <w:r>
                          <w:rPr>
                            <w:rFonts w:ascii="宋体" w:hAnsi="宋体" w:cs="宋体" w:eastAsia="宋体" w:hint="default"/>
                            <w:sz w:val="18"/>
                            <w:szCs w:val="18"/>
                          </w:rPr>
                          <w:t>质押或冻结情况</w:t>
                        </w:r>
                      </w:p>
                      <w:p>
                        <w:pPr>
                          <w:pStyle w:val="TableParagraph"/>
                          <w:spacing w:line="196" w:lineRule="exact"/>
                          <w:ind w:left="45" w:right="0"/>
                          <w:jc w:val="left"/>
                          <w:rPr>
                            <w:rFonts w:ascii="宋体" w:hAnsi="宋体" w:cs="宋体" w:eastAsia="宋体" w:hint="default"/>
                            <w:sz w:val="18"/>
                            <w:szCs w:val="18"/>
                          </w:rPr>
                        </w:pPr>
                        <w:r>
                          <w:rPr>
                            <w:rFonts w:ascii="宋体" w:hAnsi="宋体" w:cs="宋体" w:eastAsia="宋体" w:hint="default"/>
                            <w:sz w:val="18"/>
                            <w:szCs w:val="18"/>
                          </w:rPr>
                          <w:t>持有无限售</w:t>
                        </w:r>
                      </w:p>
                      <w:p>
                        <w:pPr>
                          <w:pStyle w:val="TableParagraph"/>
                          <w:spacing w:line="219" w:lineRule="exact" w:before="76"/>
                          <w:ind w:left="45" w:right="0"/>
                          <w:jc w:val="left"/>
                          <w:rPr>
                            <w:rFonts w:ascii="宋体" w:hAnsi="宋体" w:cs="宋体" w:eastAsia="宋体" w:hint="default"/>
                            <w:sz w:val="18"/>
                            <w:szCs w:val="18"/>
                          </w:rPr>
                        </w:pPr>
                        <w:r>
                          <w:rPr>
                            <w:rFonts w:ascii="宋体" w:hAnsi="宋体" w:cs="宋体" w:eastAsia="宋体" w:hint="default"/>
                            <w:sz w:val="18"/>
                            <w:szCs w:val="18"/>
                          </w:rPr>
                          <w:t>条件的股份</w:t>
                        </w:r>
                      </w:p>
                      <w:p>
                        <w:pPr>
                          <w:pStyle w:val="TableParagraph"/>
                          <w:tabs>
                            <w:tab w:pos="1843" w:val="left" w:leader="none"/>
                          </w:tabs>
                          <w:spacing w:line="219" w:lineRule="exact"/>
                          <w:ind w:left="778" w:right="0"/>
                          <w:jc w:val="center"/>
                          <w:rPr>
                            <w:rFonts w:ascii="宋体" w:hAnsi="宋体" w:cs="宋体" w:eastAsia="宋体" w:hint="default"/>
                            <w:sz w:val="18"/>
                            <w:szCs w:val="18"/>
                          </w:rPr>
                        </w:pPr>
                        <w:r>
                          <w:rPr>
                            <w:rFonts w:ascii="宋体" w:hAnsi="宋体" w:cs="宋体" w:eastAsia="宋体" w:hint="default"/>
                            <w:sz w:val="18"/>
                            <w:szCs w:val="18"/>
                          </w:rPr>
                          <w:t>股份状态</w:t>
                          <w:tab/>
                          <w:t>数量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tabs>
                            <w:tab w:pos="1988" w:val="left" w:leader="none"/>
                          </w:tabs>
                          <w:spacing w:line="240" w:lineRule="auto"/>
                          <w:ind w:left="8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质押</w:t>
                          <w:tab/>
                        </w:r>
                        <w:r>
                          <w:rPr>
                            <w:rFonts w:ascii="Times New Roman" w:hAnsi="Times New Roman" w:cs="Times New Roman" w:eastAsia="Times New Roman" w:hint="default"/>
                            <w:sz w:val="18"/>
                            <w:szCs w:val="18"/>
                          </w:rPr>
                          <w:t>4,800,000</w:t>
                        </w:r>
                      </w:p>
                    </w:tc>
                  </w:tr>
                  <w:tr>
                    <w:trPr>
                      <w:trHeight w:val="401" w:hRule="exact"/>
                    </w:trPr>
                    <w:tc>
                      <w:tcPr>
                        <w:tcW w:w="136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15.62%</w:t>
                        </w:r>
                      </w:p>
                    </w:tc>
                    <w:tc>
                      <w:tcPr>
                        <w:tcW w:w="171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37,499,960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无变动</w:t>
                        </w:r>
                      </w:p>
                    </w:tc>
                    <w:tc>
                      <w:tcPr>
                        <w:tcW w:w="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37,499,960</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0</w:t>
                        </w:r>
                      </w:p>
                    </w:tc>
                    <w:tc>
                      <w:tcPr>
                        <w:tcW w:w="458" w:type="dxa"/>
                        <w:tcBorders>
                          <w:top w:val="single" w:sz="4" w:space="0" w:color="000000"/>
                          <w:left w:val="nil" w:sz="6" w:space="0" w:color="auto"/>
                          <w:bottom w:val="single" w:sz="4" w:space="0" w:color="000000"/>
                          <w:right w:val="nil" w:sz="6" w:space="0" w:color="auto"/>
                        </w:tcBorders>
                      </w:tcPr>
                      <w:p>
                        <w:pPr/>
                      </w:p>
                    </w:tc>
                    <w:tc>
                      <w:tcPr>
                        <w:tcW w:w="922" w:type="dxa"/>
                        <w:tcBorders>
                          <w:top w:val="single" w:sz="4" w:space="0" w:color="000000"/>
                          <w:left w:val="nil" w:sz="6" w:space="0" w:color="auto"/>
                          <w:bottom w:val="single" w:sz="4" w:space="0" w:color="000000"/>
                          <w:right w:val="nil" w:sz="6" w:space="0" w:color="auto"/>
                        </w:tcBorders>
                      </w:tcPr>
                      <w:p>
                        <w:pPr/>
                      </w:p>
                    </w:tc>
                  </w:tr>
                  <w:tr>
                    <w:trPr>
                      <w:trHeight w:val="403" w:hRule="exact"/>
                    </w:trPr>
                    <w:tc>
                      <w:tcPr>
                        <w:tcW w:w="136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程文</w:t>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3.44%</w:t>
                        </w:r>
                      </w:p>
                    </w:tc>
                    <w:tc>
                      <w:tcPr>
                        <w:tcW w:w="171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8,250,080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无变动</w:t>
                        </w:r>
                      </w:p>
                    </w:tc>
                    <w:tc>
                      <w:tcPr>
                        <w:tcW w:w="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8,250,080</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8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质押</w:t>
                        </w:r>
                      </w:p>
                    </w:tc>
                    <w:tc>
                      <w:tcPr>
                        <w:tcW w:w="458" w:type="dxa"/>
                        <w:tcBorders>
                          <w:top w:val="single" w:sz="4" w:space="0" w:color="000000"/>
                          <w:left w:val="nil" w:sz="6" w:space="0" w:color="auto"/>
                          <w:bottom w:val="single" w:sz="4" w:space="0" w:color="000000"/>
                          <w:right w:val="nil" w:sz="6" w:space="0" w:color="auto"/>
                        </w:tcBorders>
                      </w:tcPr>
                      <w:p>
                        <w:pP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3,500,000</w:t>
                        </w:r>
                      </w:p>
                    </w:tc>
                  </w:tr>
                  <w:tr>
                    <w:trPr>
                      <w:trHeight w:val="355"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汇添富基金公司</w:t>
                        </w:r>
                      </w:p>
                    </w:tc>
                    <w:tc>
                      <w:tcPr>
                        <w:tcW w:w="136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5467" w:type="dxa"/>
                        <w:gridSpan w:val="5"/>
                        <w:tcBorders>
                          <w:top w:val="nil" w:sz="6" w:space="0" w:color="auto"/>
                          <w:left w:val="nil" w:sz="6" w:space="0" w:color="auto"/>
                          <w:bottom w:val="nil" w:sz="6" w:space="0" w:color="auto"/>
                          <w:right w:val="nil" w:sz="6" w:space="0" w:color="auto"/>
                        </w:tcBorders>
                      </w:tcPr>
                      <w:p>
                        <w:pPr/>
                      </w:p>
                    </w:tc>
                  </w:tr>
                  <w:tr>
                    <w:trPr>
                      <w:trHeight w:val="317"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兴业</w:t>
                        </w:r>
                        <w:r>
                          <w:rPr>
                            <w:rFonts w:ascii="Times New Roman" w:hAnsi="Times New Roman" w:cs="Times New Roman" w:eastAsia="Times New Roman" w:hint="default"/>
                            <w:sz w:val="18"/>
                            <w:szCs w:val="18"/>
                          </w:rPr>
                          <w:t>-</w:t>
                        </w:r>
                        <w:r>
                          <w:rPr>
                            <w:rFonts w:ascii="宋体" w:hAnsi="宋体" w:cs="宋体" w:eastAsia="宋体" w:hint="default"/>
                            <w:sz w:val="18"/>
                            <w:szCs w:val="18"/>
                          </w:rPr>
                          <w:t>中融国际</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Times New Roman" w:hAnsi="Times New Roman" w:cs="Times New Roman" w:eastAsia="Times New Roman" w:hint="default"/>
                            <w:sz w:val="18"/>
                            <w:szCs w:val="18"/>
                          </w:rPr>
                        </w:pPr>
                        <w:r>
                          <w:rPr>
                            <w:rFonts w:ascii="Times New Roman"/>
                            <w:sz w:val="18"/>
                          </w:rPr>
                          <w:t>3.33%</w:t>
                        </w:r>
                      </w:p>
                    </w:tc>
                    <w:tc>
                      <w:tcPr>
                        <w:tcW w:w="5467" w:type="dxa"/>
                        <w:gridSpan w:val="5"/>
                        <w:tcBorders>
                          <w:top w:val="nil" w:sz="6" w:space="0" w:color="auto"/>
                          <w:left w:val="nil" w:sz="6" w:space="0" w:color="auto"/>
                          <w:bottom w:val="nil" w:sz="6" w:space="0" w:color="auto"/>
                          <w:right w:val="nil" w:sz="6" w:space="0" w:color="auto"/>
                        </w:tcBorders>
                      </w:tcPr>
                      <w:p>
                        <w:pPr>
                          <w:pStyle w:val="TableParagraph"/>
                          <w:tabs>
                            <w:tab w:pos="1955" w:val="left" w:leader="none"/>
                            <w:tab w:pos="3575" w:val="left" w:leader="none"/>
                          </w:tabs>
                          <w:spacing w:line="240" w:lineRule="auto" w:before="52"/>
                          <w:ind w:left="253" w:right="0"/>
                          <w:jc w:val="left"/>
                          <w:rPr>
                            <w:rFonts w:ascii="Times New Roman" w:hAnsi="Times New Roman" w:cs="Times New Roman" w:eastAsia="Times New Roman" w:hint="default"/>
                            <w:sz w:val="18"/>
                            <w:szCs w:val="18"/>
                          </w:rPr>
                        </w:pPr>
                        <w:r>
                          <w:rPr>
                            <w:rFonts w:ascii="Times New Roman"/>
                            <w:spacing w:val="-1"/>
                            <w:sz w:val="18"/>
                          </w:rPr>
                          <w:t>8,000,000</w:t>
                          <w:tab/>
                          <w:t>8,000,000</w:t>
                          <w:tab/>
                        </w:r>
                        <w:r>
                          <w:rPr>
                            <w:rFonts w:ascii="Times New Roman"/>
                            <w:sz w:val="18"/>
                          </w:rPr>
                          <w:t>0</w:t>
                        </w:r>
                      </w:p>
                    </w:tc>
                  </w:tr>
                  <w:tr>
                    <w:trPr>
                      <w:trHeight w:val="353" w:hRule="exact"/>
                    </w:trPr>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信托有限公司</w:t>
                        </w:r>
                      </w:p>
                    </w:tc>
                    <w:tc>
                      <w:tcPr>
                        <w:tcW w:w="1363" w:type="dxa"/>
                        <w:tcBorders>
                          <w:top w:val="nil" w:sz="6" w:space="0" w:color="auto"/>
                          <w:left w:val="nil" w:sz="6" w:space="0" w:color="auto"/>
                          <w:bottom w:val="single" w:sz="4" w:space="0" w:color="000000"/>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
                    </w:tc>
                    <w:tc>
                      <w:tcPr>
                        <w:tcW w:w="5467" w:type="dxa"/>
                        <w:gridSpan w:val="5"/>
                        <w:tcBorders>
                          <w:top w:val="nil" w:sz="6" w:space="0" w:color="auto"/>
                          <w:left w:val="nil" w:sz="6" w:space="0" w:color="auto"/>
                          <w:bottom w:val="single" w:sz="4" w:space="0" w:color="000000"/>
                          <w:right w:val="nil" w:sz="6" w:space="0" w:color="auto"/>
                        </w:tcBorders>
                      </w:tcPr>
                      <w:p>
                        <w:pPr/>
                      </w:p>
                    </w:tc>
                  </w:tr>
                  <w:tr>
                    <w:trPr>
                      <w:trHeight w:val="355"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昆明盈鑫叁玖投</w:t>
                        </w:r>
                      </w:p>
                    </w:tc>
                    <w:tc>
                      <w:tcPr>
                        <w:tcW w:w="1363" w:type="dxa"/>
                        <w:tcBorders>
                          <w:top w:val="single" w:sz="4" w:space="0" w:color="000000"/>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
                    </w:tc>
                    <w:tc>
                      <w:tcPr>
                        <w:tcW w:w="5467" w:type="dxa"/>
                        <w:gridSpan w:val="5"/>
                        <w:tcBorders>
                          <w:top w:val="single" w:sz="4" w:space="0" w:color="000000"/>
                          <w:left w:val="nil" w:sz="6" w:space="0" w:color="auto"/>
                          <w:bottom w:val="nil" w:sz="6" w:space="0" w:color="auto"/>
                          <w:right w:val="nil" w:sz="6" w:space="0" w:color="auto"/>
                        </w:tcBorders>
                      </w:tcPr>
                      <w:p>
                        <w:pPr/>
                      </w:p>
                    </w:tc>
                  </w:tr>
                  <w:tr>
                    <w:trPr>
                      <w:trHeight w:val="317"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Times New Roman" w:hAnsi="Times New Roman" w:cs="Times New Roman" w:eastAsia="Times New Roman" w:hint="default"/>
                            <w:sz w:val="18"/>
                            <w:szCs w:val="18"/>
                          </w:rPr>
                        </w:pPr>
                        <w:r>
                          <w:rPr>
                            <w:rFonts w:ascii="Times New Roman"/>
                            <w:sz w:val="18"/>
                          </w:rPr>
                          <w:t>3.19%</w:t>
                        </w:r>
                      </w:p>
                    </w:tc>
                    <w:tc>
                      <w:tcPr>
                        <w:tcW w:w="5467" w:type="dxa"/>
                        <w:gridSpan w:val="5"/>
                        <w:tcBorders>
                          <w:top w:val="nil" w:sz="6" w:space="0" w:color="auto"/>
                          <w:left w:val="nil" w:sz="6" w:space="0" w:color="auto"/>
                          <w:bottom w:val="nil" w:sz="6" w:space="0" w:color="auto"/>
                          <w:right w:val="nil" w:sz="6" w:space="0" w:color="auto"/>
                        </w:tcBorders>
                      </w:tcPr>
                      <w:p>
                        <w:pPr>
                          <w:pStyle w:val="TableParagraph"/>
                          <w:tabs>
                            <w:tab w:pos="1955" w:val="left" w:leader="none"/>
                            <w:tab w:pos="3575" w:val="left" w:leader="none"/>
                          </w:tabs>
                          <w:spacing w:line="240" w:lineRule="auto" w:before="52"/>
                          <w:ind w:left="253" w:right="0"/>
                          <w:jc w:val="left"/>
                          <w:rPr>
                            <w:rFonts w:ascii="Times New Roman" w:hAnsi="Times New Roman" w:cs="Times New Roman" w:eastAsia="Times New Roman" w:hint="default"/>
                            <w:sz w:val="18"/>
                            <w:szCs w:val="18"/>
                          </w:rPr>
                        </w:pPr>
                        <w:r>
                          <w:rPr>
                            <w:rFonts w:ascii="Times New Roman"/>
                            <w:spacing w:val="-1"/>
                            <w:sz w:val="18"/>
                          </w:rPr>
                          <w:t>7,650,000</w:t>
                          <w:tab/>
                          <w:t>7,650,000</w:t>
                          <w:tab/>
                        </w:r>
                        <w:r>
                          <w:rPr>
                            <w:rFonts w:ascii="Times New Roman"/>
                            <w:sz w:val="18"/>
                          </w:rPr>
                          <w:t>0</w:t>
                        </w:r>
                      </w:p>
                    </w:tc>
                  </w:tr>
                  <w:tr>
                    <w:trPr>
                      <w:trHeight w:val="355" w:hRule="exact"/>
                    </w:trPr>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3" w:type="dxa"/>
                        <w:tcBorders>
                          <w:top w:val="nil" w:sz="6" w:space="0" w:color="auto"/>
                          <w:left w:val="nil" w:sz="6" w:space="0" w:color="auto"/>
                          <w:bottom w:val="single" w:sz="4" w:space="0" w:color="000000"/>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
                    </w:tc>
                    <w:tc>
                      <w:tcPr>
                        <w:tcW w:w="5467" w:type="dxa"/>
                        <w:gridSpan w:val="5"/>
                        <w:tcBorders>
                          <w:top w:val="nil" w:sz="6" w:space="0" w:color="auto"/>
                          <w:left w:val="nil" w:sz="6" w:space="0" w:color="auto"/>
                          <w:bottom w:val="single" w:sz="4" w:space="0" w:color="000000"/>
                          <w:right w:val="nil" w:sz="6" w:space="0" w:color="auto"/>
                        </w:tcBorders>
                      </w:tcPr>
                      <w:p>
                        <w:pPr/>
                      </w:p>
                    </w:tc>
                  </w:tr>
                  <w:tr>
                    <w:trPr>
                      <w:trHeight w:val="401" w:hRule="exact"/>
                    </w:trPr>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z w:val="18"/>
                          </w:rPr>
                          <w:t>3.01%</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7,225,000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无变动</w:t>
                        </w: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7,225,000</w:t>
                        </w:r>
                      </w:p>
                    </w:tc>
                    <w:tc>
                      <w:tcPr>
                        <w:tcW w:w="276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6"/>
                          <w:ind w:left="873" w:right="0"/>
                          <w:jc w:val="left"/>
                          <w:rPr>
                            <w:rFonts w:ascii="Times New Roman" w:hAnsi="Times New Roman" w:cs="Times New Roman" w:eastAsia="Times New Roman" w:hint="default"/>
                            <w:sz w:val="18"/>
                            <w:szCs w:val="18"/>
                          </w:rPr>
                        </w:pPr>
                        <w:r>
                          <w:rPr>
                            <w:rFonts w:ascii="Times New Roman"/>
                            <w:sz w:val="18"/>
                          </w:rPr>
                          <w:t>0</w:t>
                        </w:r>
                      </w:p>
                    </w:tc>
                  </w:tr>
                  <w:tr>
                    <w:trPr>
                      <w:trHeight w:val="300"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王杏才</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2.9%</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6,964,200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无变动</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2765"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6,964,200</w:t>
                        </w:r>
                      </w:p>
                    </w:tc>
                  </w:tr>
                  <w:tr>
                    <w:trPr>
                      <w:trHeight w:val="1238" w:hRule="exact"/>
                    </w:trPr>
                    <w:tc>
                      <w:tcPr>
                        <w:tcW w:w="2724" w:type="dxa"/>
                        <w:gridSpan w:val="2"/>
                        <w:tcBorders>
                          <w:top w:val="nil" w:sz="6" w:space="0" w:color="auto"/>
                          <w:left w:val="nil" w:sz="6" w:space="0" w:color="auto"/>
                          <w:bottom w:val="nil" w:sz="6" w:space="0" w:color="auto"/>
                          <w:right w:val="nil" w:sz="6" w:space="0" w:color="auto"/>
                        </w:tcBorders>
                      </w:tcPr>
                      <w:p>
                        <w:pPr>
                          <w:pStyle w:val="TableParagraph"/>
                          <w:spacing w:line="316" w:lineRule="auto" w:before="158"/>
                          <w:ind w:left="28" w:right="971"/>
                          <w:jc w:val="left"/>
                          <w:rPr>
                            <w:rFonts w:ascii="宋体" w:hAnsi="宋体" w:cs="宋体" w:eastAsia="宋体" w:hint="default"/>
                            <w:sz w:val="18"/>
                            <w:szCs w:val="18"/>
                          </w:rPr>
                        </w:pPr>
                        <w:r>
                          <w:rPr>
                            <w:rFonts w:ascii="宋体" w:hAnsi="宋体" w:cs="宋体" w:eastAsia="宋体" w:hint="default"/>
                            <w:sz w:val="18"/>
                            <w:szCs w:val="18"/>
                          </w:rPr>
                          <w:t>浙江天堂硅谷久 盈股权投资合伙</w:t>
                        </w:r>
                        <w:r>
                          <w:rPr>
                            <w:rFonts w:ascii="宋体" w:hAnsi="宋体" w:cs="宋体" w:eastAsia="宋体" w:hint="default"/>
                            <w:spacing w:val="11"/>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r>
                          <w:rPr>
                            <w:rFonts w:ascii="宋体" w:hAnsi="宋体" w:cs="宋体" w:eastAsia="宋体" w:hint="default"/>
                            <w:spacing w:val="-6"/>
                            <w:sz w:val="18"/>
                            <w:szCs w:val="18"/>
                          </w:rPr>
                          <w:t>企业（有限合伙）</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2.85%</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17" w:lineRule="exact" w:before="107"/>
                          <w:ind w:left="1028" w:right="0"/>
                          <w:jc w:val="left"/>
                          <w:rPr>
                            <w:rFonts w:ascii="宋体" w:hAnsi="宋体" w:cs="宋体" w:eastAsia="宋体" w:hint="default"/>
                            <w:sz w:val="18"/>
                            <w:szCs w:val="18"/>
                          </w:rPr>
                        </w:pPr>
                        <w:r>
                          <w:rPr>
                            <w:rFonts w:ascii="宋体" w:hAnsi="宋体" w:cs="宋体" w:eastAsia="宋体" w:hint="default"/>
                            <w:sz w:val="18"/>
                            <w:szCs w:val="18"/>
                          </w:rPr>
                          <w:t>增发认</w:t>
                        </w:r>
                      </w:p>
                      <w:p>
                        <w:pPr>
                          <w:pStyle w:val="TableParagraph"/>
                          <w:spacing w:line="188" w:lineRule="exact"/>
                          <w:ind w:left="253" w:right="0"/>
                          <w:jc w:val="left"/>
                          <w:rPr>
                            <w:rFonts w:ascii="Times New Roman" w:hAnsi="Times New Roman" w:cs="Times New Roman" w:eastAsia="Times New Roman" w:hint="default"/>
                            <w:sz w:val="18"/>
                            <w:szCs w:val="18"/>
                          </w:rPr>
                        </w:pPr>
                        <w:r>
                          <w:rPr>
                            <w:rFonts w:ascii="Times New Roman"/>
                            <w:sz w:val="18"/>
                          </w:rPr>
                          <w:t>6,850,000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6,850,000</w:t>
                        </w:r>
                      </w:p>
                    </w:tc>
                    <w:tc>
                      <w:tcPr>
                        <w:tcW w:w="2765"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0</w:t>
                        </w:r>
                      </w:p>
                    </w:tc>
                  </w:tr>
                  <w:tr>
                    <w:trPr>
                      <w:trHeight w:val="246"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中国平安人寿保</w:t>
                        </w:r>
                      </w:p>
                    </w:tc>
                    <w:tc>
                      <w:tcPr>
                        <w:tcW w:w="136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180" w:lineRule="exact"/>
                          <w:ind w:right="141"/>
                          <w:jc w:val="right"/>
                          <w:rPr>
                            <w:rFonts w:ascii="宋体" w:hAnsi="宋体" w:cs="宋体" w:eastAsia="宋体" w:hint="default"/>
                            <w:sz w:val="18"/>
                            <w:szCs w:val="18"/>
                          </w:rPr>
                        </w:pPr>
                        <w:r>
                          <w:rPr>
                            <w:rFonts w:ascii="宋体" w:hAnsi="宋体" w:cs="宋体" w:eastAsia="宋体" w:hint="default"/>
                            <w:sz w:val="18"/>
                            <w:szCs w:val="18"/>
                          </w:rPr>
                          <w:t>通过二</w:t>
                        </w:r>
                      </w:p>
                    </w:tc>
                    <w:tc>
                      <w:tcPr>
                        <w:tcW w:w="991" w:type="dxa"/>
                        <w:tcBorders>
                          <w:top w:val="nil" w:sz="6" w:space="0" w:color="auto"/>
                          <w:left w:val="nil" w:sz="6" w:space="0" w:color="auto"/>
                          <w:bottom w:val="nil" w:sz="6" w:space="0" w:color="auto"/>
                          <w:right w:val="nil" w:sz="6" w:space="0" w:color="auto"/>
                        </w:tcBorders>
                      </w:tcPr>
                      <w:p>
                        <w:pPr/>
                      </w:p>
                    </w:tc>
                    <w:tc>
                      <w:tcPr>
                        <w:tcW w:w="2765" w:type="dxa"/>
                        <w:gridSpan w:val="3"/>
                        <w:tcBorders>
                          <w:top w:val="nil" w:sz="6" w:space="0" w:color="auto"/>
                          <w:left w:val="nil" w:sz="6" w:space="0" w:color="auto"/>
                          <w:bottom w:val="nil" w:sz="6" w:space="0" w:color="auto"/>
                          <w:right w:val="nil" w:sz="6" w:space="0" w:color="auto"/>
                        </w:tcBorders>
                      </w:tcPr>
                      <w:p>
                        <w:pPr/>
                      </w:p>
                    </w:tc>
                  </w:tr>
                  <w:tr>
                    <w:trPr>
                      <w:trHeight w:val="317"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险股份有限公司</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Times New Roman" w:hAnsi="Times New Roman" w:cs="Times New Roman" w:eastAsia="Times New Roman" w:hint="default"/>
                            <w:sz w:val="18"/>
                            <w:szCs w:val="18"/>
                          </w:rPr>
                        </w:pPr>
                        <w:r>
                          <w:rPr>
                            <w:rFonts w:ascii="Times New Roman"/>
                            <w:sz w:val="18"/>
                          </w:rPr>
                          <w:t>2.62%</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6,293,764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级市场</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z w:val="18"/>
                          </w:rPr>
                          <w:t>0</w:t>
                        </w:r>
                      </w:p>
                    </w:tc>
                    <w:tc>
                      <w:tcPr>
                        <w:tcW w:w="27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244" w:right="0"/>
                          <w:jc w:val="left"/>
                          <w:rPr>
                            <w:rFonts w:ascii="Times New Roman" w:hAnsi="Times New Roman" w:cs="Times New Roman" w:eastAsia="Times New Roman" w:hint="default"/>
                            <w:sz w:val="18"/>
                            <w:szCs w:val="18"/>
                          </w:rPr>
                        </w:pPr>
                        <w:r>
                          <w:rPr>
                            <w:rFonts w:ascii="Times New Roman"/>
                            <w:sz w:val="18"/>
                          </w:rPr>
                          <w:t>6,293,764</w:t>
                        </w:r>
                      </w:p>
                    </w:tc>
                  </w:tr>
                  <w:tr>
                    <w:trPr>
                      <w:trHeight w:val="355" w:hRule="exact"/>
                    </w:trPr>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投连</w:t>
                        </w:r>
                        <w:r>
                          <w:rPr>
                            <w:rFonts w:ascii="Times New Roman" w:hAnsi="Times New Roman" w:cs="Times New Roman" w:eastAsia="Times New Roman" w:hint="default"/>
                            <w:sz w:val="18"/>
                            <w:szCs w:val="18"/>
                          </w:rPr>
                          <w:t>-</w:t>
                        </w:r>
                        <w:r>
                          <w:rPr>
                            <w:rFonts w:ascii="宋体" w:hAnsi="宋体" w:cs="宋体" w:eastAsia="宋体" w:hint="default"/>
                            <w:sz w:val="18"/>
                            <w:szCs w:val="18"/>
                          </w:rPr>
                          <w:t>个险投连</w:t>
                        </w:r>
                      </w:p>
                    </w:tc>
                    <w:tc>
                      <w:tcPr>
                        <w:tcW w:w="1363" w:type="dxa"/>
                        <w:tcBorders>
                          <w:top w:val="nil" w:sz="6" w:space="0" w:color="auto"/>
                          <w:left w:val="nil" w:sz="6" w:space="0" w:color="auto"/>
                          <w:bottom w:val="single" w:sz="4" w:space="0" w:color="000000"/>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028"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991" w:type="dxa"/>
                        <w:tcBorders>
                          <w:top w:val="nil" w:sz="6" w:space="0" w:color="auto"/>
                          <w:left w:val="nil" w:sz="6" w:space="0" w:color="auto"/>
                          <w:bottom w:val="single" w:sz="4" w:space="0" w:color="000000"/>
                          <w:right w:val="nil" w:sz="6" w:space="0" w:color="auto"/>
                        </w:tcBorders>
                      </w:tcPr>
                      <w:p>
                        <w:pPr/>
                      </w:p>
                    </w:tc>
                    <w:tc>
                      <w:tcPr>
                        <w:tcW w:w="2765" w:type="dxa"/>
                        <w:gridSpan w:val="3"/>
                        <w:tcBorders>
                          <w:top w:val="nil" w:sz="6" w:space="0" w:color="auto"/>
                          <w:left w:val="nil" w:sz="6" w:space="0" w:color="auto"/>
                          <w:bottom w:val="single" w:sz="4" w:space="0" w:color="000000"/>
                          <w:right w:val="nil" w:sz="6" w:space="0" w:color="auto"/>
                        </w:tcBorders>
                      </w:tcPr>
                      <w:p>
                        <w:pPr/>
                      </w:p>
                    </w:tc>
                  </w:tr>
                  <w:tr>
                    <w:trPr>
                      <w:trHeight w:val="401" w:hRule="exact"/>
                    </w:trPr>
                    <w:tc>
                      <w:tcPr>
                        <w:tcW w:w="136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2.32%</w:t>
                        </w:r>
                      </w:p>
                    </w:tc>
                    <w:tc>
                      <w:tcPr>
                        <w:tcW w:w="171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5,565,260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无变动</w:t>
                        </w:r>
                      </w:p>
                    </w:tc>
                    <w:tc>
                      <w:tcPr>
                        <w:tcW w:w="99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5,565,260</w:t>
                        </w:r>
                      </w:p>
                    </w:tc>
                    <w:tc>
                      <w:tcPr>
                        <w:tcW w:w="2765"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2.32%</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5,565,260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无变动</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5,565,260</w:t>
                        </w:r>
                      </w:p>
                    </w:tc>
                    <w:tc>
                      <w:tcPr>
                        <w:tcW w:w="2765"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0</w:t>
                        </w:r>
                      </w:p>
                    </w:tc>
                  </w:tr>
                  <w:tr>
                    <w:trPr>
                      <w:trHeight w:val="2897" w:hRule="exact"/>
                    </w:trPr>
                    <w:tc>
                      <w:tcPr>
                        <w:tcW w:w="2724" w:type="dxa"/>
                        <w:gridSpan w:val="2"/>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8"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6847" w:type="dxa"/>
                        <w:gridSpan w:val="6"/>
                        <w:tcBorders>
                          <w:top w:val="nil" w:sz="6" w:space="0" w:color="auto"/>
                          <w:left w:val="nil" w:sz="6" w:space="0" w:color="auto"/>
                          <w:bottom w:val="single" w:sz="4" w:space="0" w:color="000000"/>
                          <w:right w:val="nil" w:sz="6" w:space="0" w:color="auto"/>
                        </w:tcBorders>
                        <w:shd w:val="clear" w:color="auto" w:fill="C6ECCC"/>
                      </w:tcPr>
                      <w:p>
                        <w:pPr>
                          <w:pStyle w:val="TableParagraph"/>
                          <w:spacing w:line="300" w:lineRule="auto" w:before="53"/>
                          <w:ind w:left="34" w:right="-28" w:firstLine="362"/>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日收到中国证监会《关于核准深圳市卓翼科技股份有限公司 </w:t>
                        </w:r>
                        <w:r>
                          <w:rPr>
                            <w:rFonts w:ascii="宋体" w:hAnsi="宋体" w:cs="宋体" w:eastAsia="宋体" w:hint="default"/>
                            <w:spacing w:val="-5"/>
                            <w:sz w:val="18"/>
                            <w:szCs w:val="18"/>
                          </w:rPr>
                          <w:t>非公开发行股票的批复》（证监许可</w:t>
                        </w:r>
                        <w:r>
                          <w:rPr>
                            <w:rFonts w:ascii="Times New Roman" w:hAnsi="Times New Roman" w:cs="Times New Roman" w:eastAsia="Times New Roman" w:hint="default"/>
                            <w:spacing w:val="-5"/>
                            <w:sz w:val="18"/>
                            <w:szCs w:val="18"/>
                          </w:rPr>
                          <w:t>[2012]1019</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号），核准公司向特定投资者非公开发行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万股。本次非公开发行的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万股新股已认购完毕，并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日在中国证券登记结算有限责任公司深圳分公司完成登记托管手续。</w:t>
                        </w:r>
                      </w:p>
                      <w:p>
                        <w:pPr>
                          <w:pStyle w:val="TableParagraph"/>
                          <w:spacing w:line="307" w:lineRule="auto" w:before="13"/>
                          <w:ind w:left="34" w:right="21"/>
                          <w:jc w:val="left"/>
                          <w:rPr>
                            <w:rFonts w:ascii="宋体" w:hAnsi="宋体" w:cs="宋体" w:eastAsia="宋体" w:hint="default"/>
                            <w:sz w:val="18"/>
                            <w:szCs w:val="18"/>
                          </w:rPr>
                        </w:pPr>
                        <w:r>
                          <w:rPr>
                            <w:rFonts w:ascii="宋体" w:hAnsi="宋体" w:cs="宋体" w:eastAsia="宋体" w:hint="default"/>
                            <w:sz w:val="18"/>
                            <w:szCs w:val="18"/>
                          </w:rPr>
                          <w:t>截至本报告期末，公司前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名股东中，汇添富基金公司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w:t>
                        </w:r>
                        <w:r>
                          <w:rPr>
                            <w:rFonts w:ascii="Times New Roman" w:hAnsi="Times New Roman" w:cs="Times New Roman" w:eastAsia="Times New Roman" w:hint="default"/>
                            <w:sz w:val="18"/>
                            <w:szCs w:val="18"/>
                          </w:rPr>
                          <w:t>-</w:t>
                        </w:r>
                        <w:r>
                          <w:rPr>
                            <w:rFonts w:ascii="宋体" w:hAnsi="宋体" w:cs="宋体" w:eastAsia="宋体" w:hint="default"/>
                            <w:sz w:val="18"/>
                            <w:szCs w:val="18"/>
                          </w:rPr>
                          <w:t>中融国际信托有限公司 </w:t>
                        </w:r>
                        <w:r>
                          <w:rPr>
                            <w:rFonts w:ascii="宋体" w:hAnsi="宋体" w:cs="宋体" w:eastAsia="宋体" w:hint="default"/>
                            <w:spacing w:val="-4"/>
                            <w:sz w:val="18"/>
                            <w:szCs w:val="18"/>
                          </w:rPr>
                          <w:t>昆明盈鑫叁玖投资中心（有限合伙）及浙江天堂硅谷久盈股权投资合伙企业（有限合伙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参与了此次增发项目，汇添富基金公司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兴业</w:t>
                        </w:r>
                        <w:r>
                          <w:rPr>
                            <w:rFonts w:ascii="Times New Roman" w:hAnsi="Times New Roman" w:cs="Times New Roman" w:eastAsia="Times New Roman" w:hint="default"/>
                            <w:sz w:val="18"/>
                            <w:szCs w:val="18"/>
                          </w:rPr>
                          <w:t>-</w:t>
                        </w:r>
                        <w:r>
                          <w:rPr>
                            <w:rFonts w:ascii="宋体" w:hAnsi="宋体" w:cs="宋体" w:eastAsia="宋体" w:hint="default"/>
                            <w:sz w:val="18"/>
                            <w:szCs w:val="18"/>
                          </w:rPr>
                          <w:t>中融国际信托有限公司认购公司股份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股，昆明盈鑫叁玖投资中心（有限合伙）认购公司股份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7,650,000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股，浙江天</w:t>
                        </w:r>
                      </w:p>
                      <w:p>
                        <w:pPr>
                          <w:pStyle w:val="TableParagraph"/>
                          <w:spacing w:line="240" w:lineRule="auto" w:before="7"/>
                          <w:ind w:left="34" w:right="0"/>
                          <w:jc w:val="left"/>
                          <w:rPr>
                            <w:rFonts w:ascii="宋体" w:hAnsi="宋体" w:cs="宋体" w:eastAsia="宋体" w:hint="default"/>
                            <w:sz w:val="18"/>
                            <w:szCs w:val="18"/>
                          </w:rPr>
                        </w:pPr>
                        <w:r>
                          <w:rPr>
                            <w:rFonts w:ascii="宋体" w:hAnsi="宋体" w:cs="宋体" w:eastAsia="宋体" w:hint="default"/>
                            <w:sz w:val="18"/>
                            <w:szCs w:val="18"/>
                          </w:rPr>
                          <w:t>堂硅谷久盈股权投资合伙企业（有限合伙）认购公司股份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62" w:hRule="exact"/>
                    </w:trPr>
                    <w:tc>
                      <w:tcPr>
                        <w:tcW w:w="2724" w:type="dxa"/>
                        <w:gridSpan w:val="2"/>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3090" w:type="dxa"/>
                        <w:gridSpan w:val="2"/>
                        <w:tcBorders>
                          <w:top w:val="single" w:sz="4" w:space="0" w:color="000000"/>
                          <w:left w:val="nil" w:sz="6" w:space="0" w:color="auto"/>
                          <w:bottom w:val="nil" w:sz="6" w:space="0" w:color="auto"/>
                          <w:right w:val="nil" w:sz="6" w:space="0" w:color="auto"/>
                        </w:tcBorders>
                        <w:shd w:val="clear" w:color="auto" w:fill="C6ECCC"/>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pacing w:val="-2"/>
                            <w:sz w:val="18"/>
                            <w:szCs w:val="18"/>
                          </w:rPr>
                          <w:t>报告期内，除田昱、夏传武之外，</w:t>
                        </w:r>
                      </w:p>
                    </w:tc>
                    <w:tc>
                      <w:tcPr>
                        <w:tcW w:w="3757" w:type="dxa"/>
                        <w:gridSpan w:val="4"/>
                        <w:tcBorders>
                          <w:top w:val="single" w:sz="4" w:space="0" w:color="000000"/>
                          <w:left w:val="nil" w:sz="6" w:space="0" w:color="auto"/>
                          <w:bottom w:val="nil" w:sz="6" w:space="0" w:color="auto"/>
                          <w:right w:val="nil" w:sz="6" w:space="0" w:color="auto"/>
                        </w:tcBorders>
                        <w:shd w:val="clear" w:color="auto" w:fill="C6ECCC"/>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pacing w:val="-2"/>
                            <w:sz w:val="18"/>
                            <w:szCs w:val="18"/>
                          </w:rPr>
                          <w:t>其他股东不构成一致行动人。除此之外，公司未</w:t>
                        </w:r>
                      </w:p>
                    </w:tc>
                  </w:tr>
                </w:tbl>
                <w:p>
                  <w:pPr/>
                </w:p>
              </w:txbxContent>
            </v:textbox>
            <w10:wrap type="none"/>
          </v:shape>
        </w:pict>
      </w:r>
      <w:r>
        <w:rPr/>
        <w:t>数量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316" w:lineRule="auto" w:before="44"/>
        <w:ind w:left="5285" w:right="5081"/>
        <w:jc w:val="left"/>
      </w:pPr>
      <w:r>
        <w:rPr/>
        <w:t>增发认 购</w:t>
      </w:r>
    </w:p>
    <w:p>
      <w:pPr>
        <w:spacing w:line="240" w:lineRule="auto" w:before="9"/>
        <w:rPr>
          <w:rFonts w:ascii="宋体" w:hAnsi="宋体" w:cs="宋体" w:eastAsia="宋体" w:hint="default"/>
          <w:sz w:val="28"/>
          <w:szCs w:val="28"/>
        </w:rPr>
      </w:pPr>
    </w:p>
    <w:p>
      <w:pPr>
        <w:pStyle w:val="BodyText"/>
        <w:spacing w:line="316" w:lineRule="auto" w:before="44"/>
        <w:ind w:left="5285" w:right="5081"/>
        <w:jc w:val="left"/>
      </w:pPr>
      <w:r>
        <w:rPr/>
        <w:t>增发认 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74"/>
        <w:jc w:val="center"/>
      </w:pPr>
      <w:r>
        <w:rPr/>
        <w:t>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141"/>
        <w:jc w:val="right"/>
      </w:pPr>
      <w:r>
        <w:rPr/>
        <w:pict>
          <v:shape style="position:absolute;margin-left:178.223007pt;margin-top:1.791723pt;width:355.55pt;height:20pt;mso-position-horizontal-relative:page;mso-position-vertical-relative:paragraph;z-index:-991312"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有）</w:t>
                  </w:r>
                </w:p>
              </w:txbxContent>
            </v:textbox>
            <w10:wrap type="none"/>
          </v:shape>
        </w:pict>
      </w:r>
      <w:r>
        <w:rPr/>
        <w:t>、</w:t>
      </w:r>
    </w:p>
    <w:p>
      <w:pPr>
        <w:pStyle w:val="BodyText"/>
        <w:spacing w:line="240" w:lineRule="auto" w:before="76"/>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76"/>
        <w:ind w:left="0" w:right="1128"/>
        <w:jc w:val="right"/>
        <w:rPr>
          <w:rFonts w:ascii="Times New Roman" w:hAnsi="Times New Roman" w:cs="Times New Roman" w:eastAsia="Times New Roman" w:hint="default"/>
        </w:rPr>
      </w:pPr>
      <w:r>
        <w:rPr>
          <w:rFonts w:ascii="Times New Roman"/>
        </w:rPr>
        <w:t>45</w:t>
      </w:r>
    </w:p>
    <w:p>
      <w:pPr>
        <w:spacing w:after="0" w:line="240" w:lineRule="auto"/>
        <w:jc w:val="right"/>
        <w:rPr>
          <w:rFonts w:ascii="Times New Roman" w:hAnsi="Times New Roman" w:cs="Times New Roman" w:eastAsia="Times New Roman" w:hint="default"/>
        </w:rPr>
        <w:sectPr>
          <w:headerReference w:type="default" r:id="rId35"/>
          <w:footerReference w:type="default" r:id="rId3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30"/>
        <w:gridCol w:w="4104"/>
        <w:gridCol w:w="1369"/>
        <w:gridCol w:w="1368"/>
      </w:tblGrid>
      <w:tr>
        <w:trPr>
          <w:trHeight w:val="358" w:hRule="exact"/>
        </w:trPr>
        <w:tc>
          <w:tcPr>
            <w:tcW w:w="27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1" w:type="dxa"/>
            <w:gridSpan w:val="3"/>
            <w:vMerge w:val="restart"/>
            <w:tcBorders>
              <w:top w:val="single" w:sz="4" w:space="0" w:color="000000"/>
              <w:left w:val="single" w:sz="10" w:space="0" w:color="D2D2D2"/>
              <w:right w:val="single" w:sz="4" w:space="0" w:color="000000"/>
            </w:tcBorders>
            <w:shd w:val="clear" w:color="auto" w:fill="C6ECCC"/>
          </w:tcPr>
          <w:p>
            <w:pPr>
              <w:pStyle w:val="TableParagraph"/>
              <w:spacing w:line="319" w:lineRule="auto" w:before="8"/>
              <w:ind w:left="16" w:right="24"/>
              <w:jc w:val="left"/>
              <w:rPr>
                <w:rFonts w:ascii="宋体" w:hAnsi="宋体" w:cs="宋体" w:eastAsia="宋体" w:hint="default"/>
                <w:sz w:val="18"/>
                <w:szCs w:val="18"/>
              </w:rPr>
            </w:pPr>
            <w:r>
              <w:rPr>
                <w:rFonts w:ascii="宋体" w:hAnsi="宋体" w:cs="宋体" w:eastAsia="宋体" w:hint="default"/>
                <w:spacing w:val="-2"/>
                <w:sz w:val="18"/>
                <w:szCs w:val="18"/>
              </w:rPr>
              <w:t>知其他股东之间是否存在关联关系，也未知其他股东是否属于《上市公司股东持股变动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信息披露管理办法》中规定的一致行动人。</w:t>
            </w:r>
          </w:p>
        </w:tc>
      </w:tr>
      <w:tr>
        <w:trPr>
          <w:trHeight w:val="317" w:hRule="exact"/>
        </w:trPr>
        <w:tc>
          <w:tcPr>
            <w:tcW w:w="2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3"/>
            <w:vMerge/>
            <w:tcBorders>
              <w:left w:val="single" w:sz="10" w:space="0" w:color="D2D2D2"/>
              <w:bottom w:val="single" w:sz="4" w:space="0" w:color="000000"/>
              <w:right w:val="single" w:sz="4" w:space="0" w:color="000000"/>
            </w:tcBorders>
            <w:shd w:val="clear" w:color="auto" w:fill="C6ECCC"/>
          </w:tcPr>
          <w:p>
            <w:pP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vMerge/>
            <w:tcBorders>
              <w:left w:val="single" w:sz="4" w:space="0" w:color="000000"/>
              <w:bottom w:val="nil" w:sz="6" w:space="0" w:color="auto"/>
              <w:right w:val="single" w:sz="4" w:space="0" w:color="000000"/>
            </w:tcBorders>
            <w:shd w:val="clear" w:color="auto" w:fill="D2D2D2"/>
          </w:tcPr>
          <w:p>
            <w:pPr/>
          </w:p>
        </w:tc>
        <w:tc>
          <w:tcPr>
            <w:tcW w:w="4104"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王杏才</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6,964,200</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－投连－个险投连</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6,293,764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6,293,764</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新华人寿保险股份有限公司－分 红－个人分红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5,559,997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5,559,997</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3,364,060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3,211,732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3,211,732</w:t>
            </w:r>
          </w:p>
        </w:tc>
      </w:tr>
      <w:tr>
        <w:trPr>
          <w:trHeight w:val="102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both"/>
              <w:rPr>
                <w:rFonts w:ascii="宋体" w:hAnsi="宋体" w:cs="宋体" w:eastAsia="宋体" w:hint="default"/>
                <w:sz w:val="18"/>
                <w:szCs w:val="18"/>
              </w:rPr>
            </w:pPr>
            <w:r>
              <w:rPr>
                <w:rFonts w:ascii="宋体" w:hAnsi="宋体" w:cs="宋体" w:eastAsia="宋体" w:hint="default"/>
                <w:sz w:val="18"/>
                <w:szCs w:val="18"/>
              </w:rPr>
              <w:t>中国民生银行股份有限公司－长 信增利动态策略股票型证券投资 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2,376,969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2,376,969</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中国农业银行－中邮核心优选股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2,349,918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2,349,918</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中国人寿保险（集团）公司－传统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1,999,933</w:t>
            </w:r>
          </w:p>
        </w:tc>
      </w:tr>
      <w:tr>
        <w:trPr>
          <w:trHeight w:val="716"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－投连－团体退休金进取</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1,900,034</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中国建设银行－农银汇理中小盘 股票型证券投资基金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1,672,096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1,672,096</w:t>
            </w:r>
          </w:p>
        </w:tc>
      </w:tr>
      <w:tr>
        <w:trPr>
          <w:trHeight w:val="1339"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 w:firstLine="362"/>
              <w:jc w:val="left"/>
              <w:rPr>
                <w:rFonts w:ascii="宋体" w:hAnsi="宋体" w:cs="宋体" w:eastAsia="宋体" w:hint="default"/>
                <w:sz w:val="18"/>
                <w:szCs w:val="18"/>
              </w:rPr>
            </w:pPr>
            <w:r>
              <w:rPr>
                <w:rFonts w:ascii="宋体" w:hAnsi="宋体" w:cs="宋体" w:eastAsia="宋体" w:hint="default"/>
                <w:spacing w:val="-2"/>
                <w:sz w:val="18"/>
                <w:szCs w:val="18"/>
              </w:rPr>
              <w:t>公司未知上述无限售流通股股东之间是否存在关联关系及是否属于《上市公司股东</w:t>
            </w:r>
            <w:r>
              <w:rPr>
                <w:rFonts w:ascii="宋体" w:hAnsi="宋体" w:cs="宋体" w:eastAsia="宋体" w:hint="default"/>
                <w:sz w:val="18"/>
                <w:szCs w:val="18"/>
              </w:rPr>
              <w:t> 持股变动信息披露管理办法》中规定的一致行动人。</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自然人</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37"/>
        <w:gridCol w:w="2033"/>
        <w:gridCol w:w="4189"/>
      </w:tblGrid>
      <w:tr>
        <w:trPr>
          <w:trHeight w:val="396"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8" w:hRule="exact"/>
        </w:trPr>
        <w:tc>
          <w:tcPr>
            <w:tcW w:w="33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20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0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333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田昱先生为公司第一大股东，自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年卓翼科技成立至今，担任公司董事长职</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务。夏传武先生为公司第二大股东，自</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年卓翼科技成立至今，担任公司董</w:t>
            </w:r>
          </w:p>
        </w:tc>
      </w:tr>
    </w:tbl>
    <w:p>
      <w:pPr>
        <w:spacing w:after="0" w:line="240" w:lineRule="auto"/>
        <w:jc w:val="left"/>
        <w:rPr>
          <w:rFonts w:ascii="宋体" w:hAnsi="宋体" w:cs="宋体" w:eastAsia="宋体" w:hint="default"/>
          <w:sz w:val="18"/>
          <w:szCs w:val="18"/>
        </w:rPr>
        <w:sectPr>
          <w:footerReference w:type="default" r:id="rId37"/>
          <w:pgSz w:w="11910" w:h="16840"/>
          <w:pgMar w:footer="1310" w:header="877" w:top="1060" w:bottom="1500" w:left="980" w:right="0"/>
          <w:pgNumType w:start="46"/>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48"/>
        <w:gridCol w:w="6222"/>
      </w:tblGrid>
      <w:tr>
        <w:trPr>
          <w:trHeight w:val="363" w:hRule="exact"/>
        </w:trPr>
        <w:tc>
          <w:tcPr>
            <w:tcW w:w="3348" w:type="dxa"/>
            <w:tcBorders>
              <w:top w:val="single" w:sz="4" w:space="0" w:color="000000"/>
              <w:left w:val="single" w:sz="4" w:space="0" w:color="000000"/>
              <w:bottom w:val="single" w:sz="4" w:space="0" w:color="000000"/>
              <w:right w:val="single" w:sz="10" w:space="0" w:color="C6ECCC"/>
            </w:tcBorders>
            <w:shd w:val="clear" w:color="auto" w:fill="D2D2D2"/>
          </w:tcPr>
          <w:p>
            <w:pPr/>
          </w:p>
        </w:tc>
        <w:tc>
          <w:tcPr>
            <w:tcW w:w="62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事、总经理职务。</w:t>
            </w:r>
          </w:p>
        </w:tc>
      </w:tr>
      <w:tr>
        <w:trPr>
          <w:trHeight w:val="401" w:hRule="exact"/>
        </w:trPr>
        <w:tc>
          <w:tcPr>
            <w:tcW w:w="3348"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报告期控股股东变更</w:t>
      </w:r>
    </w:p>
    <w:p>
      <w:pPr>
        <w:pStyle w:val="BodyText"/>
        <w:spacing w:line="240" w:lineRule="auto" w:before="11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49"/>
        <w:gridCol w:w="2033"/>
        <w:gridCol w:w="4189"/>
      </w:tblGrid>
      <w:tr>
        <w:trPr>
          <w:trHeight w:val="398" w:hRule="exact"/>
        </w:trPr>
        <w:tc>
          <w:tcPr>
            <w:tcW w:w="3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3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20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3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0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8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349"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田昱先生为公司第一大股东，自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年卓翼科技成立至今，担任公司董事长职</w:t>
            </w:r>
          </w:p>
          <w:p>
            <w:pPr>
              <w:pStyle w:val="TableParagraph"/>
              <w:spacing w:line="300" w:lineRule="auto" w:before="60"/>
              <w:ind w:left="11" w:right="22"/>
              <w:jc w:val="left"/>
              <w:rPr>
                <w:rFonts w:ascii="宋体" w:hAnsi="宋体" w:cs="宋体" w:eastAsia="宋体" w:hint="default"/>
                <w:sz w:val="18"/>
                <w:szCs w:val="18"/>
              </w:rPr>
            </w:pPr>
            <w:r>
              <w:rPr>
                <w:rFonts w:ascii="宋体" w:hAnsi="宋体" w:cs="宋体" w:eastAsia="宋体" w:hint="default"/>
                <w:sz w:val="18"/>
                <w:szCs w:val="18"/>
              </w:rPr>
              <w:t>务。夏传武先生为公司第二大股东，自</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年卓翼科技成立至今，担任公司董 事、总经理职务。</w:t>
            </w:r>
          </w:p>
        </w:tc>
      </w:tr>
      <w:tr>
        <w:trPr>
          <w:trHeight w:val="403" w:hRule="exact"/>
        </w:trPr>
        <w:tc>
          <w:tcPr>
            <w:tcW w:w="3349"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报告期实际控制人变更</w:t>
      </w:r>
    </w:p>
    <w:p>
      <w:pPr>
        <w:pStyle w:val="BodyText"/>
        <w:spacing w:line="360" w:lineRule="auto" w:before="115"/>
        <w:ind w:right="6794"/>
        <w:jc w:val="left"/>
      </w:pPr>
      <w:r>
        <w:rPr/>
        <w:t>□ 适用 √</w:t>
      </w:r>
      <w:r>
        <w:rPr>
          <w:spacing w:val="3"/>
        </w:rPr>
        <w:t> </w:t>
      </w:r>
      <w:r>
        <w:rPr/>
        <w:t>不适用</w:t>
      </w:r>
      <w:r>
        <w:rPr/>
        <w:t> 公司与实际控制人之间的产权及控制关系的方框图</w:t>
      </w:r>
    </w:p>
    <w:p>
      <w:pPr>
        <w:spacing w:line="240" w:lineRule="auto" w:before="2"/>
        <w:rPr>
          <w:rFonts w:ascii="宋体" w:hAnsi="宋体" w:cs="宋体" w:eastAsia="宋体" w:hint="default"/>
          <w:sz w:val="20"/>
          <w:szCs w:val="20"/>
        </w:rPr>
      </w:pPr>
    </w:p>
    <w:p>
      <w:pPr>
        <w:spacing w:line="3583" w:lineRule="exact"/>
        <w:ind w:left="2108"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671738" cy="2275713"/>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38" cstate="print"/>
                    <a:stretch>
                      <a:fillRect/>
                    </a:stretch>
                  </pic:blipFill>
                  <pic:spPr>
                    <a:xfrm>
                      <a:off x="0" y="0"/>
                      <a:ext cx="3671738" cy="2275713"/>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
        <w:rPr>
          <w:rFonts w:ascii="宋体" w:hAnsi="宋体" w:cs="宋体" w:eastAsia="宋体" w:hint="default"/>
          <w:sz w:val="18"/>
          <w:szCs w:val="18"/>
        </w:rPr>
      </w:pPr>
    </w:p>
    <w:p>
      <w:pPr>
        <w:spacing w:before="0"/>
        <w:ind w:left="152" w:right="112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1"/>
        <w:rPr>
          <w:rFonts w:ascii="宋体" w:hAnsi="宋体" w:cs="宋体" w:eastAsia="宋体" w:hint="default"/>
          <w:sz w:val="18"/>
          <w:szCs w:val="18"/>
        </w:rPr>
      </w:pPr>
    </w:p>
    <w:p>
      <w:pPr>
        <w:pStyle w:val="BodyText"/>
        <w:spacing w:line="240" w:lineRule="auto"/>
        <w:ind w:right="1123"/>
        <w:jc w:val="left"/>
      </w:pPr>
      <w:r>
        <w:rPr/>
        <w:t>□ 适用 √</w:t>
      </w:r>
      <w:r>
        <w:rPr>
          <w:spacing w:val="3"/>
        </w:rPr>
        <w:t> </w:t>
      </w:r>
      <w:r>
        <w:rPr/>
        <w:t>不适用</w:t>
      </w:r>
    </w:p>
    <w:p>
      <w:pPr>
        <w:spacing w:after="0" w:line="240" w:lineRule="auto"/>
        <w:jc w:val="left"/>
        <w:sectPr>
          <w:pgSz w:w="11910" w:h="16840"/>
          <w:pgMar w:header="877" w:footer="131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23"/>
        <w:jc w:val="left"/>
        <w:rPr>
          <w:b w:val="0"/>
          <w:bCs w:val="0"/>
        </w:rPr>
      </w:pP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509"/>
        <w:gridCol w:w="708"/>
        <w:gridCol w:w="991"/>
        <w:gridCol w:w="852"/>
        <w:gridCol w:w="1284"/>
        <w:gridCol w:w="869"/>
        <w:gridCol w:w="871"/>
        <w:gridCol w:w="869"/>
      </w:tblGrid>
      <w:tr>
        <w:trPr>
          <w:trHeight w:val="102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57,942,000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57,942,000</w:t>
            </w: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37,499,960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37,499,960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5,565,260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5,565,260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5,565,260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5,565,260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王小晋</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禚春磊</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1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509"/>
        <w:gridCol w:w="708"/>
        <w:gridCol w:w="991"/>
        <w:gridCol w:w="852"/>
        <w:gridCol w:w="1284"/>
        <w:gridCol w:w="869"/>
        <w:gridCol w:w="871"/>
        <w:gridCol w:w="869"/>
      </w:tblGrid>
      <w:tr>
        <w:trPr>
          <w:trHeight w:val="714" w:hRule="exact"/>
        </w:trPr>
        <w:tc>
          <w:tcPr>
            <w:tcW w:w="8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赵小英</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原职工监 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115,072,480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115,072,48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1"/>
        <w:ind w:left="525" w:right="1123" w:hanging="72"/>
        <w:jc w:val="left"/>
      </w:pPr>
      <w:r>
        <w:rPr/>
        <w:t>（</w:t>
      </w:r>
      <w:r>
        <w:rPr>
          <w:rFonts w:ascii="Times New Roman" w:hAnsi="Times New Roman" w:cs="Times New Roman" w:eastAsia="Times New Roman" w:hint="default"/>
        </w:rPr>
        <w:t>1</w:t>
      </w:r>
      <w:r>
        <w:rPr/>
        <w:t>）现任董事成员主要工作经历 田昱先生，曾担任北京天地集团有限公司销售部经理，北京力宜科技发展有限公司销售部经理，深圳市力晶达电子有</w:t>
      </w:r>
    </w:p>
    <w:p>
      <w:pPr>
        <w:pStyle w:val="BodyText"/>
        <w:spacing w:line="300" w:lineRule="auto" w:before="31"/>
        <w:ind w:right="1123"/>
        <w:jc w:val="left"/>
      </w:pPr>
      <w:r>
        <w:rPr>
          <w:spacing w:val="-2"/>
        </w:rPr>
        <w:t>限公司总经理；</w:t>
      </w:r>
      <w:r>
        <w:rPr>
          <w:rFonts w:ascii="Times New Roman" w:hAnsi="Times New Roman" w:cs="Times New Roman" w:eastAsia="Times New Roman" w:hint="default"/>
          <w:spacing w:val="-2"/>
        </w:rPr>
        <w:t>2004</w:t>
      </w:r>
      <w:r>
        <w:rPr>
          <w:spacing w:val="-2"/>
        </w:rPr>
        <w:t>年成立卓翼科技，担任本公司法定代表人、董事长，同时担任深圳市卓大精密模具有限公司、深圳市中</w:t>
      </w:r>
      <w:r>
        <w:rPr>
          <w:spacing w:val="-65"/>
        </w:rPr>
        <w:t> </w:t>
      </w:r>
      <w:r>
        <w:rPr>
          <w:spacing w:val="-65"/>
        </w:rPr>
      </w:r>
      <w:r>
        <w:rPr/>
        <w:t>广视讯科技发展有限公司、天津卓达科技发展有限公司执行董事，卓翼科技（香港）有限公司董事。</w:t>
      </w:r>
    </w:p>
    <w:p>
      <w:pPr>
        <w:pStyle w:val="BodyText"/>
        <w:spacing w:line="309" w:lineRule="auto" w:before="32"/>
        <w:ind w:right="1130" w:firstLine="372"/>
        <w:jc w:val="both"/>
      </w:pPr>
      <w:r>
        <w:rPr>
          <w:spacing w:val="-2"/>
        </w:rPr>
        <w:t>夏传武先生，曾担任深圳市福瑞康电子有限公司法定代表人、执行董事、总经理，富锐康电子（深圳）有限公司董事；</w:t>
      </w:r>
      <w:r>
        <w:rPr/>
        <w:t> </w:t>
      </w:r>
      <w:r>
        <w:rPr>
          <w:rFonts w:ascii="Times New Roman" w:hAnsi="Times New Roman" w:cs="Times New Roman" w:eastAsia="Times New Roman" w:hint="default"/>
          <w:spacing w:val="-5"/>
        </w:rPr>
        <w:t>2004</w:t>
      </w:r>
      <w:r>
        <w:rPr>
          <w:spacing w:val="-5"/>
        </w:rPr>
        <w:t>年成立卓翼科技，现任本公司总经理，同时担任深圳市中广视讯科技发展有限公司、天津卓达科技发展有限公司总经理，</w:t>
      </w:r>
      <w:r>
        <w:rPr>
          <w:spacing w:val="-68"/>
        </w:rPr>
        <w:t> </w:t>
      </w:r>
      <w:r>
        <w:rPr>
          <w:spacing w:val="-68"/>
        </w:rPr>
      </w:r>
      <w:r>
        <w:rPr/>
        <w:t>卓翼科技（香港）有限公司董事、公司松岗分公司负责人。</w:t>
      </w:r>
    </w:p>
    <w:p>
      <w:pPr>
        <w:pStyle w:val="BodyText"/>
        <w:spacing w:line="309" w:lineRule="auto" w:before="24"/>
        <w:ind w:right="1131" w:firstLine="372"/>
        <w:jc w:val="both"/>
      </w:pPr>
      <w:r>
        <w:rPr>
          <w:spacing w:val="-1"/>
        </w:rPr>
        <w:t>程利先生，曾担任联想电脑公司质控部</w:t>
      </w:r>
      <w:r>
        <w:rPr>
          <w:rFonts w:ascii="Times New Roman" w:hAnsi="Times New Roman" w:cs="Times New Roman" w:eastAsia="Times New Roman" w:hint="default"/>
          <w:spacing w:val="-1"/>
        </w:rPr>
        <w:t>IQC</w:t>
      </w:r>
      <w:r>
        <w:rPr>
          <w:spacing w:val="-1"/>
        </w:rPr>
        <w:t>主管、台式电脑事业部质控部</w:t>
      </w:r>
      <w:r>
        <w:rPr>
          <w:rFonts w:ascii="Times New Roman" w:hAnsi="Times New Roman" w:cs="Times New Roman" w:eastAsia="Times New Roman" w:hint="default"/>
          <w:spacing w:val="-1"/>
        </w:rPr>
        <w:t>SQE</w:t>
      </w:r>
      <w:r>
        <w:rPr>
          <w:spacing w:val="-1"/>
        </w:rPr>
        <w:t>、质控部质量管理处体系处主管，深圳力</w:t>
      </w:r>
      <w:r>
        <w:rPr/>
        <w:t> </w:t>
      </w:r>
      <w:r>
        <w:rPr>
          <w:spacing w:val="-2"/>
        </w:rPr>
        <w:t>晶达电子有限公司总经理助理；现任本公司副总经理，同时担任深圳市卓大精密模具有限公司、深圳市中广视讯科技发展有</w:t>
      </w:r>
      <w:r>
        <w:rPr>
          <w:spacing w:val="-66"/>
        </w:rPr>
        <w:t> </w:t>
      </w:r>
      <w:r>
        <w:rPr>
          <w:spacing w:val="-66"/>
        </w:rPr>
      </w:r>
      <w:r>
        <w:rPr/>
        <w:t>限公司、天津卓达科技发展有限公司监事，卓翼科技（香港）有限公司董事。</w:t>
      </w:r>
    </w:p>
    <w:p>
      <w:pPr>
        <w:pStyle w:val="BodyText"/>
        <w:spacing w:line="316" w:lineRule="auto" w:before="24"/>
        <w:ind w:left="513" w:right="1123"/>
        <w:jc w:val="left"/>
      </w:pPr>
      <w:r>
        <w:rPr/>
        <w:t>魏代英女士，曾担任甘肃兰光科技股份有限公司海外部副经理；现担任本公司董事会秘书兼商务系统总监。 </w:t>
      </w:r>
      <w:r>
        <w:rPr>
          <w:spacing w:val="-2"/>
        </w:rPr>
        <w:t>董海军先生，曾担任深圳同维电子有限公司项目经理，深圳唯冠科技公司产品经理，深圳力晶达电子有限公司开发部经</w:t>
      </w:r>
    </w:p>
    <w:p>
      <w:pPr>
        <w:pStyle w:val="BodyText"/>
        <w:spacing w:line="316" w:lineRule="auto" w:before="19"/>
        <w:ind w:left="525" w:right="1123" w:hanging="373"/>
        <w:jc w:val="left"/>
      </w:pPr>
      <w:r>
        <w:rPr/>
        <w:t>理；现担任本公司技术中心总监、网通事业部总监。 陈新民先生，曾担任深圳福瑞康电子有限公司厂长；现担任本公司工程系统总监。 张学斌先生，曾担任湖南白沙矿务局会计，深圳华特容器有限公司财务经理，深圳北方实业发展有限公司财务总监，</w:t>
      </w:r>
    </w:p>
    <w:p>
      <w:pPr>
        <w:pStyle w:val="BodyText"/>
        <w:spacing w:line="316" w:lineRule="auto" w:before="19"/>
        <w:ind w:right="1130"/>
        <w:jc w:val="both"/>
      </w:pPr>
      <w:r>
        <w:rPr>
          <w:spacing w:val="-2"/>
        </w:rPr>
        <w:t>深圳广深会计师事务所副所长；现担任深圳市思迈特企业管理咨询有限公司总经理，深圳德永会计师事务所合伙人，中翰联</w:t>
      </w:r>
      <w:r>
        <w:rPr>
          <w:spacing w:val="-63"/>
        </w:rPr>
        <w:t> </w:t>
      </w:r>
      <w:r>
        <w:rPr>
          <w:spacing w:val="-63"/>
        </w:rPr>
      </w:r>
      <w:r>
        <w:rPr>
          <w:spacing w:val="-2"/>
        </w:rPr>
        <w:t>合（北京）咨询服务有限公司合伙人，同时担任深圳市长亮科技股份有限公司、深圳芯邦科技股份有限公司、深圳市海格物</w:t>
      </w:r>
      <w:r>
        <w:rPr>
          <w:spacing w:val="-67"/>
        </w:rPr>
        <w:t> </w:t>
      </w:r>
      <w:r>
        <w:rPr>
          <w:spacing w:val="-67"/>
        </w:rPr>
      </w:r>
      <w:r>
        <w:rPr/>
        <w:t>流股份有限公司独立董事。</w:t>
      </w:r>
    </w:p>
    <w:p>
      <w:pPr>
        <w:pStyle w:val="BodyText"/>
        <w:spacing w:line="300" w:lineRule="auto" w:before="19"/>
        <w:ind w:right="1132" w:firstLine="372"/>
        <w:jc w:val="both"/>
      </w:pPr>
      <w:r>
        <w:rPr/>
        <w:t>王新安先生，曾担任航天工业总公司</w:t>
      </w:r>
      <w:r>
        <w:rPr>
          <w:rFonts w:ascii="Times New Roman" w:hAnsi="Times New Roman" w:cs="Times New Roman" w:eastAsia="Times New Roman" w:hint="default"/>
        </w:rPr>
        <w:t>771</w:t>
      </w:r>
      <w:r>
        <w:rPr/>
        <w:t>所高级工程师。现任北京大学教授、博士生导师，北京大学深圳研究生院信息 工程学院副院长。同时还担任深圳芯邦科技股份有限公司、深圳市创智成科技股份有限公司独立董事。</w:t>
      </w:r>
    </w:p>
    <w:p>
      <w:pPr>
        <w:pStyle w:val="BodyText"/>
        <w:spacing w:line="316" w:lineRule="auto" w:before="31"/>
        <w:ind w:right="1141" w:firstLine="372"/>
        <w:jc w:val="both"/>
      </w:pPr>
      <w:r>
        <w:rPr/>
        <w:t>王小晋先生，曾担任中国农村信托投资公司处长，泰信公司总经理，中农信南方公司副总经理，中国建设银行处长， 中国信达资产管理公司部门高级经理等。</w:t>
      </w:r>
    </w:p>
    <w:p>
      <w:pPr>
        <w:spacing w:line="240" w:lineRule="auto" w:before="4"/>
        <w:rPr>
          <w:rFonts w:ascii="宋体" w:hAnsi="宋体" w:cs="宋体" w:eastAsia="宋体" w:hint="default"/>
          <w:sz w:val="25"/>
          <w:szCs w:val="25"/>
        </w:rPr>
      </w:pPr>
    </w:p>
    <w:p>
      <w:pPr>
        <w:pStyle w:val="BodyText"/>
        <w:spacing w:line="300" w:lineRule="auto"/>
        <w:ind w:left="525" w:right="1123" w:hanging="72"/>
        <w:jc w:val="left"/>
      </w:pPr>
      <w:r>
        <w:rPr/>
        <w:t>（</w:t>
      </w:r>
      <w:r>
        <w:rPr>
          <w:rFonts w:ascii="Times New Roman" w:hAnsi="Times New Roman" w:cs="Times New Roman" w:eastAsia="Times New Roman" w:hint="default"/>
        </w:rPr>
        <w:t>2</w:t>
      </w:r>
      <w:r>
        <w:rPr/>
        <w:t>）现任监事成员主要工作经历 胡爱武女士，曾担任深圳市万德莱通讯科技股份有限公司财务部经理，深圳市迪科视像技术有限公司财务部经理；现</w:t>
      </w:r>
    </w:p>
    <w:p>
      <w:pPr>
        <w:pStyle w:val="BodyText"/>
        <w:spacing w:line="309" w:lineRule="auto" w:before="31"/>
        <w:ind w:left="525" w:right="1111" w:hanging="373"/>
        <w:jc w:val="left"/>
      </w:pPr>
      <w:r>
        <w:rPr/>
        <w:t>担任本公司内部审计部负责人。 叶广照先生，曾担任富士康科技集团副理，自</w:t>
      </w:r>
      <w:r>
        <w:rPr>
          <w:rFonts w:ascii="Times New Roman" w:hAnsi="Times New Roman" w:cs="Times New Roman" w:eastAsia="Times New Roman" w:hint="default"/>
        </w:rPr>
        <w:t>2010</w:t>
      </w:r>
      <w:r>
        <w:rPr/>
        <w:t>年起先后担任本公司生产部副总经理、移动终端事业部副总经理。 余红英女士，</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月至今任职于深圳市卓翼科技股份有限公司，先后担任财务部出纳、资金管理部主管，现担任公</w:t>
      </w:r>
    </w:p>
    <w:p>
      <w:pPr>
        <w:pStyle w:val="BodyText"/>
        <w:spacing w:line="240" w:lineRule="auto" w:before="5"/>
        <w:ind w:right="1123"/>
        <w:jc w:val="left"/>
      </w:pPr>
      <w:r>
        <w:rPr/>
        <w:t>司资金管理部副经理。</w:t>
      </w:r>
    </w:p>
    <w:p>
      <w:pPr>
        <w:spacing w:line="240" w:lineRule="auto" w:before="0"/>
        <w:rPr>
          <w:rFonts w:ascii="宋体" w:hAnsi="宋体" w:cs="宋体" w:eastAsia="宋体" w:hint="default"/>
          <w:sz w:val="18"/>
          <w:szCs w:val="18"/>
        </w:rPr>
      </w:pPr>
    </w:p>
    <w:p>
      <w:pPr>
        <w:pStyle w:val="BodyText"/>
        <w:spacing w:line="312" w:lineRule="auto" w:before="153"/>
        <w:ind w:left="513" w:right="5713" w:hanging="60"/>
        <w:jc w:val="left"/>
      </w:pPr>
      <w:r>
        <w:rPr/>
        <w:t>（</w:t>
      </w:r>
      <w:r>
        <w:rPr>
          <w:rFonts w:ascii="Times New Roman" w:hAnsi="Times New Roman" w:cs="Times New Roman" w:eastAsia="Times New Roman" w:hint="default"/>
        </w:rPr>
        <w:t>3</w:t>
      </w:r>
      <w:r>
        <w:rPr/>
        <w:t>）现任高级管理人员主要工作经历 夏传武先生，公司总经理。简历详见董事会成员所述。 程利先生，公司副总经理。简历详见董事会成员所述。 魏代英女士，公司董事会秘书。简历详见董事会成员所述。</w:t>
      </w:r>
    </w:p>
    <w:p>
      <w:pPr>
        <w:pStyle w:val="BodyText"/>
        <w:spacing w:line="240" w:lineRule="auto" w:before="22"/>
        <w:ind w:left="525" w:right="0"/>
        <w:jc w:val="left"/>
      </w:pPr>
      <w:r>
        <w:rPr/>
        <w:t>禚春磊先生，曾担任联想集团公司全球采购高级总监，</w:t>
      </w:r>
      <w:r>
        <w:rPr>
          <w:rFonts w:ascii="Times New Roman" w:hAnsi="Times New Roman" w:cs="Times New Roman" w:eastAsia="Times New Roman" w:hint="default"/>
        </w:rPr>
        <w:t>TPV</w:t>
      </w:r>
      <w:r>
        <w:rPr/>
        <w:t>冠捷集团亚太中东非洲区销售总经理，</w:t>
      </w:r>
      <w:r>
        <w:rPr>
          <w:rFonts w:ascii="Times New Roman" w:hAnsi="Times New Roman" w:cs="Times New Roman" w:eastAsia="Times New Roman" w:hint="default"/>
        </w:rPr>
        <w:t>MMD</w:t>
      </w:r>
      <w:r>
        <w:rPr/>
        <w:t>新加坡公司董</w:t>
      </w:r>
    </w:p>
    <w:p>
      <w:pPr>
        <w:pStyle w:val="BodyText"/>
        <w:spacing w:line="240" w:lineRule="auto" w:before="63"/>
        <w:ind w:right="1123"/>
        <w:jc w:val="left"/>
      </w:pPr>
      <w:r>
        <w:rPr/>
        <w:t>事总经理。现任本公司副总经理。</w:t>
      </w:r>
    </w:p>
    <w:p>
      <w:pPr>
        <w:spacing w:after="0" w:line="240" w:lineRule="auto"/>
        <w:jc w:val="left"/>
        <w:sectPr>
          <w:pgSz w:w="11910" w:h="16840"/>
          <w:pgMar w:header="877" w:footer="1310" w:top="1060" w:bottom="150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6" w:firstLine="372"/>
        <w:jc w:val="both"/>
      </w:pPr>
      <w:r>
        <w:rPr/>
        <w:t>曾兆豪先生，曾担任深圳威诚电子实业股份有限公司财务副理，深圳市傲鹏软件科技有限公司高级实施顾问，</w:t>
      </w:r>
      <w:r>
        <w:rPr>
          <w:rFonts w:ascii="Times New Roman" w:hAnsi="Times New Roman" w:cs="Times New Roman" w:eastAsia="Times New Roman" w:hint="default"/>
        </w:rPr>
        <w:t>2005</w:t>
      </w:r>
      <w:r>
        <w:rPr/>
        <w:t>年 </w:t>
      </w:r>
      <w:r>
        <w:rPr>
          <w:spacing w:val="-2"/>
        </w:rPr>
        <w:t>加入深圳市卓翼科技股份有限公司，先后担任资讯部经理、资材部经理、产品事业部总监、资讯中心总监，现担任公司财务</w:t>
      </w:r>
      <w:r>
        <w:rPr>
          <w:spacing w:val="-67"/>
        </w:rPr>
        <w:t> </w:t>
      </w:r>
      <w:r>
        <w:rPr>
          <w:spacing w:val="-67"/>
        </w:rPr>
      </w:r>
      <w:r>
        <w:rPr/>
        <w:t>总监。</w:t>
      </w:r>
    </w:p>
    <w:p>
      <w:pPr>
        <w:pStyle w:val="BodyText"/>
        <w:spacing w:line="240" w:lineRule="auto" w:before="65"/>
        <w:ind w:right="1123"/>
        <w:jc w:val="left"/>
      </w:pPr>
      <w:r>
        <w:rPr/>
        <w:t>在股东单位任职情况</w:t>
      </w:r>
    </w:p>
    <w:p>
      <w:pPr>
        <w:pStyle w:val="BodyText"/>
        <w:spacing w:line="360" w:lineRule="auto" w:before="115"/>
        <w:ind w:right="9134"/>
        <w:jc w:val="left"/>
      </w:pPr>
      <w:r>
        <w:rPr/>
        <w:t>□ 适用 √</w:t>
      </w:r>
      <w:r>
        <w:rPr>
          <w:spacing w:val="3"/>
        </w:rPr>
        <w:t> </w:t>
      </w:r>
      <w:r>
        <w:rPr/>
        <w:t>不适用</w:t>
      </w:r>
      <w:r>
        <w:rPr/>
        <w:t> 在其他单位任职情况</w:t>
      </w:r>
    </w:p>
    <w:p>
      <w:pPr>
        <w:pStyle w:val="BodyText"/>
        <w:spacing w:line="240" w:lineRule="auto" w:before="27"/>
        <w:ind w:right="112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90"/>
        <w:gridCol w:w="1702"/>
        <w:gridCol w:w="922"/>
      </w:tblGrid>
      <w:tr>
        <w:trPr>
          <w:trHeight w:val="133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5"/>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6"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4"/>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卓翼科技（香港）有限公司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卓翼科技（香港）有限公司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93"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深圳市卓翼科技股份有限公司宝安分公 司</w:t>
            </w:r>
          </w:p>
        </w:tc>
        <w:tc>
          <w:tcPr>
            <w:tcW w:w="1064" w:type="dxa"/>
            <w:tcBorders>
              <w:top w:val="single" w:sz="4" w:space="0" w:color="000000"/>
              <w:left w:val="single" w:sz="4" w:space="0" w:color="000000"/>
              <w:bottom w:val="nil" w:sz="6" w:space="0" w:color="auto"/>
              <w:right w:val="single" w:sz="4" w:space="0" w:color="000000"/>
            </w:tcBorders>
            <w:shd w:val="clear" w:color="auto" w:fill="C6ECCC"/>
          </w:tcPr>
          <w:p>
            <w:pPr/>
          </w:p>
        </w:tc>
        <w:tc>
          <w:tcPr>
            <w:tcW w:w="1490" w:type="dxa"/>
            <w:vMerge w:val="restart"/>
            <w:tcBorders>
              <w:top w:val="single" w:sz="4" w:space="0" w:color="000000"/>
              <w:left w:val="single" w:sz="10" w:space="0" w:color="C6EC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193" w:type="dxa"/>
            <w:vMerge/>
            <w:tcBorders>
              <w:left w:val="single" w:sz="4" w:space="0" w:color="000000"/>
              <w:right w:val="single" w:sz="4" w:space="0" w:color="000000"/>
            </w:tcBorders>
            <w:shd w:val="clear" w:color="auto" w:fill="C6ECCC"/>
          </w:tcPr>
          <w:p>
            <w:pPr/>
          </w:p>
        </w:tc>
        <w:tc>
          <w:tcPr>
            <w:tcW w:w="106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490" w:type="dxa"/>
            <w:vMerge/>
            <w:tcBorders>
              <w:left w:val="single" w:sz="10" w:space="0" w:color="C6ECCC"/>
              <w:right w:val="single" w:sz="4" w:space="0" w:color="000000"/>
            </w:tcBorders>
          </w:tcPr>
          <w:p>
            <w:pPr/>
          </w:p>
        </w:tc>
        <w:tc>
          <w:tcPr>
            <w:tcW w:w="1702"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93" w:type="dxa"/>
            <w:vMerge/>
            <w:tcBorders>
              <w:left w:val="single" w:sz="4" w:space="0" w:color="000000"/>
              <w:bottom w:val="single" w:sz="4" w:space="0" w:color="000000"/>
              <w:right w:val="single" w:sz="4" w:space="0" w:color="000000"/>
            </w:tcBorders>
            <w:shd w:val="clear" w:color="auto" w:fill="C6ECCC"/>
          </w:tcPr>
          <w:p>
            <w:pPr/>
          </w:p>
        </w:tc>
        <w:tc>
          <w:tcPr>
            <w:tcW w:w="1064" w:type="dxa"/>
            <w:tcBorders>
              <w:top w:val="nil" w:sz="6" w:space="0" w:color="auto"/>
              <w:left w:val="single" w:sz="4" w:space="0" w:color="000000"/>
              <w:bottom w:val="single" w:sz="4" w:space="0" w:color="000000"/>
              <w:right w:val="single" w:sz="4" w:space="0" w:color="000000"/>
            </w:tcBorders>
            <w:shd w:val="clear" w:color="auto" w:fill="C6ECCC"/>
          </w:tcPr>
          <w:p>
            <w:pPr/>
          </w:p>
        </w:tc>
        <w:tc>
          <w:tcPr>
            <w:tcW w:w="1490" w:type="dxa"/>
            <w:vMerge/>
            <w:tcBorders>
              <w:left w:val="single" w:sz="10" w:space="0" w:color="C6ECCC"/>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卓翼科技（香港）有限公司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C6ECCC"/>
          </w:tcPr>
          <w:p>
            <w:pPr/>
          </w:p>
        </w:tc>
        <w:tc>
          <w:tcPr>
            <w:tcW w:w="3193"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4"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490" w:type="dxa"/>
            <w:vMerge w:val="restart"/>
            <w:tcBorders>
              <w:top w:val="single" w:sz="4" w:space="0" w:color="000000"/>
              <w:left w:val="single" w:sz="13" w:space="0" w:color="C6EC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20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319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064" w:type="dxa"/>
            <w:vMerge/>
            <w:tcBorders>
              <w:left w:val="single" w:sz="4" w:space="0" w:color="000000"/>
              <w:right w:val="single" w:sz="4" w:space="0" w:color="000000"/>
            </w:tcBorders>
            <w:shd w:val="clear" w:color="auto" w:fill="C6ECCC"/>
          </w:tcPr>
          <w:p>
            <w:pPr/>
          </w:p>
        </w:tc>
        <w:tc>
          <w:tcPr>
            <w:tcW w:w="1490" w:type="dxa"/>
            <w:vMerge/>
            <w:tcBorders>
              <w:left w:val="single" w:sz="13" w:space="0" w:color="C6ECCC"/>
              <w:right w:val="single" w:sz="4" w:space="0" w:color="000000"/>
            </w:tcBorders>
          </w:tcPr>
          <w:p>
            <w:pPr/>
          </w:p>
        </w:tc>
        <w:tc>
          <w:tcPr>
            <w:tcW w:w="1702"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C6ECCC"/>
          </w:tcPr>
          <w:p>
            <w:pPr/>
          </w:p>
        </w:tc>
        <w:tc>
          <w:tcPr>
            <w:tcW w:w="3193"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4" w:type="dxa"/>
            <w:vMerge/>
            <w:tcBorders>
              <w:left w:val="single" w:sz="4" w:space="0" w:color="000000"/>
              <w:bottom w:val="single" w:sz="4" w:space="0" w:color="000000"/>
              <w:right w:val="single" w:sz="4" w:space="0" w:color="000000"/>
            </w:tcBorders>
            <w:shd w:val="clear" w:color="auto" w:fill="C6ECCC"/>
          </w:tcPr>
          <w:p>
            <w:pPr/>
          </w:p>
        </w:tc>
        <w:tc>
          <w:tcPr>
            <w:tcW w:w="1490" w:type="dxa"/>
            <w:vMerge/>
            <w:tcBorders>
              <w:left w:val="single" w:sz="13" w:space="0" w:color="C6ECCC"/>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北京大学深圳研究生院信息工程学院</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深圳芯邦科技股份有限公司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深圳市创智成科技股份有限公司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深圳市思迈特企业管理咨询有限公司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深圳德永会计师事务所</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中翰联合（北京）咨询服务有限公司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深圳市长亮科技股份有限公司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深圳芯邦科技股份有限公司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深圳市海格物流股份有限公司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6" w:hRule="exact"/>
        </w:trPr>
        <w:tc>
          <w:tcPr>
            <w:tcW w:w="1200" w:type="dxa"/>
            <w:vMerge w:val="restart"/>
            <w:tcBorders>
              <w:top w:val="single" w:sz="4" w:space="0" w:color="000000"/>
              <w:left w:val="single" w:sz="4" w:space="0" w:color="000000"/>
              <w:right w:val="single" w:sz="10" w:space="0" w:color="C6ECCC"/>
            </w:tcBorders>
            <w:shd w:val="clear" w:color="auto" w:fill="D2D2D2"/>
          </w:tcPr>
          <w:p>
            <w:pPr>
              <w:pStyle w:val="TableParagraph"/>
              <w:spacing w:line="316" w:lineRule="auto" w:before="44"/>
              <w:ind w:left="24" w:right="7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1200" w:type="dxa"/>
            <w:vMerge/>
            <w:tcBorders>
              <w:left w:val="single" w:sz="4" w:space="0" w:color="000000"/>
              <w:right w:val="single" w:sz="10" w:space="0" w:color="C6ECCC"/>
            </w:tcBorders>
            <w:shd w:val="clear" w:color="auto" w:fill="D2D2D2"/>
          </w:tcPr>
          <w:p>
            <w:pPr/>
          </w:p>
        </w:tc>
        <w:tc>
          <w:tcPr>
            <w:tcW w:w="8370"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0" w:type="dxa"/>
            <w:vMerge/>
            <w:tcBorders>
              <w:left w:val="single" w:sz="4" w:space="0" w:color="000000"/>
              <w:bottom w:val="single" w:sz="4" w:space="0" w:color="000000"/>
              <w:right w:val="single" w:sz="10" w:space="0" w:color="C6ECCC"/>
            </w:tcBorders>
            <w:shd w:val="clear" w:color="auto" w:fill="D2D2D2"/>
          </w:tcPr>
          <w:p>
            <w:pPr/>
          </w:p>
        </w:tc>
        <w:tc>
          <w:tcPr>
            <w:tcW w:w="8370"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10" w:top="1060" w:bottom="150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3"/>
        <w:jc w:val="left"/>
      </w:pPr>
      <w:r>
        <w:rPr/>
        <w:t>董事、监事、高级管理人员报酬的决策程序、确定依据</w:t>
      </w:r>
    </w:p>
    <w:p>
      <w:pPr>
        <w:pStyle w:val="BodyText"/>
        <w:spacing w:line="340" w:lineRule="auto" w:before="115"/>
        <w:ind w:left="532" w:right="1194" w:firstLine="52"/>
        <w:jc w:val="left"/>
      </w:pPr>
      <w:r>
        <w:rPr>
          <w:rFonts w:ascii="Times New Roman" w:hAnsi="Times New Roman" w:cs="Times New Roman" w:eastAsia="Times New Roman" w:hint="default"/>
        </w:rPr>
        <w:t>1</w:t>
      </w:r>
      <w:r>
        <w:rPr/>
        <w:t>、</w:t>
      </w:r>
      <w:r>
        <w:rPr>
          <w:spacing w:val="-18"/>
        </w:rPr>
        <w:t> </w:t>
      </w:r>
      <w:r>
        <w:rPr/>
        <w:t>董事、监事、高级管理人员报酬的决策程序</w:t>
      </w:r>
      <w:r>
        <w:rPr/>
        <w:t> 公司董事、监事及高级管理人员报酬情况严格按照公司制定的《董事会议事规则》和《股东大会议事规则》执行，符</w:t>
      </w:r>
    </w:p>
    <w:p>
      <w:pPr>
        <w:pStyle w:val="BodyText"/>
        <w:spacing w:line="240" w:lineRule="auto" w:before="1"/>
        <w:ind w:right="1123"/>
        <w:jc w:val="left"/>
      </w:pPr>
      <w:r>
        <w:rPr/>
        <w:t>合公司《章程》及《公司法》等的有关规定。</w:t>
      </w:r>
    </w:p>
    <w:p>
      <w:pPr>
        <w:pStyle w:val="BodyText"/>
        <w:spacing w:line="300" w:lineRule="auto" w:before="76"/>
        <w:ind w:left="532" w:right="1194" w:firstLine="72"/>
        <w:jc w:val="left"/>
      </w:pPr>
      <w:r>
        <w:rPr>
          <w:rFonts w:ascii="Times New Roman" w:hAnsi="Times New Roman" w:cs="Times New Roman" w:eastAsia="Times New Roman" w:hint="default"/>
        </w:rPr>
        <w:t>2</w:t>
      </w:r>
      <w:r>
        <w:rPr/>
        <w:t>、董事、监事、高级管理人员报酬的确定依据 公司董事、监事及高级管理人员薪酬制度规定，在公司任职的董事、监事、高级管理人员按其职务根据公司现行的薪</w:t>
      </w:r>
    </w:p>
    <w:p>
      <w:pPr>
        <w:pStyle w:val="BodyText"/>
        <w:spacing w:line="316" w:lineRule="auto" w:before="31"/>
        <w:ind w:right="1123"/>
        <w:jc w:val="left"/>
      </w:pPr>
      <w:r>
        <w:rPr>
          <w:spacing w:val="-2"/>
        </w:rPr>
        <w:t>酬制度、参与经营业绩和个人绩效的实际情况领取报酬。在公司领取报酬的董事（不含独立董事）、监事和高级管理人员的</w:t>
      </w:r>
      <w:r>
        <w:rPr>
          <w:spacing w:val="-67"/>
        </w:rPr>
        <w:t> </w:t>
      </w:r>
      <w:r>
        <w:rPr>
          <w:spacing w:val="-67"/>
        </w:rPr>
      </w:r>
      <w:r>
        <w:rPr/>
        <w:t>收入均为其从事公司管理工作的工资性收入。公司独立董事的津贴为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年（含税）。</w:t>
      </w:r>
    </w:p>
    <w:p>
      <w:pPr>
        <w:pStyle w:val="BodyText"/>
        <w:spacing w:line="240" w:lineRule="auto" w:before="40"/>
        <w:ind w:left="513" w:right="1123"/>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445,000.00</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王小晋</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禚春磊</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187,874.64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187,874.64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赵小英</w:t>
            </w:r>
          </w:p>
        </w:tc>
        <w:tc>
          <w:tcPr>
            <w:tcW w:w="11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97,780.00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3,478,054.64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3,478,054.64</w:t>
            </w:r>
          </w:p>
        </w:tc>
      </w:tr>
    </w:tbl>
    <w:p>
      <w:pPr>
        <w:pStyle w:val="BodyText"/>
        <w:spacing w:line="240" w:lineRule="auto" w:before="49"/>
        <w:ind w:right="1123"/>
        <w:jc w:val="left"/>
      </w:pPr>
      <w:r>
        <w:rPr/>
        <w:t>公司董事、监事、高级管理人员报告期内被授予的股权激励情况</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0"/>
        <w:gridCol w:w="4238"/>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77" w:footer="1310" w:top="1060" w:bottom="150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1"/>
        <w:gridCol w:w="4247"/>
      </w:tblGrid>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赵小英</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339"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34"/>
              <w:jc w:val="left"/>
              <w:rPr>
                <w:rFonts w:ascii="宋体" w:hAnsi="宋体" w:cs="宋体" w:eastAsia="宋体" w:hint="default"/>
                <w:sz w:val="18"/>
                <w:szCs w:val="18"/>
              </w:rPr>
            </w:pPr>
            <w:r>
              <w:rPr>
                <w:rFonts w:ascii="宋体" w:hAnsi="宋体" w:cs="宋体" w:eastAsia="宋体" w:hint="default"/>
                <w:sz w:val="18"/>
                <w:szCs w:val="18"/>
              </w:rPr>
              <w:t>原财务总监、董 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为加强对控股子公司的管理控制，更好的履行职责， 全面负责天津卓达科技发展有限公司日常工作，辞去 财务总监、董事会秘书职务后仍继续担任公司副总经 理职务。</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本报告期内，公司未发生核心技术团队及关键技术人员变动对公司核心竞争力有重大影响的情况。</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firstLine="360"/>
        <w:jc w:val="left"/>
      </w:pPr>
      <w:r>
        <w:rPr>
          <w:spacing w:val="-2"/>
        </w:rPr>
        <w:t>公司严格按照《中华人民共和国劳动合同法》及其他有关劳动法律、法规的规定，与员工签订劳动合同，并按规定缴纳</w:t>
      </w:r>
      <w:r>
        <w:rPr/>
        <w:t> 各项职工保险。截止报告期末，深圳市卓翼科技股份有限公司及其子公司的员工情况如下：</w:t>
      </w:r>
    </w:p>
    <w:p>
      <w:pPr>
        <w:spacing w:after="0" w:line="316" w:lineRule="auto"/>
        <w:jc w:val="left"/>
        <w:sectPr>
          <w:pgSz w:w="11910" w:h="16840"/>
          <w:pgMar w:header="877" w:footer="1310"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96" w:type="dxa"/>
        <w:tblLayout w:type="fixed"/>
        <w:tblCellMar>
          <w:top w:w="0" w:type="dxa"/>
          <w:left w:w="0" w:type="dxa"/>
          <w:bottom w:w="0" w:type="dxa"/>
          <w:right w:w="0" w:type="dxa"/>
        </w:tblCellMar>
        <w:tblLook w:val="01E0"/>
      </w:tblPr>
      <w:tblGrid>
        <w:gridCol w:w="4767"/>
        <w:gridCol w:w="4780"/>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3550</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47" w:type="dxa"/>
            <w:gridSpan w:val="2"/>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6"/>
              <w:ind w:right="1838"/>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80"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6"/>
              <w:ind w:left="17"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2216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1191</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22</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0" w:type="dxa"/>
            <w:tcBorders>
              <w:top w:val="single" w:sz="4" w:space="0" w:color="000000"/>
              <w:left w:val="single" w:sz="13" w:space="0" w:color="C5E1FF"/>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54</w:t>
            </w:r>
          </w:p>
        </w:tc>
      </w:tr>
      <w:tr>
        <w:trPr>
          <w:trHeight w:val="3913" w:hRule="exact"/>
        </w:trPr>
        <w:tc>
          <w:tcPr>
            <w:tcW w:w="9547" w:type="dxa"/>
            <w:gridSpan w:val="2"/>
            <w:tcBorders>
              <w:top w:val="single" w:sz="4" w:space="0" w:color="000000"/>
              <w:left w:val="nil" w:sz="6" w:space="0" w:color="auto"/>
              <w:bottom w:val="single" w:sz="4" w:space="0" w:color="000000"/>
              <w:right w:val="nil" w:sz="6" w:space="0" w:color="auto"/>
            </w:tcBorders>
            <w:shd w:val="clear" w:color="auto" w:fill="C5E1FF"/>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92" w:lineRule="exact"/>
              <w:ind w:left="211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drawing>
                <wp:inline distT="0" distB="0" distL="0" distR="0">
                  <wp:extent cx="3523236" cy="1772983"/>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39" cstate="print"/>
                          <a:stretch>
                            <a:fillRect/>
                          </a:stretch>
                        </pic:blipFill>
                        <pic:spPr>
                          <a:xfrm>
                            <a:off x="0" y="0"/>
                            <a:ext cx="3523236" cy="1772983"/>
                          </a:xfrm>
                          <a:prstGeom prst="rect">
                            <a:avLst/>
                          </a:prstGeom>
                        </pic:spPr>
                      </pic:pic>
                    </a:graphicData>
                  </a:graphic>
                </wp:inline>
              </w:drawing>
            </w:r>
            <w:r>
              <w:rPr>
                <w:rFonts w:ascii="Times New Roman" w:hAnsi="Times New Roman" w:cs="Times New Roman" w:eastAsia="Times New Roman" w:hint="default"/>
                <w:position w:val="-55"/>
                <w:sz w:val="20"/>
                <w:szCs w:val="20"/>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3"/>
              <w:ind w:right="1838"/>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80"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2259</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1038</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249</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博士后</w:t>
            </w:r>
          </w:p>
        </w:tc>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Times New Roman" w:hAnsi="Times New Roman" w:cs="Times New Roman" w:eastAsia="Times New Roman" w:hint="default"/>
          <w:sz w:val="21"/>
          <w:szCs w:val="21"/>
        </w:rPr>
      </w:pPr>
    </w:p>
    <w:p>
      <w:pPr>
        <w:spacing w:line="2928" w:lineRule="exact"/>
        <w:ind w:left="24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drawing>
          <wp:inline distT="0" distB="0" distL="0" distR="0">
            <wp:extent cx="3500622" cy="1859470"/>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40" cstate="print"/>
                    <a:stretch>
                      <a:fillRect/>
                    </a:stretch>
                  </pic:blipFill>
                  <pic:spPr>
                    <a:xfrm>
                      <a:off x="0" y="0"/>
                      <a:ext cx="3500622" cy="1859470"/>
                    </a:xfrm>
                    <a:prstGeom prst="rect">
                      <a:avLst/>
                    </a:prstGeom>
                  </pic:spPr>
                </pic:pic>
              </a:graphicData>
            </a:graphic>
          </wp:inline>
        </w:drawing>
      </w:r>
      <w:r>
        <w:rPr>
          <w:rFonts w:ascii="Times New Roman" w:hAnsi="Times New Roman" w:cs="Times New Roman" w:eastAsia="Times New Roman" w:hint="default"/>
          <w:position w:val="-58"/>
          <w:sz w:val="20"/>
          <w:szCs w:val="20"/>
        </w:rPr>
      </w:r>
    </w:p>
    <w:p>
      <w:pPr>
        <w:spacing w:after="0" w:line="2928" w:lineRule="exact"/>
        <w:rPr>
          <w:rFonts w:ascii="Times New Roman" w:hAnsi="Times New Roman" w:cs="Times New Roman" w:eastAsia="Times New Roman" w:hint="default"/>
          <w:sz w:val="20"/>
          <w:szCs w:val="20"/>
        </w:rPr>
        <w:sectPr>
          <w:pgSz w:w="11910" w:h="16840"/>
          <w:pgMar w:header="877" w:footer="1310"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976"/>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30"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圳证券交易所中小企业板上市公司规范运作指引》等法律法规的要求，及时修订公司各项规章制度，不断完善公司法人治理</w:t>
      </w:r>
      <w:r>
        <w:rPr>
          <w:spacing w:val="-63"/>
        </w:rPr>
        <w:t> </w:t>
      </w:r>
      <w:r>
        <w:rPr>
          <w:spacing w:val="-63"/>
        </w:rPr>
      </w:r>
      <w:r>
        <w:rPr>
          <w:spacing w:val="-2"/>
        </w:rPr>
        <w:t>结构，健全内部管理、规范公司运作，进一步提升公司的规范化和透明度，对于公司不足的地方加以改善，努力做好信息披</w:t>
      </w:r>
      <w:r>
        <w:rPr>
          <w:spacing w:val="-67"/>
        </w:rPr>
        <w:t> </w:t>
      </w:r>
      <w:r>
        <w:rPr>
          <w:spacing w:val="-67"/>
        </w:rPr>
      </w:r>
      <w:r>
        <w:rPr/>
        <w:t>露工作、做好投资者关系管理，不断提高公司治理水平。报告期内，公司根据《关于认真贯彻落实</w:t>
      </w:r>
      <w:r>
        <w:rPr>
          <w:rFonts w:ascii="Times New Roman" w:hAnsi="Times New Roman" w:cs="Times New Roman" w:eastAsia="Times New Roman" w:hint="default"/>
        </w:rPr>
        <w:t>&lt;</w:t>
      </w:r>
      <w:r>
        <w:rPr/>
        <w:t>关于进一步落实上市公 司现金分红有关事项的通知</w:t>
      </w:r>
      <w:r>
        <w:rPr>
          <w:rFonts w:ascii="Times New Roman" w:hAnsi="Times New Roman" w:cs="Times New Roman" w:eastAsia="Times New Roman" w:hint="default"/>
        </w:rPr>
        <w:t>&gt;</w:t>
      </w:r>
      <w:r>
        <w:rPr/>
        <w:t>有关要求的通知》（深证局公司字〔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43</w:t>
      </w:r>
      <w:r>
        <w:rPr/>
        <w:t>号）等相关法律法规的要求对公司《章程》进行 </w:t>
      </w:r>
      <w:r>
        <w:rPr>
          <w:spacing w:val="-2"/>
        </w:rPr>
        <w:t>了修订，落实了现金分红的有关事项，完善了现金分红的决策程序和机制，规范了现金分红的分配时间、标准和比例等，引</w:t>
      </w:r>
      <w:r>
        <w:rPr>
          <w:spacing w:val="-67"/>
        </w:rPr>
        <w:t> </w:t>
      </w:r>
      <w:r>
        <w:rPr>
          <w:spacing w:val="-67"/>
        </w:rPr>
      </w:r>
      <w:r>
        <w:rPr>
          <w:spacing w:val="-2"/>
        </w:rPr>
        <w:t>入了独立董事监督及听取中小股东意见和诉求，进一步维护中小股东的合法权益。现阶段，公司治理的实际情况基本符合中</w:t>
      </w:r>
      <w:r>
        <w:rPr>
          <w:spacing w:val="-63"/>
        </w:rPr>
        <w:t> </w:t>
      </w:r>
      <w:r>
        <w:rPr>
          <w:spacing w:val="-63"/>
        </w:rPr>
      </w:r>
      <w:r>
        <w:rPr/>
        <w:t>国证监会发布的有关上市公司治理的规范性文件。</w:t>
      </w:r>
    </w:p>
    <w:p>
      <w:pPr>
        <w:pStyle w:val="BodyText"/>
        <w:spacing w:line="316" w:lineRule="auto" w:before="22"/>
        <w:ind w:left="513" w:right="1033" w:firstLine="2"/>
        <w:jc w:val="left"/>
      </w:pPr>
      <w:r>
        <w:rPr>
          <w:rFonts w:ascii="宋体" w:hAnsi="宋体" w:cs="宋体" w:eastAsia="宋体" w:hint="default"/>
        </w:rPr>
        <w:t>1</w:t>
      </w:r>
      <w:r>
        <w:rPr/>
        <w:t>、关于股东与股东大会 公司严格按照《上市公司股东大会规则》及公司《章程》、《股东大会议事规则》等规范性文件执行股东大会的召集、</w:t>
      </w:r>
    </w:p>
    <w:p>
      <w:pPr>
        <w:pStyle w:val="BodyText"/>
        <w:spacing w:line="316" w:lineRule="auto" w:before="19"/>
        <w:ind w:right="1134"/>
        <w:jc w:val="both"/>
      </w:pPr>
      <w:r>
        <w:rPr>
          <w:spacing w:val="-2"/>
        </w:rPr>
        <w:t>召开、表决等程序，确保平等对待所有股东，特别是保证中小股东享有平等地位，充分行使自己的权力，有效地保证了中小</w:t>
      </w:r>
      <w:r>
        <w:rPr>
          <w:spacing w:val="-66"/>
        </w:rPr>
        <w:t> </w:t>
      </w:r>
      <w:r>
        <w:rPr>
          <w:spacing w:val="-66"/>
        </w:rPr>
      </w:r>
      <w:r>
        <w:rPr/>
        <w:t>股东的权益。</w:t>
      </w:r>
    </w:p>
    <w:p>
      <w:pPr>
        <w:pStyle w:val="BodyText"/>
        <w:spacing w:line="316" w:lineRule="auto" w:before="19"/>
        <w:ind w:left="513" w:right="1123"/>
        <w:jc w:val="left"/>
      </w:pPr>
      <w:r>
        <w:rPr>
          <w:rFonts w:ascii="宋体" w:hAnsi="宋体" w:cs="宋体" w:eastAsia="宋体" w:hint="default"/>
        </w:rPr>
        <w:t>2</w:t>
      </w:r>
      <w:r>
        <w:rPr/>
        <w:t>、关于公司与控股股东 </w:t>
      </w:r>
      <w:r>
        <w:rPr>
          <w:spacing w:val="-2"/>
        </w:rPr>
        <w:t>公司控股股东能严格规范自己的行为，依法通过股东大会行使出资人权利，并承担相应义务，没有超越公司股东大会直</w:t>
      </w:r>
    </w:p>
    <w:p>
      <w:pPr>
        <w:pStyle w:val="BodyText"/>
        <w:spacing w:line="316" w:lineRule="auto" w:before="19"/>
        <w:ind w:right="1130"/>
        <w:jc w:val="both"/>
      </w:pPr>
      <w:r>
        <w:rPr>
          <w:spacing w:val="-2"/>
        </w:rPr>
        <w:t>接或间接干预公司的决策和经营活动。公司具有独立的经营能力和完备的供销系统，公司董事会、监事会和内部机构能够独</w:t>
      </w:r>
      <w:r>
        <w:rPr>
          <w:spacing w:val="-63"/>
        </w:rPr>
        <w:t> </w:t>
      </w:r>
      <w:r>
        <w:rPr>
          <w:spacing w:val="-63"/>
        </w:rPr>
      </w:r>
      <w:r>
        <w:rPr/>
        <w:t>立运作。</w:t>
      </w:r>
    </w:p>
    <w:p>
      <w:pPr>
        <w:pStyle w:val="BodyText"/>
        <w:spacing w:line="319" w:lineRule="auto" w:before="19"/>
        <w:ind w:left="513" w:right="5533"/>
        <w:jc w:val="left"/>
      </w:pPr>
      <w:r>
        <w:rPr/>
        <w:t>在报告期内，不存在公司控股股东占用上市公司资金的现象。 </w:t>
      </w:r>
      <w:r>
        <w:rPr>
          <w:rFonts w:ascii="宋体" w:hAnsi="宋体" w:cs="宋体" w:eastAsia="宋体" w:hint="default"/>
        </w:rPr>
        <w:t>3</w:t>
      </w:r>
      <w:r>
        <w:rPr/>
        <w:t>、关于董事与董事会</w:t>
      </w:r>
    </w:p>
    <w:p>
      <w:pPr>
        <w:pStyle w:val="BodyText"/>
        <w:spacing w:line="316" w:lineRule="auto" w:before="17"/>
        <w:ind w:right="1127" w:firstLine="360"/>
        <w:jc w:val="both"/>
      </w:pPr>
      <w:r>
        <w:rPr>
          <w:spacing w:val="-2"/>
        </w:rPr>
        <w:t>公司严格按照《公司法》、公司《章程》的规定选聘董事，确保公司董事选举的公开、公平、公正、独立，董事会人员</w:t>
      </w:r>
      <w:r>
        <w:rPr/>
        <w:t> </w:t>
      </w:r>
      <w:r>
        <w:rPr>
          <w:spacing w:val="-2"/>
        </w:rPr>
        <w:t>构成和人数符合法律、法规的要求，全体董事能够依据《董事会议事规则》等制度开展工作，勤勉尽责履行权力、义务和责</w:t>
      </w:r>
      <w:r>
        <w:rPr>
          <w:spacing w:val="-68"/>
        </w:rPr>
        <w:t> </w:t>
      </w:r>
      <w:r>
        <w:rPr>
          <w:spacing w:val="-68"/>
        </w:rPr>
      </w:r>
      <w:r>
        <w:rPr>
          <w:spacing w:val="-2"/>
        </w:rPr>
        <w:t>任。公司董事会下设薪酬与考核委员会、审计委员会、提名委员会，并制定了各委员会相关的实施细则，董事会专门委员会</w:t>
      </w:r>
      <w:r>
        <w:rPr>
          <w:spacing w:val="-67"/>
        </w:rPr>
        <w:t> </w:t>
      </w:r>
      <w:r>
        <w:rPr>
          <w:spacing w:val="-67"/>
        </w:rPr>
      </w:r>
      <w:r>
        <w:rPr/>
        <w:t>严格按照实施细则运作。</w:t>
      </w:r>
    </w:p>
    <w:p>
      <w:pPr>
        <w:pStyle w:val="BodyText"/>
        <w:spacing w:line="316" w:lineRule="auto" w:before="19"/>
        <w:ind w:left="513" w:right="1123"/>
        <w:jc w:val="left"/>
      </w:pPr>
      <w:r>
        <w:rPr>
          <w:rFonts w:ascii="宋体" w:hAnsi="宋体" w:cs="宋体" w:eastAsia="宋体" w:hint="default"/>
        </w:rPr>
        <w:t>4</w:t>
      </w:r>
      <w:r>
        <w:rPr/>
        <w:t>、关于监事与监事会 </w:t>
      </w:r>
      <w:r>
        <w:rPr>
          <w:spacing w:val="-2"/>
        </w:rPr>
        <w:t>公司严格按照《公司法》、公司《章程》的有关规定选聘监事，确保公司监事选举的公开、公平、公正、独立，监事会</w:t>
      </w:r>
    </w:p>
    <w:p>
      <w:pPr>
        <w:pStyle w:val="BodyText"/>
        <w:spacing w:line="316" w:lineRule="auto" w:before="19"/>
        <w:ind w:right="1132"/>
        <w:jc w:val="both"/>
      </w:pPr>
      <w:r>
        <w:rPr>
          <w:spacing w:val="-2"/>
        </w:rPr>
        <w:t>人员构成和人数符合法律、法规的要求。公司监事能够按照《监事会议事规则》等的要求，认真履行职责，对公司重大事项</w:t>
      </w:r>
      <w:r>
        <w:rPr>
          <w:spacing w:val="-67"/>
        </w:rPr>
        <w:t> </w:t>
      </w:r>
      <w:r>
        <w:rPr>
          <w:spacing w:val="-67"/>
        </w:rPr>
      </w:r>
      <w:r>
        <w:rPr/>
        <w:t>及公司董事、高级管理人员履行职责的合法合规性进行监督，切实维护公司及股东的权益。</w:t>
      </w:r>
    </w:p>
    <w:p>
      <w:pPr>
        <w:pStyle w:val="BodyText"/>
        <w:spacing w:line="316" w:lineRule="auto" w:before="19"/>
        <w:ind w:left="513" w:right="1123"/>
        <w:jc w:val="left"/>
      </w:pPr>
      <w:r>
        <w:rPr>
          <w:rFonts w:ascii="宋体" w:hAnsi="宋体" w:cs="宋体" w:eastAsia="宋体" w:hint="default"/>
        </w:rPr>
        <w:t>5</w:t>
      </w:r>
      <w:r>
        <w:rPr/>
        <w:t>、关于绩效评价和激励约束机制 </w:t>
      </w:r>
      <w:r>
        <w:rPr>
          <w:spacing w:val="-2"/>
        </w:rPr>
        <w:t>公司正逐步建立和完善董事、监事和高级管理人员的绩效评价标准和激励约束机制，公司高级管理人员的聘任严格按照</w:t>
      </w:r>
    </w:p>
    <w:p>
      <w:pPr>
        <w:pStyle w:val="BodyText"/>
        <w:spacing w:line="319" w:lineRule="auto" w:before="19"/>
        <w:ind w:left="513" w:right="7514" w:hanging="361"/>
        <w:jc w:val="left"/>
      </w:pPr>
      <w:r>
        <w:rPr/>
        <w:t>《公司法》和公司《章程》的规定进行。 </w:t>
      </w:r>
      <w:r>
        <w:rPr>
          <w:rFonts w:ascii="宋体" w:hAnsi="宋体" w:cs="宋体" w:eastAsia="宋体" w:hint="default"/>
        </w:rPr>
        <w:t>6</w:t>
      </w:r>
      <w:r>
        <w:rPr/>
        <w:t>、关于相关利益者</w:t>
      </w:r>
    </w:p>
    <w:p>
      <w:pPr>
        <w:pStyle w:val="BodyText"/>
        <w:spacing w:line="316" w:lineRule="auto" w:before="17"/>
        <w:ind w:right="1130" w:firstLine="360"/>
        <w:jc w:val="both"/>
      </w:pPr>
      <w:r>
        <w:rPr>
          <w:spacing w:val="-2"/>
        </w:rPr>
        <w:t>公司充分尊重和维护相关利益者的合法权益，积极与相关利益者合作，通过深交所投资者关系平台等渠道，加强与各方</w:t>
      </w:r>
      <w:r>
        <w:rPr/>
        <w:t> 的沟通和交流，实现社会、股东、公司、员工等各方利益的协调平衡，共同推动公司持续、稳健发展。</w:t>
      </w:r>
    </w:p>
    <w:p>
      <w:pPr>
        <w:pStyle w:val="BodyText"/>
        <w:spacing w:line="316" w:lineRule="auto" w:before="19"/>
        <w:ind w:left="513" w:right="1123"/>
        <w:jc w:val="left"/>
      </w:pPr>
      <w:r>
        <w:rPr>
          <w:rFonts w:ascii="宋体" w:hAnsi="宋体" w:cs="宋体" w:eastAsia="宋体" w:hint="default"/>
        </w:rPr>
        <w:t>7</w:t>
      </w:r>
      <w:r>
        <w:rPr/>
        <w:t>、关于信息披露与透明度 </w:t>
      </w:r>
      <w:r>
        <w:rPr>
          <w:spacing w:val="-2"/>
        </w:rPr>
        <w:t>公司严格按照《投资者关系管理制度》、《信息披露事务管理制度》、《年报信息披露重大差错责任追究制度》、《内</w:t>
      </w:r>
    </w:p>
    <w:p>
      <w:pPr>
        <w:pStyle w:val="BodyText"/>
        <w:spacing w:line="316" w:lineRule="auto" w:before="19"/>
        <w:ind w:right="1129"/>
        <w:jc w:val="both"/>
      </w:pPr>
      <w:r>
        <w:rPr>
          <w:spacing w:val="-2"/>
        </w:rPr>
        <w:t>幕信息知情人登记管理制度》等规定，指定公司董事会秘书负责公司信息披露工作及投资者关系管理，接待投资者的来访和</w:t>
      </w:r>
      <w:r>
        <w:rPr>
          <w:spacing w:val="-63"/>
        </w:rPr>
        <w:t> </w:t>
      </w:r>
      <w:r>
        <w:rPr>
          <w:spacing w:val="-63"/>
        </w:rPr>
      </w:r>
      <w:r>
        <w:rPr>
          <w:spacing w:val="-2"/>
        </w:rPr>
        <w:t>咨询，及时回答投资者互动平台上提出的问题。公司指定《证券时报》、《中国证券报》和巨潮资讯网为公司信息披露的报</w:t>
      </w:r>
      <w:r>
        <w:rPr>
          <w:spacing w:val="-68"/>
        </w:rPr>
        <w:t> </w:t>
      </w:r>
      <w:r>
        <w:rPr>
          <w:spacing w:val="-68"/>
        </w:rPr>
      </w:r>
      <w:r>
        <w:rPr>
          <w:spacing w:val="-2"/>
        </w:rPr>
        <w:t>纸和网站，确保公司所有股东能够以平等的机会获得信息；公司建立信息披露重大差错责任追究机制，加大了对年报信息披</w:t>
      </w:r>
      <w:r>
        <w:rPr>
          <w:spacing w:val="-63"/>
        </w:rPr>
        <w:t> </w:t>
      </w:r>
      <w:r>
        <w:rPr>
          <w:spacing w:val="-63"/>
        </w:rPr>
      </w:r>
      <w:r>
        <w:rPr>
          <w:spacing w:val="-2"/>
        </w:rPr>
        <w:t>露责任人的问责力度，提高年报信息披露质量和透明度；建立了内幕信息知情人登记管理机制，明确了对内幕信息知情人的</w:t>
      </w:r>
    </w:p>
    <w:p>
      <w:pPr>
        <w:spacing w:after="0" w:line="316" w:lineRule="auto"/>
        <w:jc w:val="both"/>
        <w:sectPr>
          <w:pgSz w:w="11910" w:h="16840"/>
          <w:pgMar w:header="877" w:footer="1310"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管理和责任追究。</w:t>
      </w:r>
    </w:p>
    <w:p>
      <w:pPr>
        <w:pStyle w:val="BodyText"/>
        <w:spacing w:line="316" w:lineRule="auto" w:before="77"/>
        <w:ind w:left="532" w:right="5154" w:firstLine="72"/>
        <w:jc w:val="left"/>
      </w:pPr>
      <w:r>
        <w:rPr>
          <w:rFonts w:ascii="宋体" w:hAnsi="宋体" w:cs="宋体" w:eastAsia="宋体" w:hint="default"/>
        </w:rPr>
        <w:t>8</w:t>
      </w:r>
      <w:r>
        <w:rPr/>
        <w:t>、公司治理制度 根据法律法规的有关规定，公司已制定的各项公司治理制度如下：</w:t>
      </w:r>
    </w:p>
    <w:p>
      <w:pPr>
        <w:pStyle w:val="BodyText"/>
        <w:spacing w:line="316" w:lineRule="auto" w:before="19"/>
        <w:ind w:right="1131" w:firstLine="288"/>
        <w:jc w:val="both"/>
      </w:pPr>
      <w:r>
        <w:rPr>
          <w:spacing w:val="-1"/>
        </w:rPr>
        <w:t>《股东大会议事规则》、《董事会议事规则》、《监事会议事规则》、《董事会提名委员会议事规则》、《董事会审计</w:t>
      </w:r>
      <w:r>
        <w:rPr/>
        <w:t> </w:t>
      </w:r>
      <w:r>
        <w:rPr>
          <w:spacing w:val="-2"/>
        </w:rPr>
        <w:t>委员会议事规则》、《董事会薪酬与考核委员会议事规则》、《董事会秘书工作制度》、《总经理工作细则》、《内部审计</w:t>
      </w:r>
      <w:r>
        <w:rPr>
          <w:spacing w:val="-68"/>
        </w:rPr>
        <w:t> </w:t>
      </w:r>
      <w:r>
        <w:rPr>
          <w:spacing w:val="-68"/>
        </w:rPr>
      </w:r>
      <w:r>
        <w:rPr>
          <w:spacing w:val="-2"/>
        </w:rPr>
        <w:t>制度》、《独立董事工作制度》、《募集资金专项存储与使用管理办法》、《信息披露事务管理制度》、《投资者关系管理</w:t>
      </w:r>
      <w:r>
        <w:rPr>
          <w:spacing w:val="-69"/>
        </w:rPr>
        <w:t> </w:t>
      </w:r>
      <w:r>
        <w:rPr>
          <w:spacing w:val="-69"/>
        </w:rPr>
      </w:r>
      <w:r>
        <w:rPr>
          <w:spacing w:val="-8"/>
        </w:rPr>
        <w:t>制度》、《投资决策制度》、《重大信息内部报告制度》、《年报信息披露重大差错责任追究制度》、《关联交易决策制度》、</w:t>
      </w:r>
    </w:p>
    <w:p>
      <w:pPr>
        <w:pStyle w:val="BodyText"/>
        <w:spacing w:line="316" w:lineRule="auto" w:before="19"/>
        <w:ind w:right="1123"/>
        <w:jc w:val="left"/>
      </w:pPr>
      <w:r>
        <w:rPr>
          <w:spacing w:val="-2"/>
        </w:rPr>
        <w:t>《会计师事务所选聘专项制度》、《累计投票制实施细则》、《财务负责人管理制度》、《董事、监事和高级管理人员持股</w:t>
      </w:r>
      <w:r>
        <w:rPr>
          <w:spacing w:val="-71"/>
        </w:rPr>
        <w:t> </w:t>
      </w:r>
      <w:r>
        <w:rPr>
          <w:spacing w:val="-71"/>
        </w:rPr>
      </w:r>
      <w:r>
        <w:rPr/>
        <w:t>变动管理制度》、《独立董事年报工作制度》、《审计委员会年报工作制度》等。</w:t>
      </w:r>
    </w:p>
    <w:p>
      <w:pPr>
        <w:pStyle w:val="BodyText"/>
        <w:spacing w:line="316" w:lineRule="auto" w:before="19"/>
        <w:ind w:right="1130" w:firstLine="454"/>
        <w:jc w:val="both"/>
      </w:pPr>
      <w:r>
        <w:rPr>
          <w:spacing w:val="-2"/>
        </w:rPr>
        <w:t>报告期内，经公司</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日召开的第二届董事会第十二次会议审议通过了关于《修订</w:t>
      </w:r>
      <w:r>
        <w:rPr>
          <w:rFonts w:ascii="宋体" w:hAnsi="宋体" w:cs="宋体" w:eastAsia="宋体" w:hint="default"/>
          <w:spacing w:val="-2"/>
        </w:rPr>
        <w:t>&lt;</w:t>
      </w:r>
      <w:r>
        <w:rPr>
          <w:spacing w:val="-2"/>
        </w:rPr>
        <w:t>内幕信息知情人报备制度</w:t>
      </w:r>
      <w:r>
        <w:rPr>
          <w:rFonts w:ascii="宋体" w:hAnsi="宋体" w:cs="宋体" w:eastAsia="宋体" w:hint="default"/>
          <w:spacing w:val="-2"/>
        </w:rPr>
        <w:t>&gt;</w:t>
      </w:r>
      <w:r>
        <w:rPr>
          <w:rFonts w:ascii="宋体" w:hAnsi="宋体" w:cs="宋体" w:eastAsia="宋体" w:hint="default"/>
        </w:rPr>
        <w:t> </w:t>
      </w:r>
      <w:r>
        <w:rPr>
          <w:spacing w:val="-5"/>
        </w:rPr>
        <w:t>的议案》；并于</w:t>
      </w:r>
      <w:r>
        <w:rPr>
          <w:rFonts w:ascii="宋体" w:hAnsi="宋体" w:cs="宋体" w:eastAsia="宋体" w:hint="default"/>
          <w:spacing w:val="-5"/>
        </w:rPr>
        <w:t>2012</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26</w:t>
      </w:r>
      <w:r>
        <w:rPr>
          <w:spacing w:val="-5"/>
        </w:rPr>
        <w:t>日召开的第二届董事会第二十次会议对《内幕信息知情人报备制度》再一次进行了修订。将《内</w:t>
      </w:r>
      <w:r>
        <w:rPr>
          <w:spacing w:val="-66"/>
        </w:rPr>
        <w:t> </w:t>
      </w:r>
      <w:r>
        <w:rPr>
          <w:spacing w:val="-66"/>
        </w:rPr>
      </w:r>
      <w:r>
        <w:rPr/>
        <w:t>幕信息知情人报备制度》修订为《内幕信息知情人登记管理制度》，进一步规范内幕信息知情人管理。</w:t>
      </w:r>
    </w:p>
    <w:p>
      <w:pPr>
        <w:pStyle w:val="BodyText"/>
        <w:spacing w:line="309" w:lineRule="auto" w:before="19"/>
        <w:ind w:right="1133" w:firstLine="360"/>
        <w:jc w:val="both"/>
      </w:pPr>
      <w:r>
        <w:rPr>
          <w:spacing w:val="-2"/>
        </w:rPr>
        <w:t>报告期内，公司严格遵守国家法律法规、深圳证券交易所《股票上市规则》、《中小企业板上市公司规范运作指引》等</w:t>
      </w:r>
      <w:r>
        <w:rPr/>
        <w:t> </w:t>
      </w:r>
      <w:r>
        <w:rPr>
          <w:spacing w:val="-2"/>
        </w:rPr>
        <w:t>的规定，公司</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、高管人员的职责及制衡机制有效运作；建立的决策程序和议事规则民主、透明；内部监督和反馈系统</w:t>
      </w:r>
      <w:r>
        <w:rPr>
          <w:spacing w:val="-47"/>
        </w:rPr>
        <w:t> </w:t>
      </w:r>
      <w:r>
        <w:rPr>
          <w:spacing w:val="-47"/>
        </w:rPr>
      </w:r>
      <w:r>
        <w:rPr/>
        <w:t>健全、有效。公司未收到被监管部门采取行政监管措施的有关文件。</w:t>
      </w:r>
    </w:p>
    <w:p>
      <w:pPr>
        <w:pStyle w:val="BodyText"/>
        <w:spacing w:line="240" w:lineRule="auto" w:before="65"/>
        <w:ind w:right="0"/>
        <w:jc w:val="both"/>
      </w:pPr>
      <w:r>
        <w:rPr/>
        <w:t>公司治理与《公司法》和中国证监会相关规定的要求是否存在差异</w:t>
      </w:r>
    </w:p>
    <w:p>
      <w:pPr>
        <w:pStyle w:val="BodyText"/>
        <w:spacing w:line="360" w:lineRule="auto" w:before="115"/>
        <w:ind w:right="5534"/>
        <w:jc w:val="left"/>
      </w:pPr>
      <w:r>
        <w:rPr/>
        <w:t>□ 是 √</w:t>
      </w:r>
      <w:r>
        <w:rPr>
          <w:spacing w:val="3"/>
        </w:rPr>
        <w:t> </w:t>
      </w:r>
      <w:r>
        <w:rPr/>
        <w:t>否</w:t>
      </w:r>
      <w:r>
        <w:rPr/>
        <w:t> 公司治理与《公司法》和中国证监会相关规定的要求不存在差异。</w:t>
      </w:r>
    </w:p>
    <w:p>
      <w:pPr>
        <w:pStyle w:val="BodyText"/>
        <w:spacing w:line="357" w:lineRule="auto" w:before="27"/>
        <w:ind w:left="515" w:right="4454" w:hanging="363"/>
        <w:jc w:val="left"/>
      </w:pPr>
      <w:r>
        <w:rPr/>
        <w:t>公司治理专项活动开展情况以及内幕信息知情人登记管理制度的制定、实施情况 </w:t>
      </w:r>
      <w:r>
        <w:rPr>
          <w:rFonts w:ascii="宋体" w:hAnsi="宋体" w:cs="宋体" w:eastAsia="宋体" w:hint="default"/>
        </w:rPr>
        <w:t>1</w:t>
      </w:r>
      <w:r>
        <w:rPr/>
        <w:t>、</w:t>
      </w:r>
      <w:r>
        <w:rPr>
          <w:spacing w:val="-4"/>
        </w:rPr>
        <w:t> </w:t>
      </w:r>
      <w:r>
        <w:rPr/>
        <w:t>公司治理专项活动开展情况</w:t>
      </w:r>
    </w:p>
    <w:p>
      <w:pPr>
        <w:pStyle w:val="BodyText"/>
        <w:spacing w:line="240" w:lineRule="auto" w:before="29"/>
        <w:ind w:left="513" w:right="0"/>
        <w:jc w:val="left"/>
      </w:pPr>
      <w:r>
        <w:rPr>
          <w:rFonts w:ascii="宋体" w:hAnsi="宋体" w:cs="宋体" w:eastAsia="宋体" w:hint="default"/>
        </w:rPr>
        <w:t>2012</w:t>
      </w:r>
      <w:r>
        <w:rPr>
          <w:rFonts w:ascii="宋体" w:hAnsi="宋体" w:cs="宋体" w:eastAsia="宋体" w:hint="default"/>
          <w:spacing w:val="-50"/>
        </w:rPr>
        <w:t> </w:t>
      </w:r>
      <w:r>
        <w:rPr/>
        <w:t>年</w:t>
      </w:r>
      <w:r>
        <w:rPr>
          <w:spacing w:val="-54"/>
        </w:rPr>
        <w:t> </w:t>
      </w:r>
      <w:r>
        <w:rPr>
          <w:rFonts w:ascii="宋体" w:hAnsi="宋体" w:cs="宋体" w:eastAsia="宋体" w:hint="default"/>
        </w:rPr>
        <w:t>7</w:t>
      </w:r>
      <w:r>
        <w:rPr>
          <w:rFonts w:ascii="宋体" w:hAnsi="宋体" w:cs="宋体" w:eastAsia="宋体" w:hint="default"/>
          <w:spacing w:val="-51"/>
        </w:rPr>
        <w:t> </w:t>
      </w:r>
      <w:r>
        <w:rPr/>
        <w:t>月起，中国证券监督管理委员会深圳监管局（以下简称“深圳证监局”）对公司</w:t>
      </w:r>
      <w:r>
        <w:rPr>
          <w:spacing w:val="-51"/>
        </w:rPr>
        <w:t> </w:t>
      </w:r>
      <w:r>
        <w:rPr>
          <w:rFonts w:ascii="宋体" w:hAnsi="宋体" w:cs="宋体" w:eastAsia="宋体" w:hint="default"/>
        </w:rPr>
        <w:t>2010</w:t>
      </w:r>
      <w:r>
        <w:rPr>
          <w:rFonts w:ascii="宋体" w:hAnsi="宋体" w:cs="宋体" w:eastAsia="宋体" w:hint="default"/>
          <w:spacing w:val="-50"/>
        </w:rPr>
        <w:t> </w:t>
      </w:r>
      <w:r>
        <w:rPr/>
        <w:t>年</w:t>
      </w:r>
      <w:r>
        <w:rPr>
          <w:spacing w:val="-54"/>
        </w:rPr>
        <w:t> </w:t>
      </w:r>
      <w:r>
        <w:rPr>
          <w:rFonts w:ascii="宋体" w:hAnsi="宋体" w:cs="宋体" w:eastAsia="宋体" w:hint="default"/>
        </w:rPr>
        <w:t>3</w:t>
      </w:r>
      <w:r>
        <w:rPr>
          <w:rFonts w:ascii="宋体" w:hAnsi="宋体" w:cs="宋体" w:eastAsia="宋体" w:hint="default"/>
          <w:spacing w:val="-51"/>
        </w:rPr>
        <w:t> </w:t>
      </w:r>
      <w:r>
        <w:rPr/>
        <w:t>月上市以来公司治</w:t>
      </w:r>
    </w:p>
    <w:p>
      <w:pPr>
        <w:pStyle w:val="BodyText"/>
        <w:spacing w:line="338" w:lineRule="auto" w:before="76"/>
        <w:ind w:left="0" w:right="1130"/>
        <w:jc w:val="right"/>
      </w:pPr>
      <w:r>
        <w:rPr/>
        <w:t>理、信息披露、募集资金管理与使用、财务会计基础工作和会计核算方面的情况进行了现场检查，</w:t>
      </w:r>
      <w:r>
        <w:rPr>
          <w:rFonts w:ascii="宋体" w:hAnsi="宋体" w:cs="宋体" w:eastAsia="宋体" w:hint="default"/>
        </w:rPr>
        <w:t>2013</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8</w:t>
      </w:r>
      <w:r>
        <w:rPr>
          <w:rFonts w:ascii="宋体" w:hAnsi="宋体" w:cs="宋体" w:eastAsia="宋体" w:hint="default"/>
          <w:spacing w:val="-45"/>
        </w:rPr>
        <w:t> </w:t>
      </w:r>
      <w:r>
        <w:rPr/>
        <w:t>日，公司 收到深圳证监局对我公司出具的《关于深圳市卓翼科技股份有限公司现场检查的监管意见》（以下简称“《意见》”）。 </w:t>
      </w:r>
      <w:r>
        <w:rPr>
          <w:spacing w:val="-2"/>
        </w:rPr>
        <w:t>接到《意见》后，公司及时向董事、监事、高级管理人员进行了传达。同时，召开专题会议，认真分析《意见》中的各</w:t>
      </w:r>
    </w:p>
    <w:p>
      <w:pPr>
        <w:pStyle w:val="BodyText"/>
        <w:spacing w:line="240" w:lineRule="auto" w:before="2"/>
        <w:ind w:right="0"/>
        <w:jc w:val="both"/>
      </w:pPr>
      <w:r>
        <w:rPr/>
        <w:t>项内容，研究部署落实部门分工和整改时间安排，并成立专门整改小组。公司针对《意见》中发现的问题和整改要求，对照</w:t>
      </w:r>
    </w:p>
    <w:p>
      <w:pPr>
        <w:pStyle w:val="BodyText"/>
        <w:spacing w:line="316" w:lineRule="auto" w:before="76"/>
        <w:ind w:right="1123"/>
        <w:jc w:val="left"/>
      </w:pPr>
      <w:r>
        <w:rPr>
          <w:spacing w:val="-2"/>
        </w:rPr>
        <w:t>《公司法》、公司《章程》、《深圳证券交易所股票上市规则》、《深圳证券交易所中小企业板上市公司规范运作指引》等</w:t>
      </w:r>
      <w:r>
        <w:rPr>
          <w:spacing w:val="-68"/>
        </w:rPr>
        <w:t> </w:t>
      </w:r>
      <w:r>
        <w:rPr>
          <w:spacing w:val="-68"/>
        </w:rPr>
      </w:r>
      <w:r>
        <w:rPr/>
        <w:t>有关法律法规及规定进行了全面认真的核查，制定了整改计划。</w:t>
      </w:r>
    </w:p>
    <w:p>
      <w:pPr>
        <w:pStyle w:val="BodyText"/>
        <w:spacing w:line="316" w:lineRule="auto" w:before="57"/>
        <w:ind w:right="1045" w:firstLine="360"/>
        <w:jc w:val="both"/>
      </w:pPr>
      <w:r>
        <w:rPr/>
        <w:t>上述整改计划已经</w:t>
      </w:r>
      <w:r>
        <w:rPr>
          <w:spacing w:val="-45"/>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日公司召开的第二届董事会第二十一次会议及第二届监事会第十二次会议审议通过， 并在巨潮资讯网（</w:t>
      </w:r>
      <w:r>
        <w:rPr>
          <w:rFonts w:ascii="宋体" w:hAnsi="宋体" w:cs="宋体" w:eastAsia="宋体" w:hint="default"/>
        </w:rPr>
        <w:t>http:/</w:t>
      </w:r>
      <w:hyperlink r:id="rId9">
        <w:r>
          <w:rPr>
            <w:rFonts w:ascii="宋体" w:hAnsi="宋体" w:cs="宋体" w:eastAsia="宋体" w:hint="default"/>
          </w:rPr>
          <w:t>www.cninfo.com.cn</w:t>
        </w:r>
      </w:hyperlink>
      <w:r>
        <w:rPr/>
        <w:t>）上予以公告。</w:t>
      </w:r>
    </w:p>
    <w:p>
      <w:pPr>
        <w:pStyle w:val="BodyText"/>
        <w:spacing w:line="316" w:lineRule="auto" w:before="59"/>
        <w:ind w:right="1135" w:firstLine="360"/>
        <w:jc w:val="both"/>
      </w:pPr>
      <w:r>
        <w:rPr>
          <w:rFonts w:ascii="宋体" w:hAnsi="宋体" w:cs="宋体" w:eastAsia="宋体" w:hint="default"/>
        </w:rPr>
        <w:t>2013</w:t>
      </w:r>
      <w:r>
        <w:rPr>
          <w:rFonts w:ascii="宋体" w:hAnsi="宋体" w:cs="宋体" w:eastAsia="宋体" w:hint="default"/>
          <w:spacing w:val="-44"/>
        </w:rPr>
        <w:t> </w:t>
      </w:r>
      <w:r>
        <w:rPr/>
        <w:t>年</w:t>
      </w:r>
      <w:r>
        <w:rPr>
          <w:spacing w:val="-48"/>
        </w:rPr>
        <w:t> </w:t>
      </w:r>
      <w:r>
        <w:rPr>
          <w:rFonts w:ascii="宋体" w:hAnsi="宋体" w:cs="宋体" w:eastAsia="宋体" w:hint="default"/>
        </w:rPr>
        <w:t>2</w:t>
      </w:r>
      <w:r>
        <w:rPr>
          <w:rFonts w:ascii="宋体" w:hAnsi="宋体" w:cs="宋体" w:eastAsia="宋体" w:hint="default"/>
          <w:spacing w:val="-45"/>
        </w:rPr>
        <w:t> </w:t>
      </w:r>
      <w:r>
        <w:rPr/>
        <w:t>月，公司针对整改计划进行了整改，并形成整改报告，并在规定的时间内向深圳证监局汇报了《整改总结报 </w:t>
      </w:r>
      <w:r>
        <w:rPr>
          <w:spacing w:val="-2"/>
        </w:rPr>
        <w:t>告》。通过此次深圳证监局对公司的现场检查，对提高公司的治理水平、规范公司的信息披露及募集资金管理和使用、控制</w:t>
      </w:r>
      <w:r>
        <w:rPr>
          <w:spacing w:val="-67"/>
        </w:rPr>
        <w:t> </w:t>
      </w:r>
      <w:r>
        <w:rPr>
          <w:spacing w:val="-67"/>
        </w:rPr>
      </w:r>
      <w:r>
        <w:rPr/>
        <w:t>公司风险、完善公司治理结构、加强公司会计核算的规范性等方面的工作起到了重要的指导和推动作用。</w:t>
      </w:r>
    </w:p>
    <w:p>
      <w:pPr>
        <w:pStyle w:val="BodyText"/>
        <w:spacing w:line="357" w:lineRule="auto" w:before="59"/>
        <w:ind w:left="513" w:right="1123" w:firstLine="91"/>
        <w:jc w:val="left"/>
      </w:pPr>
      <w:r>
        <w:rPr>
          <w:rFonts w:ascii="宋体" w:hAnsi="宋体" w:cs="宋体" w:eastAsia="宋体" w:hint="default"/>
        </w:rPr>
        <w:t>2</w:t>
      </w:r>
      <w:r>
        <w:rPr/>
        <w:t>、 公司内幕信息知情人登记管理制度的制定情况 </w:t>
      </w:r>
      <w:r>
        <w:rPr>
          <w:spacing w:val="-2"/>
        </w:rPr>
        <w:t>根据《公司法》、《证券法》、中国证监会《关于上市公司建立内幕信息知情人登记管理制度的规定》等有关法律法规</w:t>
      </w:r>
    </w:p>
    <w:p>
      <w:pPr>
        <w:pStyle w:val="BodyText"/>
        <w:spacing w:line="316" w:lineRule="auto"/>
        <w:ind w:right="1133"/>
        <w:jc w:val="both"/>
      </w:pPr>
      <w:r>
        <w:rPr>
          <w:spacing w:val="-5"/>
        </w:rPr>
        <w:t>及公司《章程》的有关规定，结合公司的实际情况和监管部门的要求，并经第二届董事会第二十次会议审议通过，公司对《内</w:t>
      </w:r>
      <w:r>
        <w:rPr>
          <w:spacing w:val="-82"/>
        </w:rPr>
        <w:t> </w:t>
      </w:r>
      <w:r>
        <w:rPr>
          <w:spacing w:val="-82"/>
        </w:rPr>
      </w:r>
      <w:r>
        <w:rPr>
          <w:spacing w:val="-2"/>
        </w:rPr>
        <w:t>幕信息知情人报备制度》进行了修订，将制度名称修订为《内幕信息知情人登记管理制度》，同时，对制度中的部分条款做</w:t>
      </w:r>
      <w:r>
        <w:rPr>
          <w:spacing w:val="-68"/>
        </w:rPr>
        <w:t> </w:t>
      </w:r>
      <w:r>
        <w:rPr>
          <w:spacing w:val="-68"/>
        </w:rPr>
      </w:r>
      <w:r>
        <w:rPr/>
        <w:t>了相应的修订。第二届董事会第二十次会议决议及修订后的《内幕信息知情人登记管理制度》刊登在巨潮资讯网</w:t>
      </w:r>
    </w:p>
    <w:p>
      <w:pPr>
        <w:pStyle w:val="BodyText"/>
        <w:spacing w:line="240" w:lineRule="auto" w:before="19"/>
        <w:ind w:right="0"/>
        <w:jc w:val="both"/>
      </w:pPr>
      <w:r>
        <w:rPr/>
        <w:t>（</w:t>
      </w:r>
      <w:r>
        <w:rPr>
          <w:rFonts w:ascii="宋体" w:hAnsi="宋体" w:cs="宋体" w:eastAsia="宋体" w:hint="default"/>
        </w:rPr>
        <w:t>http:/</w:t>
      </w:r>
      <w:hyperlink r:id="rId9">
        <w:r>
          <w:rPr>
            <w:rFonts w:ascii="宋体" w:hAnsi="宋体" w:cs="宋体" w:eastAsia="宋体" w:hint="default"/>
          </w:rPr>
          <w:t>www.cninfo.com.cn</w:t>
        </w:r>
      </w:hyperlink>
      <w:r>
        <w:rPr/>
        <w:t>）。</w:t>
      </w:r>
    </w:p>
    <w:p>
      <w:pPr>
        <w:pStyle w:val="BodyText"/>
        <w:spacing w:line="360" w:lineRule="auto" w:before="117"/>
        <w:ind w:left="513" w:right="1123" w:firstLine="91"/>
        <w:jc w:val="left"/>
      </w:pPr>
      <w:r>
        <w:rPr>
          <w:rFonts w:ascii="宋体" w:hAnsi="宋体" w:cs="宋体" w:eastAsia="宋体" w:hint="default"/>
        </w:rPr>
        <w:t>3</w:t>
      </w:r>
      <w:r>
        <w:rPr/>
        <w:t>、 公司内幕信息知情人登记管理制度的实施情况 </w:t>
      </w:r>
      <w:r>
        <w:rPr>
          <w:spacing w:val="-2"/>
        </w:rPr>
        <w:t>公司高度重视内幕信息知情人管理制度的建设，严格按照《关于上市公司建立内幕信息知情人登记管理制度的规定》等</w:t>
      </w:r>
    </w:p>
    <w:p>
      <w:pPr>
        <w:pStyle w:val="BodyText"/>
        <w:spacing w:line="222" w:lineRule="exact"/>
        <w:ind w:right="0"/>
        <w:jc w:val="both"/>
      </w:pPr>
      <w:r>
        <w:rPr/>
        <w:t>有关法律法规及公司《内幕信息知情人登记管理制度》的要求编制《内幕信息知情人档案登记表》，对非公开发行股票等重</w:t>
      </w:r>
    </w:p>
    <w:p>
      <w:pPr>
        <w:pStyle w:val="BodyText"/>
        <w:spacing w:line="310" w:lineRule="atLeast" w:before="2"/>
        <w:ind w:right="1123"/>
        <w:jc w:val="left"/>
      </w:pPr>
      <w:r>
        <w:rPr>
          <w:spacing w:val="-2"/>
        </w:rPr>
        <w:t>大事项进程及时登记备忘录，并以邮件、书面等形式特别提示公司董事、监事、高级管理人员及有关人员严格遵守《内幕信</w:t>
      </w:r>
      <w:r>
        <w:rPr>
          <w:spacing w:val="-67"/>
        </w:rPr>
        <w:t> </w:t>
      </w:r>
      <w:r>
        <w:rPr>
          <w:spacing w:val="-67"/>
        </w:rPr>
      </w:r>
      <w:r>
        <w:rPr/>
        <w:t>息知情人登记管理制度》的规定，并签署承诺书及相关协议，确保《内幕信息知情人登记管理制度》的有效执行。</w:t>
      </w:r>
    </w:p>
    <w:p>
      <w:pPr>
        <w:spacing w:after="0" w:line="310" w:lineRule="atLeast"/>
        <w:jc w:val="left"/>
        <w:sectPr>
          <w:footerReference w:type="default" r:id="rId41"/>
          <w:pgSz w:w="11910" w:h="16840"/>
          <w:pgMar w:footer="1308" w:header="877" w:top="1060" w:bottom="1500" w:left="980" w:right="0"/>
          <w:pgNumType w:start="55"/>
        </w:sectPr>
      </w:pPr>
    </w:p>
    <w:p>
      <w:pPr>
        <w:spacing w:line="240" w:lineRule="auto" w:before="9"/>
        <w:rPr>
          <w:rFonts w:ascii="宋体" w:hAnsi="宋体" w:cs="宋体" w:eastAsia="宋体" w:hint="default"/>
          <w:sz w:val="25"/>
          <w:szCs w:val="25"/>
        </w:rPr>
      </w:pPr>
    </w:p>
    <w:p>
      <w:pPr>
        <w:pStyle w:val="BodyText"/>
        <w:spacing w:line="319" w:lineRule="auto" w:before="44"/>
        <w:ind w:right="1128" w:firstLine="360"/>
        <w:jc w:val="both"/>
      </w:pPr>
      <w:r>
        <w:rPr/>
        <w:t>根据中国证监会《关于组织内幕交易警示教育展的通知》（证监办发</w:t>
      </w:r>
      <w:r>
        <w:rPr>
          <w:rFonts w:ascii="宋体" w:hAnsi="宋体" w:cs="宋体" w:eastAsia="宋体" w:hint="default"/>
        </w:rPr>
        <w:t>[2012]86</w:t>
      </w:r>
      <w:r>
        <w:rPr>
          <w:rFonts w:ascii="宋体" w:hAnsi="宋体" w:cs="宋体" w:eastAsia="宋体" w:hint="default"/>
          <w:spacing w:val="-47"/>
        </w:rPr>
        <w:t> </w:t>
      </w:r>
      <w:r>
        <w:rPr>
          <w:spacing w:val="-3"/>
        </w:rPr>
        <w:t>号）的要求，公司于</w:t>
      </w:r>
      <w:r>
        <w:rPr>
          <w:spacing w:val="-48"/>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10</w:t>
      </w:r>
      <w:r>
        <w:rPr>
          <w:rFonts w:ascii="宋体" w:hAnsi="宋体" w:cs="宋体" w:eastAsia="宋体" w:hint="default"/>
          <w:spacing w:val="-48"/>
        </w:rPr>
        <w:t> </w:t>
      </w:r>
      <w:r>
        <w:rPr/>
        <w:t>月</w:t>
      </w:r>
      <w:r>
        <w:rPr>
          <w:spacing w:val="-50"/>
        </w:rPr>
        <w:t> </w:t>
      </w:r>
      <w:r>
        <w:rPr>
          <w:rFonts w:ascii="宋体" w:hAnsi="宋体" w:cs="宋体" w:eastAsia="宋体" w:hint="default"/>
        </w:rPr>
        <w:t>25</w:t>
      </w:r>
      <w:r>
        <w:rPr>
          <w:rFonts w:ascii="宋体" w:hAnsi="宋体" w:cs="宋体" w:eastAsia="宋体" w:hint="default"/>
          <w:spacing w:val="-48"/>
        </w:rPr>
        <w:t> </w:t>
      </w:r>
      <w:r>
        <w:rPr/>
        <w:t>日 </w:t>
      </w:r>
      <w:r>
        <w:rPr>
          <w:spacing w:val="-5"/>
        </w:rPr>
        <w:t>参加了由中国证监会纪委主办、深圳证监局及深圳证券交易所承办的“内幕交易警示教育展”深圳巡展。参加完此次巡展后，</w:t>
      </w:r>
      <w:r>
        <w:rPr>
          <w:spacing w:val="-78"/>
        </w:rPr>
        <w:t> </w:t>
      </w:r>
      <w:r>
        <w:rPr>
          <w:spacing w:val="-78"/>
        </w:rPr>
      </w:r>
      <w:r>
        <w:rPr/>
        <w:t>公司立即组织未能到现场参观的有关人员认真学习巡展内容的</w:t>
      </w:r>
      <w:r>
        <w:rPr>
          <w:spacing w:val="-38"/>
        </w:rPr>
        <w:t> </w:t>
      </w:r>
      <w:r>
        <w:rPr>
          <w:rFonts w:ascii="宋体" w:hAnsi="宋体" w:cs="宋体" w:eastAsia="宋体" w:hint="default"/>
        </w:rPr>
        <w:t>PPT</w:t>
      </w:r>
      <w:r>
        <w:rPr>
          <w:rFonts w:ascii="宋体" w:hAnsi="宋体" w:cs="宋体" w:eastAsia="宋体" w:hint="default"/>
          <w:spacing w:val="-37"/>
        </w:rPr>
        <w:t> </w:t>
      </w:r>
      <w:r>
        <w:rPr>
          <w:spacing w:val="-4"/>
        </w:rPr>
        <w:t>文件，并将学习情况形成活动总结报告，在规定的时间内</w:t>
      </w:r>
      <w:r>
        <w:rPr/>
        <w:t> 报送给深圳证监局。</w:t>
      </w:r>
    </w:p>
    <w:p>
      <w:pPr>
        <w:pStyle w:val="BodyText"/>
        <w:spacing w:line="240" w:lineRule="auto" w:before="58"/>
        <w:ind w:left="513" w:right="1123"/>
        <w:jc w:val="left"/>
      </w:pPr>
      <w:r>
        <w:rPr/>
        <w:t>报告期内，公司没有发生相关内幕信息交易的行为。</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1"/>
        <w:gridCol w:w="1490"/>
        <w:gridCol w:w="2054"/>
        <w:gridCol w:w="1135"/>
        <w:gridCol w:w="1594"/>
        <w:gridCol w:w="1594"/>
      </w:tblGrid>
      <w:tr>
        <w:trPr>
          <w:trHeight w:val="39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年年度股东大会</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w:t>
            </w:r>
          </w:p>
          <w:p>
            <w:pPr>
              <w:pStyle w:val="TableParagraph"/>
              <w:spacing w:line="300" w:lineRule="auto" w:before="63"/>
              <w:ind w:left="22" w:right="87"/>
              <w:jc w:val="left"/>
              <w:rPr>
                <w:rFonts w:ascii="宋体" w:hAnsi="宋体" w:cs="宋体" w:eastAsia="宋体" w:hint="default"/>
                <w:sz w:val="18"/>
                <w:szCs w:val="18"/>
              </w:rPr>
            </w:pPr>
            <w:r>
              <w:rPr>
                <w:rFonts w:ascii="宋体" w:hAnsi="宋体" w:cs="宋体" w:eastAsia="宋体" w:hint="default"/>
                <w:sz w:val="18"/>
                <w:szCs w:val="18"/>
              </w:rPr>
              <w:t>作报告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监事会工作报告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p>
            <w:pPr>
              <w:pStyle w:val="TableParagraph"/>
              <w:spacing w:line="300" w:lineRule="auto" w:before="13"/>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年度报告》及其摘</w:t>
            </w:r>
            <w:r>
              <w:rPr>
                <w:rFonts w:ascii="宋体" w:hAnsi="宋体" w:cs="宋体" w:eastAsia="宋体" w:hint="default"/>
                <w:sz w:val="18"/>
                <w:szCs w:val="18"/>
              </w:rPr>
              <w:t> </w:t>
            </w:r>
            <w:r>
              <w:rPr>
                <w:rFonts w:ascii="宋体" w:hAnsi="宋体" w:cs="宋体" w:eastAsia="宋体" w:hint="default"/>
                <w:spacing w:val="-13"/>
                <w:sz w:val="18"/>
                <w:szCs w:val="18"/>
              </w:rPr>
              <w:t>要（</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w:t>
            </w:r>
          </w:p>
          <w:p>
            <w:pPr>
              <w:pStyle w:val="TableParagraph"/>
              <w:spacing w:line="307" w:lineRule="auto" w:before="13"/>
              <w:ind w:left="22" w:right="22"/>
              <w:jc w:val="left"/>
              <w:rPr>
                <w:rFonts w:ascii="宋体" w:hAnsi="宋体" w:cs="宋体" w:eastAsia="宋体" w:hint="default"/>
                <w:sz w:val="18"/>
                <w:szCs w:val="18"/>
              </w:rPr>
            </w:pPr>
            <w:r>
              <w:rPr>
                <w:rFonts w:ascii="宋体" w:hAnsi="宋体" w:cs="宋体" w:eastAsia="宋体" w:hint="default"/>
                <w:spacing w:val="-16"/>
                <w:sz w:val="18"/>
                <w:szCs w:val="18"/>
              </w:rPr>
              <w:t>算报告》（</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w:t>
            </w:r>
            <w:r>
              <w:rPr>
                <w:rFonts w:ascii="宋体" w:hAnsi="宋体" w:cs="宋体" w:eastAsia="宋体" w:hint="default"/>
                <w:spacing w:val="-84"/>
                <w:sz w:val="18"/>
                <w:szCs w:val="18"/>
              </w:rPr>
              <w:t> </w:t>
            </w:r>
            <w:r>
              <w:rPr>
                <w:rFonts w:ascii="宋体" w:hAnsi="宋体" w:cs="宋体" w:eastAsia="宋体" w:hint="default"/>
                <w:spacing w:val="-20"/>
                <w:sz w:val="18"/>
                <w:szCs w:val="18"/>
              </w:rPr>
              <w:t>利润分配方案》（</w:t>
            </w:r>
            <w:r>
              <w:rPr>
                <w:rFonts w:ascii="Times New Roman" w:hAnsi="Times New Roman" w:cs="Times New Roman" w:eastAsia="Times New Roman" w:hint="default"/>
                <w:spacing w:val="-20"/>
                <w:sz w:val="18"/>
                <w:szCs w:val="18"/>
              </w:rPr>
              <w:t>6</w:t>
            </w:r>
            <w:r>
              <w:rPr>
                <w:rFonts w:ascii="宋体" w:hAnsi="宋体" w:cs="宋体" w:eastAsia="宋体" w:hint="default"/>
                <w:spacing w:val="-20"/>
                <w:sz w:val="18"/>
                <w:szCs w:val="18"/>
              </w:rPr>
              <w:t>）《关于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续聘会计师事务所的议 </w:t>
            </w:r>
            <w:r>
              <w:rPr>
                <w:rFonts w:ascii="宋体" w:hAnsi="宋体" w:cs="宋体" w:eastAsia="宋体" w:hint="default"/>
                <w:spacing w:val="-19"/>
                <w:sz w:val="18"/>
                <w:szCs w:val="18"/>
              </w:rPr>
              <w:t>案》（</w:t>
            </w:r>
            <w:r>
              <w:rPr>
                <w:rFonts w:ascii="Times New Roman" w:hAnsi="Times New Roman" w:cs="Times New Roman" w:eastAsia="Times New Roman" w:hint="default"/>
                <w:spacing w:val="-19"/>
                <w:sz w:val="18"/>
                <w:szCs w:val="18"/>
              </w:rPr>
              <w:t>7</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年度本公</w:t>
            </w:r>
            <w:r>
              <w:rPr>
                <w:rFonts w:ascii="宋体" w:hAnsi="宋体" w:cs="宋体" w:eastAsia="宋体" w:hint="default"/>
                <w:spacing w:val="-81"/>
                <w:sz w:val="18"/>
                <w:szCs w:val="18"/>
              </w:rPr>
              <w:t> </w:t>
            </w:r>
            <w:r>
              <w:rPr>
                <w:rFonts w:ascii="宋体" w:hAnsi="宋体" w:cs="宋体" w:eastAsia="宋体" w:hint="default"/>
                <w:sz w:val="18"/>
                <w:szCs w:val="18"/>
              </w:rPr>
              <w:t>司与深圳市福瑞康电子有 限公司签订不超过人民币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万元的框架协议的 </w:t>
            </w:r>
            <w:r>
              <w:rPr>
                <w:rFonts w:ascii="宋体" w:hAnsi="宋体" w:cs="宋体" w:eastAsia="宋体" w:hint="default"/>
                <w:spacing w:val="-15"/>
                <w:sz w:val="18"/>
                <w:szCs w:val="18"/>
              </w:rPr>
              <w:t>议案》（</w:t>
            </w:r>
            <w:r>
              <w:rPr>
                <w:rFonts w:ascii="Times New Roman" w:hAnsi="Times New Roman" w:cs="Times New Roman" w:eastAsia="Times New Roman" w:hint="default"/>
                <w:spacing w:val="-15"/>
                <w:sz w:val="18"/>
                <w:szCs w:val="18"/>
              </w:rPr>
              <w:t>8</w:t>
            </w:r>
            <w:r>
              <w:rPr>
                <w:rFonts w:ascii="宋体" w:hAnsi="宋体" w:cs="宋体" w:eastAsia="宋体" w:hint="default"/>
                <w:spacing w:val="-15"/>
                <w:sz w:val="18"/>
                <w:szCs w:val="18"/>
              </w:rPr>
              <w:t>）《关于修订</w:t>
            </w:r>
            <w:r>
              <w:rPr>
                <w:rFonts w:ascii="Times New Roman" w:hAnsi="Times New Roman" w:cs="Times New Roman" w:eastAsia="Times New Roman" w:hint="default"/>
                <w:spacing w:val="-15"/>
                <w:sz w:val="18"/>
                <w:szCs w:val="18"/>
              </w:rPr>
              <w:t>&lt;</w:t>
            </w:r>
            <w:r>
              <w:rPr>
                <w:rFonts w:ascii="宋体" w:hAnsi="宋体" w:cs="宋体" w:eastAsia="宋体" w:hint="default"/>
                <w:spacing w:val="-15"/>
                <w:sz w:val="18"/>
                <w:szCs w:val="18"/>
              </w:rPr>
              <w:t>董</w:t>
            </w:r>
            <w:r>
              <w:rPr>
                <w:rFonts w:ascii="宋体" w:hAnsi="宋体" w:cs="宋体" w:eastAsia="宋体" w:hint="default"/>
                <w:spacing w:val="-79"/>
                <w:sz w:val="18"/>
                <w:szCs w:val="18"/>
              </w:rPr>
              <w:t> </w:t>
            </w:r>
            <w:r>
              <w:rPr>
                <w:rFonts w:ascii="宋体" w:hAnsi="宋体" w:cs="宋体" w:eastAsia="宋体" w:hint="default"/>
                <w:sz w:val="18"/>
                <w:szCs w:val="18"/>
              </w:rPr>
              <w:t>事会议事规则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300" w:lineRule="auto" w:before="7"/>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pacing w:val="-173"/>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股东大会 议事规则</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10</w:t>
            </w:r>
            <w:r>
              <w:rPr>
                <w:rFonts w:ascii="宋体" w:hAnsi="宋体" w:cs="宋体" w:eastAsia="宋体" w:hint="default"/>
                <w:sz w:val="18"/>
                <w:szCs w:val="18"/>
              </w:rPr>
              <w:t>）</w:t>
            </w:r>
          </w:p>
          <w:p>
            <w:pPr>
              <w:pStyle w:val="TableParagraph"/>
              <w:spacing w:line="300" w:lineRule="auto" w:before="13"/>
              <w:ind w:left="22" w:right="196"/>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的议案》</w:t>
            </w:r>
          </w:p>
        </w:tc>
        <w:tc>
          <w:tcPr>
            <w:tcW w:w="11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6" w:right="19"/>
              <w:jc w:val="left"/>
              <w:rPr>
                <w:rFonts w:ascii="宋体" w:hAnsi="宋体" w:cs="宋体" w:eastAsia="宋体" w:hint="default"/>
                <w:sz w:val="18"/>
                <w:szCs w:val="18"/>
              </w:rPr>
            </w:pPr>
            <w:r>
              <w:rPr>
                <w:rFonts w:ascii="宋体" w:hAnsi="宋体" w:cs="宋体" w:eastAsia="宋体" w:hint="default"/>
                <w:sz w:val="18"/>
                <w:szCs w:val="18"/>
              </w:rPr>
              <w:t>审议通过了 全部议案，形 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度股东大会 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07" w:lineRule="auto"/>
              <w:ind w:left="2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2012-021</w:t>
            </w:r>
            <w:r>
              <w:rPr>
                <w:rFonts w:ascii="宋体" w:hAnsi="宋体" w:cs="宋体" w:eastAsia="宋体" w:hint="default"/>
                <w:sz w:val="18"/>
                <w:szCs w:val="18"/>
              </w:rPr>
              <w:t>） 刊登在巨潮资讯网</w:t>
            </w:r>
          </w:p>
          <w:p>
            <w:pPr>
              <w:pStyle w:val="TableParagraph"/>
              <w:spacing w:line="300" w:lineRule="auto" w:before="26"/>
              <w:ind w:left="23" w:right="7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7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97"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3"/>
              <w:ind w:left="22" w:right="19"/>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）《关于向特定对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象非公开发行股票 方案的修订议案》</w:t>
            </w:r>
          </w:p>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）发行数量</w:t>
            </w:r>
          </w:p>
          <w:p>
            <w:pPr>
              <w:pStyle w:val="TableParagraph"/>
              <w:spacing w:line="300"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）发行价格和 定价方式（</w:t>
            </w:r>
            <w:r>
              <w:rPr>
                <w:rFonts w:ascii="Times New Roman" w:hAnsi="Times New Roman" w:cs="Times New Roman" w:eastAsia="Times New Roman" w:hint="default"/>
                <w:sz w:val="18"/>
                <w:szCs w:val="18"/>
              </w:rPr>
              <w:t>1.3</w:t>
            </w:r>
            <w:r>
              <w:rPr>
                <w:rFonts w:ascii="宋体" w:hAnsi="宋体" w:cs="宋体" w:eastAsia="宋体" w:hint="default"/>
                <w:sz w:val="18"/>
                <w:szCs w:val="18"/>
              </w:rPr>
              <w:t>）募 集资金数额及用途</w:t>
            </w:r>
          </w:p>
          <w:p>
            <w:pPr>
              <w:pStyle w:val="TableParagraph"/>
              <w:spacing w:line="309" w:lineRule="auto" w:before="31"/>
              <w:ind w:left="22" w:right="19"/>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）《关于修订非公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开发行股票预案的 </w:t>
            </w:r>
            <w:r>
              <w:rPr>
                <w:rFonts w:ascii="宋体" w:hAnsi="宋体" w:cs="宋体" w:eastAsia="宋体" w:hint="default"/>
                <w:spacing w:val="-19"/>
                <w:sz w:val="18"/>
                <w:szCs w:val="18"/>
              </w:rPr>
              <w:t>议案》（</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）《关于修</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审议通过了全部议 案，形成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 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309" w:lineRule="auto"/>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2012-005</w:t>
            </w:r>
            <w:r>
              <w:rPr>
                <w:rFonts w:ascii="宋体" w:hAnsi="宋体" w:cs="宋体" w:eastAsia="宋体" w:hint="default"/>
                <w:spacing w:val="-5"/>
                <w:sz w:val="18"/>
                <w:szCs w:val="18"/>
              </w:rPr>
              <w:t>）刊登在巨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w:t>
            </w:r>
          </w:p>
          <w:p>
            <w:pPr>
              <w:pStyle w:val="TableParagraph"/>
              <w:spacing w:line="300" w:lineRule="auto" w:before="24"/>
              <w:ind w:left="23" w:right="7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877" w:footer="1308" w:top="1060" w:bottom="150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1299"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2" w:right="119"/>
              <w:jc w:val="both"/>
              <w:rPr>
                <w:rFonts w:ascii="宋体" w:hAnsi="宋体" w:cs="宋体" w:eastAsia="宋体" w:hint="default"/>
                <w:sz w:val="18"/>
                <w:szCs w:val="18"/>
              </w:rPr>
            </w:pPr>
            <w:r>
              <w:rPr>
                <w:rFonts w:ascii="宋体" w:hAnsi="宋体" w:cs="宋体" w:eastAsia="宋体" w:hint="default"/>
                <w:sz w:val="18"/>
                <w:szCs w:val="18"/>
              </w:rPr>
              <w:t>订本次非公开发行 股票募集资金使用 可行性分析报告的 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52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《未来三年</w:t>
            </w:r>
          </w:p>
          <w:p>
            <w:pPr>
              <w:pStyle w:val="TableParagraph"/>
              <w:spacing w:line="312"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年）股</w:t>
            </w:r>
            <w:r>
              <w:rPr>
                <w:rFonts w:ascii="宋体" w:hAnsi="宋体" w:cs="宋体" w:eastAsia="宋体" w:hint="default"/>
                <w:sz w:val="18"/>
                <w:szCs w:val="18"/>
              </w:rPr>
              <w:t> </w:t>
            </w:r>
            <w:r>
              <w:rPr>
                <w:rFonts w:ascii="宋体" w:hAnsi="宋体" w:cs="宋体" w:eastAsia="宋体" w:hint="default"/>
                <w:spacing w:val="-33"/>
                <w:sz w:val="18"/>
                <w:szCs w:val="18"/>
              </w:rPr>
              <w:t>东回报规划》（</w:t>
            </w:r>
            <w:r>
              <w:rPr>
                <w:rFonts w:ascii="Times New Roman" w:hAnsi="Times New Roman" w:cs="Times New Roman" w:eastAsia="Times New Roman" w:hint="default"/>
                <w:spacing w:val="-33"/>
                <w:sz w:val="18"/>
                <w:szCs w:val="18"/>
              </w:rPr>
              <w:t>2</w:t>
            </w:r>
            <w:r>
              <w:rPr>
                <w:rFonts w:ascii="宋体" w:hAnsi="宋体" w:cs="宋体" w:eastAsia="宋体" w:hint="default"/>
                <w:spacing w:val="-33"/>
                <w:sz w:val="18"/>
                <w:szCs w:val="18"/>
              </w:rPr>
              <w:t>）《修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订公司〈章程〉的议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9"/>
                <w:sz w:val="18"/>
                <w:szCs w:val="18"/>
              </w:rPr>
              <w:t>案》（</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）《同意天津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卓达科技发展有限 公司向招商银行股 份有限公司南山支 行申请银行授信额 度及提供担保的议 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审议通过了全部议 案，形成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二次临时股东大会 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9" w:lineRule="auto"/>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2012-031</w:t>
            </w:r>
            <w:r>
              <w:rPr>
                <w:rFonts w:ascii="宋体" w:hAnsi="宋体" w:cs="宋体" w:eastAsia="宋体" w:hint="default"/>
                <w:spacing w:val="-5"/>
                <w:sz w:val="18"/>
                <w:szCs w:val="18"/>
              </w:rPr>
              <w:t>）刊登在巨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w:t>
            </w:r>
          </w:p>
          <w:p>
            <w:pPr>
              <w:pStyle w:val="TableParagraph"/>
              <w:spacing w:line="300" w:lineRule="auto" w:before="24"/>
              <w:ind w:left="23" w:right="7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r>
              <w:rPr>
                <w:rFonts w:ascii="宋体" w:hAnsi="宋体" w:cs="宋体" w:eastAsia="宋体" w:hint="default"/>
                <w:sz w:val="18"/>
                <w:szCs w:val="18"/>
              </w:rPr>
              <w:t>）</w:t>
            </w:r>
          </w:p>
        </w:tc>
      </w:tr>
      <w:tr>
        <w:trPr>
          <w:trHeight w:val="227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2" w:lineRule="auto"/>
              <w:ind w:left="22" w:right="19"/>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）《关于使用部分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闲置募集资金暂时 补充流动资金的议 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审议通过了全部议 案，形成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三次临时股东大会 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2012-063</w:t>
            </w:r>
            <w:r>
              <w:rPr>
                <w:rFonts w:ascii="宋体" w:hAnsi="宋体" w:cs="宋体" w:eastAsia="宋体" w:hint="default"/>
                <w:spacing w:val="-5"/>
                <w:sz w:val="18"/>
                <w:szCs w:val="18"/>
              </w:rPr>
              <w:t>）刊登在巨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w:t>
            </w:r>
          </w:p>
          <w:p>
            <w:pPr>
              <w:pStyle w:val="TableParagraph"/>
              <w:spacing w:line="300" w:lineRule="auto" w:before="24"/>
              <w:ind w:left="23" w:right="7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三、报告期内独立董事履行职责的情况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王小晋</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49"/>
        <w:ind w:right="6614"/>
        <w:jc w:val="left"/>
      </w:pPr>
      <w:r>
        <w:rPr/>
        <w:t>连续两次未亲自出席董事会的说明 报告期内不存在连续两次未亲自出席董事会的情况。</w:t>
      </w:r>
    </w:p>
    <w:p>
      <w:pPr>
        <w:spacing w:line="240" w:lineRule="auto" w:before="2"/>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独立董事对公司有关事项是否提出异议</w:t>
      </w:r>
    </w:p>
    <w:p>
      <w:pPr>
        <w:pStyle w:val="BodyText"/>
        <w:spacing w:line="240" w:lineRule="auto" w:before="117"/>
        <w:ind w:right="1123"/>
        <w:jc w:val="left"/>
      </w:pPr>
      <w:r>
        <w:rPr/>
        <w:t>□ 是 √</w:t>
      </w:r>
      <w:r>
        <w:rPr>
          <w:spacing w:val="3"/>
        </w:rPr>
        <w:t> </w:t>
      </w:r>
      <w:r>
        <w:rPr/>
        <w:t>否</w:t>
      </w:r>
    </w:p>
    <w:p>
      <w:pPr>
        <w:spacing w:after="0" w:line="240" w:lineRule="auto"/>
        <w:jc w:val="left"/>
        <w:sectPr>
          <w:pgSz w:w="11910" w:h="16840"/>
          <w:pgMar w:header="877" w:footer="1308"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报告期内独立董事对公司有关事项未提出异议。</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独立董事对公司有关建议是否被采纳</w:t>
      </w:r>
    </w:p>
    <w:p>
      <w:pPr>
        <w:pStyle w:val="BodyText"/>
        <w:spacing w:line="360" w:lineRule="auto" w:before="115"/>
        <w:ind w:right="6794"/>
        <w:jc w:val="left"/>
      </w:pPr>
      <w:r>
        <w:rPr/>
        <w:t>√ 是 □</w:t>
      </w:r>
      <w:r>
        <w:rPr>
          <w:spacing w:val="3"/>
        </w:rPr>
        <w:t> </w:t>
      </w:r>
      <w:r>
        <w:rPr/>
        <w:t>否</w:t>
      </w:r>
      <w:r>
        <w:rPr/>
        <w:t> 独立董事对公司有关建议被采纳或未被采纳的说明</w:t>
      </w:r>
    </w:p>
    <w:p>
      <w:pPr>
        <w:pStyle w:val="BodyText"/>
        <w:spacing w:line="316" w:lineRule="auto" w:before="27"/>
        <w:ind w:right="1130" w:firstLine="360"/>
        <w:jc w:val="both"/>
      </w:pPr>
      <w:r>
        <w:rPr>
          <w:spacing w:val="-2"/>
        </w:rPr>
        <w:t>报告期内，独立董事严格按照有关法律、法规、公司《章程》、《独立董事工作制度》的规定勤勉履行职责，以认真负</w:t>
      </w:r>
      <w:r>
        <w:rPr/>
        <w:t> </w:t>
      </w:r>
      <w:r>
        <w:rPr>
          <w:spacing w:val="-2"/>
        </w:rPr>
        <w:t>责的态度参加历次董事会，审议各项议案。公司独立董事能恪尽职守，深入公司现场调查，了解公司经营状况和内部控制的</w:t>
      </w:r>
      <w:r>
        <w:rPr>
          <w:spacing w:val="-65"/>
        </w:rPr>
        <w:t> </w:t>
      </w:r>
      <w:r>
        <w:rPr>
          <w:spacing w:val="-65"/>
        </w:rPr>
      </w:r>
      <w:r>
        <w:rPr>
          <w:spacing w:val="-2"/>
        </w:rPr>
        <w:t>建设及董事会决议执行情况，为公司经营和发展提出了合理化的意见和建议，对公司重大事项发表了独立意见，对董事会决</w:t>
      </w:r>
      <w:r>
        <w:rPr>
          <w:spacing w:val="-63"/>
        </w:rPr>
        <w:t> </w:t>
      </w:r>
      <w:r>
        <w:rPr>
          <w:spacing w:val="-63"/>
        </w:rPr>
      </w:r>
      <w:r>
        <w:rPr/>
        <w:t>策的公正、公平及保护中小投资者利益起到了积极作用。</w:t>
      </w:r>
    </w:p>
    <w:tbl>
      <w:tblPr>
        <w:tblW w:w="0" w:type="auto"/>
        <w:jc w:val="left"/>
        <w:tblInd w:w="145" w:type="dxa"/>
        <w:tblLayout w:type="fixed"/>
        <w:tblCellMar>
          <w:top w:w="0" w:type="dxa"/>
          <w:left w:w="0" w:type="dxa"/>
          <w:bottom w:w="0" w:type="dxa"/>
          <w:right w:w="0" w:type="dxa"/>
        </w:tblCellMar>
        <w:tblLook w:val="01E0"/>
      </w:tblPr>
      <w:tblGrid>
        <w:gridCol w:w="5673"/>
        <w:gridCol w:w="1841"/>
        <w:gridCol w:w="2269"/>
      </w:tblGrid>
      <w:tr>
        <w:trPr>
          <w:trHeight w:val="694" w:hRule="exact"/>
        </w:trPr>
        <w:tc>
          <w:tcPr>
            <w:tcW w:w="56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发表独立意见事项</w:t>
            </w:r>
            <w:r>
              <w:rPr>
                <w:rFonts w:ascii="宋体" w:hAnsi="宋体" w:cs="宋体" w:eastAsia="宋体" w:hint="default"/>
                <w:sz w:val="18"/>
                <w:szCs w:val="18"/>
              </w:rPr>
            </w:r>
          </w:p>
        </w:tc>
        <w:tc>
          <w:tcPr>
            <w:tcW w:w="18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发表时间</w:t>
            </w:r>
            <w:r>
              <w:rPr>
                <w:rFonts w:ascii="宋体" w:hAnsi="宋体" w:cs="宋体" w:eastAsia="宋体" w:hint="default"/>
                <w:sz w:val="18"/>
                <w:szCs w:val="18"/>
              </w:rPr>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发表独立意见类型</w:t>
            </w:r>
            <w:r>
              <w:rPr>
                <w:rFonts w:ascii="宋体" w:hAnsi="宋体" w:cs="宋体" w:eastAsia="宋体" w:hint="default"/>
                <w:sz w:val="18"/>
                <w:szCs w:val="18"/>
              </w:rPr>
            </w: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关于公司对外担保的情况</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关于公司累计和当期对外担保情况的专项说明</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26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关于续聘</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年度审计机构</w:t>
            </w:r>
          </w:p>
        </w:tc>
        <w:tc>
          <w:tcPr>
            <w:tcW w:w="1841" w:type="dxa"/>
            <w:vMerge/>
            <w:tcBorders>
              <w:left w:val="single" w:sz="6" w:space="0" w:color="000000"/>
              <w:right w:val="single" w:sz="6" w:space="0" w:color="000000"/>
            </w:tcBorders>
          </w:tcPr>
          <w:p>
            <w:pPr/>
          </w:p>
        </w:tc>
        <w:tc>
          <w:tcPr>
            <w:tcW w:w="2269" w:type="dxa"/>
            <w:vMerge/>
            <w:tcBorders>
              <w:left w:val="single" w:sz="6" w:space="0" w:color="000000"/>
              <w:right w:val="single" w:sz="6" w:space="0" w:color="000000"/>
            </w:tcBorders>
          </w:tcPr>
          <w:p>
            <w:pP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年度日常关联交易</w:t>
            </w:r>
          </w:p>
        </w:tc>
        <w:tc>
          <w:tcPr>
            <w:tcW w:w="1841" w:type="dxa"/>
            <w:vMerge/>
            <w:tcBorders>
              <w:left w:val="single" w:sz="6" w:space="0" w:color="000000"/>
              <w:right w:val="single" w:sz="6" w:space="0" w:color="000000"/>
            </w:tcBorders>
          </w:tcPr>
          <w:p>
            <w:pPr/>
          </w:p>
        </w:tc>
        <w:tc>
          <w:tcPr>
            <w:tcW w:w="2269" w:type="dxa"/>
            <w:vMerge/>
            <w:tcBorders>
              <w:left w:val="single" w:sz="6" w:space="0" w:color="000000"/>
              <w:right w:val="single" w:sz="6" w:space="0" w:color="000000"/>
            </w:tcBorders>
          </w:tcPr>
          <w:p>
            <w:pP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年度内部控制自我评价报告</w:t>
            </w:r>
          </w:p>
        </w:tc>
        <w:tc>
          <w:tcPr>
            <w:tcW w:w="1841" w:type="dxa"/>
            <w:vMerge/>
            <w:tcBorders>
              <w:left w:val="single" w:sz="6" w:space="0" w:color="000000"/>
              <w:right w:val="single" w:sz="6" w:space="0" w:color="000000"/>
            </w:tcBorders>
          </w:tcPr>
          <w:p>
            <w:pPr/>
          </w:p>
        </w:tc>
        <w:tc>
          <w:tcPr>
            <w:tcW w:w="2269" w:type="dxa"/>
            <w:vMerge/>
            <w:tcBorders>
              <w:left w:val="single" w:sz="6" w:space="0" w:color="000000"/>
              <w:right w:val="single" w:sz="6" w:space="0" w:color="000000"/>
            </w:tcBorders>
          </w:tcPr>
          <w:p>
            <w:pP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关于公司为天津卓达科技发展有限公司提供担保</w:t>
            </w:r>
          </w:p>
        </w:tc>
        <w:tc>
          <w:tcPr>
            <w:tcW w:w="1841" w:type="dxa"/>
            <w:vMerge/>
            <w:tcBorders>
              <w:left w:val="single" w:sz="6" w:space="0" w:color="000000"/>
              <w:bottom w:val="single" w:sz="6" w:space="0" w:color="000000"/>
              <w:right w:val="single" w:sz="6" w:space="0" w:color="000000"/>
            </w:tcBorders>
          </w:tcPr>
          <w:p>
            <w:pPr/>
          </w:p>
        </w:tc>
        <w:tc>
          <w:tcPr>
            <w:tcW w:w="2269" w:type="dxa"/>
            <w:vMerge/>
            <w:tcBorders>
              <w:left w:val="single" w:sz="6" w:space="0" w:color="000000"/>
              <w:bottom w:val="single" w:sz="6" w:space="0" w:color="000000"/>
              <w:right w:val="single" w:sz="6" w:space="0" w:color="000000"/>
            </w:tcBorders>
          </w:tcPr>
          <w:p>
            <w:pP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关于调整坏帐准备会计估计变更</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关于公司为天津卓达科技发展有限公司提供担保</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6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关于股东回报规划事宜</w:t>
            </w:r>
          </w:p>
        </w:tc>
        <w:tc>
          <w:tcPr>
            <w:tcW w:w="1841" w:type="dxa"/>
            <w:vMerge/>
            <w:tcBorders>
              <w:left w:val="single" w:sz="6" w:space="0" w:color="000000"/>
              <w:bottom w:val="single" w:sz="6" w:space="0" w:color="000000"/>
              <w:right w:val="single" w:sz="6" w:space="0" w:color="000000"/>
            </w:tcBorders>
          </w:tcPr>
          <w:p>
            <w:pPr/>
          </w:p>
        </w:tc>
        <w:tc>
          <w:tcPr>
            <w:tcW w:w="2269" w:type="dxa"/>
            <w:vMerge/>
            <w:tcBorders>
              <w:left w:val="single" w:sz="6" w:space="0" w:color="000000"/>
              <w:bottom w:val="single" w:sz="6" w:space="0" w:color="000000"/>
              <w:right w:val="single" w:sz="6" w:space="0" w:color="000000"/>
            </w:tcBorders>
          </w:tcPr>
          <w:p>
            <w:pP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年半年度控股股东及其他关联方占用资金</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26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关于公司对外担保的情况</w:t>
            </w:r>
          </w:p>
        </w:tc>
        <w:tc>
          <w:tcPr>
            <w:tcW w:w="1841" w:type="dxa"/>
            <w:vMerge/>
            <w:tcBorders>
              <w:left w:val="single" w:sz="6" w:space="0" w:color="000000"/>
              <w:bottom w:val="single" w:sz="6" w:space="0" w:color="000000"/>
              <w:right w:val="single" w:sz="6" w:space="0" w:color="000000"/>
            </w:tcBorders>
          </w:tcPr>
          <w:p>
            <w:pPr/>
          </w:p>
        </w:tc>
        <w:tc>
          <w:tcPr>
            <w:tcW w:w="2269" w:type="dxa"/>
            <w:vMerge/>
            <w:tcBorders>
              <w:left w:val="single" w:sz="6" w:space="0" w:color="000000"/>
              <w:bottom w:val="single" w:sz="6" w:space="0" w:color="000000"/>
              <w:right w:val="single" w:sz="6" w:space="0" w:color="000000"/>
            </w:tcBorders>
          </w:tcPr>
          <w:p>
            <w:pP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关于聘任禚春磊为公司副总经理</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关于以募集资金置换已预先投入募集资金投资项目自筹资金</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26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w:t>
            </w:r>
          </w:p>
        </w:tc>
        <w:tc>
          <w:tcPr>
            <w:tcW w:w="1841" w:type="dxa"/>
            <w:vMerge/>
            <w:tcBorders>
              <w:left w:val="single" w:sz="6" w:space="0" w:color="000000"/>
              <w:right w:val="single" w:sz="6" w:space="0" w:color="000000"/>
            </w:tcBorders>
          </w:tcPr>
          <w:p>
            <w:pPr/>
          </w:p>
        </w:tc>
        <w:tc>
          <w:tcPr>
            <w:tcW w:w="2269" w:type="dxa"/>
            <w:vMerge/>
            <w:tcBorders>
              <w:left w:val="single" w:sz="6" w:space="0" w:color="000000"/>
              <w:right w:val="single" w:sz="6" w:space="0" w:color="000000"/>
            </w:tcBorders>
          </w:tcPr>
          <w:p>
            <w:pPr/>
          </w:p>
        </w:tc>
      </w:tr>
      <w:tr>
        <w:trPr>
          <w:trHeight w:val="346"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关于聘任曾兆豪先生为公司财务总监</w:t>
            </w:r>
          </w:p>
        </w:tc>
        <w:tc>
          <w:tcPr>
            <w:tcW w:w="1841" w:type="dxa"/>
            <w:vMerge/>
            <w:tcBorders>
              <w:left w:val="single" w:sz="6" w:space="0" w:color="000000"/>
              <w:right w:val="single" w:sz="6" w:space="0" w:color="000000"/>
            </w:tcBorders>
          </w:tcPr>
          <w:p>
            <w:pPr/>
          </w:p>
        </w:tc>
        <w:tc>
          <w:tcPr>
            <w:tcW w:w="2269" w:type="dxa"/>
            <w:vMerge/>
            <w:tcBorders>
              <w:left w:val="single" w:sz="6" w:space="0" w:color="000000"/>
              <w:right w:val="single" w:sz="6" w:space="0" w:color="000000"/>
            </w:tcBorders>
          </w:tcPr>
          <w:p>
            <w:pPr/>
          </w:p>
        </w:tc>
      </w:tr>
      <w:tr>
        <w:trPr>
          <w:trHeight w:val="348" w:hRule="exact"/>
        </w:trPr>
        <w:tc>
          <w:tcPr>
            <w:tcW w:w="5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关于聘任魏代英女士为公司董事会秘书</w:t>
            </w:r>
          </w:p>
        </w:tc>
        <w:tc>
          <w:tcPr>
            <w:tcW w:w="1841" w:type="dxa"/>
            <w:vMerge/>
            <w:tcBorders>
              <w:left w:val="single" w:sz="6" w:space="0" w:color="000000"/>
              <w:bottom w:val="single" w:sz="6" w:space="0" w:color="000000"/>
              <w:right w:val="single" w:sz="6" w:space="0" w:color="000000"/>
            </w:tcBorders>
          </w:tcPr>
          <w:p>
            <w:pPr/>
          </w:p>
        </w:tc>
        <w:tc>
          <w:tcPr>
            <w:tcW w:w="2269" w:type="dxa"/>
            <w:vMerge/>
            <w:tcBorders>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8"/>
          <w:szCs w:val="18"/>
        </w:rPr>
      </w:pPr>
    </w:p>
    <w:p>
      <w:pPr>
        <w:pStyle w:val="Heading2"/>
        <w:spacing w:line="240" w:lineRule="auto" w:before="26"/>
        <w:ind w:right="1123"/>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公司董事会下设三个专门委员会，分别为：审计委员会、薪酬与考核委员会、提名委员会。</w:t>
      </w:r>
      <w:r>
        <w:rPr>
          <w:rFonts w:ascii="宋体" w:hAnsi="宋体" w:cs="宋体" w:eastAsia="宋体" w:hint="default"/>
          <w:spacing w:val="-2"/>
        </w:rPr>
        <w:t>2012</w:t>
      </w:r>
      <w:r>
        <w:rPr>
          <w:spacing w:val="-2"/>
        </w:rPr>
        <w:t>年，各专门委员会本着</w:t>
      </w:r>
      <w:r>
        <w:rPr/>
        <w:t> </w:t>
      </w:r>
      <w:r>
        <w:rPr>
          <w:spacing w:val="-2"/>
        </w:rPr>
        <w:t>勤勉尽责的原则，按照有关法律法规、规范性文件及公司各专门委员会工作细则的规定开展相关工作。报告期内，各专门委</w:t>
      </w:r>
      <w:r>
        <w:rPr>
          <w:spacing w:val="-64"/>
        </w:rPr>
        <w:t> </w:t>
      </w:r>
      <w:r>
        <w:rPr>
          <w:spacing w:val="-64"/>
        </w:rPr>
      </w:r>
      <w:r>
        <w:rPr/>
        <w:t>员会履职情况如下：</w:t>
      </w:r>
    </w:p>
    <w:p>
      <w:pPr>
        <w:pStyle w:val="BodyText"/>
        <w:spacing w:line="300" w:lineRule="auto" w:before="17"/>
        <w:ind w:left="513" w:right="1123"/>
        <w:jc w:val="left"/>
      </w:pPr>
      <w:r>
        <w:rPr>
          <w:rFonts w:ascii="Times New Roman" w:hAnsi="Times New Roman" w:cs="Times New Roman" w:eastAsia="Times New Roman" w:hint="default"/>
        </w:rPr>
        <w:t>1</w:t>
      </w:r>
      <w:r>
        <w:rPr/>
        <w:t>、董事会审计委员会的履职情况 公司已制定《审计委员会议事规则》，报告期内公司董事会审计委员会本着勤勉尽责的原则，认真履行职责，对公司</w:t>
      </w:r>
    </w:p>
    <w:p>
      <w:pPr>
        <w:pStyle w:val="BodyText"/>
        <w:spacing w:line="240" w:lineRule="auto" w:before="31"/>
        <w:ind w:right="1123"/>
        <w:jc w:val="left"/>
      </w:pPr>
      <w:r>
        <w:rPr/>
        <w:t>内部控制制度建立健全情况进行监督检查，对年度财务审计情况进行了审查。</w:t>
      </w:r>
    </w:p>
    <w:p>
      <w:pPr>
        <w:pStyle w:val="BodyText"/>
        <w:spacing w:line="316" w:lineRule="auto" w:before="76"/>
        <w:ind w:left="513" w:right="1123"/>
        <w:jc w:val="left"/>
      </w:pPr>
      <w:r>
        <w:rPr/>
        <w:t>⑴董事会审计委员会报告期内的运作情况 </w:t>
      </w:r>
      <w:r>
        <w:rPr>
          <w:spacing w:val="-8"/>
        </w:rPr>
        <w:t>报告期内，董事会审计委员会召开六次专门会议，分别审议并通过了《</w:t>
      </w:r>
      <w:r>
        <w:rPr>
          <w:rFonts w:ascii="宋体" w:hAnsi="宋体" w:cs="宋体" w:eastAsia="宋体" w:hint="default"/>
          <w:spacing w:val="-8"/>
        </w:rPr>
        <w:t>2011</w:t>
      </w:r>
      <w:r>
        <w:rPr>
          <w:spacing w:val="-8"/>
        </w:rPr>
        <w:t>年度会计报表》、《</w:t>
      </w:r>
      <w:r>
        <w:rPr>
          <w:rFonts w:ascii="宋体" w:hAnsi="宋体" w:cs="宋体" w:eastAsia="宋体" w:hint="default"/>
          <w:spacing w:val="-8"/>
        </w:rPr>
        <w:t>2012</w:t>
      </w:r>
      <w:r>
        <w:rPr>
          <w:spacing w:val="-8"/>
        </w:rPr>
        <w:t>年度审计工作计划》、</w:t>
      </w:r>
    </w:p>
    <w:p>
      <w:pPr>
        <w:pStyle w:val="BodyText"/>
        <w:spacing w:line="316" w:lineRule="auto" w:before="18"/>
        <w:ind w:right="1123"/>
        <w:jc w:val="left"/>
      </w:pPr>
      <w:r>
        <w:rPr>
          <w:spacing w:val="-2"/>
        </w:rPr>
        <w:t>《</w:t>
      </w:r>
      <w:r>
        <w:rPr>
          <w:rFonts w:ascii="宋体" w:hAnsi="宋体" w:cs="宋体" w:eastAsia="宋体" w:hint="default"/>
          <w:spacing w:val="-2"/>
        </w:rPr>
        <w:t>2011</w:t>
      </w:r>
      <w:r>
        <w:rPr>
          <w:spacing w:val="-2"/>
        </w:rPr>
        <w:t>年第四季度内审报告》、《</w:t>
      </w:r>
      <w:r>
        <w:rPr>
          <w:rFonts w:ascii="宋体" w:hAnsi="宋体" w:cs="宋体" w:eastAsia="宋体" w:hint="default"/>
          <w:spacing w:val="-2"/>
        </w:rPr>
        <w:t>2011</w:t>
      </w:r>
      <w:r>
        <w:rPr>
          <w:spacing w:val="-2"/>
        </w:rPr>
        <w:t>年度审计报告》（初稿）、《</w:t>
      </w:r>
      <w:r>
        <w:rPr>
          <w:rFonts w:ascii="宋体" w:hAnsi="宋体" w:cs="宋体" w:eastAsia="宋体" w:hint="default"/>
          <w:spacing w:val="-2"/>
        </w:rPr>
        <w:t>2011</w:t>
      </w:r>
      <w:r>
        <w:rPr>
          <w:spacing w:val="-2"/>
        </w:rPr>
        <w:t>年年度内部审计工作报告》、《</w:t>
      </w:r>
      <w:r>
        <w:rPr>
          <w:rFonts w:ascii="宋体" w:hAnsi="宋体" w:cs="宋体" w:eastAsia="宋体" w:hint="default"/>
          <w:spacing w:val="-2"/>
        </w:rPr>
        <w:t>2011</w:t>
      </w:r>
      <w:r>
        <w:rPr>
          <w:spacing w:val="-2"/>
        </w:rPr>
        <w:t>年公司审计报</w:t>
      </w:r>
      <w:r>
        <w:rPr>
          <w:spacing w:val="-57"/>
        </w:rPr>
        <w:t> </w:t>
      </w:r>
      <w:r>
        <w:rPr>
          <w:spacing w:val="-57"/>
        </w:rPr>
      </w:r>
      <w:r>
        <w:rPr>
          <w:spacing w:val="-2"/>
        </w:rPr>
        <w:t>告》（定稿版）、《关于续聘会计师事务所的议案》、《关于募集资金</w:t>
      </w:r>
      <w:r>
        <w:rPr>
          <w:rFonts w:ascii="宋体" w:hAnsi="宋体" w:cs="宋体" w:eastAsia="宋体" w:hint="default"/>
          <w:spacing w:val="-2"/>
        </w:rPr>
        <w:t>2011</w:t>
      </w:r>
      <w:r>
        <w:rPr>
          <w:spacing w:val="-2"/>
        </w:rPr>
        <w:t>年度使用情况的专项说明》、《</w:t>
      </w:r>
      <w:r>
        <w:rPr>
          <w:rFonts w:ascii="宋体" w:hAnsi="宋体" w:cs="宋体" w:eastAsia="宋体" w:hint="default"/>
          <w:spacing w:val="-2"/>
        </w:rPr>
        <w:t>2011</w:t>
      </w:r>
      <w:r>
        <w:rPr>
          <w:spacing w:val="-2"/>
        </w:rPr>
        <w:t>年内部控制</w:t>
      </w:r>
    </w:p>
    <w:p>
      <w:pPr>
        <w:spacing w:after="0" w:line="316" w:lineRule="auto"/>
        <w:jc w:val="left"/>
        <w:sectPr>
          <w:pgSz w:w="11910" w:h="16840"/>
          <w:pgMar w:header="877" w:footer="1308" w:top="1060" w:bottom="1500" w:left="980" w:right="0"/>
        </w:sectPr>
      </w:pPr>
    </w:p>
    <w:p>
      <w:pPr>
        <w:spacing w:line="240" w:lineRule="auto" w:before="9"/>
        <w:rPr>
          <w:rFonts w:ascii="宋体" w:hAnsi="宋体" w:cs="宋体" w:eastAsia="宋体" w:hint="default"/>
          <w:sz w:val="25"/>
          <w:szCs w:val="25"/>
        </w:rPr>
      </w:pPr>
    </w:p>
    <w:p>
      <w:pPr>
        <w:pStyle w:val="BodyText"/>
        <w:spacing w:line="290" w:lineRule="auto" w:before="44"/>
        <w:ind w:right="1129"/>
        <w:jc w:val="both"/>
      </w:pPr>
      <w:r>
        <w:rPr>
          <w:spacing w:val="-2"/>
        </w:rPr>
        <w:t>自我评价报告》、《</w:t>
      </w:r>
      <w:r>
        <w:rPr>
          <w:rFonts w:ascii="宋体" w:hAnsi="宋体" w:cs="宋体" w:eastAsia="宋体" w:hint="default"/>
          <w:spacing w:val="-2"/>
        </w:rPr>
        <w:t>2012</w:t>
      </w:r>
      <w:r>
        <w:rPr>
          <w:spacing w:val="-2"/>
        </w:rPr>
        <w:t>年第一季度财务报表》、《</w:t>
      </w:r>
      <w:r>
        <w:rPr>
          <w:rFonts w:ascii="宋体" w:hAnsi="宋体" w:cs="宋体" w:eastAsia="宋体" w:hint="default"/>
          <w:spacing w:val="-2"/>
        </w:rPr>
        <w:t>2012</w:t>
      </w:r>
      <w:r>
        <w:rPr>
          <w:spacing w:val="-2"/>
        </w:rPr>
        <w:t>年第一季度内审报告》、《公司</w:t>
      </w:r>
      <w:r>
        <w:rPr>
          <w:rFonts w:ascii="Calibri" w:hAnsi="Calibri" w:cs="Calibri" w:eastAsia="Calibri" w:hint="default"/>
          <w:spacing w:val="-2"/>
        </w:rPr>
        <w:t>2012</w:t>
      </w:r>
      <w:r>
        <w:rPr>
          <w:spacing w:val="-2"/>
        </w:rPr>
        <w:t>年半年度报告的议案》、《公</w:t>
      </w:r>
      <w:r>
        <w:rPr>
          <w:spacing w:val="-70"/>
        </w:rPr>
        <w:t> </w:t>
      </w:r>
      <w:r>
        <w:rPr>
          <w:spacing w:val="-70"/>
        </w:rPr>
      </w:r>
      <w:r>
        <w:rPr/>
        <w:t>司</w:t>
      </w:r>
      <w:r>
        <w:rPr>
          <w:rFonts w:ascii="Calibri" w:hAnsi="Calibri" w:cs="Calibri" w:eastAsia="Calibri" w:hint="default"/>
        </w:rPr>
        <w:t>2012</w:t>
      </w:r>
      <w:r>
        <w:rPr/>
        <w:t>年半年度内审报告的议案》、《关于公司</w:t>
      </w:r>
      <w:r>
        <w:rPr>
          <w:rFonts w:ascii="Calibri" w:hAnsi="Calibri" w:cs="Calibri" w:eastAsia="Calibri" w:hint="default"/>
        </w:rPr>
        <w:t>2012</w:t>
      </w:r>
      <w:r>
        <w:rPr/>
        <w:t>年第三季度报告全文及其正文的议案》、《关于公司</w:t>
      </w:r>
      <w:r>
        <w:rPr>
          <w:rFonts w:ascii="Calibri" w:hAnsi="Calibri" w:cs="Calibri" w:eastAsia="Calibri" w:hint="default"/>
        </w:rPr>
        <w:t>2012</w:t>
      </w:r>
      <w:r>
        <w:rPr/>
        <w:t>年第三季度</w:t>
      </w:r>
      <w:r>
        <w:rPr>
          <w:spacing w:val="-18"/>
        </w:rPr>
        <w:t> </w:t>
      </w:r>
      <w:r>
        <w:rPr>
          <w:spacing w:val="-18"/>
        </w:rPr>
      </w:r>
      <w:r>
        <w:rPr/>
        <w:t>内审报告的议案》。</w:t>
      </w:r>
    </w:p>
    <w:p>
      <w:pPr>
        <w:pStyle w:val="BodyText"/>
        <w:spacing w:line="316" w:lineRule="auto" w:before="38"/>
        <w:ind w:right="1130" w:firstLine="360"/>
        <w:jc w:val="both"/>
      </w:pPr>
      <w:r>
        <w:rPr>
          <w:spacing w:val="-5"/>
        </w:rPr>
        <w:t>此外，董事会审计委员会对公司每季度财务报表、内部审计部门提交的审计工作计划等事项进行审议，并向董事会汇报。</w:t>
      </w:r>
      <w:r>
        <w:rPr/>
        <w:t> 审计委员会还根据公司内部审计部提交的内审报告，就公司内部控制制度的建立健全及执行情况给予指导。</w:t>
      </w:r>
    </w:p>
    <w:p>
      <w:pPr>
        <w:pStyle w:val="BodyText"/>
        <w:spacing w:line="316" w:lineRule="auto" w:before="19"/>
        <w:ind w:left="513" w:right="1123"/>
        <w:jc w:val="left"/>
      </w:pPr>
      <w:r>
        <w:rPr/>
        <w:t>⑵董事会审计委员会对年度财务报告的审议工作情况 董事会审计委员会在公司年审注册会计师进场前审阅了公司编制的财务会计报表，认为财务会计报表基本能够反映公</w:t>
      </w:r>
    </w:p>
    <w:p>
      <w:pPr>
        <w:pStyle w:val="BodyText"/>
        <w:spacing w:line="316" w:lineRule="auto" w:before="19"/>
        <w:ind w:right="1157"/>
        <w:jc w:val="both"/>
      </w:pPr>
      <w:r>
        <w:rPr/>
        <w:t>司的财务状况和经营成果。年审注册会计师进场前，审计委员会与会计师事务所共同协商确定了公司本年度财务报告审计</w:t>
      </w:r>
      <w:r>
        <w:rPr>
          <w:spacing w:val="-29"/>
        </w:rPr>
        <w:t> </w:t>
      </w:r>
      <w:r>
        <w:rPr>
          <w:spacing w:val="-29"/>
        </w:rPr>
      </w:r>
      <w:r>
        <w:rPr/>
        <w:t>工作的时间安排，并不断加强与年审会计师的沟通，督促其在约定时限内提交审计报告。在年审注册会计师出具初步审计</w:t>
      </w:r>
      <w:r>
        <w:rPr>
          <w:spacing w:val="-23"/>
        </w:rPr>
        <w:t> </w:t>
      </w:r>
      <w:r>
        <w:rPr>
          <w:spacing w:val="-23"/>
        </w:rPr>
      </w:r>
      <w:r>
        <w:rPr/>
        <w:t>意见后，审计委员会再一次对公司财务会计报表进行审阅，认为公司财务会计报表真实、准确、完整的反映了公司的财务</w:t>
      </w:r>
      <w:r>
        <w:rPr>
          <w:spacing w:val="-29"/>
        </w:rPr>
        <w:t> </w:t>
      </w:r>
      <w:r>
        <w:rPr>
          <w:spacing w:val="-29"/>
        </w:rPr>
      </w:r>
      <w:r>
        <w:rPr/>
        <w:t>状况、现金流量和经营成果，同意提交董事会审议。</w:t>
      </w:r>
    </w:p>
    <w:p>
      <w:pPr>
        <w:pStyle w:val="BodyText"/>
        <w:spacing w:line="319" w:lineRule="auto" w:before="19"/>
        <w:ind w:left="513" w:right="1123"/>
        <w:jc w:val="left"/>
      </w:pPr>
      <w:r>
        <w:rPr/>
        <w:t>⑶审计委员会对</w:t>
      </w:r>
      <w:r>
        <w:rPr>
          <w:rFonts w:ascii="宋体" w:hAnsi="宋体" w:cs="宋体" w:eastAsia="宋体" w:hint="default"/>
        </w:rPr>
        <w:t>2013</w:t>
      </w:r>
      <w:r>
        <w:rPr/>
        <w:t>年聘任会计师事务所的建议 </w:t>
      </w:r>
      <w:r>
        <w:rPr>
          <w:spacing w:val="-1"/>
        </w:rPr>
        <w:t>大华会计师事务所（特殊普通合伙）于</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11</w:t>
      </w:r>
      <w:r>
        <w:rPr>
          <w:spacing w:val="-1"/>
        </w:rPr>
        <w:t>日成立审计小组，由项目负责人带队正式进入公司开始进行</w:t>
      </w:r>
      <w:r>
        <w:rPr>
          <w:rFonts w:ascii="宋体" w:hAnsi="宋体" w:cs="宋体" w:eastAsia="宋体" w:hint="default"/>
          <w:spacing w:val="-1"/>
        </w:rPr>
        <w:t>2012</w:t>
      </w:r>
      <w:r>
        <w:rPr>
          <w:spacing w:val="-1"/>
        </w:rPr>
        <w:t>年</w:t>
      </w:r>
    </w:p>
    <w:p>
      <w:pPr>
        <w:pStyle w:val="BodyText"/>
        <w:spacing w:line="316" w:lineRule="auto" w:before="17"/>
        <w:ind w:right="1156"/>
        <w:jc w:val="both"/>
      </w:pPr>
      <w:r>
        <w:rPr/>
        <w:t>年度审计。在经过预审的基础上，审计小组如期顺利完成了所有审计程序，取得了充分适当的审计证据，并向审计委员会</w:t>
      </w:r>
      <w:r>
        <w:rPr>
          <w:spacing w:val="-29"/>
        </w:rPr>
        <w:t> </w:t>
      </w:r>
      <w:r>
        <w:rPr>
          <w:spacing w:val="-29"/>
        </w:rPr>
      </w:r>
      <w:r>
        <w:rPr/>
        <w:t>提交了无保留意见的审计报告（意见稿）。在本次审计工作中，大华会计师事务所（特殊普通合伙）及审计成员始终保持</w:t>
      </w:r>
      <w:r>
        <w:rPr>
          <w:spacing w:val="-29"/>
        </w:rPr>
        <w:t> </w:t>
      </w:r>
      <w:r>
        <w:rPr>
          <w:spacing w:val="-29"/>
        </w:rPr>
      </w:r>
      <w:r>
        <w:rPr/>
        <w:t>了形式上和实质上的双重独立，遵守了职业道德基本原则中关于保持独立性的要求。审计小组在本年度审计中按照中国注</w:t>
      </w:r>
      <w:r>
        <w:rPr>
          <w:spacing w:val="-29"/>
        </w:rPr>
        <w:t> </w:t>
      </w:r>
      <w:r>
        <w:rPr>
          <w:spacing w:val="-29"/>
        </w:rPr>
      </w:r>
      <w:r>
        <w:rPr/>
        <w:t>册会计师审计准则的要求执行了恰当的审计程序，为发表审计意见获取了充分、适当的审计证据。大华会计师事务所（特</w:t>
      </w:r>
      <w:r>
        <w:rPr>
          <w:spacing w:val="-29"/>
        </w:rPr>
        <w:t> </w:t>
      </w:r>
      <w:r>
        <w:rPr>
          <w:spacing w:val="-29"/>
        </w:rPr>
      </w:r>
      <w:r>
        <w:rPr/>
        <w:t>殊普通合伙）对财务报表发表的无保留审计意见是在获取充分、适当的审计证据的基础上作出的，顺利地完成了公司委托</w:t>
      </w:r>
      <w:r>
        <w:rPr>
          <w:spacing w:val="-21"/>
        </w:rPr>
        <w:t> </w:t>
      </w:r>
      <w:r>
        <w:rPr>
          <w:spacing w:val="-21"/>
        </w:rPr>
      </w:r>
      <w:r>
        <w:rPr/>
        <w:t>的审计工作。</w:t>
      </w:r>
    </w:p>
    <w:p>
      <w:pPr>
        <w:pStyle w:val="BodyText"/>
        <w:spacing w:line="316" w:lineRule="auto" w:before="19"/>
        <w:ind w:right="1158" w:firstLine="360"/>
        <w:jc w:val="both"/>
      </w:pPr>
      <w:r>
        <w:rPr/>
        <w:t>公司审计委员会建议聘任大华会计师事务所（特殊普通合伙）负责公司</w:t>
      </w:r>
      <w:r>
        <w:rPr>
          <w:rFonts w:ascii="宋体" w:hAnsi="宋体" w:cs="宋体" w:eastAsia="宋体" w:hint="default"/>
        </w:rPr>
        <w:t>2013</w:t>
      </w:r>
      <w:r>
        <w:rPr/>
        <w:t>年的审计工作，并提请第二届董事会第二 十二次会议审议，且需提交股东大会审议。</w:t>
      </w:r>
    </w:p>
    <w:p>
      <w:pPr>
        <w:pStyle w:val="BodyText"/>
        <w:spacing w:line="240" w:lineRule="auto" w:before="19"/>
        <w:ind w:left="513" w:right="1123"/>
        <w:jc w:val="left"/>
      </w:pPr>
      <w:r>
        <w:rPr>
          <w:rFonts w:ascii="宋体" w:hAnsi="宋体" w:cs="宋体" w:eastAsia="宋体" w:hint="default"/>
        </w:rPr>
        <w:t>2</w:t>
      </w:r>
      <w:r>
        <w:rPr/>
        <w:t>、董事会薪酬与考核委员会的履职情况</w:t>
      </w:r>
    </w:p>
    <w:p>
      <w:pPr>
        <w:pStyle w:val="BodyText"/>
        <w:spacing w:line="316" w:lineRule="auto" w:before="76"/>
        <w:ind w:right="1130" w:firstLine="360"/>
        <w:jc w:val="both"/>
      </w:pPr>
      <w:r>
        <w:rPr/>
        <w:t>报告期内，董事会薪酬与考核委员会召开了一次专门会议，审议并通过了《</w:t>
      </w:r>
      <w:r>
        <w:rPr>
          <w:rFonts w:ascii="宋体" w:hAnsi="宋体" w:cs="宋体" w:eastAsia="宋体" w:hint="default"/>
        </w:rPr>
        <w:t>2011</w:t>
      </w:r>
      <w:r>
        <w:rPr/>
        <w:t>年薪酬与考核委员会总结》、《</w:t>
      </w:r>
      <w:r>
        <w:rPr>
          <w:rFonts w:ascii="宋体" w:hAnsi="宋体" w:cs="宋体" w:eastAsia="宋体" w:hint="default"/>
        </w:rPr>
        <w:t>2011 </w:t>
      </w:r>
      <w:r>
        <w:rPr/>
        <w:t>年公司高管人员考评》的议案。</w:t>
      </w:r>
    </w:p>
    <w:p>
      <w:pPr>
        <w:pStyle w:val="BodyText"/>
        <w:spacing w:line="316" w:lineRule="auto" w:before="19"/>
        <w:ind w:right="1132" w:firstLine="360"/>
        <w:jc w:val="both"/>
      </w:pPr>
      <w:r>
        <w:rPr>
          <w:spacing w:val="-2"/>
        </w:rPr>
        <w:t>董事会薪酬与考核委员会认真审阅了公司考核、工资、奖励及福利等情况。委员会认为公司的薪酬和考核奖励办法，能</w:t>
      </w:r>
      <w:r>
        <w:rPr/>
        <w:t> </w:t>
      </w:r>
      <w:r>
        <w:rPr>
          <w:spacing w:val="-2"/>
        </w:rPr>
        <w:t>够在体现公司员工利益和公司整体发展相协调的基础上进行，基本符合按劳取酬和岗位绩效的原则。委员会对公司高级管理</w:t>
      </w:r>
      <w:r>
        <w:rPr>
          <w:spacing w:val="-63"/>
        </w:rPr>
        <w:t> </w:t>
      </w:r>
      <w:r>
        <w:rPr>
          <w:spacing w:val="-63"/>
        </w:rPr>
      </w:r>
      <w:r>
        <w:rPr/>
        <w:t>人员进行考评，认为高级管理人员按照公司经营层制定的经营目标完成了相应的任务，各高级管理人员考评合格。</w:t>
      </w:r>
    </w:p>
    <w:p>
      <w:pPr>
        <w:pStyle w:val="BodyText"/>
        <w:spacing w:line="316" w:lineRule="auto" w:before="19"/>
        <w:ind w:left="513" w:right="7333"/>
        <w:jc w:val="left"/>
      </w:pPr>
      <w:r>
        <w:rPr/>
        <w:t>报告期内，公司未实施股权激励计划。 </w:t>
      </w:r>
      <w:r>
        <w:rPr>
          <w:rFonts w:ascii="宋体" w:hAnsi="宋体" w:cs="宋体" w:eastAsia="宋体" w:hint="default"/>
        </w:rPr>
        <w:t>3</w:t>
      </w:r>
      <w:r>
        <w:rPr/>
        <w:t>、董事会提名委员会的履职情况</w:t>
      </w:r>
    </w:p>
    <w:p>
      <w:pPr>
        <w:pStyle w:val="BodyText"/>
        <w:spacing w:line="316" w:lineRule="auto" w:before="19"/>
        <w:ind w:right="1133" w:firstLine="360"/>
        <w:jc w:val="both"/>
      </w:pPr>
      <w:r>
        <w:rPr>
          <w:spacing w:val="-5"/>
        </w:rPr>
        <w:t>提名委员会根据有关规定积极开展工作，认真履行职责，严格依据《提名委员会议事规则》相关要求，行使权利和义务，</w:t>
      </w:r>
      <w:r>
        <w:rPr/>
        <w:t> </w:t>
      </w:r>
      <w:r>
        <w:rPr>
          <w:spacing w:val="-5"/>
        </w:rPr>
        <w:t>促进公司规范治理运作。报告期内，董事会提名委员会共召开了四次专门会议，分别审议通过了《</w:t>
      </w:r>
      <w:r>
        <w:rPr>
          <w:rFonts w:ascii="宋体" w:hAnsi="宋体" w:cs="宋体" w:eastAsia="宋体" w:hint="default"/>
          <w:spacing w:val="-5"/>
        </w:rPr>
        <w:t>2011</w:t>
      </w:r>
      <w:r>
        <w:rPr>
          <w:spacing w:val="-5"/>
        </w:rPr>
        <w:t>年提名委员会总结》、</w:t>
      </w:r>
    </w:p>
    <w:p>
      <w:pPr>
        <w:pStyle w:val="BodyText"/>
        <w:spacing w:line="316" w:lineRule="auto" w:before="19"/>
        <w:ind w:right="1132"/>
        <w:jc w:val="both"/>
      </w:pPr>
      <w:r>
        <w:rPr>
          <w:spacing w:val="-2"/>
        </w:rPr>
        <w:t>《关于聘任证券事务代表的议案》、《关于提名禚春磊先生为公司副总经理的议案》、《关于提名曾兆豪先生为公司财务总</w:t>
      </w:r>
      <w:r>
        <w:rPr>
          <w:spacing w:val="-65"/>
        </w:rPr>
        <w:t> </w:t>
      </w:r>
      <w:r>
        <w:rPr>
          <w:spacing w:val="-65"/>
        </w:rPr>
      </w:r>
      <w:r>
        <w:rPr/>
        <w:t>监的议案》、《关于提名魏代英女士为公司董事会秘书的议案》。</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5" w:firstLine="360"/>
        <w:jc w:val="both"/>
      </w:pPr>
      <w:r>
        <w:rPr>
          <w:spacing w:val="-2"/>
        </w:rPr>
        <w:t>公司自设立以来，严格按照《公司法》和公司《章程》等法律法规的要求规范运作，逐步建立法人治理经构。公司控股</w:t>
      </w:r>
      <w:r>
        <w:rPr/>
        <w:t> </w:t>
      </w:r>
      <w:r>
        <w:rPr>
          <w:spacing w:val="-2"/>
        </w:rPr>
        <w:t>股东均为自然人，在业务、人员、资产、机构、财务等方面与控股股东、实际控制人及其控制的其他企业完全分开，具有独</w:t>
      </w:r>
    </w:p>
    <w:p>
      <w:pPr>
        <w:spacing w:after="0" w:line="316" w:lineRule="auto"/>
        <w:jc w:val="both"/>
        <w:sectPr>
          <w:pgSz w:w="11910" w:h="16840"/>
          <w:pgMar w:header="877" w:footer="1308"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立完整的业务及自主经营能力，同时公司控股股东及其关联公司未以任何形式占用公司的资金或其他资产。</w:t>
      </w:r>
    </w:p>
    <w:p>
      <w:pPr>
        <w:pStyle w:val="BodyText"/>
        <w:spacing w:line="357" w:lineRule="auto" w:before="117"/>
        <w:ind w:left="513" w:right="1123"/>
        <w:jc w:val="left"/>
      </w:pPr>
      <w:r>
        <w:rPr/>
        <w:t>（一）机构独立 </w:t>
      </w:r>
      <w:r>
        <w:rPr>
          <w:spacing w:val="-6"/>
        </w:rPr>
        <w:t>公司根据《公司法》、《证券法》、公司《章程》及其他有关法律法规的规定，建立健全了股东大会、董事会、监事会以</w:t>
      </w:r>
    </w:p>
    <w:p>
      <w:pPr>
        <w:pStyle w:val="BodyText"/>
        <w:tabs>
          <w:tab w:pos="5515" w:val="left" w:leader="none"/>
        </w:tabs>
        <w:spacing w:line="224" w:lineRule="exact"/>
        <w:ind w:right="0"/>
        <w:jc w:val="left"/>
      </w:pPr>
      <w:r>
        <w:rPr>
          <w:spacing w:val="-1"/>
        </w:rPr>
        <w:t>及经营管理层的运作体系，并制定了相关议事规则和工作细则。</w:t>
        <w:tab/>
      </w:r>
      <w:r>
        <w:rPr>
          <w:spacing w:val="-2"/>
        </w:rPr>
        <w:t>公司建立了完整、高效的组织结构，成立了独立的业务</w:t>
      </w:r>
    </w:p>
    <w:p>
      <w:pPr>
        <w:pStyle w:val="BodyText"/>
        <w:spacing w:line="316" w:lineRule="auto" w:before="76"/>
        <w:ind w:right="1034"/>
        <w:jc w:val="left"/>
      </w:pPr>
      <w:r>
        <w:rPr/>
        <w:t>部门，包括各产品事业部、技术中心、生产中心、商务部、财务部、证券（投资）部、人力资源部、行政后勤部、信息部、</w:t>
      </w:r>
      <w:r>
        <w:rPr>
          <w:spacing w:val="-86"/>
        </w:rPr>
        <w:t> </w:t>
      </w:r>
      <w:r>
        <w:rPr>
          <w:spacing w:val="-86"/>
        </w:rPr>
      </w:r>
      <w:r>
        <w:rPr>
          <w:spacing w:val="-2"/>
        </w:rPr>
        <w:t>制造发展部、内部审计部、企业管理部等部门。公司还拥有卓大精密、中广视讯、卓达科技、卓翼香港四家全资子公司及宝</w:t>
      </w:r>
      <w:r>
        <w:rPr>
          <w:spacing w:val="-68"/>
        </w:rPr>
        <w:t> </w:t>
      </w:r>
      <w:r>
        <w:rPr>
          <w:spacing w:val="-68"/>
        </w:rPr>
      </w:r>
      <w:r>
        <w:rPr/>
        <w:t>安分公司。</w:t>
      </w:r>
    </w:p>
    <w:p>
      <w:pPr>
        <w:pStyle w:val="BodyText"/>
        <w:spacing w:line="360" w:lineRule="auto" w:before="59"/>
        <w:ind w:left="513" w:right="1123"/>
        <w:jc w:val="left"/>
      </w:pPr>
      <w:r>
        <w:rPr/>
        <w:t>（二）业务独立 </w:t>
      </w:r>
      <w:r>
        <w:rPr>
          <w:spacing w:val="-2"/>
        </w:rPr>
        <w:t>公司拥有独立完整的研发、供应、生产和销售业务体系，具有直接面向市场独立经营的能力，不存在其它需要依赖控股</w:t>
      </w:r>
    </w:p>
    <w:p>
      <w:pPr>
        <w:pStyle w:val="BodyText"/>
        <w:spacing w:line="222" w:lineRule="exact"/>
        <w:ind w:right="1123"/>
        <w:jc w:val="left"/>
      </w:pPr>
      <w:r>
        <w:rPr/>
        <w:t>股东、实际控制人及其控制的其他企业进行生产经营活动的情况。</w:t>
      </w:r>
    </w:p>
    <w:p>
      <w:pPr>
        <w:pStyle w:val="BodyText"/>
        <w:spacing w:line="360" w:lineRule="auto" w:before="115"/>
        <w:ind w:left="513" w:right="1123"/>
        <w:jc w:val="left"/>
      </w:pPr>
      <w:r>
        <w:rPr/>
        <w:t>（三）资产独立 </w:t>
      </w:r>
      <w:r>
        <w:rPr>
          <w:spacing w:val="-2"/>
        </w:rPr>
        <w:t>公司与控股股东产权关系明确，资产不存在被股东无偿占用、挪用的情况，拥有独立的生产场地、生产系统、辅助生产</w:t>
      </w:r>
    </w:p>
    <w:p>
      <w:pPr>
        <w:pStyle w:val="BodyText"/>
        <w:spacing w:line="223" w:lineRule="exact"/>
        <w:ind w:right="1123"/>
        <w:jc w:val="left"/>
      </w:pPr>
      <w:r>
        <w:rPr/>
        <w:t>系统和配套设施、厂房、设备以及专利等资产的所有权和使用权，公司资产完整。</w:t>
      </w:r>
    </w:p>
    <w:p>
      <w:pPr>
        <w:pStyle w:val="BodyText"/>
        <w:spacing w:line="357" w:lineRule="auto" w:before="117"/>
        <w:ind w:left="513" w:right="1123"/>
        <w:jc w:val="left"/>
      </w:pPr>
      <w:r>
        <w:rPr/>
        <w:t>（四）人员独立 </w:t>
      </w:r>
      <w:r>
        <w:rPr>
          <w:spacing w:val="-2"/>
        </w:rPr>
        <w:t>公司拥有独立的劳动、人事及工资管理体系，具有独立的人事选择和任免机制。公司的董事、监事及高级管理人员等均</w:t>
      </w:r>
    </w:p>
    <w:p>
      <w:pPr>
        <w:pStyle w:val="BodyText"/>
        <w:spacing w:line="224" w:lineRule="exact"/>
        <w:ind w:right="0"/>
        <w:jc w:val="left"/>
      </w:pPr>
      <w:r>
        <w:rPr/>
        <w:t>严格按照《公司法</w:t>
      </w:r>
      <w:r>
        <w:rPr>
          <w:spacing w:val="-92"/>
        </w:rPr>
        <w:t>》</w:t>
      </w:r>
      <w:r>
        <w:rPr/>
        <w:t>、公司《</w:t>
      </w:r>
      <w:r>
        <w:rPr>
          <w:spacing w:val="2"/>
        </w:rPr>
        <w:t>章</w:t>
      </w:r>
      <w:r>
        <w:rPr/>
        <w:t>程》的有关规</w:t>
      </w:r>
      <w:r>
        <w:rPr>
          <w:spacing w:val="1"/>
        </w:rPr>
        <w:t>定</w:t>
      </w:r>
      <w:r>
        <w:rPr/>
        <w:t>聘用。所有员工均与公司签订了劳动合同，不存在控股股东、其他任何部门</w:t>
      </w:r>
    </w:p>
    <w:p>
      <w:pPr>
        <w:pStyle w:val="BodyText"/>
        <w:spacing w:line="240" w:lineRule="auto" w:before="76"/>
        <w:ind w:right="1123"/>
        <w:jc w:val="left"/>
      </w:pPr>
      <w:r>
        <w:rPr/>
        <w:t>和单位或个人干预公司人事任免的情形。</w:t>
      </w:r>
    </w:p>
    <w:p>
      <w:pPr>
        <w:pStyle w:val="BodyText"/>
        <w:spacing w:line="360" w:lineRule="auto" w:before="117"/>
        <w:ind w:left="513" w:right="1123"/>
        <w:jc w:val="left"/>
      </w:pPr>
      <w:r>
        <w:rPr/>
        <w:t>（五）财务独立 </w:t>
      </w:r>
      <w:r>
        <w:rPr>
          <w:spacing w:val="-2"/>
        </w:rPr>
        <w:t>公司设立了独立的财务部，拥有独立完整的财务核算体系和各项财务管理制度，独立在银行开户，独立纳税。公司财务</w:t>
      </w:r>
    </w:p>
    <w:p>
      <w:pPr>
        <w:pStyle w:val="BodyText"/>
        <w:spacing w:line="222" w:lineRule="exact"/>
        <w:ind w:right="0"/>
        <w:jc w:val="left"/>
      </w:pPr>
      <w:r>
        <w:rPr/>
        <w:t>部工作人员均专职在本公司工作，公司财务体系独立于实际控制人及控股股东，能够独立做出财务决策，不存在控股股东及</w:t>
      </w:r>
    </w:p>
    <w:p>
      <w:pPr>
        <w:pStyle w:val="BodyText"/>
        <w:spacing w:line="240" w:lineRule="auto" w:before="76"/>
        <w:ind w:right="1123"/>
        <w:jc w:val="left"/>
      </w:pPr>
      <w:r>
        <w:rPr/>
        <w:t>其他关联方违规占用公司资金的情况。</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3"/>
        <w:jc w:val="left"/>
      </w:pPr>
      <w:r>
        <w:rPr/>
        <w:t>报告期内，公司不存在同业竞争情况。</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46"/>
        <w:jc w:val="both"/>
      </w:pPr>
      <w:r>
        <w:rPr>
          <w:spacing w:val="-2"/>
        </w:rPr>
        <w:t>公司严格按照《公司法》、公司《章程》的规定，选聘高级管理人员，公司高级管理人员直接对董事会负责，接受董事</w:t>
      </w:r>
      <w:r>
        <w:rPr/>
        <w:t> </w:t>
      </w:r>
      <w:r>
        <w:rPr>
          <w:spacing w:val="-2"/>
        </w:rPr>
        <w:t>会和薪酬与考核委员会的考核、奖惩。报告期内，公司高级管理人员的薪酬与其工作绩效、公司业绩挂钩。董事会薪酬与考</w:t>
      </w:r>
      <w:r>
        <w:rPr>
          <w:spacing w:val="-64"/>
        </w:rPr>
        <w:t> </w:t>
      </w:r>
      <w:r>
        <w:rPr>
          <w:spacing w:val="-64"/>
        </w:rPr>
      </w:r>
      <w:r>
        <w:rPr>
          <w:spacing w:val="-2"/>
        </w:rPr>
        <w:t>核委员会年终对高级管理人员的全年达成情况、履职情况进行考评，达成高级管理人员的个人利益与公司长远发展相结合起</w:t>
      </w:r>
      <w:r>
        <w:rPr>
          <w:spacing w:val="-64"/>
        </w:rPr>
        <w:t> </w:t>
      </w:r>
      <w:r>
        <w:rPr>
          <w:spacing w:val="-64"/>
        </w:rPr>
      </w:r>
      <w:r>
        <w:rPr/>
        <w:t>来的目标。</w:t>
      </w:r>
    </w:p>
    <w:p>
      <w:pPr>
        <w:pStyle w:val="BodyText"/>
        <w:spacing w:line="240" w:lineRule="auto" w:before="57"/>
        <w:ind w:left="498" w:right="1123"/>
        <w:jc w:val="left"/>
      </w:pPr>
      <w:r>
        <w:rPr/>
        <w:t>报告期内，公司未建立股权激励机制。</w:t>
      </w:r>
    </w:p>
    <w:p>
      <w:pPr>
        <w:spacing w:after="0" w:line="240" w:lineRule="auto"/>
        <w:jc w:val="left"/>
        <w:sectPr>
          <w:pgSz w:w="11910" w:h="16840"/>
          <w:pgMar w:header="877" w:footer="1308" w:top="106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8" w:right="1123"/>
        <w:jc w:val="left"/>
      </w:pPr>
      <w:r>
        <w:rPr/>
        <w:t>（一）内部控制环境</w:t>
      </w:r>
    </w:p>
    <w:p>
      <w:pPr>
        <w:pStyle w:val="BodyText"/>
        <w:spacing w:line="314" w:lineRule="auto" w:before="117"/>
        <w:ind w:right="1034" w:firstLine="360"/>
        <w:jc w:val="left"/>
      </w:pPr>
      <w:r>
        <w:rPr>
          <w:rFonts w:ascii="Times New Roman" w:hAnsi="Times New Roman" w:cs="Times New Roman" w:eastAsia="Times New Roman" w:hint="default"/>
          <w:spacing w:val="-4"/>
        </w:rPr>
        <w:t>1</w:t>
      </w:r>
      <w:r>
        <w:rPr>
          <w:spacing w:val="-4"/>
        </w:rPr>
        <w:t>、根据《公司法》、公司《章程》和其他有关法律法规的规定，公司建立了较为完善的法人治理结构，制定了《股东大</w:t>
      </w:r>
      <w:r>
        <w:rPr/>
        <w:t> </w:t>
      </w:r>
      <w:r>
        <w:rPr>
          <w:spacing w:val="-12"/>
        </w:rPr>
        <w:t>会议事规则》、《董事会议事规则》、《监事会议事规则》、《总经理工作细则》等主要架构的规章制度，明确决策、执行、监督</w:t>
      </w:r>
      <w:r>
        <w:rPr>
          <w:spacing w:val="-40"/>
        </w:rPr>
        <w:t> </w:t>
      </w:r>
      <w:r>
        <w:rPr>
          <w:spacing w:val="-40"/>
        </w:rPr>
      </w:r>
      <w:r>
        <w:rPr>
          <w:spacing w:val="-2"/>
        </w:rPr>
        <w:t>等方面的职责权限，形成科学有效的职责分工和制衡机制。股东大会是公司最高权力机构，董事会是公司的决策机构，董事</w:t>
      </w:r>
      <w:r>
        <w:rPr>
          <w:spacing w:val="-64"/>
        </w:rPr>
        <w:t> </w:t>
      </w:r>
      <w:r>
        <w:rPr>
          <w:spacing w:val="-64"/>
        </w:rPr>
      </w:r>
      <w:r>
        <w:rPr/>
        <w:t>会向股东大会负责，对公司经营活动中的重大事项进行审议并做出决定，或提交股东大会审议。监事会是公司的监督机构，</w:t>
      </w:r>
      <w:r>
        <w:rPr>
          <w:spacing w:val="-86"/>
        </w:rPr>
        <w:t> </w:t>
      </w:r>
      <w:r>
        <w:rPr>
          <w:spacing w:val="-86"/>
        </w:rPr>
      </w:r>
      <w:r>
        <w:rPr>
          <w:spacing w:val="-2"/>
        </w:rPr>
        <w:t>负责对公司董事、高级管理人员的行为及公司财务等进行监督。公司高管人员由董事会聘任，在董事会的领导下，全面负责</w:t>
      </w:r>
      <w:r>
        <w:rPr>
          <w:spacing w:val="-62"/>
        </w:rPr>
        <w:t> </w:t>
      </w:r>
      <w:r>
        <w:rPr>
          <w:spacing w:val="-62"/>
        </w:rPr>
      </w:r>
      <w:r>
        <w:rPr/>
        <w:t>公司的日常经营管理活动，组织实施董事会决议。</w:t>
      </w:r>
    </w:p>
    <w:p>
      <w:pPr>
        <w:pStyle w:val="BodyText"/>
        <w:spacing w:line="312" w:lineRule="auto" w:before="59"/>
        <w:ind w:right="1131" w:firstLine="360"/>
        <w:jc w:val="both"/>
      </w:pPr>
      <w:r>
        <w:rPr>
          <w:rFonts w:ascii="Times New Roman" w:hAnsi="Times New Roman" w:cs="Times New Roman" w:eastAsia="Times New Roman" w:hint="default"/>
          <w:spacing w:val="-4"/>
        </w:rPr>
        <w:t>2</w:t>
      </w:r>
      <w:r>
        <w:rPr>
          <w:spacing w:val="-4"/>
        </w:rPr>
        <w:t>、董事会分别设立了审计委员会、薪酬与考核委员会和提名委员会，制定了《董事会审计委员会议事规则》、《董事会</w:t>
      </w:r>
      <w:r>
        <w:rPr/>
        <w:t> </w:t>
      </w:r>
      <w:r>
        <w:rPr>
          <w:spacing w:val="-2"/>
        </w:rPr>
        <w:t>薪酬与考核委员会议事规则》和《董事会提名委员会议事规则》，规范了董事会各专业委员会的工作流程，并在各专业委员</w:t>
      </w:r>
      <w:r>
        <w:rPr>
          <w:spacing w:val="-72"/>
        </w:rPr>
        <w:t> </w:t>
      </w:r>
      <w:r>
        <w:rPr>
          <w:spacing w:val="-72"/>
        </w:rPr>
      </w:r>
      <w:r>
        <w:rPr>
          <w:spacing w:val="-2"/>
        </w:rPr>
        <w:t>会的工作中得以遵照执行，以进一步完善治理结构，促进董事会科学、高效决策。公司董事会秘书处作为董事会下设事务工</w:t>
      </w:r>
      <w:r>
        <w:rPr>
          <w:spacing w:val="-64"/>
        </w:rPr>
        <w:t> </w:t>
      </w:r>
      <w:r>
        <w:rPr>
          <w:spacing w:val="-64"/>
        </w:rPr>
      </w:r>
      <w:r>
        <w:rPr/>
        <w:t>作机构，负责协调相关事务并负责上市公司的信息披露、投资者关系管理等工作。</w:t>
      </w:r>
    </w:p>
    <w:p>
      <w:pPr>
        <w:pStyle w:val="BodyText"/>
        <w:spacing w:line="309" w:lineRule="auto" w:before="63"/>
        <w:ind w:right="1135" w:firstLine="360"/>
        <w:jc w:val="both"/>
      </w:pPr>
      <w:r>
        <w:rPr>
          <w:rFonts w:ascii="Times New Roman" w:hAnsi="Times New Roman" w:cs="Times New Roman" w:eastAsia="Times New Roman" w:hint="default"/>
          <w:spacing w:val="-4"/>
        </w:rPr>
        <w:t>3</w:t>
      </w:r>
      <w:r>
        <w:rPr>
          <w:spacing w:val="-4"/>
        </w:rPr>
        <w:t>、在募集资金使用与管理方面，公司已制定并严格遵照《募集资金专项存储与使用管理办法》，对募集资金的专项存款</w:t>
      </w:r>
      <w:r>
        <w:rPr/>
        <w:t> </w:t>
      </w:r>
      <w:r>
        <w:rPr>
          <w:spacing w:val="-2"/>
        </w:rPr>
        <w:t>制度、使用及审批程序、用途调整与变更、管理监督和责任追究等方面进行明确规定。同时，公司内部审计部在每季度末对</w:t>
      </w:r>
      <w:r>
        <w:rPr>
          <w:spacing w:val="-67"/>
        </w:rPr>
        <w:t> </w:t>
      </w:r>
      <w:r>
        <w:rPr>
          <w:spacing w:val="-67"/>
        </w:rPr>
      </w:r>
      <w:r>
        <w:rPr/>
        <w:t>募集资金的使用情况进行核查，以保证募集资金专款专用。</w:t>
      </w:r>
    </w:p>
    <w:p>
      <w:pPr>
        <w:pStyle w:val="BodyText"/>
        <w:spacing w:line="309" w:lineRule="auto" w:before="65"/>
        <w:ind w:right="1136" w:firstLine="360"/>
        <w:jc w:val="both"/>
      </w:pPr>
      <w:r>
        <w:rPr>
          <w:rFonts w:ascii="Times New Roman" w:hAnsi="Times New Roman" w:cs="Times New Roman" w:eastAsia="Times New Roman" w:hint="default"/>
        </w:rPr>
        <w:t>4</w:t>
      </w:r>
      <w:r>
        <w:rPr/>
        <w:t>、公司制定和完善了《关联交易决策制度》等规章制度，对关联方和关联交易、关联交易的审批权限决策程序等做出 </w:t>
      </w:r>
      <w:r>
        <w:rPr>
          <w:spacing w:val="-2"/>
        </w:rPr>
        <w:t>了明确的规定和严格的限制，规范与关联方的交易行为，遵循诚实信用、公正、公平、公开的原则，确保关联交易公平、合</w:t>
      </w:r>
      <w:r>
        <w:rPr>
          <w:spacing w:val="-73"/>
        </w:rPr>
        <w:t> </w:t>
      </w:r>
      <w:r>
        <w:rPr>
          <w:spacing w:val="-73"/>
        </w:rPr>
      </w:r>
      <w:r>
        <w:rPr/>
        <w:t>理，保护公司及中小股东的利益。</w:t>
      </w:r>
    </w:p>
    <w:p>
      <w:pPr>
        <w:pStyle w:val="BodyText"/>
        <w:spacing w:line="309" w:lineRule="auto" w:before="63"/>
        <w:ind w:right="1130" w:firstLine="360"/>
        <w:jc w:val="both"/>
      </w:pPr>
      <w:r>
        <w:rPr>
          <w:rFonts w:ascii="Times New Roman" w:hAnsi="Times New Roman" w:cs="Times New Roman" w:eastAsia="Times New Roman" w:hint="default"/>
        </w:rPr>
        <w:t>5</w:t>
      </w:r>
      <w:r>
        <w:rPr/>
        <w:t>、公司对外担保遵循合法、审慎、互利、安全的原则，严格控制担保风险，公司在《章程》中明确规定了股东大会、 </w:t>
      </w:r>
      <w:r>
        <w:rPr>
          <w:spacing w:val="-2"/>
        </w:rPr>
        <w:t>董事会关于对外担保事项的审批权限，未经董事会或股东大会批准，公司不得对外提供担保，加强了公司内部审计部关于对</w:t>
      </w:r>
      <w:r>
        <w:rPr>
          <w:spacing w:val="-63"/>
        </w:rPr>
        <w:t> </w:t>
      </w:r>
      <w:r>
        <w:rPr>
          <w:spacing w:val="-63"/>
        </w:rPr>
      </w:r>
      <w:r>
        <w:rPr/>
        <w:t>外担保的审计力度。报告期内，公司不存在对全资子公司之外的主体进行担保的情形。</w:t>
      </w:r>
    </w:p>
    <w:p>
      <w:pPr>
        <w:pStyle w:val="BodyText"/>
        <w:spacing w:line="309" w:lineRule="auto" w:before="65"/>
        <w:ind w:right="1130" w:firstLine="360"/>
        <w:jc w:val="both"/>
      </w:pPr>
      <w:r>
        <w:rPr>
          <w:rFonts w:ascii="Times New Roman" w:hAnsi="Times New Roman" w:cs="Times New Roman" w:eastAsia="Times New Roman" w:hint="default"/>
        </w:rPr>
        <w:t>6</w:t>
      </w:r>
      <w:r>
        <w:rPr/>
        <w:t>、公司董事会负责批准并定期审查公司的经营战略和重大决策，确定经营风险的可接受水平；高管人员严格执行了董 </w:t>
      </w:r>
      <w:r>
        <w:rPr>
          <w:spacing w:val="-2"/>
        </w:rPr>
        <w:t>事会批准的战略和政策；高管人员和董事会之间的责任、授权和报告关系明确，高管人员促使公司员工了解公司的内部控制</w:t>
      </w:r>
      <w:r>
        <w:rPr>
          <w:spacing w:val="-63"/>
        </w:rPr>
        <w:t> </w:t>
      </w:r>
      <w:r>
        <w:rPr>
          <w:spacing w:val="-63"/>
        </w:rPr>
      </w:r>
      <w:r>
        <w:rPr/>
        <w:t>制度并在其中发挥作用。</w:t>
      </w:r>
    </w:p>
    <w:p>
      <w:pPr>
        <w:pStyle w:val="BodyText"/>
        <w:spacing w:line="357" w:lineRule="auto" w:before="65"/>
        <w:ind w:left="513" w:right="1118"/>
        <w:jc w:val="left"/>
      </w:pPr>
      <w:r>
        <w:rPr/>
        <w:t>（二）业务控制 </w:t>
      </w:r>
      <w:r>
        <w:rPr>
          <w:spacing w:val="-5"/>
        </w:rPr>
        <w:t>报告期内，公司各类业务循环过程和其中的控制标准、控制措施，包括授权与审批、复核与查证、业务规程与操作程序、</w:t>
      </w:r>
    </w:p>
    <w:p>
      <w:pPr>
        <w:pStyle w:val="BodyText"/>
        <w:spacing w:line="224" w:lineRule="exact"/>
        <w:ind w:right="1123"/>
        <w:jc w:val="left"/>
      </w:pPr>
      <w:r>
        <w:rPr/>
        <w:t>岗位权限与职责分工、相互独立与制衡、应急与预防等措施，均严格按照国家有关制度及公司相关规定执行，情况良好。</w:t>
      </w:r>
    </w:p>
    <w:p>
      <w:pPr>
        <w:pStyle w:val="BodyText"/>
        <w:spacing w:line="240" w:lineRule="auto" w:before="117"/>
        <w:ind w:left="513" w:right="1123"/>
        <w:jc w:val="left"/>
      </w:pPr>
      <w:r>
        <w:rPr>
          <w:rFonts w:ascii="Times New Roman" w:hAnsi="Times New Roman" w:cs="Times New Roman" w:eastAsia="Times New Roman" w:hint="default"/>
        </w:rPr>
        <w:t>1</w:t>
      </w:r>
      <w:r>
        <w:rPr/>
        <w:t>、公司的内部控制措施得到有效实施。</w:t>
      </w:r>
    </w:p>
    <w:p>
      <w:pPr>
        <w:pStyle w:val="BodyText"/>
        <w:spacing w:line="300" w:lineRule="auto" w:before="104"/>
        <w:ind w:right="1139" w:firstLine="360"/>
        <w:jc w:val="both"/>
      </w:pPr>
      <w:r>
        <w:rPr>
          <w:rFonts w:ascii="Times New Roman" w:hAnsi="Times New Roman" w:cs="Times New Roman" w:eastAsia="Times New Roman" w:hint="default"/>
        </w:rPr>
        <w:t>2</w:t>
      </w:r>
      <w:r>
        <w:rPr/>
        <w:t>、公司的业务经营操作符合监管部门的有关规定，不存在其他因违反工商、税务、审计、环保、劳动保护等部门的相 关规定而受到处罚的情形。</w:t>
      </w:r>
    </w:p>
    <w:p>
      <w:pPr>
        <w:pStyle w:val="BodyText"/>
        <w:spacing w:line="240" w:lineRule="auto" w:before="70"/>
        <w:ind w:left="513" w:right="1123"/>
        <w:jc w:val="left"/>
      </w:pPr>
      <w:r>
        <w:rPr>
          <w:rFonts w:ascii="Times New Roman" w:hAnsi="Times New Roman" w:cs="Times New Roman" w:eastAsia="Times New Roman" w:hint="default"/>
        </w:rPr>
        <w:t>3</w:t>
      </w:r>
      <w:r>
        <w:rPr/>
        <w:t>、公司不存在由于风险控制不力而导致的损失事件。</w:t>
      </w:r>
    </w:p>
    <w:p>
      <w:pPr>
        <w:pStyle w:val="BodyText"/>
        <w:spacing w:line="360" w:lineRule="auto" w:before="103"/>
        <w:ind w:left="513" w:right="1123"/>
        <w:jc w:val="left"/>
      </w:pPr>
      <w:r>
        <w:rPr/>
        <w:t>（三）信息系统控制 </w:t>
      </w:r>
      <w:r>
        <w:rPr>
          <w:spacing w:val="-9"/>
        </w:rPr>
        <w:t>公司已制定《年报信息披露重大差错责任追究制度》、《重大信息内部报告制度》、《信息披露事务管理制度》等制度，并</w:t>
      </w:r>
    </w:p>
    <w:p>
      <w:pPr>
        <w:pStyle w:val="BodyText"/>
        <w:spacing w:line="222" w:lineRule="exact"/>
        <w:ind w:right="0"/>
        <w:jc w:val="left"/>
      </w:pPr>
      <w:r>
        <w:rPr/>
        <w:t>在报告期内修订了《内幕信息知情人登记管理制度</w:t>
      </w:r>
      <w:r>
        <w:rPr>
          <w:spacing w:val="-92"/>
        </w:rPr>
        <w:t>》</w:t>
      </w:r>
      <w:r>
        <w:rPr/>
        <w:t>。在上</w:t>
      </w:r>
      <w:r>
        <w:rPr>
          <w:spacing w:val="2"/>
        </w:rPr>
        <w:t>述</w:t>
      </w:r>
      <w:r>
        <w:rPr/>
        <w:t>制度中，对信息披露的内容和标准、披露程序、信息披露相关</w:t>
      </w:r>
    </w:p>
    <w:p>
      <w:pPr>
        <w:pStyle w:val="BodyText"/>
        <w:spacing w:line="316" w:lineRule="auto" w:before="76"/>
        <w:ind w:right="1123"/>
        <w:jc w:val="left"/>
      </w:pPr>
      <w:r>
        <w:rPr>
          <w:spacing w:val="-2"/>
        </w:rPr>
        <w:t>文件、资料的档案管理等做了细致规定，同时也加大了责任追究机制，加大了对年报信息披露责任人的问责力度，提高了信</w:t>
      </w:r>
      <w:r>
        <w:rPr>
          <w:spacing w:val="-65"/>
        </w:rPr>
        <w:t> </w:t>
      </w:r>
      <w:r>
        <w:rPr>
          <w:spacing w:val="-65"/>
        </w:rPr>
      </w:r>
      <w:r>
        <w:rPr/>
        <w:t>息披露质量和透明度。</w:t>
      </w:r>
    </w:p>
    <w:p>
      <w:pPr>
        <w:pStyle w:val="BodyText"/>
        <w:spacing w:line="240" w:lineRule="auto" w:before="57"/>
        <w:ind w:left="513" w:right="1123"/>
        <w:jc w:val="left"/>
      </w:pPr>
      <w:r>
        <w:rPr/>
        <w:t>（四）财务管理控制</w:t>
      </w:r>
    </w:p>
    <w:p>
      <w:pPr>
        <w:spacing w:after="0" w:line="240" w:lineRule="auto"/>
        <w:jc w:val="left"/>
        <w:sectPr>
          <w:pgSz w:w="11910" w:h="16840"/>
          <w:pgMar w:header="877" w:footer="1308" w:top="1060" w:bottom="150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firstLine="360"/>
        <w:jc w:val="both"/>
      </w:pPr>
      <w:r>
        <w:rPr>
          <w:spacing w:val="-9"/>
        </w:rPr>
        <w:t>公司按照《中华人民共和国会计法》、《企业内部控制基本规范》、《会计基础工作规范》等相关规定，制定了《财务管理</w:t>
      </w:r>
      <w:r>
        <w:rPr/>
        <w:t> </w:t>
      </w:r>
      <w:r>
        <w:rPr>
          <w:spacing w:val="-11"/>
        </w:rPr>
        <w:t>制度》、《会计档案管理制度》、《固定资产低值易耗品设备备件管理制度》、《仓储运作工作指引》等制度，形成了较为完善的</w:t>
      </w:r>
      <w:r>
        <w:rPr/>
        <w:t> </w:t>
      </w:r>
      <w:r>
        <w:rPr>
          <w:spacing w:val="-2"/>
        </w:rPr>
        <w:t>财务内部控制制度体系，公司财务部在财务管理和会计核算方面设有较为合理的岗位和职责权限，并配备了相应的财务人员</w:t>
      </w:r>
      <w:r>
        <w:rPr>
          <w:spacing w:val="-64"/>
        </w:rPr>
        <w:t> </w:t>
      </w:r>
      <w:r>
        <w:rPr>
          <w:spacing w:val="-64"/>
        </w:rPr>
      </w:r>
      <w:r>
        <w:rPr/>
        <w:t>以保证财会工作的顺利进行，采用用友财务软件系统，全方位的保证了财务信息的真实、准确、完整。</w:t>
      </w:r>
    </w:p>
    <w:p>
      <w:pPr>
        <w:pStyle w:val="BodyText"/>
        <w:spacing w:line="357" w:lineRule="auto" w:before="58"/>
        <w:ind w:left="513" w:right="1137"/>
        <w:jc w:val="left"/>
      </w:pPr>
      <w:r>
        <w:rPr/>
        <w:t>（五）内部审计控制 </w:t>
      </w:r>
      <w:r>
        <w:rPr>
          <w:spacing w:val="-2"/>
        </w:rPr>
        <w:t>公司制定了《内部审计制度》，对公司内部审计工作作了明确的规定。内部审计部在董事会审计委员会的领导下，根据</w:t>
      </w:r>
    </w:p>
    <w:p>
      <w:pPr>
        <w:pStyle w:val="BodyText"/>
        <w:spacing w:line="224" w:lineRule="exact"/>
        <w:ind w:right="0"/>
        <w:jc w:val="left"/>
      </w:pPr>
      <w:r>
        <w:rPr/>
        <w:t>年度审计工作计划开展审计工作，实施日常或专项内部控制检查。通过内部审计及时发现经营活动中存在的问题，提出整改</w:t>
      </w:r>
    </w:p>
    <w:p>
      <w:pPr>
        <w:pStyle w:val="BodyText"/>
        <w:spacing w:line="240" w:lineRule="auto" w:before="76"/>
        <w:ind w:right="1123"/>
        <w:jc w:val="left"/>
      </w:pPr>
      <w:r>
        <w:rPr/>
        <w:t>建议，落实整改措施，提升内部控制管理的有效性，进一步防范经营风险和财务风险。</w:t>
      </w:r>
    </w:p>
    <w:p>
      <w:pPr>
        <w:pStyle w:val="BodyText"/>
        <w:spacing w:line="360" w:lineRule="auto" w:before="117"/>
        <w:ind w:left="513" w:right="1123"/>
        <w:jc w:val="left"/>
      </w:pPr>
      <w:r>
        <w:rPr/>
        <w:t>（六）内部控制的监督 </w:t>
      </w:r>
      <w:r>
        <w:rPr>
          <w:spacing w:val="-2"/>
        </w:rPr>
        <w:t>公司董事会审计委员会是公司内部控制监督机构，内部审计部直接归属审计委员会管辖，独立于公司其他部门，执行日</w:t>
      </w:r>
    </w:p>
    <w:p>
      <w:pPr>
        <w:pStyle w:val="BodyText"/>
        <w:spacing w:line="222" w:lineRule="exact"/>
        <w:ind w:right="0"/>
        <w:jc w:val="left"/>
      </w:pPr>
      <w:r>
        <w:rPr/>
        <w:t>常内部控制的监督和检查工作。通过及时检查和监督内部控制制度的运行情况，有效防范了经营决策及管理风险，确保了公</w:t>
      </w:r>
    </w:p>
    <w:p>
      <w:pPr>
        <w:pStyle w:val="BodyText"/>
        <w:spacing w:line="240" w:lineRule="auto" w:before="76"/>
        <w:ind w:right="1123"/>
        <w:jc w:val="left"/>
      </w:pPr>
      <w:r>
        <w:rPr/>
        <w:t>司的规范运作和健康发展。</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98" w:right="1123"/>
        <w:jc w:val="left"/>
      </w:pPr>
      <w:r>
        <w:rPr/>
        <w:t>公司董事会及全体董事保证本报告内容的真实、准确和完整，没有虚假记载、误导性陈述或重大遗漏。 </w:t>
      </w:r>
      <w:r>
        <w:rPr>
          <w:spacing w:val="-2"/>
        </w:rPr>
        <w:t>建立健全并有效实施内部控制是公司董事会的责任，监事会对董事会建立与实施内部控制进行监督，经理层负责组织领</w:t>
      </w:r>
    </w:p>
    <w:p>
      <w:pPr>
        <w:pStyle w:val="BodyText"/>
        <w:spacing w:line="222" w:lineRule="exact"/>
        <w:ind w:right="1123"/>
        <w:jc w:val="left"/>
      </w:pPr>
      <w:r>
        <w:rPr/>
        <w:t>导公司内部控制的日常运行。</w:t>
      </w:r>
    </w:p>
    <w:p>
      <w:pPr>
        <w:pStyle w:val="BodyText"/>
        <w:spacing w:line="316" w:lineRule="auto" w:before="117"/>
        <w:ind w:right="1132" w:firstLine="346"/>
        <w:jc w:val="both"/>
      </w:pPr>
      <w:r>
        <w:rPr>
          <w:spacing w:val="-2"/>
        </w:rPr>
        <w:t>公司内部控制的目标是通过建立和不断完善内部控制制度和流程，切实维护资产的安全、完整，保证财务信息及相关信</w:t>
      </w:r>
      <w:r>
        <w:rPr/>
        <w:t> </w:t>
      </w:r>
      <w:r>
        <w:rPr>
          <w:spacing w:val="-2"/>
        </w:rPr>
        <w:t>息的真实完整，促进对法律、法规和公司政策的遵循，确保经营合法合规，提高公司经营效率和效果，促进公司发展战略的</w:t>
      </w:r>
      <w:r>
        <w:rPr>
          <w:spacing w:val="-67"/>
        </w:rPr>
        <w:t> </w:t>
      </w:r>
      <w:r>
        <w:rPr>
          <w:spacing w:val="-67"/>
        </w:rPr>
      </w:r>
      <w:r>
        <w:rPr/>
        <w:t>实现。</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362"/>
        <w:jc w:val="left"/>
      </w:pPr>
      <w:r>
        <w:rPr>
          <w:spacing w:val="-10"/>
        </w:rPr>
        <w:t>公司按照《中华人民共和国会计法》、《企业内部控制基本规范》、《会计基础工作规范》、《企业会计准则》等相关规定，</w:t>
      </w:r>
      <w:r>
        <w:rPr/>
        <w:t> </w:t>
      </w:r>
      <w:r>
        <w:rPr>
          <w:spacing w:val="-2"/>
        </w:rPr>
        <w:t>制定了财务管理等制度规范，从制度上完善和加强会计核算及财务管理的职能和权限，并严格遵照执行。公司财务部在财务</w:t>
      </w:r>
      <w:r>
        <w:rPr>
          <w:spacing w:val="-63"/>
        </w:rPr>
        <w:t> </w:t>
      </w:r>
      <w:r>
        <w:rPr>
          <w:spacing w:val="-63"/>
        </w:rPr>
      </w:r>
      <w:r>
        <w:rPr>
          <w:spacing w:val="-2"/>
        </w:rPr>
        <w:t>管理和会计核算方面设有较为合理的岗位和职责权限，并配备了相应的财务人员以保证财会工作的顺利进行，采用用友财务</w:t>
      </w:r>
      <w:r>
        <w:rPr>
          <w:spacing w:val="-64"/>
        </w:rPr>
        <w:t> </w:t>
      </w:r>
      <w:r>
        <w:rPr>
          <w:spacing w:val="-64"/>
        </w:rPr>
      </w:r>
      <w:r>
        <w:rPr/>
        <w:t>软件系统，全方位的保证了财务信息的真实、准确、完整。</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3"/>
                <w:w w:val="99"/>
                <w:sz w:val="18"/>
                <w:szCs w:val="18"/>
              </w:rPr>
              <w:t>巨潮资讯网（</w:t>
            </w:r>
            <w:hyperlink r:id="rId9">
              <w:r>
                <w:rPr>
                  <w:rFonts w:ascii="Times New Roman" w:hAnsi="Times New Roman" w:cs="Times New Roman" w:eastAsia="Times New Roman" w:hint="default"/>
                  <w:spacing w:val="-3"/>
                  <w:w w:val="99"/>
                  <w:sz w:val="18"/>
                  <w:szCs w:val="18"/>
                </w:rPr>
                <w:t>www.cninfo.com.cn</w:t>
              </w:r>
            </w:hyperlink>
            <w:r>
              <w:rPr>
                <w:rFonts w:ascii="宋体" w:hAnsi="宋体" w:cs="宋体" w:eastAsia="宋体" w:hint="default"/>
                <w:spacing w:val="-3"/>
                <w:w w:val="99"/>
                <w:sz w:val="18"/>
                <w:szCs w:val="18"/>
              </w:rPr>
              <w:t>）《深圳市卓翼科技股份有限公司</w:t>
            </w:r>
            <w:r>
              <w:rPr>
                <w:rFonts w:ascii="宋体" w:hAnsi="宋体" w:cs="宋体" w:eastAsia="宋体" w:hint="default"/>
                <w:spacing w:val="-44"/>
                <w:w w:val="9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 我评价报告》</w:t>
            </w:r>
          </w:p>
        </w:tc>
      </w:tr>
    </w:tbl>
    <w:p>
      <w:pPr>
        <w:spacing w:line="240" w:lineRule="auto" w:before="1"/>
        <w:rPr>
          <w:rFonts w:ascii="宋体" w:hAnsi="宋体" w:cs="宋体" w:eastAsia="宋体" w:hint="default"/>
          <w:b/>
          <w:bCs/>
          <w:sz w:val="18"/>
          <w:szCs w:val="18"/>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360" w:lineRule="auto"/>
        <w:ind w:right="6434"/>
        <w:jc w:val="left"/>
      </w:pPr>
      <w:r>
        <w:rPr/>
        <w:t>□ 适用 √</w:t>
      </w:r>
      <w:r>
        <w:rPr>
          <w:spacing w:val="3"/>
        </w:rPr>
        <w:t> </w:t>
      </w:r>
      <w:r>
        <w:rPr/>
        <w:t>不适用</w:t>
      </w:r>
      <w:r>
        <w:rPr/>
        <w:t> 会计师事务所是否出具非标准意见的内部控制审计报告</w:t>
      </w:r>
    </w:p>
    <w:p>
      <w:pPr>
        <w:spacing w:after="0" w:line="360" w:lineRule="auto"/>
        <w:jc w:val="left"/>
        <w:sectPr>
          <w:pgSz w:w="11910" w:h="16840"/>
          <w:pgMar w:header="877" w:footer="1308" w:top="1060" w:bottom="150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4634"/>
        <w:jc w:val="left"/>
      </w:pPr>
      <w:r>
        <w:rPr/>
        <w:t>□ 是 √</w:t>
      </w:r>
      <w:r>
        <w:rPr>
          <w:spacing w:val="3"/>
        </w:rPr>
        <w:t> </w:t>
      </w:r>
      <w:r>
        <w:rPr/>
        <w:t>否</w:t>
      </w:r>
      <w:r>
        <w:rPr/>
        <w:t> 会计师事务所出具的内部控制审计报告与董事会的自我评价报告意见是否一致</w:t>
      </w:r>
    </w:p>
    <w:p>
      <w:pPr>
        <w:pStyle w:val="BodyText"/>
        <w:spacing w:line="240" w:lineRule="auto" w:before="25"/>
        <w:ind w:right="1123"/>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128" w:firstLine="360"/>
        <w:jc w:val="both"/>
      </w:pPr>
      <w:r>
        <w:rPr>
          <w:spacing w:val="-2"/>
        </w:rPr>
        <w:t>为进一步健全公司的信息披露管理制度，提高公司规范运作水平，提高年度报告信息披露的质量和透明度，增强信息披</w:t>
      </w:r>
      <w:r>
        <w:rPr/>
        <w:t> </w:t>
      </w:r>
      <w:r>
        <w:rPr>
          <w:spacing w:val="-5"/>
        </w:rPr>
        <w:t>露的真实性、准确性、完整性、及时性，公司根据《上市公司信息披露管理办法》、《上市公司治理准则》和《深圳证券交易</w:t>
      </w:r>
      <w:r>
        <w:rPr>
          <w:spacing w:val="-79"/>
        </w:rPr>
        <w:t> </w:t>
      </w:r>
      <w:r>
        <w:rPr>
          <w:spacing w:val="-79"/>
        </w:rPr>
      </w:r>
      <w:r>
        <w:rPr>
          <w:spacing w:val="-3"/>
        </w:rPr>
        <w:t>所上市规则》等法律、法规、规范性文件的规定和要求，结合公司实际情况，公司于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日第一届第二十一次董 </w:t>
      </w:r>
      <w:r>
        <w:rPr>
          <w:spacing w:val="-2"/>
        </w:rPr>
        <w:t>事会审议通过了《年报信息披露重大差错责任追究制度》，该制度明确规定年报信息披露重大差错的具体情况、认定与处理</w:t>
      </w:r>
      <w:r>
        <w:rPr>
          <w:spacing w:val="-72"/>
        </w:rPr>
        <w:t> </w:t>
      </w:r>
      <w:r>
        <w:rPr>
          <w:spacing w:val="-72"/>
        </w:rPr>
      </w:r>
      <w:r>
        <w:rPr>
          <w:spacing w:val="-2"/>
        </w:rPr>
        <w:t>程序、相关人员在年报信息披露工作中违反国家有关法律、法规或未勤勉尽责或者不履行职责，导致年报信息披露发生重大</w:t>
      </w:r>
      <w:r>
        <w:rPr>
          <w:spacing w:val="-62"/>
        </w:rPr>
        <w:t> </w:t>
      </w:r>
      <w:r>
        <w:rPr>
          <w:spacing w:val="-62"/>
        </w:rPr>
      </w:r>
      <w:r>
        <w:rPr/>
        <w:t>差错，应当按照本制度的规定追究其责任。</w:t>
      </w:r>
    </w:p>
    <w:p>
      <w:pPr>
        <w:pStyle w:val="BodyText"/>
        <w:spacing w:line="300" w:lineRule="auto" w:before="62"/>
        <w:ind w:right="1132" w:firstLine="360"/>
        <w:jc w:val="both"/>
      </w:pPr>
      <w:r>
        <w:rPr/>
        <w:t>报告期内，公司严格执行该制度，按照深圳证券交易所下发的《关于做好上市公司</w:t>
      </w:r>
      <w:r>
        <w:rPr>
          <w:spacing w:val="-46"/>
        </w:rPr>
        <w:t> </w:t>
      </w:r>
      <w:r>
        <w:rPr>
          <w:rFonts w:ascii="Times New Roman" w:hAnsi="Times New Roman" w:cs="Times New Roman" w:eastAsia="Times New Roman" w:hint="default"/>
        </w:rPr>
        <w:t>2012 </w:t>
      </w:r>
      <w:r>
        <w:rPr/>
        <w:t>年年度报告披露工作的通知》 </w:t>
      </w:r>
      <w:r>
        <w:rPr>
          <w:spacing w:val="-1"/>
        </w:rPr>
        <w:t>的相关规定和要求编制《</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5"/>
        </w:rPr>
        <w:t> </w:t>
      </w:r>
      <w:r>
        <w:rPr>
          <w:spacing w:val="-3"/>
        </w:rPr>
        <w:t>年年度报告》。公司董事、监事、高级管理人员以及与年报信息披露相关的其他人员在年报信</w:t>
      </w:r>
      <w:r>
        <w:rPr/>
        <w:t> 息披露工作中认真履行职责，有效执行相关法律法规的规定，确保年报披露工作的准确、全面、及时。</w:t>
      </w:r>
    </w:p>
    <w:p>
      <w:pPr>
        <w:spacing w:after="0" w:line="300" w:lineRule="auto"/>
        <w:jc w:val="both"/>
        <w:sectPr>
          <w:pgSz w:w="11910" w:h="16840"/>
          <w:pgMar w:header="877" w:footer="1308" w:top="1060" w:bottom="15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[2013]004037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Style w:val="BodyText"/>
        <w:spacing w:line="240" w:lineRule="auto" w:before="49"/>
        <w:ind w:left="0" w:right="978"/>
        <w:jc w:val="center"/>
      </w:pPr>
      <w:r>
        <w:rPr/>
        <w:t>审计报告正文</w:t>
      </w:r>
    </w:p>
    <w:p>
      <w:pPr>
        <w:pStyle w:val="Heading4"/>
        <w:spacing w:line="240" w:lineRule="auto" w:before="118"/>
        <w:ind w:left="152" w:right="1123"/>
        <w:jc w:val="left"/>
        <w:rPr>
          <w:b w:val="0"/>
          <w:bCs w:val="0"/>
        </w:rPr>
      </w:pPr>
      <w:r>
        <w:rPr/>
        <w:t>深圳市卓翼科技股份有限公司全体股东：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44"/>
        <w:ind w:right="1128" w:firstLine="360"/>
        <w:jc w:val="both"/>
      </w:pPr>
      <w:r>
        <w:rPr/>
        <w:t>我们审计了后附的深圳市卓翼科技股份有限公司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卓翼科技公司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 </w:t>
      </w:r>
      <w:r>
        <w:rPr>
          <w:spacing w:val="-2"/>
        </w:rPr>
        <w:t>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w:t>
      </w:r>
      <w:r>
        <w:rPr>
          <w:spacing w:val="-62"/>
        </w:rPr>
        <w:t> </w:t>
      </w:r>
      <w:r>
        <w:rPr>
          <w:spacing w:val="-62"/>
        </w:rPr>
      </w:r>
      <w:r>
        <w:rPr/>
        <w:t>表附注。</w:t>
      </w:r>
    </w:p>
    <w:p>
      <w:pPr>
        <w:spacing w:line="316" w:lineRule="auto" w:before="31"/>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编制和公允列报财务报表是卓翼科技公司管理层的责任，这种责任包括：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pStyle w:val="BodyText"/>
        <w:spacing w:line="248" w:lineRule="exact"/>
        <w:ind w:right="1123"/>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1123"/>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1123"/>
        <w:jc w:val="left"/>
      </w:pP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2" w:lineRule="auto" w:before="19"/>
        <w:ind w:right="103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w:t>
      </w:r>
      <w:r>
        <w:rPr>
          <w:rFonts w:ascii="Times New Roman" w:hAnsi="Times New Roman" w:cs="Times New Roman" w:eastAsia="Times New Roman" w:hint="default"/>
        </w:rPr>
        <w:t>,</w:t>
      </w:r>
      <w:r>
        <w:rPr/>
        <w:t>但目的并非对内部控制的有效性发表意见。审计工作还包括评价管理层选用会</w:t>
      </w:r>
      <w:r>
        <w:rPr>
          <w:spacing w:val="-47"/>
        </w:rPr>
        <w:t> </w:t>
      </w:r>
      <w:r>
        <w:rPr>
          <w:spacing w:val="-47"/>
        </w:rPr>
      </w:r>
      <w:r>
        <w:rPr/>
        <w:t>计政策的恰当性和作出会计估计的合理性，以及评价财务报表的总体列报。</w:t>
      </w:r>
    </w:p>
    <w:p>
      <w:pPr>
        <w:pStyle w:val="BodyText"/>
        <w:spacing w:line="240" w:lineRule="auto" w:before="22"/>
        <w:ind w:left="513" w:right="1123"/>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Heading4"/>
        <w:spacing w:line="240" w:lineRule="auto" w:before="153"/>
        <w:ind w:right="1123"/>
        <w:jc w:val="left"/>
        <w:rPr>
          <w:b w:val="0"/>
          <w:bCs w:val="0"/>
        </w:rPr>
      </w:pPr>
      <w:r>
        <w:rPr/>
        <w:t>三、审计意见</w:t>
      </w:r>
      <w:r>
        <w:rPr>
          <w:b w:val="0"/>
          <w:bCs w:val="0"/>
        </w:rPr>
      </w:r>
    </w:p>
    <w:p>
      <w:pPr>
        <w:pStyle w:val="BodyText"/>
        <w:spacing w:line="300" w:lineRule="auto" w:before="76"/>
        <w:ind w:right="1123" w:firstLine="360"/>
        <w:jc w:val="left"/>
      </w:pPr>
      <w:r>
        <w:rPr/>
        <w:t>我们认为，卓翼科技公司财务报表在所有重大方面按照企业会计准则的规定编制，公允反映了卓翼科技公司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6"/>
        <w:rPr>
          <w:rFonts w:ascii="宋体" w:hAnsi="宋体" w:cs="宋体" w:eastAsia="宋体" w:hint="default"/>
          <w:sz w:val="20"/>
          <w:szCs w:val="20"/>
        </w:rPr>
      </w:pPr>
    </w:p>
    <w:p>
      <w:pPr>
        <w:pStyle w:val="Heading2"/>
        <w:spacing w:line="240" w:lineRule="auto"/>
        <w:ind w:right="1123"/>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编制单位：深圳市卓翼科技股份有限公司</w:t>
      </w:r>
    </w:p>
    <w:p>
      <w:pPr>
        <w:pStyle w:val="BodyText"/>
        <w:spacing w:line="240" w:lineRule="auto" w:before="114"/>
        <w:ind w:left="0" w:right="1131"/>
        <w:jc w:val="right"/>
      </w:pPr>
      <w:r>
        <w:rPr/>
        <w:t>单位：元</w:t>
      </w:r>
    </w:p>
    <w:p>
      <w:pPr>
        <w:spacing w:after="0" w:line="240" w:lineRule="auto"/>
        <w:jc w:val="right"/>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394,029,977.23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271,342,486.92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207,235,312.56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133,305,403.79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233,994,280.48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347,294,970.60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5,444,730.57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38,842,681.69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769,222.47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4,112,200.63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3,847,158.41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203,226,284.40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131,050,733.79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34,164,898.84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10,708,281.16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1,082,207,684.71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937,160,938.83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541,577,149.20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255,076,985.34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187,073,522.19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120,177,449.38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23,973,745.78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21,404,399.48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27,380,969.81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14,942,050.54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5,675,101.32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2,283,022.04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838,180,488.30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413,883,906.78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1,920,388,173.01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1,351,044,845.61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104,723,012.23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102,623,091.11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104,768,196.41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77,265,605.90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352,522,891.17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370,591,398.08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5,944,370.52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2,556,271.49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18,297,153.96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11,081,057.60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8,137,377.35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6,623,791.89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125,796.78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1,025,479.91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4,492,259.68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2,701,082.56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599,011,058.10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574,467,778.54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47,058.54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8,975,021.63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8,075,021.63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9,022,080.17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8,075,021.63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608,033,138.27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582,542,800.17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872,174,568.77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413,260,568.77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36,959,865.05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28,228,703.75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163,220,600.92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127,012,772.92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1,312,355,034.74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768,502,045.44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1,312,355,034.74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768,502,045.44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1,920,388,173.01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1,351,044,845.61</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编制单位：深圳市卓翼科技股份有限公司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295,420,615.36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184,466,530.42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207,235,312.56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133,305,403.79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221,385,251.62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342,578,927.39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3,910,348.64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35,781,844.58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769,222.47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39,282,920.97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3,181,775.85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191,229,025.22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127,496,253.26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26,521,980.43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3,635,500.30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984,985,454.80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831,215,458.06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524,590,961.63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250,413,639.57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432,270,661.86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251,627,877.95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14,015,698.60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6,843,021.45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4,188,413.83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1,430,968.17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23,598,354.32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14,947,226.62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2,380,151.19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1,125,144.48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1,053,544,241.43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526,387,878.24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2,038,529,696.23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1,357,603,336.30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104,723,012.23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102,623,091.11</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104,768,196.41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77,265,605.90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318,981,808.51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365,843,905.94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19,147,810.22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285,300.81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16,963,680.38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10,304,568.21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8,033,399.41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6,330,466.55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125,796.78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1,025,479.91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154,826,153.54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28,590,692.14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727,569,857.48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592,269,110.57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728,769,857.48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594,069,110.57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872,161,188.34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413,247,188.34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36,959,865.05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28,228,703.75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160,638,785.36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122,058,333.64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1,309,759,838.75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763,534,225.73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2,038,529,696.23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1,357,603,336.30</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编制单位：深圳市卓翼科技股份有限公司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2" w:right="0"/>
              <w:jc w:val="left"/>
              <w:rPr>
                <w:rFonts w:ascii="Times New Roman" w:hAnsi="Times New Roman" w:cs="Times New Roman" w:eastAsia="Times New Roman" w:hint="default"/>
                <w:sz w:val="18"/>
                <w:szCs w:val="18"/>
              </w:rPr>
            </w:pPr>
            <w:r>
              <w:rPr>
                <w:rFonts w:ascii="Times New Roman"/>
                <w:sz w:val="18"/>
              </w:rPr>
              <w:t>1,469,818,733.52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1,237,597,176.77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2.083008pt;margin-top:577.149963pt;width:196.65pt;height:19.6pt;mso-position-horizontal-relative:page;mso-position-vertical-relative:page;z-index:-99124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728.976013pt;width:196.65pt;height:19.6pt;mso-position-horizontal-relative:page;mso-position-vertical-relative:page;z-index:-99121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576.609985pt;width:163.35pt;height:20.65pt;mso-position-horizontal-relative:page;mso-position-vertical-relative:page;z-index:-991192" coordorigin="4107,11532" coordsize="3267,413">
            <v:group style="position:absolute;left:4118;top:11543;width:2;height:392" coordorigin="4118,11543" coordsize="2,392">
              <v:shape style="position:absolute;left:4118;top:11543;width:2;height:392" coordorigin="4118,11543" coordsize="0,392" path="m4118,11543l4118,11934e" filled="false" stroked="true" strokeweight="1.08pt" strokecolor="#ffffff">
                <v:path arrowok="t"/>
              </v:shape>
            </v:group>
            <v:group style="position:absolute;left:4129;top:11543;width:3246;height:392" coordorigin="4129,11543" coordsize="3246,392">
              <v:shape style="position:absolute;left:4129;top:11543;width:3246;height:392" coordorigin="4129,11543" coordsize="3246,392" path="m4129,11934l7374,11934,7374,11543,4129,11543,4129,11934xe" filled="true" fillcolor="#ffffff" stroked="false">
                <v:path arrowok="t"/>
                <v:fill type="solid"/>
              </v:shape>
            </v:group>
            <w10:wrap type="none"/>
          </v:group>
        </w:pict>
      </w:r>
      <w:r>
        <w:rPr/>
        <w:pict>
          <v:group style="position:absolute;margin-left:205.369995pt;margin-top:728.435974pt;width:163.35pt;height:20.65pt;mso-position-horizontal-relative:page;mso-position-vertical-relative:page;z-index:-991168" coordorigin="4107,14569" coordsize="3267,413">
            <v:group style="position:absolute;left:4118;top:14580;width:2;height:392" coordorigin="4118,14580" coordsize="2,392">
              <v:shape style="position:absolute;left:4118;top:14580;width:2;height:392" coordorigin="4118,14580" coordsize="0,392" path="m4118,14580l4118,14971e" filled="false" stroked="true" strokeweight="1.08pt" strokecolor="#ffffff">
                <v:path arrowok="t"/>
              </v:shape>
            </v:group>
            <v:group style="position:absolute;left:4129;top:14580;width:3246;height:392" coordorigin="4129,14580" coordsize="3246,392">
              <v:shape style="position:absolute;left:4129;top:14580;width:3246;height:392" coordorigin="4129,14580" coordsize="3246,392" path="m4129,14971l7374,14971,7374,14580,4129,14580,4129,14971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99112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1151"/>
        <w:gridCol w:w="215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1,469,818,733.52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1,237,597,176.77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6" w:right="0"/>
              <w:jc w:val="left"/>
              <w:rPr>
                <w:rFonts w:ascii="Times New Roman" w:hAnsi="Times New Roman" w:cs="Times New Roman" w:eastAsia="Times New Roman" w:hint="default"/>
                <w:sz w:val="18"/>
                <w:szCs w:val="18"/>
              </w:rPr>
            </w:pPr>
            <w:r>
              <w:rPr>
                <w:rFonts w:ascii="Times New Roman"/>
                <w:sz w:val="18"/>
              </w:rPr>
              <w:t>1,378,118,591.59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1,124,331,786.72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6" w:right="0"/>
              <w:jc w:val="left"/>
              <w:rPr>
                <w:rFonts w:ascii="Times New Roman" w:hAnsi="Times New Roman" w:cs="Times New Roman" w:eastAsia="Times New Roman" w:hint="default"/>
                <w:sz w:val="18"/>
                <w:szCs w:val="18"/>
              </w:rPr>
            </w:pPr>
            <w:r>
              <w:rPr>
                <w:rFonts w:ascii="Times New Roman"/>
                <w:sz w:val="18"/>
              </w:rPr>
              <w:t>1,286,470,811.06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1,073,931,635.97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3,979,978.71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1,537,572.73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19,471,493.95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10,937,388.43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54,154,954.63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43,923,968.87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4,991,867.79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-7,165,633.35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9,049,485.45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1,166,854.07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51" w:type="dxa"/>
            <w:tcBorders>
              <w:top w:val="single" w:sz="4" w:space="0" w:color="000000"/>
              <w:left w:val="single" w:sz="4" w:space="0" w:color="000000"/>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91,700,141.93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113,265,390.05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6,172,379.53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1,813,572.17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122,471.51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1,799,052.28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1,758,418.21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97,750,049.95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113,279,909.94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12,811,060.65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14,784,227.18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51" w:type="dxa"/>
            <w:tcBorders>
              <w:top w:val="single" w:sz="4" w:space="0" w:color="000000"/>
              <w:left w:val="single" w:sz="4" w:space="0" w:color="000000"/>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其中：被合并方在合并前实现的</w:t>
            </w:r>
          </w:p>
        </w:tc>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footerReference w:type="default" r:id="rId4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2.083008pt;margin-top:684.700012pt;width:196.65pt;height:19.6pt;mso-position-horizontal-relative:page;mso-position-vertical-relative:page;z-index:-99109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684.099976pt;width:163.5pt;height:20.8pt;mso-position-horizontal-relative:page;mso-position-vertical-relative:page;z-index:-991072" coordorigin="4105,13682" coordsize="3270,416">
            <v:group style="position:absolute;left:4117;top:13694;width:2;height:392" coordorigin="4117,13694" coordsize="2,392">
              <v:shape style="position:absolute;left:4117;top:13694;width:2;height:392" coordorigin="4117,13694" coordsize="0,392" path="m4117,13694l4117,14085e" filled="false" stroked="true" strokeweight="1.2pt" strokecolor="#ffffff">
                <v:path arrowok="t"/>
              </v:shape>
            </v:group>
            <v:group style="position:absolute;left:4129;top:13694;width:3246;height:392" coordorigin="4129,13694" coordsize="3246,392">
              <v:shape style="position:absolute;left:4129;top:13694;width:3246;height:392" coordorigin="4129,13694" coordsize="3246,392" path="m4129,14085l7374,14085,7374,13694,4129,13694,4129,1408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487" w:val="left" w:leader="none"/>
          <w:tab w:pos="7718" w:val="left" w:leader="none"/>
        </w:tabs>
        <w:spacing w:line="240" w:lineRule="auto" w:before="141"/>
        <w:ind w:right="1123"/>
        <w:jc w:val="left"/>
      </w:pPr>
      <w:r>
        <w:rPr/>
        <w:t>法定代表人：田昱</w:t>
        <w:tab/>
      </w:r>
      <w:r>
        <w:rPr>
          <w:spacing w:val="-1"/>
        </w:rPr>
        <w:t>主管会计工作负责人：曾兆豪</w:t>
        <w:tab/>
      </w:r>
      <w:r>
        <w:rPr/>
        <w:t>会计机构负责人：文国桥</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编制单位：深圳市卓翼科技股份有限公司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1167"/>
        <w:gridCol w:w="2146"/>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7" w:right="0"/>
              <w:jc w:val="left"/>
              <w:rPr>
                <w:rFonts w:ascii="Times New Roman" w:hAnsi="Times New Roman" w:cs="Times New Roman" w:eastAsia="Times New Roman" w:hint="default"/>
                <w:sz w:val="18"/>
                <w:szCs w:val="18"/>
              </w:rPr>
            </w:pPr>
            <w:r>
              <w:rPr>
                <w:rFonts w:ascii="Times New Roman"/>
                <w:sz w:val="18"/>
              </w:rPr>
              <w:t>1,459,659,525.37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1,236,247,826.33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7" w:right="0"/>
              <w:jc w:val="left"/>
              <w:rPr>
                <w:rFonts w:ascii="Times New Roman" w:hAnsi="Times New Roman" w:cs="Times New Roman" w:eastAsia="Times New Roman" w:hint="default"/>
                <w:sz w:val="18"/>
                <w:szCs w:val="18"/>
              </w:rPr>
            </w:pPr>
            <w:r>
              <w:rPr>
                <w:rFonts w:ascii="Times New Roman"/>
                <w:sz w:val="18"/>
              </w:rPr>
              <w:t>1,280,422,573.56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1,080,254,927.33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3,977,829.41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1,537,558.83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18,034,851.98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10,393,050.39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47,138,701.59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39,812,722.73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5,556,550.30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-4,967,310.05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8,366,711.42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1,129,309.68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67" w:type="dxa"/>
            <w:tcBorders>
              <w:top w:val="single" w:sz="4" w:space="0" w:color="000000"/>
              <w:left w:val="single" w:sz="10" w:space="0" w:color="D2D2D2"/>
              <w:bottom w:val="single" w:sz="4" w:space="0" w:color="000000"/>
              <w:right w:val="nil" w:sz="6" w:space="0" w:color="auto"/>
            </w:tcBorders>
          </w:tcPr>
          <w:p>
            <w:pPr/>
          </w:p>
        </w:tc>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96,162,307.11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108,087,567.42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6,172,379.53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1,803,635.26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121,998.94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1,799,052.28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1,758,418.21</w:t>
            </w:r>
          </w:p>
        </w:tc>
      </w:tr>
    </w:tbl>
    <w:p>
      <w:pPr>
        <w:spacing w:after="0" w:line="240" w:lineRule="auto"/>
        <w:jc w:val="right"/>
        <w:rPr>
          <w:rFonts w:ascii="Times New Roman" w:hAnsi="Times New Roman" w:cs="Times New Roman" w:eastAsia="Times New Roman" w:hint="default"/>
          <w:sz w:val="18"/>
          <w:szCs w:val="18"/>
        </w:rPr>
        <w:sectPr>
          <w:footerReference w:type="default" r:id="rId44"/>
          <w:pgSz w:w="11910" w:h="16840"/>
          <w:pgMar w:footer="1331" w:header="877" w:top="1060" w:bottom="1520" w:left="980" w:right="0"/>
          <w:pgNumType w:start="71"/>
        </w:sectPr>
      </w:pPr>
    </w:p>
    <w:p>
      <w:pPr>
        <w:spacing w:line="240" w:lineRule="auto" w:before="6"/>
        <w:rPr>
          <w:rFonts w:ascii="宋体" w:hAnsi="宋体" w:cs="宋体" w:eastAsia="宋体" w:hint="default"/>
          <w:sz w:val="28"/>
          <w:szCs w:val="28"/>
        </w:rPr>
      </w:pPr>
      <w:r>
        <w:rPr/>
        <w:pict>
          <v:shape style="position:absolute;margin-left:172.083008pt;margin-top:128.299988pt;width:196.65pt;height:19.6pt;mso-position-horizontal-relative:page;mso-position-vertical-relative:page;z-index:-99104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127.699982pt;width:163.5pt;height:20.8pt;mso-position-horizontal-relative:page;mso-position-vertical-relative:page;z-index:-991024" coordorigin="4105,2554" coordsize="3270,416">
            <v:group style="position:absolute;left:4117;top:2566;width:2;height:392" coordorigin="4117,2566" coordsize="2,392">
              <v:shape style="position:absolute;left:4117;top:2566;width:2;height:392" coordorigin="4117,2566" coordsize="0,392" path="m4117,2566l4117,2957e" filled="false" stroked="true" strokeweight="1.2pt" strokecolor="#ffffff">
                <v:path arrowok="t"/>
              </v:shape>
            </v:group>
            <v:group style="position:absolute;left:4129;top:2566;width:3246;height:392" coordorigin="4129,2566" coordsize="3246,392">
              <v:shape style="position:absolute;left:4129;top:2566;width:3246;height:392" coordorigin="4129,2566" coordsize="3246,392" path="m4129,2957l7374,2957,7374,2566,4129,2566,4129,295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167"/>
        <w:gridCol w:w="2146"/>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1" w:right="0"/>
              <w:jc w:val="left"/>
              <w:rPr>
                <w:rFonts w:ascii="Times New Roman" w:hAnsi="Times New Roman" w:cs="Times New Roman" w:eastAsia="Times New Roman" w:hint="default"/>
                <w:sz w:val="18"/>
                <w:szCs w:val="18"/>
              </w:rPr>
            </w:pPr>
            <w:r>
              <w:rPr>
                <w:rFonts w:ascii="Times New Roman"/>
                <w:sz w:val="18"/>
              </w:rPr>
              <w:t>102,212,687.70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108,092,150.40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14,901,074.68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15,557,491.25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67" w:type="dxa"/>
            <w:tcBorders>
              <w:top w:val="single" w:sz="4" w:space="0" w:color="000000"/>
              <w:left w:val="single" w:sz="10" w:space="0" w:color="D2D2D2"/>
              <w:bottom w:val="single" w:sz="4" w:space="0" w:color="000000"/>
              <w:right w:val="nil" w:sz="6" w:space="0" w:color="auto"/>
            </w:tcBorders>
          </w:tcPr>
          <w:p>
            <w:pPr/>
          </w:p>
        </w:tc>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87,311,613.02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92,534,659.15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87,311,613.02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92,534,659.15</w:t>
            </w:r>
          </w:p>
        </w:tc>
      </w:tr>
    </w:tbl>
    <w:p>
      <w:pPr>
        <w:spacing w:line="240" w:lineRule="auto" w:before="3"/>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编制单位：深圳市卓翼科技股份有限公司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1,670,662,717.38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1,029,384,727.67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9,685,229.88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1,503,702.54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36,537,689.00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18,614,385.02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1,716,885,636.26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1,049,502,815.23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1,398,229,665.18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783,552,475.05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154,536,295.17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110,246,166.68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23,912,859.55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18,472,055.58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77,810,783.39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44,573,347.60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1,654,489,603.29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956,844,044.91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62,396,032.97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92,658,770.32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2,175,000.00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397,364,673.87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225,736,561.91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49,500,000.00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446,864,673.87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225,736,561.91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-446,864,673.87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-223,561,561.91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501,500,000.00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192,478,810.00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194,827,178.30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55,848,803.28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29,185,020.77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1"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909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749,827,613.28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224,012,199.07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190,378,888.88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115,180,114.84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44,918,449.56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71,181,075.63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53,819,775.36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236,293,338.44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240,180,965.83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513,534,274.84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-16,168,766.76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-29,340.35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-475,436.51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129,036,293.59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-147,546,994.86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190,990,891.34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338,537,886.20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320,027,184.93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190,990,891.34</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编制单位：深圳市卓翼科技股份有限公司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1,401,879,752.33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1,082,576,671.74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9,426,822.52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1,503,702.54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207,015,314.12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34,910,146.73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1,618,321,888.97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1,118,990,521.01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1,146,051,519.69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846,658,478.78</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139,506,755.66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107,899,596.43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23,506,406.04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18,269,567.23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152,258,570.80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64,037,809.97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1,461,323,252.19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1,036,865,452.41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156,998,636.78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82,125,068.60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5"/>
          <w:footerReference w:type="default" r:id="rId46"/>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229,480,710.27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105,936,183.32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274,177,322.06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164,681,500.00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503,658,032.33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270,617,683.32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-503,658,032.33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-268,442,683.32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192,478,810.00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194,827,178.30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55,803,819.50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29,185,020.77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749,782,629.50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224,012,199.07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190,378,888.88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115,180,114.84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44,918,449.56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71,181,075.63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53,774,238.32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236,293,338.44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240,135,428.79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513,489,291.06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-16,123,229.72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-131,691.91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166,757,904.44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-202,572,536.35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104,160,471.88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306,733,008.23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270,918,376.32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104,160,471.88</w:t>
            </w:r>
          </w:p>
        </w:tc>
      </w:tr>
    </w:tbl>
    <w:p>
      <w:pPr>
        <w:spacing w:line="240" w:lineRule="auto" w:before="2"/>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编制单位：深圳市卓翼科技股份有限公司</w:t>
      </w:r>
    </w:p>
    <w:p>
      <w:pPr>
        <w:spacing w:after="0" w:line="240" w:lineRule="auto"/>
        <w:jc w:val="left"/>
        <w:sectPr>
          <w:footerReference w:type="default" r:id="rId47"/>
          <w:pgSz w:w="11910" w:h="16840"/>
          <w:pgMar w:footer="1274" w:header="877" w:top="1060" w:bottom="1460" w:left="980" w:right="0"/>
          <w:pgNumType w:start="75"/>
        </w:sectPr>
      </w:pPr>
    </w:p>
    <w:p>
      <w:pPr>
        <w:spacing w:line="240" w:lineRule="auto" w:before="9"/>
        <w:rPr>
          <w:rFonts w:ascii="宋体" w:hAnsi="宋体" w:cs="宋体" w:eastAsia="宋体" w:hint="default"/>
          <w:sz w:val="25"/>
          <w:szCs w:val="25"/>
        </w:rPr>
      </w:pPr>
      <w:r>
        <w:rPr/>
        <w:pict>
          <v:shape style="position:absolute;margin-left:103.674004pt;margin-top:373.249969pt;width:86.35pt;height:19.6pt;mso-position-horizontal-relative:page;mso-position-vertical-relative:page;z-index:-990928"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103.791pt;margin-top:469.935608pt;width:86.25pt;height:22.3pt;mso-position-horizontal-relative:page;mso-position-vertical-relative:page;z-index:-990904" type="#_x0000_t202" filled="false" stroked="false">
            <v:textbox inset="0,0,0,0">
              <w:txbxContent>
                <w:p>
                  <w:pPr>
                    <w:pStyle w:val="BodyText"/>
                    <w:spacing w:line="180" w:lineRule="exact"/>
                    <w:ind w:left="0" w:right="0"/>
                    <w:jc w:val="left"/>
                  </w:pPr>
                  <w:r>
                    <w:rPr/>
                    <w:t>（二）</w:t>
                  </w:r>
                </w:p>
              </w:txbxContent>
            </v:textbox>
            <w10:wrap type="none"/>
          </v:shape>
        </w:pict>
      </w:r>
      <w:r>
        <w:rPr/>
        <w:pict>
          <v:group style="position:absolute;margin-left:129.020004pt;margin-top:373.249969pt;width:61pt;height:19.6pt;mso-position-horizontal-relative:page;mso-position-vertical-relative:page;z-index:-990880" coordorigin="2580,7465" coordsize="1220,392">
            <v:shape style="position:absolute;left:2580;top:7465;width:1220;height:392" coordorigin="2580,7465" coordsize="1220,392" path="m2580,7856l3800,7856,3800,7465,2580,7465,2580,7856xe" filled="true" fillcolor="#ffffff" stroked="false">
              <v:path arrowok="t"/>
              <v:fill type="solid"/>
            </v:shape>
            <w10:wrap type="none"/>
          </v:group>
        </w:pict>
      </w:r>
    </w:p>
    <w:p>
      <w:pPr>
        <w:pStyle w:val="BodyText"/>
        <w:spacing w:line="240" w:lineRule="auto" w:before="44"/>
        <w:ind w:right="1123"/>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49"/>
        <w:gridCol w:w="1140"/>
        <w:gridCol w:w="1274"/>
        <w:gridCol w:w="425"/>
        <w:gridCol w:w="283"/>
        <w:gridCol w:w="1136"/>
        <w:gridCol w:w="425"/>
        <w:gridCol w:w="1274"/>
        <w:gridCol w:w="428"/>
        <w:gridCol w:w="283"/>
        <w:gridCol w:w="1342"/>
      </w:tblGrid>
      <w:tr>
        <w:trPr>
          <w:trHeight w:val="403"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81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96" w:hRule="exact"/>
        </w:trPr>
        <w:tc>
          <w:tcPr>
            <w:tcW w:w="1396" w:type="dxa"/>
            <w:vMerge/>
            <w:tcBorders>
              <w:left w:val="single" w:sz="4" w:space="0" w:color="000000"/>
              <w:right w:val="single" w:sz="4" w:space="0" w:color="000000"/>
            </w:tcBorders>
            <w:shd w:val="clear" w:color="auto" w:fill="D2D2D2"/>
          </w:tcPr>
          <w:p>
            <w:pPr/>
          </w:p>
        </w:tc>
        <w:tc>
          <w:tcPr>
            <w:tcW w:w="65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3"/>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342" w:type="dxa"/>
            <w:vMerge w:val="restart"/>
            <w:tcBorders>
              <w:top w:val="single" w:sz="4" w:space="0" w:color="000000"/>
              <w:left w:val="single" w:sz="4" w:space="0" w:color="000000"/>
              <w:right w:val="single" w:sz="4" w:space="0" w:color="000000"/>
            </w:tcBorders>
            <w:shd w:val="clear" w:color="auto" w:fill="D2D2D2"/>
          </w:tcPr>
          <w:p>
            <w:pPr/>
          </w:p>
        </w:tc>
      </w:tr>
      <w:tr>
        <w:trPr>
          <w:trHeight w:val="155"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288" w:type="dxa"/>
            <w:gridSpan w:val="2"/>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428" w:type="dxa"/>
            <w:vMerge w:val="restart"/>
            <w:tcBorders>
              <w:top w:val="single" w:sz="4" w:space="0" w:color="000000"/>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right w:val="single" w:sz="4" w:space="0" w:color="000000"/>
            </w:tcBorders>
            <w:shd w:val="clear" w:color="auto" w:fill="D2D2D2"/>
          </w:tcPr>
          <w:p>
            <w:pPr/>
          </w:p>
        </w:tc>
      </w:tr>
      <w:tr>
        <w:trPr>
          <w:trHeight w:val="124"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gridSpan w:val="2"/>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47" w:right="4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right w:val="single" w:sz="4" w:space="0" w:color="000000"/>
            </w:tcBorders>
            <w:shd w:val="clear" w:color="auto" w:fill="D2D2D2"/>
          </w:tcPr>
          <w:p>
            <w:pPr/>
          </w:p>
        </w:tc>
      </w:tr>
      <w:tr>
        <w:trPr>
          <w:trHeight w:val="133" w:hRule="exact"/>
        </w:trPr>
        <w:tc>
          <w:tcPr>
            <w:tcW w:w="1396" w:type="dxa"/>
            <w:vMerge/>
            <w:tcBorders>
              <w:left w:val="single" w:sz="4" w:space="0" w:color="000000"/>
              <w:right w:val="single" w:sz="4" w:space="0" w:color="000000"/>
            </w:tcBorders>
            <w:shd w:val="clear" w:color="auto" w:fill="D2D2D2"/>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28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4"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2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7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288" w:type="dxa"/>
            <w:gridSpan w:val="2"/>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96" w:type="dxa"/>
            <w:vMerge/>
            <w:tcBorders>
              <w:left w:val="single" w:sz="4" w:space="0" w:color="000000"/>
              <w:right w:val="single" w:sz="4" w:space="0" w:color="000000"/>
            </w:tcBorders>
            <w:shd w:val="clear" w:color="auto" w:fill="D2D2D2"/>
          </w:tcPr>
          <w:p>
            <w:pPr/>
          </w:p>
        </w:tc>
        <w:tc>
          <w:tcPr>
            <w:tcW w:w="1288" w:type="dxa"/>
            <w:gridSpan w:val="2"/>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396" w:type="dxa"/>
            <w:vMerge/>
            <w:tcBorders>
              <w:left w:val="single" w:sz="4" w:space="0" w:color="000000"/>
              <w:right w:val="single" w:sz="4" w:space="0" w:color="000000"/>
            </w:tcBorders>
            <w:shd w:val="clear" w:color="auto" w:fill="D2D2D2"/>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right w:val="single" w:sz="4" w:space="0" w:color="000000"/>
            </w:tcBorders>
            <w:shd w:val="clear" w:color="auto" w:fill="D2D2D2"/>
          </w:tcPr>
          <w:p>
            <w:pPr/>
          </w:p>
        </w:tc>
      </w:tr>
      <w:tr>
        <w:trPr>
          <w:trHeight w:val="156" w:hRule="exact"/>
        </w:trPr>
        <w:tc>
          <w:tcPr>
            <w:tcW w:w="1396" w:type="dxa"/>
            <w:vMerge/>
            <w:tcBorders>
              <w:left w:val="single" w:sz="4" w:space="0" w:color="000000"/>
              <w:right w:val="single" w:sz="4" w:space="0" w:color="000000"/>
            </w:tcBorders>
            <w:shd w:val="clear" w:color="auto" w:fill="D2D2D2"/>
          </w:tcPr>
          <w:p>
            <w:pPr/>
          </w:p>
        </w:tc>
        <w:tc>
          <w:tcPr>
            <w:tcW w:w="1288" w:type="dxa"/>
            <w:gridSpan w:val="2"/>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342" w:type="dxa"/>
            <w:vMerge/>
            <w:tcBorders>
              <w:left w:val="single" w:sz="4" w:space="0" w:color="000000"/>
              <w:right w:val="single" w:sz="4" w:space="0" w:color="000000"/>
            </w:tcBorders>
            <w:shd w:val="clear" w:color="auto" w:fill="D2D2D2"/>
          </w:tcPr>
          <w:p>
            <w:pPr/>
          </w:p>
        </w:tc>
      </w:tr>
      <w:tr>
        <w:trPr>
          <w:trHeight w:val="27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88" w:type="dxa"/>
            <w:gridSpan w:val="2"/>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上年年末余额</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117"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sz w:val="18"/>
              </w:rPr>
              <w:t>413,260,568.77</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8" w:space="0" w:color="D2D2D2"/>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 w:right="0"/>
              <w:jc w:val="center"/>
              <w:rPr>
                <w:rFonts w:ascii="Times New Roman" w:hAnsi="Times New Roman" w:cs="Times New Roman" w:eastAsia="Times New Roman" w:hint="default"/>
                <w:sz w:val="18"/>
                <w:szCs w:val="18"/>
              </w:rPr>
            </w:pPr>
            <w:r>
              <w:rPr>
                <w:rFonts w:ascii="Times New Roman"/>
                <w:sz w:val="18"/>
              </w:rPr>
              <w:t>28,228,703.75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127,012,772.92</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768,502,045.44</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0"/>
                <w:sz w:val="18"/>
                <w:szCs w:val="18"/>
              </w:rPr>
              <w:t>：</w:t>
            </w:r>
            <w:r>
              <w:rPr>
                <w:rFonts w:ascii="宋体" w:hAnsi="宋体" w:cs="宋体" w:eastAsia="宋体" w:hint="default"/>
                <w:sz w:val="18"/>
                <w:szCs w:val="18"/>
              </w:rPr>
              <w:t>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本年年初余额</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117"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5" w:right="0"/>
              <w:jc w:val="center"/>
              <w:rPr>
                <w:rFonts w:ascii="Times New Roman" w:hAnsi="Times New Roman" w:cs="Times New Roman" w:eastAsia="Times New Roman" w:hint="default"/>
                <w:sz w:val="18"/>
                <w:szCs w:val="18"/>
              </w:rPr>
            </w:pPr>
            <w:r>
              <w:rPr>
                <w:rFonts w:ascii="Times New Roman"/>
                <w:sz w:val="18"/>
              </w:rPr>
              <w:t>413,260,568.77</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 w:right="0"/>
              <w:jc w:val="center"/>
              <w:rPr>
                <w:rFonts w:ascii="Times New Roman" w:hAnsi="Times New Roman" w:cs="Times New Roman" w:eastAsia="Times New Roman" w:hint="default"/>
                <w:sz w:val="18"/>
                <w:szCs w:val="18"/>
              </w:rPr>
            </w:pPr>
            <w:r>
              <w:rPr>
                <w:rFonts w:ascii="Times New Roman"/>
                <w:sz w:val="18"/>
              </w:rPr>
              <w:t>28,228,703.75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127,012,772.92</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768,502,045.44</w:t>
            </w:r>
          </w:p>
        </w:tc>
      </w:tr>
      <w:tr>
        <w:trPr>
          <w:trHeight w:val="1025" w:hRule="exact"/>
        </w:trPr>
        <w:tc>
          <w:tcPr>
            <w:tcW w:w="139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52"/>
              <w:ind w:left="12" w:right="4"/>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z w:val="18"/>
                <w:szCs w:val="18"/>
              </w:rPr>
              <w:t> </w:t>
            </w:r>
            <w:r>
              <w:rPr>
                <w:rFonts w:ascii="宋体" w:hAnsi="宋体" w:cs="宋体" w:eastAsia="宋体" w:hint="default"/>
                <w:spacing w:val="-15"/>
                <w:sz w:val="18"/>
                <w:szCs w:val="18"/>
              </w:rPr>
              <w:t>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149" w:type="dxa"/>
            <w:tcBorders>
              <w:top w:val="single" w:sz="4" w:space="0" w:color="000000"/>
              <w:left w:val="single" w:sz="22" w:space="0" w:color="FFFFFF"/>
              <w:bottom w:val="single" w:sz="4" w:space="0" w:color="000000"/>
              <w:right w:val="nil" w:sz="6" w:space="0" w:color="auto"/>
            </w:tcBorders>
          </w:tcPr>
          <w:p>
            <w:pPr/>
          </w:p>
        </w:tc>
        <w:tc>
          <w:tcPr>
            <w:tcW w:w="114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458,914,000.00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8,731,161.30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36,207,828.00</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543,852,989.30</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84,938,989.30</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 w:right="11"/>
              <w:jc w:val="left"/>
              <w:rPr>
                <w:rFonts w:ascii="宋体" w:hAnsi="宋体" w:cs="宋体" w:eastAsia="宋体" w:hint="default"/>
                <w:sz w:val="18"/>
                <w:szCs w:val="18"/>
              </w:rPr>
            </w:pPr>
            <w:r>
              <w:rPr>
                <w:rFonts w:ascii="宋体" w:hAnsi="宋体" w:cs="宋体" w:eastAsia="宋体" w:hint="default"/>
                <w:spacing w:val="-10"/>
                <w:sz w:val="18"/>
                <w:szCs w:val="18"/>
              </w:rPr>
              <w:t>（二）其他综合收</w:t>
            </w:r>
            <w:r>
              <w:rPr>
                <w:rFonts w:ascii="宋体" w:hAnsi="宋体" w:cs="宋体" w:eastAsia="宋体" w:hint="default"/>
                <w:sz w:val="18"/>
                <w:szCs w:val="18"/>
              </w:rPr>
              <w:t> 益</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402"/>
              <w:jc w:val="left"/>
              <w:rPr>
                <w:rFonts w:ascii="宋体" w:hAnsi="宋体" w:cs="宋体" w:eastAsia="宋体" w:hint="default"/>
                <w:sz w:val="18"/>
                <w:szCs w:val="18"/>
              </w:rPr>
            </w:pPr>
            <w:r>
              <w:rPr>
                <w:rFonts w:ascii="宋体" w:hAnsi="宋体" w:cs="宋体" w:eastAsia="宋体" w:hint="default"/>
                <w:spacing w:val="-19"/>
                <w:sz w:val="18"/>
                <w:szCs w:val="18"/>
              </w:rPr>
              <w:t>上述（一）和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561"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1pt;mso-position-horizontal-relative:char;mso-position-vertical-relative:line" coordorigin="0,0" coordsize="1268,562">
                  <v:group style="position:absolute;left:0;top:0;width:1268;height:156" coordorigin="0,0" coordsize="1268,156">
                    <v:shape style="position:absolute;left:0;top:0;width:1268;height:156" coordorigin="0,0" coordsize="1268,156" path="m0,156l1268,156,1268,0,0,0,0,156xe" filled="true" fillcolor="#ffffff" stroked="false">
                      <v:path arrowok="t"/>
                      <v:fill type="solid"/>
                    </v:shape>
                  </v:group>
                  <v:group style="position:absolute;left:12;top:156;width:2;height:394" coordorigin="12,156" coordsize="2,394">
                    <v:shape style="position:absolute;left:12;top:156;width:2;height:394" coordorigin="12,156" coordsize="0,394" path="m12,156l12,550e" filled="false" stroked="true" strokeweight="1.2pt" strokecolor="#ffffff">
                      <v:path arrowok="t"/>
                    </v:shape>
                  </v:group>
                  <v:group style="position:absolute;left:24;top:156;width:1220;height:394" coordorigin="24,156" coordsize="1220,394">
                    <v:shape style="position:absolute;left:24;top:156;width:1220;height:394" coordorigin="24,156" coordsize="1220,394" path="m24,550l1244,550,1244,156,24,156,24,550xe" filled="true" fillcolor="#ffffff" stroked="false">
                      <v:path arrowok="t"/>
                      <v:fill type="solid"/>
                    </v:shape>
                  </v:group>
                </v:group>
              </w:pict>
            </w:r>
            <w:r>
              <w:rPr>
                <w:rFonts w:ascii="宋体" w:hAnsi="宋体" w:cs="宋体" w:eastAsia="宋体" w:hint="default"/>
                <w:position w:val="-10"/>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84,938,989.30</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11"/>
              <w:jc w:val="left"/>
              <w:rPr>
                <w:rFonts w:ascii="宋体" w:hAnsi="宋体" w:cs="宋体" w:eastAsia="宋体" w:hint="default"/>
                <w:sz w:val="18"/>
                <w:szCs w:val="18"/>
              </w:rPr>
            </w:pPr>
            <w:r>
              <w:rPr>
                <w:rFonts w:ascii="宋体" w:hAnsi="宋体" w:cs="宋体" w:eastAsia="宋体" w:hint="default"/>
                <w:spacing w:val="-10"/>
                <w:sz w:val="18"/>
                <w:szCs w:val="18"/>
              </w:rPr>
              <w:t>（三）所有者投入</w:t>
            </w:r>
            <w:r>
              <w:rPr>
                <w:rFonts w:ascii="宋体" w:hAnsi="宋体" w:cs="宋体" w:eastAsia="宋体" w:hint="default"/>
                <w:sz w:val="18"/>
                <w:szCs w:val="18"/>
              </w:rPr>
              <w:t> 和减少资本</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458,914,000.00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498,914,000.00</w:t>
            </w: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 本</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458,914,000.00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498,914,000.00</w:t>
            </w:r>
          </w:p>
        </w:tc>
      </w:tr>
      <w:tr>
        <w:trPr>
          <w:trHeight w:val="102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 所有者权益的金 额</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1" w:right="0"/>
              <w:jc w:val="center"/>
              <w:rPr>
                <w:rFonts w:ascii="Times New Roman" w:hAnsi="Times New Roman" w:cs="Times New Roman" w:eastAsia="Times New Roman" w:hint="default"/>
                <w:sz w:val="18"/>
                <w:szCs w:val="18"/>
              </w:rPr>
            </w:pPr>
            <w:r>
              <w:rPr>
                <w:rFonts w:ascii="Times New Roman"/>
                <w:sz w:val="18"/>
              </w:rPr>
              <w:t>8,731,161.30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-48,731,161.30</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1" w:right="0"/>
              <w:jc w:val="center"/>
              <w:rPr>
                <w:rFonts w:ascii="Times New Roman" w:hAnsi="Times New Roman" w:cs="Times New Roman" w:eastAsia="Times New Roman" w:hint="default"/>
                <w:sz w:val="18"/>
                <w:szCs w:val="18"/>
              </w:rPr>
            </w:pPr>
            <w:r>
              <w:rPr>
                <w:rFonts w:ascii="Times New Roman"/>
                <w:sz w:val="18"/>
              </w:rPr>
              <w:t>8,731,161.30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-8,731,161.30</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4" w:top="1060" w:bottom="1540" w:left="980" w:right="0"/>
        </w:sectPr>
      </w:pPr>
    </w:p>
    <w:p>
      <w:pPr>
        <w:spacing w:line="240" w:lineRule="auto" w:before="6"/>
        <w:rPr>
          <w:rFonts w:ascii="宋体" w:hAnsi="宋体" w:cs="宋体" w:eastAsia="宋体" w:hint="default"/>
          <w:sz w:val="28"/>
          <w:szCs w:val="28"/>
        </w:rPr>
      </w:pPr>
      <w:r>
        <w:rPr/>
        <w:pict>
          <v:shape style="position:absolute;margin-left:103.674004pt;margin-top:715.059998pt;width:86.35pt;height:19.7pt;mso-position-horizontal-relative:page;mso-position-vertical-relative:page;z-index:-990856" type="#_x0000_t202" filled="false" stroked="false">
            <v:textbox inset="0,0,0,0">
              <w:txbxContent>
                <w:p>
                  <w:pPr>
                    <w:pStyle w:val="BodyText"/>
                    <w:spacing w:line="240" w:lineRule="auto" w:before="49"/>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418"/>
        <w:gridCol w:w="1277"/>
        <w:gridCol w:w="1274"/>
        <w:gridCol w:w="425"/>
        <w:gridCol w:w="283"/>
        <w:gridCol w:w="1136"/>
        <w:gridCol w:w="425"/>
        <w:gridCol w:w="1274"/>
        <w:gridCol w:w="428"/>
        <w:gridCol w:w="283"/>
        <w:gridCol w:w="1342"/>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（五）所有者权益</w:t>
            </w:r>
            <w:r>
              <w:rPr>
                <w:rFonts w:ascii="宋体" w:hAnsi="宋体" w:cs="宋体" w:eastAsia="宋体" w:hint="default"/>
                <w:sz w:val="18"/>
                <w:szCs w:val="18"/>
              </w:rPr>
              <w:t> 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872,174,568.77</w:t>
            </w: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36,959,865.05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163,220,600.92</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1,312,355,034.74</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pict>
          <v:group style="position:absolute;margin-left:56.400002pt;margin-top:22.741724pt;width:478.8pt;height:358.05pt;mso-position-horizontal-relative:page;mso-position-vertical-relative:paragraph;z-index:-990448" coordorigin="1128,455" coordsize="9576,7161">
            <v:group style="position:absolute;left:1140;top:469;width:1407;height:1025" coordorigin="1140,469" coordsize="1407,1025">
              <v:shape style="position:absolute;left:1140;top:469;width:1407;height:1025" coordorigin="1140,469" coordsize="1407,1025" path="m1140,1494l2547,1494,2547,469,1140,469,1140,1494xe" filled="true" fillcolor="#d2d2d2" stroked="false">
                <v:path arrowok="t"/>
                <v:fill type="solid"/>
              </v:shape>
            </v:group>
            <v:group style="position:absolute;left:1151;top:1494;width:2;height:395" coordorigin="1151,1494" coordsize="2,395">
              <v:shape style="position:absolute;left:1151;top:1494;width:2;height:395" coordorigin="1151,1494" coordsize="0,395" path="m1151,1494l1151,1888e" filled="false" stroked="true" strokeweight="1.08pt" strokecolor="#d2d2d2">
                <v:path arrowok="t"/>
              </v:shape>
            </v:group>
            <v:group style="position:absolute;left:2536;top:1494;width:2;height:395" coordorigin="2536,1494" coordsize="2,395">
              <v:shape style="position:absolute;left:2536;top:1494;width:2;height:395" coordorigin="2536,1494" coordsize="0,395" path="m2536,1494l2536,1888e" filled="false" stroked="true" strokeweight="1.08pt" strokecolor="#d2d2d2">
                <v:path arrowok="t"/>
              </v:shape>
            </v:group>
            <v:group style="position:absolute;left:1140;top:1888;width:1407;height:1025" coordorigin="1140,1888" coordsize="1407,1025">
              <v:shape style="position:absolute;left:1140;top:1888;width:1407;height:1025" coordorigin="1140,1888" coordsize="1407,1025" path="m1140,2913l2547,2913,2547,1888,1140,1888,1140,2913xe" filled="true" fillcolor="#d2d2d2" stroked="false">
                <v:path arrowok="t"/>
                <v:fill type="solid"/>
              </v:shape>
            </v:group>
            <v:group style="position:absolute;left:1162;top:1494;width:1364;height:395" coordorigin="1162,1494" coordsize="1364,395">
              <v:shape style="position:absolute;left:1162;top:1494;width:1364;height:395" coordorigin="1162,1494" coordsize="1364,395" path="m1162,1888l2525,1888,2525,1494,1162,1494,1162,1888xe" filled="true" fillcolor="#d2d2d2" stroked="false">
                <v:path arrowok="t"/>
                <v:fill type="solid"/>
              </v:shape>
            </v:group>
            <v:group style="position:absolute;left:2568;top:469;width:2;height:392" coordorigin="2568,469" coordsize="2,392">
              <v:shape style="position:absolute;left:2568;top:469;width:2;height:392" coordorigin="2568,469" coordsize="0,392" path="m2568,469l2568,860e" filled="false" stroked="true" strokeweight="1.2pt" strokecolor="#d2d2d2">
                <v:path arrowok="t"/>
              </v:shape>
            </v:group>
            <v:group style="position:absolute;left:10683;top:469;width:2;height:392" coordorigin="10683,469" coordsize="2,392">
              <v:shape style="position:absolute;left:10683;top:469;width:2;height:392" coordorigin="10683,469" coordsize="0,392" path="m10683,469l10683,860e" filled="false" stroked="true" strokeweight="1.08pt" strokecolor="#d2d2d2">
                <v:path arrowok="t"/>
              </v:shape>
            </v:group>
            <v:group style="position:absolute;left:2580;top:469;width:8092;height:392" coordorigin="2580,469" coordsize="8092,392">
              <v:shape style="position:absolute;left:2580;top:469;width:8092;height:392" coordorigin="2580,469" coordsize="8092,392" path="m2580,860l10672,860,10672,469,2580,469,2580,860xe" filled="true" fillcolor="#d2d2d2" stroked="false">
                <v:path arrowok="t"/>
                <v:fill type="solid"/>
              </v:shape>
            </v:group>
            <v:group style="position:absolute;left:1138;top:464;width:1410;height:2" coordorigin="1138,464" coordsize="1410,2">
              <v:shape style="position:absolute;left:1138;top:464;width:1410;height:2" coordorigin="1138,464" coordsize="1410,0" path="m1138,464l2547,464e" filled="false" stroked="true" strokeweight=".48pt" strokecolor="#000000">
                <v:path arrowok="t"/>
              </v:shape>
            </v:group>
            <v:group style="position:absolute;left:2556;top:464;width:8138;height:2" coordorigin="2556,464" coordsize="8138,2">
              <v:shape style="position:absolute;left:2556;top:464;width:8138;height:2" coordorigin="2556,464" coordsize="8138,0" path="m2556,464l10694,464e" filled="false" stroked="true" strokeweight=".48pt" strokecolor="#000000">
                <v:path arrowok="t"/>
              </v:shape>
            </v:group>
            <v:group style="position:absolute;left:2568;top:870;width:2;height:394" coordorigin="2568,870" coordsize="2,394">
              <v:shape style="position:absolute;left:2568;top:870;width:2;height:394" coordorigin="2568,870" coordsize="0,394" path="m2568,870l2568,1264e" filled="false" stroked="true" strokeweight="1.2pt" strokecolor="#d2d2d2">
                <v:path arrowok="t"/>
              </v:shape>
            </v:group>
            <v:group style="position:absolute;left:8972;top:870;width:2;height:394" coordorigin="8972,870" coordsize="2,394">
              <v:shape style="position:absolute;left:8972;top:870;width:2;height:394" coordorigin="8972,870" coordsize="0,394" path="m8972,870l8972,1264e" filled="false" stroked="true" strokeweight="1.08pt" strokecolor="#d2d2d2">
                <v:path arrowok="t"/>
              </v:shape>
            </v:group>
            <v:group style="position:absolute;left:2580;top:870;width:6381;height:394" coordorigin="2580,870" coordsize="6381,394">
              <v:shape style="position:absolute;left:2580;top:870;width:6381;height:394" coordorigin="2580,870" coordsize="6381,394" path="m2580,1264l8961,1264,8961,870,2580,870,2580,1264xe" filled="true" fillcolor="#d2d2d2" stroked="false">
                <v:path arrowok="t"/>
                <v:fill type="solid"/>
              </v:shape>
            </v:group>
            <v:group style="position:absolute;left:8995;top:870;width:500;height:514" coordorigin="8995,870" coordsize="500,514">
              <v:shape style="position:absolute;left:8995;top:870;width:500;height:514" coordorigin="8995,870" coordsize="500,514" path="m8995,1384l9494,1384,9494,870,8995,870,8995,1384xe" filled="true" fillcolor="#d2d2d2" stroked="false">
                <v:path arrowok="t"/>
                <v:fill type="solid"/>
              </v:shape>
            </v:group>
            <v:group style="position:absolute;left:9006;top:1384;width:2;height:1016" coordorigin="9006,1384" coordsize="2,1016">
              <v:shape style="position:absolute;left:9006;top:1384;width:2;height:1016" coordorigin="9006,1384" coordsize="0,1016" path="m9006,1384l9006,2399e" filled="false" stroked="true" strokeweight="1.08pt" strokecolor="#d2d2d2">
                <v:path arrowok="t"/>
              </v:shape>
            </v:group>
            <v:group style="position:absolute;left:9483;top:1384;width:2;height:1016" coordorigin="9483,1384" coordsize="2,1016">
              <v:shape style="position:absolute;left:9483;top:1384;width:2;height:1016" coordorigin="9483,1384" coordsize="0,1016" path="m9483,1384l9483,2399e" filled="false" stroked="true" strokeweight="1.08pt" strokecolor="#d2d2d2">
                <v:path arrowok="t"/>
              </v:shape>
            </v:group>
            <v:group style="position:absolute;left:8995;top:2399;width:500;height:514" coordorigin="8995,2399" coordsize="500,514">
              <v:shape style="position:absolute;left:8995;top:2399;width:500;height:514" coordorigin="8995,2399" coordsize="500,514" path="m8995,2913l9494,2913,9494,2399,8995,2399,8995,2913xe" filled="true" fillcolor="#d2d2d2" stroked="false">
                <v:path arrowok="t"/>
                <v:fill type="solid"/>
              </v:shape>
            </v:group>
            <v:group style="position:absolute;left:9016;top:1384;width:456;height:354" coordorigin="9016,1384" coordsize="456,354">
              <v:shape style="position:absolute;left:9016;top:1384;width:456;height:354" coordorigin="9016,1384" coordsize="456,354" path="m9016,1737l9472,1737,9472,1384,9016,1384,9016,1737xe" filled="true" fillcolor="#d2d2d2" stroked="false">
                <v:path arrowok="t"/>
                <v:fill type="solid"/>
              </v:shape>
            </v:group>
            <v:group style="position:absolute;left:9016;top:1737;width:456;height:312" coordorigin="9016,1737" coordsize="456,312">
              <v:shape style="position:absolute;left:9016;top:1737;width:456;height:312" coordorigin="9016,1737" coordsize="456,312" path="m9016,2049l9472,2049,9472,1737,9016,1737,9016,2049xe" filled="true" fillcolor="#d2d2d2" stroked="false">
                <v:path arrowok="t"/>
                <v:fill type="solid"/>
              </v:shape>
            </v:group>
            <v:group style="position:absolute;left:9016;top:2049;width:456;height:351" coordorigin="9016,2049" coordsize="456,351">
              <v:shape style="position:absolute;left:9016;top:2049;width:456;height:351" coordorigin="9016,2049" coordsize="456,351" path="m9016,2399l9472,2399,9472,2049,9016,2049,9016,2399xe" filled="true" fillcolor="#d2d2d2" stroked="false">
                <v:path arrowok="t"/>
                <v:fill type="solid"/>
              </v:shape>
            </v:group>
            <v:group style="position:absolute;left:9506;top:870;width:1188;height:671" coordorigin="9506,870" coordsize="1188,671">
              <v:shape style="position:absolute;left:9506;top:870;width:1188;height:671" coordorigin="9506,870" coordsize="1188,671" path="m9506,1540l10694,1540,10694,870,9506,870,9506,1540xe" filled="true" fillcolor="#d2d2d2" stroked="false">
                <v:path arrowok="t"/>
                <v:fill type="solid"/>
              </v:shape>
            </v:group>
            <v:group style="position:absolute;left:9517;top:1540;width:2;height:704" coordorigin="9517,1540" coordsize="2,704">
              <v:shape style="position:absolute;left:9517;top:1540;width:2;height:704" coordorigin="9517,1540" coordsize="0,704" path="m9517,1540l9517,2243e" filled="false" stroked="true" strokeweight="1.08pt" strokecolor="#d2d2d2">
                <v:path arrowok="t"/>
              </v:shape>
            </v:group>
            <v:group style="position:absolute;left:10683;top:1540;width:2;height:704" coordorigin="10683,1540" coordsize="2,704">
              <v:shape style="position:absolute;left:10683;top:1540;width:2;height:704" coordorigin="10683,1540" coordsize="0,704" path="m10683,1540l10683,2243e" filled="false" stroked="true" strokeweight="1.08pt" strokecolor="#d2d2d2">
                <v:path arrowok="t"/>
              </v:shape>
            </v:group>
            <v:group style="position:absolute;left:9506;top:2243;width:1188;height:670" coordorigin="9506,2243" coordsize="1188,670">
              <v:shape style="position:absolute;left:9506;top:2243;width:1188;height:670" coordorigin="9506,2243" coordsize="1188,670" path="m9506,2913l10694,2913,10694,2243,9506,2243,9506,2913xe" filled="true" fillcolor="#d2d2d2" stroked="false">
                <v:path arrowok="t"/>
                <v:fill type="solid"/>
              </v:shape>
            </v:group>
            <v:group style="position:absolute;left:9528;top:1540;width:1145;height:353" coordorigin="9528,1540" coordsize="1145,353">
              <v:shape style="position:absolute;left:9528;top:1540;width:1145;height:353" coordorigin="9528,1540" coordsize="1145,353" path="m9528,1893l10672,1893,10672,1540,9528,1540,9528,1893xe" filled="true" fillcolor="#d2d2d2" stroked="false">
                <v:path arrowok="t"/>
                <v:fill type="solid"/>
              </v:shape>
            </v:group>
            <v:group style="position:absolute;left:9528;top:1893;width:1145;height:351" coordorigin="9528,1893" coordsize="1145,351">
              <v:shape style="position:absolute;left:9528;top:1893;width:1145;height:351" coordorigin="9528,1893" coordsize="1145,351" path="m9528,2243l10672,2243,10672,1893,9528,1893,9528,2243xe" filled="true" fillcolor="#d2d2d2" stroked="false">
                <v:path arrowok="t"/>
                <v:fill type="solid"/>
              </v:shape>
            </v:group>
            <v:group style="position:absolute;left:2556;top:865;width:6427;height:2" coordorigin="2556,865" coordsize="6427,2">
              <v:shape style="position:absolute;left:2556;top:865;width:6427;height:2" coordorigin="2556,865" coordsize="6427,0" path="m2556,865l8983,865e" filled="false" stroked="true" strokeweight=".48pt" strokecolor="#000000">
                <v:path arrowok="t"/>
              </v:shape>
            </v:group>
            <v:group style="position:absolute;left:8992;top:865;width:502;height:2" coordorigin="8992,865" coordsize="502,2">
              <v:shape style="position:absolute;left:8992;top:865;width:502;height:2" coordorigin="8992,865" coordsize="502,0" path="m8992,865l9494,865e" filled="false" stroked="true" strokeweight=".48pt" strokecolor="#000000">
                <v:path arrowok="t"/>
              </v:shape>
            </v:group>
            <v:group style="position:absolute;left:9504;top:865;width:1191;height:2" coordorigin="9504,865" coordsize="1191,2">
              <v:shape style="position:absolute;left:9504;top:865;width:1191;height:2" coordorigin="9504,865" coordsize="1191,0" path="m9504,865l10694,865e" filled="false" stroked="true" strokeweight=".48pt" strokecolor="#000000">
                <v:path arrowok="t"/>
              </v:shape>
            </v:group>
            <v:group style="position:absolute;left:2556;top:1273;width:1268;height:469" coordorigin="2556,1273" coordsize="1268,469">
              <v:shape style="position:absolute;left:2556;top:1273;width:1268;height:469" coordorigin="2556,1273" coordsize="1268,469" path="m2556,1742l3824,1742,3824,1273,2556,1273,2556,1742xe" filled="true" fillcolor="#d2d2d2" stroked="false">
                <v:path arrowok="t"/>
                <v:fill type="solid"/>
              </v:shape>
            </v:group>
            <v:group style="position:absolute;left:2568;top:1742;width:2;height:704" coordorigin="2568,1742" coordsize="2,704">
              <v:shape style="position:absolute;left:2568;top:1742;width:2;height:704" coordorigin="2568,1742" coordsize="0,704" path="m2568,1742l2568,2445e" filled="false" stroked="true" strokeweight="1.2pt" strokecolor="#d2d2d2">
                <v:path arrowok="t"/>
              </v:shape>
            </v:group>
            <v:group style="position:absolute;left:3812;top:1742;width:2;height:704" coordorigin="3812,1742" coordsize="2,704">
              <v:shape style="position:absolute;left:3812;top:1742;width:2;height:704" coordorigin="3812,1742" coordsize="0,704" path="m3812,1742l3812,2445e" filled="false" stroked="true" strokeweight="1.2pt" strokecolor="#d2d2d2">
                <v:path arrowok="t"/>
              </v:shape>
            </v:group>
            <v:group style="position:absolute;left:2556;top:2445;width:1268;height:468" coordorigin="2556,2445" coordsize="1268,468">
              <v:shape style="position:absolute;left:2556;top:2445;width:1268;height:468" coordorigin="2556,2445" coordsize="1268,468" path="m2556,2913l3824,2913,3824,2445,2556,2445,2556,2913xe" filled="true" fillcolor="#d2d2d2" stroked="false">
                <v:path arrowok="t"/>
                <v:fill type="solid"/>
              </v:shape>
            </v:group>
            <v:group style="position:absolute;left:2580;top:1742;width:1220;height:351" coordorigin="2580,1742" coordsize="1220,351">
              <v:shape style="position:absolute;left:2580;top:1742;width:1220;height:351" coordorigin="2580,1742" coordsize="1220,351" path="m2580,2092l3800,2092,3800,1742,2580,1742,2580,2092xe" filled="true" fillcolor="#d2d2d2" stroked="false">
                <v:path arrowok="t"/>
                <v:fill type="solid"/>
              </v:shape>
            </v:group>
            <v:group style="position:absolute;left:2580;top:2092;width:1220;height:353" coordorigin="2580,2092" coordsize="1220,353">
              <v:shape style="position:absolute;left:2580;top:2092;width:1220;height:353" coordorigin="2580,2092" coordsize="1220,353" path="m2580,2445l3800,2445,3800,2092,2580,2092,2580,2445xe" filled="true" fillcolor="#d2d2d2" stroked="false">
                <v:path arrowok="t"/>
                <v:fill type="solid"/>
              </v:shape>
            </v:group>
            <v:group style="position:absolute;left:3834;top:1273;width:1265;height:625" coordorigin="3834,1273" coordsize="1265,625">
              <v:shape style="position:absolute;left:3834;top:1273;width:1265;height:625" coordorigin="3834,1273" coordsize="1265,625" path="m3834,1898l5099,1898,5099,1273,3834,1273,3834,1898xe" filled="true" fillcolor="#d2d2d2" stroked="false">
                <v:path arrowok="t"/>
                <v:fill type="solid"/>
              </v:shape>
            </v:group>
            <v:group style="position:absolute;left:3846;top:1898;width:2;height:392" coordorigin="3846,1898" coordsize="2,392">
              <v:shape style="position:absolute;left:3846;top:1898;width:2;height:392" coordorigin="3846,1898" coordsize="0,392" path="m3846,1898l3846,2289e" filled="false" stroked="true" strokeweight="1.2pt" strokecolor="#d2d2d2">
                <v:path arrowok="t"/>
              </v:shape>
            </v:group>
            <v:group style="position:absolute;left:5088;top:1898;width:2;height:392" coordorigin="5088,1898" coordsize="2,392">
              <v:shape style="position:absolute;left:5088;top:1898;width:2;height:392" coordorigin="5088,1898" coordsize="0,392" path="m5088,1898l5088,2289e" filled="false" stroked="true" strokeweight="1.08pt" strokecolor="#d2d2d2">
                <v:path arrowok="t"/>
              </v:shape>
            </v:group>
            <v:group style="position:absolute;left:3834;top:2289;width:1265;height:624" coordorigin="3834,2289" coordsize="1265,624">
              <v:shape style="position:absolute;left:3834;top:2289;width:1265;height:624" coordorigin="3834,2289" coordsize="1265,624" path="m3834,2913l5099,2913,5099,2289,3834,2289,3834,2913xe" filled="true" fillcolor="#d2d2d2" stroked="false">
                <v:path arrowok="t"/>
                <v:fill type="solid"/>
              </v:shape>
            </v:group>
            <v:group style="position:absolute;left:3858;top:1898;width:1220;height:392" coordorigin="3858,1898" coordsize="1220,392">
              <v:shape style="position:absolute;left:3858;top:1898;width:1220;height:392" coordorigin="3858,1898" coordsize="1220,392" path="m3858,2289l5077,2289,5077,1898,3858,1898,3858,2289xe" filled="true" fillcolor="#d2d2d2" stroked="false">
                <v:path arrowok="t"/>
                <v:fill type="solid"/>
              </v:shape>
            </v:group>
            <v:group style="position:absolute;left:5120;top:1273;width:2;height:1640" coordorigin="5120,1273" coordsize="2,1640">
              <v:shape style="position:absolute;left:5120;top:1273;width:2;height:1640" coordorigin="5120,1273" coordsize="0,1640" path="m5120,1273l5120,2913e" filled="false" stroked="true" strokeweight="1.2pt" strokecolor="#d2d2d2">
                <v:path arrowok="t"/>
              </v:shape>
            </v:group>
            <v:group style="position:absolute;left:5371;top:1273;width:2;height:1640" coordorigin="5371,1273" coordsize="2,1640">
              <v:shape style="position:absolute;left:5371;top:1273;width:2;height:1640" coordorigin="5371,1273" coordsize="0,1640" path="m5371,1273l5371,2913e" filled="false" stroked="true" strokeweight="1.08pt" strokecolor="#d2d2d2">
                <v:path arrowok="t"/>
              </v:shape>
            </v:group>
            <v:group style="position:absolute;left:5132;top:1273;width:228;height:351" coordorigin="5132,1273" coordsize="228,351">
              <v:shape style="position:absolute;left:5132;top:1273;width:228;height:351" coordorigin="5132,1273" coordsize="228,351" path="m5132,1624l5360,1624,5360,1273,5132,1273,5132,1624xe" filled="true" fillcolor="#d2d2d2" stroked="false">
                <v:path arrowok="t"/>
                <v:fill type="solid"/>
              </v:shape>
            </v:group>
            <v:group style="position:absolute;left:5132;top:1624;width:228;height:312" coordorigin="5132,1624" coordsize="228,312">
              <v:shape style="position:absolute;left:5132;top:1624;width:228;height:312" coordorigin="5132,1624" coordsize="228,312" path="m5132,1936l5360,1936,5360,1624,5132,1624,5132,1936xe" filled="true" fillcolor="#d2d2d2" stroked="false">
                <v:path arrowok="t"/>
                <v:fill type="solid"/>
              </v:shape>
            </v:group>
            <v:group style="position:absolute;left:5132;top:1936;width:228;height:312" coordorigin="5132,1936" coordsize="228,312">
              <v:shape style="position:absolute;left:5132;top:1936;width:228;height:312" coordorigin="5132,1936" coordsize="228,312" path="m5132,2248l5360,2248,5360,1936,5132,1936,5132,2248xe" filled="true" fillcolor="#d2d2d2" stroked="false">
                <v:path arrowok="t"/>
                <v:fill type="solid"/>
              </v:shape>
            </v:group>
            <v:group style="position:absolute;left:5132;top:2248;width:228;height:312" coordorigin="5132,2248" coordsize="228,312">
              <v:shape style="position:absolute;left:5132;top:2248;width:228;height:312" coordorigin="5132,2248" coordsize="228,312" path="m5132,2560l5360,2560,5360,2248,5132,2248,5132,2560xe" filled="true" fillcolor="#d2d2d2" stroked="false">
                <v:path arrowok="t"/>
                <v:fill type="solid"/>
              </v:shape>
            </v:group>
            <v:group style="position:absolute;left:5132;top:2560;width:228;height:353" coordorigin="5132,2560" coordsize="228,353">
              <v:shape style="position:absolute;left:5132;top:2560;width:228;height:353" coordorigin="5132,2560" coordsize="228,353" path="m5132,2913l5360,2913,5360,2560,5132,2560,5132,2913xe" filled="true" fillcolor="#d2d2d2" stroked="false">
                <v:path arrowok="t"/>
                <v:fill type="solid"/>
              </v:shape>
            </v:group>
            <v:group style="position:absolute;left:5394;top:1273;width:272;height:156" coordorigin="5394,1273" coordsize="272,156">
              <v:shape style="position:absolute;left:5394;top:1273;width:272;height:156" coordorigin="5394,1273" coordsize="272,156" path="m5394,1429l5665,1429,5665,1273,5394,1273,5394,1429xe" filled="true" fillcolor="#d2d2d2" stroked="false">
                <v:path arrowok="t"/>
                <v:fill type="solid"/>
              </v:shape>
            </v:group>
            <v:group style="position:absolute;left:5405;top:1429;width:2;height:1328" coordorigin="5405,1429" coordsize="2,1328">
              <v:shape style="position:absolute;left:5405;top:1429;width:2;height:1328" coordorigin="5405,1429" coordsize="0,1328" path="m5405,1429l5405,2757e" filled="false" stroked="true" strokeweight="1.08pt" strokecolor="#d2d2d2">
                <v:path arrowok="t"/>
              </v:shape>
            </v:group>
            <v:group style="position:absolute;left:5654;top:1429;width:2;height:1328" coordorigin="5654,1429" coordsize="2,1328">
              <v:shape style="position:absolute;left:5654;top:1429;width:2;height:1328" coordorigin="5654,1429" coordsize="0,1328" path="m5654,1429l5654,2757e" filled="false" stroked="true" strokeweight="1.08pt" strokecolor="#d2d2d2">
                <v:path arrowok="t"/>
              </v:shape>
            </v:group>
            <v:group style="position:absolute;left:5394;top:2757;width:272;height:156" coordorigin="5394,2757" coordsize="272,156">
              <v:shape style="position:absolute;left:5394;top:2757;width:272;height:156" coordorigin="5394,2757" coordsize="272,156" path="m5394,2913l5665,2913,5665,2757,5394,2757,5394,2913xe" filled="true" fillcolor="#d2d2d2" stroked="false">
                <v:path arrowok="t"/>
                <v:fill type="solid"/>
              </v:shape>
            </v:group>
            <v:group style="position:absolute;left:5415;top:1429;width:228;height:351" coordorigin="5415,1429" coordsize="228,351">
              <v:shape style="position:absolute;left:5415;top:1429;width:228;height:351" coordorigin="5415,1429" coordsize="228,351" path="m5415,1780l5643,1780,5643,1429,5415,1429,5415,1780xe" filled="true" fillcolor="#d2d2d2" stroked="false">
                <v:path arrowok="t"/>
                <v:fill type="solid"/>
              </v:shape>
            </v:group>
            <v:group style="position:absolute;left:5415;top:1780;width:228;height:312" coordorigin="5415,1780" coordsize="228,312">
              <v:shape style="position:absolute;left:5415;top:1780;width:228;height:312" coordorigin="5415,1780" coordsize="228,312" path="m5415,2092l5643,2092,5643,1780,5415,1780,5415,2092xe" filled="true" fillcolor="#d2d2d2" stroked="false">
                <v:path arrowok="t"/>
                <v:fill type="solid"/>
              </v:shape>
            </v:group>
            <v:group style="position:absolute;left:5415;top:2092;width:228;height:312" coordorigin="5415,2092" coordsize="228,312">
              <v:shape style="position:absolute;left:5415;top:2092;width:228;height:312" coordorigin="5415,2092" coordsize="228,312" path="m5415,2404l5643,2404,5643,2092,5415,2092,5415,2404xe" filled="true" fillcolor="#d2d2d2" stroked="false">
                <v:path arrowok="t"/>
                <v:fill type="solid"/>
              </v:shape>
            </v:group>
            <v:group style="position:absolute;left:5415;top:2404;width:228;height:353" coordorigin="5415,2404" coordsize="228,353">
              <v:shape style="position:absolute;left:5415;top:2404;width:228;height:353" coordorigin="5415,2404" coordsize="228,353" path="m5415,2757l5643,2757,5643,2404,5415,2404,5415,2757xe" filled="true" fillcolor="#d2d2d2" stroked="false">
                <v:path arrowok="t"/>
                <v:fill type="solid"/>
              </v:shape>
            </v:group>
            <v:group style="position:absolute;left:5677;top:1273;width:1266;height:625" coordorigin="5677,1273" coordsize="1266,625">
              <v:shape style="position:absolute;left:5677;top:1273;width:1266;height:625" coordorigin="5677,1273" coordsize="1266,625" path="m5677,1898l6942,1898,6942,1273,5677,1273,5677,1898xe" filled="true" fillcolor="#d2d2d2" stroked="false">
                <v:path arrowok="t"/>
                <v:fill type="solid"/>
              </v:shape>
            </v:group>
            <v:group style="position:absolute;left:5688;top:1898;width:2;height:392" coordorigin="5688,1898" coordsize="2,392">
              <v:shape style="position:absolute;left:5688;top:1898;width:2;height:392" coordorigin="5688,1898" coordsize="0,392" path="m5688,1898l5688,2289e" filled="false" stroked="true" strokeweight="1.08pt" strokecolor="#d2d2d2">
                <v:path arrowok="t"/>
              </v:shape>
            </v:group>
            <v:group style="position:absolute;left:6930;top:1898;width:2;height:392" coordorigin="6930,1898" coordsize="2,392">
              <v:shape style="position:absolute;left:6930;top:1898;width:2;height:392" coordorigin="6930,1898" coordsize="0,392" path="m6930,1898l6930,2289e" filled="false" stroked="true" strokeweight="1.2pt" strokecolor="#d2d2d2">
                <v:path arrowok="t"/>
              </v:shape>
            </v:group>
            <v:group style="position:absolute;left:5677;top:2289;width:1266;height:624" coordorigin="5677,2289" coordsize="1266,624">
              <v:shape style="position:absolute;left:5677;top:2289;width:1266;height:624" coordorigin="5677,2289" coordsize="1266,624" path="m5677,2913l6942,2913,6942,2289,5677,2289,5677,2913xe" filled="true" fillcolor="#d2d2d2" stroked="false">
                <v:path arrowok="t"/>
                <v:fill type="solid"/>
              </v:shape>
            </v:group>
            <v:group style="position:absolute;left:5699;top:1898;width:1220;height:392" coordorigin="5699,1898" coordsize="1220,392">
              <v:shape style="position:absolute;left:5699;top:1898;width:1220;height:392" coordorigin="5699,1898" coordsize="1220,392" path="m5699,2289l6918,2289,6918,1898,5699,1898,5699,2289xe" filled="true" fillcolor="#d2d2d2" stroked="false">
                <v:path arrowok="t"/>
                <v:fill type="solid"/>
              </v:shape>
            </v:group>
            <v:group style="position:absolute;left:6952;top:1273;width:416;height:313" coordorigin="6952,1273" coordsize="416,313">
              <v:shape style="position:absolute;left:6952;top:1273;width:416;height:313" coordorigin="6952,1273" coordsize="416,313" path="m6952,1586l7367,1586,7367,1273,6952,1273,6952,1586xe" filled="true" fillcolor="#d2d2d2" stroked="false">
                <v:path arrowok="t"/>
                <v:fill type="solid"/>
              </v:shape>
            </v:group>
            <v:group style="position:absolute;left:6964;top:1586;width:2;height:1016" coordorigin="6964,1586" coordsize="2,1016">
              <v:shape style="position:absolute;left:6964;top:1586;width:2;height:1016" coordorigin="6964,1586" coordsize="0,1016" path="m6964,1586l6964,2601e" filled="false" stroked="true" strokeweight="1.2pt" strokecolor="#d2d2d2">
                <v:path arrowok="t"/>
              </v:shape>
            </v:group>
            <v:group style="position:absolute;left:7356;top:1586;width:2;height:1016" coordorigin="7356,1586" coordsize="2,1016">
              <v:shape style="position:absolute;left:7356;top:1586;width:2;height:1016" coordorigin="7356,1586" coordsize="0,1016" path="m7356,1586l7356,2601e" filled="false" stroked="true" strokeweight="1.08pt" strokecolor="#d2d2d2">
                <v:path arrowok="t"/>
              </v:shape>
            </v:group>
            <v:group style="position:absolute;left:6952;top:2601;width:416;height:312" coordorigin="6952,2601" coordsize="416,312">
              <v:shape style="position:absolute;left:6952;top:2601;width:416;height:312" coordorigin="6952,2601" coordsize="416,312" path="m6952,2913l7367,2913,7367,2601,6952,2601,6952,2913xe" filled="true" fillcolor="#d2d2d2" stroked="false">
                <v:path arrowok="t"/>
                <v:fill type="solid"/>
              </v:shape>
            </v:group>
            <v:group style="position:absolute;left:6976;top:1586;width:370;height:351" coordorigin="6976,1586" coordsize="370,351">
              <v:shape style="position:absolute;left:6976;top:1586;width:370;height:351" coordorigin="6976,1586" coordsize="370,351" path="m6976,1936l7345,1936,7345,1586,6976,1586,6976,1936xe" filled="true" fillcolor="#d2d2d2" stroked="false">
                <v:path arrowok="t"/>
                <v:fill type="solid"/>
              </v:shape>
            </v:group>
            <v:group style="position:absolute;left:6976;top:1936;width:370;height:312" coordorigin="6976,1936" coordsize="370,312">
              <v:shape style="position:absolute;left:6976;top:1936;width:370;height:312" coordorigin="6976,1936" coordsize="370,312" path="m6976,2248l7345,2248,7345,1936,6976,1936,6976,2248xe" filled="true" fillcolor="#d2d2d2" stroked="false">
                <v:path arrowok="t"/>
                <v:fill type="solid"/>
              </v:shape>
            </v:group>
            <v:group style="position:absolute;left:6976;top:2248;width:370;height:353" coordorigin="6976,2248" coordsize="370,353">
              <v:shape style="position:absolute;left:6976;top:2248;width:370;height:353" coordorigin="6976,2248" coordsize="370,353" path="m6976,2601l7345,2601,7345,2248,6976,2248,6976,2601xe" filled="true" fillcolor="#d2d2d2" stroked="false">
                <v:path arrowok="t"/>
                <v:fill type="solid"/>
              </v:shape>
            </v:group>
            <v:group style="position:absolute;left:7377;top:1273;width:1268;height:625" coordorigin="7377,1273" coordsize="1268,625">
              <v:shape style="position:absolute;left:7377;top:1273;width:1268;height:625" coordorigin="7377,1273" coordsize="1268,625" path="m7377,1898l8644,1898,8644,1273,7377,1273,7377,1898xe" filled="true" fillcolor="#d2d2d2" stroked="false">
                <v:path arrowok="t"/>
                <v:fill type="solid"/>
              </v:shape>
            </v:group>
            <v:group style="position:absolute;left:7389;top:1898;width:2;height:392" coordorigin="7389,1898" coordsize="2,392">
              <v:shape style="position:absolute;left:7389;top:1898;width:2;height:392" coordorigin="7389,1898" coordsize="0,392" path="m7389,1898l7389,2289e" filled="false" stroked="true" strokeweight="1.2pt" strokecolor="#d2d2d2">
                <v:path arrowok="t"/>
              </v:shape>
            </v:group>
            <v:group style="position:absolute;left:8632;top:1898;width:2;height:392" coordorigin="8632,1898" coordsize="2,392">
              <v:shape style="position:absolute;left:8632;top:1898;width:2;height:392" coordorigin="8632,1898" coordsize="0,392" path="m8632,1898l8632,2289e" filled="false" stroked="true" strokeweight="1.2pt" strokecolor="#d2d2d2">
                <v:path arrowok="t"/>
              </v:shape>
            </v:group>
            <v:group style="position:absolute;left:7377;top:2289;width:1268;height:624" coordorigin="7377,2289" coordsize="1268,624">
              <v:shape style="position:absolute;left:7377;top:2289;width:1268;height:624" coordorigin="7377,2289" coordsize="1268,624" path="m7377,2913l8644,2913,8644,2289,7377,2289,7377,2913xe" filled="true" fillcolor="#d2d2d2" stroked="false">
                <v:path arrowok="t"/>
                <v:fill type="solid"/>
              </v:shape>
            </v:group>
            <v:group style="position:absolute;left:7401;top:1898;width:1220;height:392" coordorigin="7401,1898" coordsize="1220,392">
              <v:shape style="position:absolute;left:7401;top:1898;width:1220;height:392" coordorigin="7401,1898" coordsize="1220,392" path="m7401,2289l8620,2289,8620,1898,7401,1898,7401,2289xe" filled="true" fillcolor="#d2d2d2" stroked="false">
                <v:path arrowok="t"/>
                <v:fill type="solid"/>
              </v:shape>
            </v:group>
            <v:group style="position:absolute;left:8653;top:1273;width:330;height:469" coordorigin="8653,1273" coordsize="330,469">
              <v:shape style="position:absolute;left:8653;top:1273;width:330;height:469" coordorigin="8653,1273" coordsize="330,469" path="m8653,1742l8983,1742,8983,1273,8653,1273,8653,1742xe" filled="true" fillcolor="#d2d2d2" stroked="false">
                <v:path arrowok="t"/>
                <v:fill type="solid"/>
              </v:shape>
            </v:group>
            <v:group style="position:absolute;left:8665;top:1742;width:2;height:704" coordorigin="8665,1742" coordsize="2,704">
              <v:shape style="position:absolute;left:8665;top:1742;width:2;height:704" coordorigin="8665,1742" coordsize="0,704" path="m8665,1742l8665,2445e" filled="false" stroked="true" strokeweight="1.2pt" strokecolor="#d2d2d2">
                <v:path arrowok="t"/>
              </v:shape>
            </v:group>
            <v:group style="position:absolute;left:8972;top:1742;width:2;height:704" coordorigin="8972,1742" coordsize="2,704">
              <v:shape style="position:absolute;left:8972;top:1742;width:2;height:704" coordorigin="8972,1742" coordsize="0,704" path="m8972,1742l8972,2445e" filled="false" stroked="true" strokeweight="1.08pt" strokecolor="#d2d2d2">
                <v:path arrowok="t"/>
              </v:shape>
            </v:group>
            <v:group style="position:absolute;left:8653;top:2445;width:330;height:468" coordorigin="8653,2445" coordsize="330,468">
              <v:shape style="position:absolute;left:8653;top:2445;width:330;height:468" coordorigin="8653,2445" coordsize="330,468" path="m8653,2913l8983,2913,8983,2445,8653,2445,8653,2913xe" filled="true" fillcolor="#d2d2d2" stroked="false">
                <v:path arrowok="t"/>
                <v:fill type="solid"/>
              </v:shape>
            </v:group>
            <v:group style="position:absolute;left:8677;top:1742;width:284;height:351" coordorigin="8677,1742" coordsize="284,351">
              <v:shape style="position:absolute;left:8677;top:1742;width:284;height:351" coordorigin="8677,1742" coordsize="284,351" path="m8677,2092l8961,2092,8961,1742,8677,1742,8677,2092xe" filled="true" fillcolor="#d2d2d2" stroked="false">
                <v:path arrowok="t"/>
                <v:fill type="solid"/>
              </v:shape>
            </v:group>
            <v:group style="position:absolute;left:8677;top:2092;width:284;height:353" coordorigin="8677,2092" coordsize="284,353">
              <v:shape style="position:absolute;left:8677;top:2092;width:284;height:353" coordorigin="8677,2092" coordsize="284,353" path="m8677,2445l8961,2445,8961,2092,8677,2092,8677,2445xe" filled="true" fillcolor="#d2d2d2" stroked="false">
                <v:path arrowok="t"/>
                <v:fill type="solid"/>
              </v:shape>
            </v:group>
            <v:group style="position:absolute;left:2556;top:1268;width:1268;height:2" coordorigin="2556,1268" coordsize="1268,2">
              <v:shape style="position:absolute;left:2556;top:1268;width:1268;height:2" coordorigin="2556,1268" coordsize="1268,0" path="m2556,1268l3824,1268e" filled="false" stroked="true" strokeweight=".48pt" strokecolor="#000000">
                <v:path arrowok="t"/>
              </v:shape>
            </v:group>
            <v:group style="position:absolute;left:3834;top:1268;width:1265;height:2" coordorigin="3834,1268" coordsize="1265,2">
              <v:shape style="position:absolute;left:3834;top:1268;width:1265;height:2" coordorigin="3834,1268" coordsize="1265,0" path="m3834,1268l5099,1268e" filled="false" stroked="true" strokeweight=".48pt" strokecolor="#000000">
                <v:path arrowok="t"/>
              </v:shape>
            </v:group>
            <v:group style="position:absolute;left:5108;top:1268;width:274;height:2" coordorigin="5108,1268" coordsize="274,2">
              <v:shape style="position:absolute;left:5108;top:1268;width:274;height:2" coordorigin="5108,1268" coordsize="274,0" path="m5108,1268l5382,1268e" filled="false" stroked="true" strokeweight=".48pt" strokecolor="#000000">
                <v:path arrowok="t"/>
              </v:shape>
            </v:group>
            <v:group style="position:absolute;left:5391;top:1268;width:274;height:2" coordorigin="5391,1268" coordsize="274,2">
              <v:shape style="position:absolute;left:5391;top:1268;width:274;height:2" coordorigin="5391,1268" coordsize="274,0" path="m5391,1268l5665,1268e" filled="false" stroked="true" strokeweight=".48pt" strokecolor="#000000">
                <v:path arrowok="t"/>
              </v:shape>
            </v:group>
            <v:group style="position:absolute;left:5675;top:1268;width:1268;height:2" coordorigin="5675,1268" coordsize="1268,2">
              <v:shape style="position:absolute;left:5675;top:1268;width:1268;height:2" coordorigin="5675,1268" coordsize="1268,0" path="m5675,1268l6942,1268e" filled="false" stroked="true" strokeweight=".48pt" strokecolor="#000000">
                <v:path arrowok="t"/>
              </v:shape>
            </v:group>
            <v:group style="position:absolute;left:6952;top:1268;width:416;height:2" coordorigin="6952,1268" coordsize="416,2">
              <v:shape style="position:absolute;left:6952;top:1268;width:416;height:2" coordorigin="6952,1268" coordsize="416,0" path="m6952,1268l7367,1268e" filled="false" stroked="true" strokeweight=".48pt" strokecolor="#000000">
                <v:path arrowok="t"/>
              </v:shape>
            </v:group>
            <v:group style="position:absolute;left:7377;top:1268;width:1265;height:2" coordorigin="7377,1268" coordsize="1265,2">
              <v:shape style="position:absolute;left:7377;top:1268;width:1265;height:2" coordorigin="7377,1268" coordsize="1265,0" path="m7377,1268l8641,1268e" filled="false" stroked="true" strokeweight=".48pt" strokecolor="#000000">
                <v:path arrowok="t"/>
              </v:shape>
            </v:group>
            <v:group style="position:absolute;left:8651;top:1268;width:332;height:2" coordorigin="8651,1268" coordsize="332,2">
              <v:shape style="position:absolute;left:8651;top:1268;width:332;height:2" coordorigin="8651,1268" coordsize="332,0" path="m8651,1268l8983,1268e" filled="false" stroked="true" strokeweight=".48pt" strokecolor="#000000">
                <v:path arrowok="t"/>
              </v:shape>
            </v:group>
            <v:group style="position:absolute;left:1151;top:2922;width:2;height:394" coordorigin="1151,2922" coordsize="2,394">
              <v:shape style="position:absolute;left:1151;top:2922;width:2;height:394" coordorigin="1151,2922" coordsize="0,394" path="m1151,2922l1151,3316e" filled="false" stroked="true" strokeweight="1.08pt" strokecolor="#d2d2d2">
                <v:path arrowok="t"/>
              </v:shape>
            </v:group>
            <v:group style="position:absolute;left:2536;top:2922;width:2;height:394" coordorigin="2536,2922" coordsize="2,394">
              <v:shape style="position:absolute;left:2536;top:2922;width:2;height:394" coordorigin="2536,2922" coordsize="0,394" path="m2536,2922l2536,3316e" filled="false" stroked="true" strokeweight="1.08pt" strokecolor="#d2d2d2">
                <v:path arrowok="t"/>
              </v:shape>
            </v:group>
            <v:group style="position:absolute;left:1162;top:2922;width:1364;height:394" coordorigin="1162,2922" coordsize="1364,394">
              <v:shape style="position:absolute;left:1162;top:2922;width:1364;height:394" coordorigin="1162,2922" coordsize="1364,394" path="m1162,3316l2525,3316,2525,2922,1162,2922,1162,3316xe" filled="true" fillcolor="#d2d2d2" stroked="false">
                <v:path arrowok="t"/>
                <v:fill type="solid"/>
              </v:shape>
            </v:group>
            <v:group style="position:absolute;left:1138;top:2918;width:1410;height:2" coordorigin="1138,2918" coordsize="1410,2">
              <v:shape style="position:absolute;left:1138;top:2918;width:1410;height:2" coordorigin="1138,2918" coordsize="1410,0" path="m1138,2918l2547,2918e" filled="false" stroked="true" strokeweight=".48pt" strokecolor="#000000">
                <v:path arrowok="t"/>
              </v:shape>
            </v:group>
            <v:group style="position:absolute;left:2556;top:2918;width:1268;height:2" coordorigin="2556,2918" coordsize="1268,2">
              <v:shape style="position:absolute;left:2556;top:2918;width:1268;height:2" coordorigin="2556,2918" coordsize="1268,0" path="m2556,2918l3824,2918e" filled="false" stroked="true" strokeweight=".48pt" strokecolor="#000000">
                <v:path arrowok="t"/>
              </v:shape>
            </v:group>
            <v:group style="position:absolute;left:3834;top:2918;width:1265;height:2" coordorigin="3834,2918" coordsize="1265,2">
              <v:shape style="position:absolute;left:3834;top:2918;width:1265;height:2" coordorigin="3834,2918" coordsize="1265,0" path="m3834,2918l5099,2918e" filled="false" stroked="true" strokeweight=".48pt" strokecolor="#000000">
                <v:path arrowok="t"/>
              </v:shape>
            </v:group>
            <v:group style="position:absolute;left:5108;top:2918;width:274;height:2" coordorigin="5108,2918" coordsize="274,2">
              <v:shape style="position:absolute;left:5108;top:2918;width:274;height:2" coordorigin="5108,2918" coordsize="274,0" path="m5108,2918l5382,2918e" filled="false" stroked="true" strokeweight=".48pt" strokecolor="#000000">
                <v:path arrowok="t"/>
              </v:shape>
            </v:group>
            <v:group style="position:absolute;left:5391;top:2918;width:274;height:2" coordorigin="5391,2918" coordsize="274,2">
              <v:shape style="position:absolute;left:5391;top:2918;width:274;height:2" coordorigin="5391,2918" coordsize="274,0" path="m5391,2918l5665,2918e" filled="false" stroked="true" strokeweight=".48pt" strokecolor="#000000">
                <v:path arrowok="t"/>
              </v:shape>
            </v:group>
            <v:group style="position:absolute;left:5675;top:2918;width:1268;height:2" coordorigin="5675,2918" coordsize="1268,2">
              <v:shape style="position:absolute;left:5675;top:2918;width:1268;height:2" coordorigin="5675,2918" coordsize="1268,0" path="m5675,2918l6942,2918e" filled="false" stroked="true" strokeweight=".48pt" strokecolor="#000000">
                <v:path arrowok="t"/>
              </v:shape>
            </v:group>
            <v:group style="position:absolute;left:6952;top:2918;width:416;height:2" coordorigin="6952,2918" coordsize="416,2">
              <v:shape style="position:absolute;left:6952;top:2918;width:416;height:2" coordorigin="6952,2918" coordsize="416,0" path="m6952,2918l7367,2918e" filled="false" stroked="true" strokeweight=".48pt" strokecolor="#000000">
                <v:path arrowok="t"/>
              </v:shape>
            </v:group>
            <v:group style="position:absolute;left:7377;top:2918;width:1265;height:2" coordorigin="7377,2918" coordsize="1265,2">
              <v:shape style="position:absolute;left:7377;top:2918;width:1265;height:2" coordorigin="7377,2918" coordsize="1265,0" path="m7377,2918l8641,2918e" filled="false" stroked="true" strokeweight=".48pt" strokecolor="#000000">
                <v:path arrowok="t"/>
              </v:shape>
            </v:group>
            <v:group style="position:absolute;left:8651;top:2918;width:332;height:2" coordorigin="8651,2918" coordsize="332,2">
              <v:shape style="position:absolute;left:8651;top:2918;width:332;height:2" coordorigin="8651,2918" coordsize="332,0" path="m8651,2918l8983,2918e" filled="false" stroked="true" strokeweight=".48pt" strokecolor="#000000">
                <v:path arrowok="t"/>
              </v:shape>
            </v:group>
            <v:group style="position:absolute;left:8992;top:2918;width:502;height:2" coordorigin="8992,2918" coordsize="502,2">
              <v:shape style="position:absolute;left:8992;top:2918;width:502;height:2" coordorigin="8992,2918" coordsize="502,0" path="m8992,2918l9494,2918e" filled="false" stroked="true" strokeweight=".48pt" strokecolor="#000000">
                <v:path arrowok="t"/>
              </v:shape>
            </v:group>
            <v:group style="position:absolute;left:9504;top:2918;width:1191;height:2" coordorigin="9504,2918" coordsize="1191,2">
              <v:shape style="position:absolute;left:9504;top:2918;width:1191;height:2" coordorigin="9504,2918" coordsize="1191,0" path="m9504,2918l10694,2918e" filled="false" stroked="true" strokeweight=".48pt" strokecolor="#000000">
                <v:path arrowok="t"/>
              </v:shape>
            </v:group>
            <v:group style="position:absolute;left:1151;top:3326;width:2;height:1016" coordorigin="1151,3326" coordsize="2,1016">
              <v:shape style="position:absolute;left:1151;top:3326;width:2;height:1016" coordorigin="1151,3326" coordsize="0,1016" path="m1151,3326l1151,4341e" filled="false" stroked="true" strokeweight="1.08pt" strokecolor="#d2d2d2">
                <v:path arrowok="t"/>
              </v:shape>
            </v:group>
            <v:group style="position:absolute;left:2536;top:3326;width:2;height:1016" coordorigin="2536,3326" coordsize="2,1016">
              <v:shape style="position:absolute;left:2536;top:3326;width:2;height:1016" coordorigin="2536,3326" coordsize="0,1016" path="m2536,3326l2536,4341e" filled="false" stroked="true" strokeweight="1.08pt" strokecolor="#d2d2d2">
                <v:path arrowok="t"/>
              </v:shape>
            </v:group>
            <v:group style="position:absolute;left:1162;top:3326;width:1364;height:351" coordorigin="1162,3326" coordsize="1364,351">
              <v:shape style="position:absolute;left:1162;top:3326;width:1364;height:351" coordorigin="1162,3326" coordsize="1364,351" path="m1162,3676l2525,3676,2525,3326,1162,3326,1162,3676xe" filled="true" fillcolor="#d2d2d2" stroked="false">
                <v:path arrowok="t"/>
                <v:fill type="solid"/>
              </v:shape>
            </v:group>
            <v:group style="position:absolute;left:1162;top:3676;width:1364;height:312" coordorigin="1162,3676" coordsize="1364,312">
              <v:shape style="position:absolute;left:1162;top:3676;width:1364;height:312" coordorigin="1162,3676" coordsize="1364,312" path="m1162,3988l2525,3988,2525,3676,1162,3676,1162,3988xe" filled="true" fillcolor="#d2d2d2" stroked="false">
                <v:path arrowok="t"/>
                <v:fill type="solid"/>
              </v:shape>
            </v:group>
            <v:group style="position:absolute;left:1162;top:3988;width:1364;height:353" coordorigin="1162,3988" coordsize="1364,353">
              <v:shape style="position:absolute;left:1162;top:3988;width:1364;height:353" coordorigin="1162,3988" coordsize="1364,353" path="m1162,4341l2525,4341,2525,3988,1162,3988,1162,4341xe" filled="true" fillcolor="#d2d2d2" stroked="false">
                <v:path arrowok="t"/>
                <v:fill type="solid"/>
              </v:shape>
            </v:group>
            <v:group style="position:absolute;left:1138;top:3321;width:1410;height:2" coordorigin="1138,3321" coordsize="1410,2">
              <v:shape style="position:absolute;left:1138;top:3321;width:1410;height:2" coordorigin="1138,3321" coordsize="1410,0" path="m1138,3321l2547,3321e" filled="false" stroked="true" strokeweight=".48pt" strokecolor="#000000">
                <v:path arrowok="t"/>
              </v:shape>
            </v:group>
            <v:group style="position:absolute;left:2556;top:3321;width:1268;height:2" coordorigin="2556,3321" coordsize="1268,2">
              <v:shape style="position:absolute;left:2556;top:3321;width:1268;height:2" coordorigin="2556,3321" coordsize="1268,0" path="m2556,3321l3824,3321e" filled="false" stroked="true" strokeweight=".48pt" strokecolor="#000000">
                <v:path arrowok="t"/>
              </v:shape>
            </v:group>
            <v:group style="position:absolute;left:3834;top:3321;width:1265;height:2" coordorigin="3834,3321" coordsize="1265,2">
              <v:shape style="position:absolute;left:3834;top:3321;width:1265;height:2" coordorigin="3834,3321" coordsize="1265,0" path="m3834,3321l5099,3321e" filled="false" stroked="true" strokeweight=".48pt" strokecolor="#000000">
                <v:path arrowok="t"/>
              </v:shape>
            </v:group>
            <v:group style="position:absolute;left:5108;top:3321;width:274;height:2" coordorigin="5108,3321" coordsize="274,2">
              <v:shape style="position:absolute;left:5108;top:3321;width:274;height:2" coordorigin="5108,3321" coordsize="274,0" path="m5108,3321l5382,3321e" filled="false" stroked="true" strokeweight=".48pt" strokecolor="#000000">
                <v:path arrowok="t"/>
              </v:shape>
            </v:group>
            <v:group style="position:absolute;left:5391;top:3321;width:274;height:2" coordorigin="5391,3321" coordsize="274,2">
              <v:shape style="position:absolute;left:5391;top:3321;width:274;height:2" coordorigin="5391,3321" coordsize="274,0" path="m5391,3321l5665,3321e" filled="false" stroked="true" strokeweight=".48pt" strokecolor="#000000">
                <v:path arrowok="t"/>
              </v:shape>
            </v:group>
            <v:group style="position:absolute;left:5675;top:3321;width:1268;height:2" coordorigin="5675,3321" coordsize="1268,2">
              <v:shape style="position:absolute;left:5675;top:3321;width:1268;height:2" coordorigin="5675,3321" coordsize="1268,0" path="m5675,3321l6942,3321e" filled="false" stroked="true" strokeweight=".48pt" strokecolor="#000000">
                <v:path arrowok="t"/>
              </v:shape>
            </v:group>
            <v:group style="position:absolute;left:6952;top:3321;width:416;height:2" coordorigin="6952,3321" coordsize="416,2">
              <v:shape style="position:absolute;left:6952;top:3321;width:416;height:2" coordorigin="6952,3321" coordsize="416,0" path="m6952,3321l7367,3321e" filled="false" stroked="true" strokeweight=".48pt" strokecolor="#000000">
                <v:path arrowok="t"/>
              </v:shape>
            </v:group>
            <v:group style="position:absolute;left:7377;top:3321;width:1265;height:2" coordorigin="7377,3321" coordsize="1265,2">
              <v:shape style="position:absolute;left:7377;top:3321;width:1265;height:2" coordorigin="7377,3321" coordsize="1265,0" path="m7377,3321l8641,3321e" filled="false" stroked="true" strokeweight=".48pt" strokecolor="#000000">
                <v:path arrowok="t"/>
              </v:shape>
            </v:group>
            <v:group style="position:absolute;left:8651;top:3321;width:332;height:2" coordorigin="8651,3321" coordsize="332,2">
              <v:shape style="position:absolute;left:8651;top:3321;width:332;height:2" coordorigin="8651,3321" coordsize="332,0" path="m8651,3321l8983,3321e" filled="false" stroked="true" strokeweight=".48pt" strokecolor="#000000">
                <v:path arrowok="t"/>
              </v:shape>
            </v:group>
            <v:group style="position:absolute;left:8992;top:3321;width:502;height:2" coordorigin="8992,3321" coordsize="502,2">
              <v:shape style="position:absolute;left:8992;top:3321;width:502;height:2" coordorigin="8992,3321" coordsize="502,0" path="m8992,3321l9494,3321e" filled="false" stroked="true" strokeweight=".48pt" strokecolor="#000000">
                <v:path arrowok="t"/>
              </v:shape>
            </v:group>
            <v:group style="position:absolute;left:9504;top:3321;width:1191;height:2" coordorigin="9504,3321" coordsize="1191,2">
              <v:shape style="position:absolute;left:9504;top:3321;width:1191;height:2" coordorigin="9504,3321" coordsize="1191,0" path="m9504,3321l10694,3321e" filled="false" stroked="true" strokeweight=".48pt" strokecolor="#000000">
                <v:path arrowok="t"/>
              </v:shape>
            </v:group>
            <v:group style="position:absolute;left:1151;top:4350;width:2;height:706" coordorigin="1151,4350" coordsize="2,706">
              <v:shape style="position:absolute;left:1151;top:4350;width:2;height:706" coordorigin="1151,4350" coordsize="0,706" path="m1151,4350l1151,5056e" filled="false" stroked="true" strokeweight="1.08pt" strokecolor="#d2d2d2">
                <v:path arrowok="t"/>
              </v:shape>
            </v:group>
            <v:group style="position:absolute;left:2536;top:4350;width:2;height:706" coordorigin="2536,4350" coordsize="2,706">
              <v:shape style="position:absolute;left:2536;top:4350;width:2;height:706" coordorigin="2536,4350" coordsize="0,706" path="m2536,4350l2536,5056e" filled="false" stroked="true" strokeweight="1.08pt" strokecolor="#d2d2d2">
                <v:path arrowok="t"/>
              </v:shape>
            </v:group>
            <v:group style="position:absolute;left:1162;top:4350;width:1364;height:353" coordorigin="1162,4350" coordsize="1364,353">
              <v:shape style="position:absolute;left:1162;top:4350;width:1364;height:353" coordorigin="1162,4350" coordsize="1364,353" path="m1162,4703l2525,4703,2525,4350,1162,4350,1162,4703xe" filled="true" fillcolor="#d2d2d2" stroked="false">
                <v:path arrowok="t"/>
                <v:fill type="solid"/>
              </v:shape>
            </v:group>
            <v:group style="position:absolute;left:1162;top:4703;width:1364;height:353" coordorigin="1162,4703" coordsize="1364,353">
              <v:shape style="position:absolute;left:1162;top:4703;width:1364;height:353" coordorigin="1162,4703" coordsize="1364,353" path="m1162,5056l2525,5056,2525,4703,1162,4703,1162,5056xe" filled="true" fillcolor="#d2d2d2" stroked="false">
                <v:path arrowok="t"/>
                <v:fill type="solid"/>
              </v:shape>
            </v:group>
            <v:group style="position:absolute;left:1138;top:4346;width:1410;height:2" coordorigin="1138,4346" coordsize="1410,2">
              <v:shape style="position:absolute;left:1138;top:4346;width:1410;height:2" coordorigin="1138,4346" coordsize="1410,0" path="m1138,4346l2547,4346e" filled="false" stroked="true" strokeweight=".48pt" strokecolor="#000000">
                <v:path arrowok="t"/>
              </v:shape>
            </v:group>
            <v:group style="position:absolute;left:2556;top:4346;width:1268;height:2" coordorigin="2556,4346" coordsize="1268,2">
              <v:shape style="position:absolute;left:2556;top:4346;width:1268;height:2" coordorigin="2556,4346" coordsize="1268,0" path="m2556,4346l3824,4346e" filled="false" stroked="true" strokeweight=".48pt" strokecolor="#000000">
                <v:path arrowok="t"/>
              </v:shape>
            </v:group>
            <v:group style="position:absolute;left:3834;top:4346;width:1265;height:2" coordorigin="3834,4346" coordsize="1265,2">
              <v:shape style="position:absolute;left:3834;top:4346;width:1265;height:2" coordorigin="3834,4346" coordsize="1265,0" path="m3834,4346l5099,4346e" filled="false" stroked="true" strokeweight=".48pt" strokecolor="#000000">
                <v:path arrowok="t"/>
              </v:shape>
            </v:group>
            <v:group style="position:absolute;left:5108;top:4346;width:274;height:2" coordorigin="5108,4346" coordsize="274,2">
              <v:shape style="position:absolute;left:5108;top:4346;width:274;height:2" coordorigin="5108,4346" coordsize="274,0" path="m5108,4346l5382,4346e" filled="false" stroked="true" strokeweight=".48pt" strokecolor="#000000">
                <v:path arrowok="t"/>
              </v:shape>
            </v:group>
            <v:group style="position:absolute;left:5391;top:4346;width:274;height:2" coordorigin="5391,4346" coordsize="274,2">
              <v:shape style="position:absolute;left:5391;top:4346;width:274;height:2" coordorigin="5391,4346" coordsize="274,0" path="m5391,4346l5665,4346e" filled="false" stroked="true" strokeweight=".48pt" strokecolor="#000000">
                <v:path arrowok="t"/>
              </v:shape>
            </v:group>
            <v:group style="position:absolute;left:5675;top:4346;width:1268;height:2" coordorigin="5675,4346" coordsize="1268,2">
              <v:shape style="position:absolute;left:5675;top:4346;width:1268;height:2" coordorigin="5675,4346" coordsize="1268,0" path="m5675,4346l6942,4346e" filled="false" stroked="true" strokeweight=".48pt" strokecolor="#000000">
                <v:path arrowok="t"/>
              </v:shape>
            </v:group>
            <v:group style="position:absolute;left:6952;top:4346;width:416;height:2" coordorigin="6952,4346" coordsize="416,2">
              <v:shape style="position:absolute;left:6952;top:4346;width:416;height:2" coordorigin="6952,4346" coordsize="416,0" path="m6952,4346l7367,4346e" filled="false" stroked="true" strokeweight=".48pt" strokecolor="#000000">
                <v:path arrowok="t"/>
              </v:shape>
            </v:group>
            <v:group style="position:absolute;left:7377;top:4346;width:1265;height:2" coordorigin="7377,4346" coordsize="1265,2">
              <v:shape style="position:absolute;left:7377;top:4346;width:1265;height:2" coordorigin="7377,4346" coordsize="1265,0" path="m7377,4346l8641,4346e" filled="false" stroked="true" strokeweight=".48pt" strokecolor="#000000">
                <v:path arrowok="t"/>
              </v:shape>
            </v:group>
            <v:group style="position:absolute;left:8651;top:4346;width:332;height:2" coordorigin="8651,4346" coordsize="332,2">
              <v:shape style="position:absolute;left:8651;top:4346;width:332;height:2" coordorigin="8651,4346" coordsize="332,0" path="m8651,4346l8983,4346e" filled="false" stroked="true" strokeweight=".48pt" strokecolor="#000000">
                <v:path arrowok="t"/>
              </v:shape>
            </v:group>
            <v:group style="position:absolute;left:8992;top:4346;width:502;height:2" coordorigin="8992,4346" coordsize="502,2">
              <v:shape style="position:absolute;left:8992;top:4346;width:502;height:2" coordorigin="8992,4346" coordsize="502,0" path="m8992,4346l9494,4346e" filled="false" stroked="true" strokeweight=".48pt" strokecolor="#000000">
                <v:path arrowok="t"/>
              </v:shape>
            </v:group>
            <v:group style="position:absolute;left:9504;top:4346;width:1191;height:2" coordorigin="9504,4346" coordsize="1191,2">
              <v:shape style="position:absolute;left:9504;top:4346;width:1191;height:2" coordorigin="9504,4346" coordsize="1191,0" path="m9504,4346l10694,4346e" filled="false" stroked="true" strokeweight=".48pt" strokecolor="#000000">
                <v:path arrowok="t"/>
              </v:shape>
            </v:group>
            <v:group style="position:absolute;left:1133;top:460;width:2;height:4606" coordorigin="1133,460" coordsize="2,4606">
              <v:shape style="position:absolute;left:1133;top:460;width:2;height:4606" coordorigin="1133,460" coordsize="0,4606" path="m1133,460l1133,5066e" filled="false" stroked="true" strokeweight=".48pt" strokecolor="#000000">
                <v:path arrowok="t"/>
              </v:shape>
            </v:group>
            <v:group style="position:absolute;left:2552;top:460;width:2;height:4606" coordorigin="2552,460" coordsize="2,4606">
              <v:shape style="position:absolute;left:2552;top:460;width:2;height:4606" coordorigin="2552,460" coordsize="0,4606" path="m2552,460l2552,5066e" filled="false" stroked="true" strokeweight=".48pt" strokecolor="#000000">
                <v:path arrowok="t"/>
              </v:shape>
            </v:group>
            <v:group style="position:absolute;left:1151;top:5066;width:2;height:704" coordorigin="1151,5066" coordsize="2,704">
              <v:shape style="position:absolute;left:1151;top:5066;width:2;height:704" coordorigin="1151,5066" coordsize="0,704" path="m1151,5066l1151,5769e" filled="false" stroked="true" strokeweight="1.08pt" strokecolor="#d2d2d2">
                <v:path arrowok="t"/>
              </v:shape>
            </v:group>
            <v:group style="position:absolute;left:2536;top:5066;width:2;height:704" coordorigin="2536,5066" coordsize="2,704">
              <v:shape style="position:absolute;left:2536;top:5066;width:2;height:704" coordorigin="2536,5066" coordsize="0,704" path="m2536,5066l2536,5769e" filled="false" stroked="true" strokeweight="1.08pt" strokecolor="#d2d2d2">
                <v:path arrowok="t"/>
              </v:shape>
            </v:group>
            <v:group style="position:absolute;left:1162;top:5066;width:1364;height:351" coordorigin="1162,5066" coordsize="1364,351">
              <v:shape style="position:absolute;left:1162;top:5066;width:1364;height:351" coordorigin="1162,5066" coordsize="1364,351" path="m1162,5417l2525,5417,2525,5066,1162,5066,1162,5417xe" filled="true" fillcolor="#d2d2d2" stroked="false">
                <v:path arrowok="t"/>
                <v:fill type="solid"/>
              </v:shape>
            </v:group>
            <v:group style="position:absolute;left:1162;top:5417;width:1364;height:353" coordorigin="1162,5417" coordsize="1364,353">
              <v:shape style="position:absolute;left:1162;top:5417;width:1364;height:353" coordorigin="1162,5417" coordsize="1364,353" path="m1162,5769l2525,5769,2525,5417,1162,5417,1162,5769xe" filled="true" fillcolor="#d2d2d2" stroked="false">
                <v:path arrowok="t"/>
                <v:fill type="solid"/>
              </v:shape>
            </v:group>
            <v:group style="position:absolute;left:1138;top:5061;width:1410;height:2" coordorigin="1138,5061" coordsize="1410,2">
              <v:shape style="position:absolute;left:1138;top:5061;width:1410;height:2" coordorigin="1138,5061" coordsize="1410,0" path="m1138,5061l2547,5061e" filled="false" stroked="true" strokeweight=".48pt" strokecolor="#000000">
                <v:path arrowok="t"/>
              </v:shape>
            </v:group>
            <v:group style="position:absolute;left:2556;top:5061;width:1268;height:2" coordorigin="2556,5061" coordsize="1268,2">
              <v:shape style="position:absolute;left:2556;top:5061;width:1268;height:2" coordorigin="2556,5061" coordsize="1268,0" path="m2556,5061l3824,5061e" filled="false" stroked="true" strokeweight=".48pt" strokecolor="#000000">
                <v:path arrowok="t"/>
              </v:shape>
            </v:group>
            <v:group style="position:absolute;left:3834;top:5061;width:1265;height:2" coordorigin="3834,5061" coordsize="1265,2">
              <v:shape style="position:absolute;left:3834;top:5061;width:1265;height:2" coordorigin="3834,5061" coordsize="1265,0" path="m3834,5061l5099,5061e" filled="false" stroked="true" strokeweight=".48pt" strokecolor="#000000">
                <v:path arrowok="t"/>
              </v:shape>
            </v:group>
            <v:group style="position:absolute;left:5108;top:5061;width:274;height:2" coordorigin="5108,5061" coordsize="274,2">
              <v:shape style="position:absolute;left:5108;top:5061;width:274;height:2" coordorigin="5108,5061" coordsize="274,0" path="m5108,5061l5382,5061e" filled="false" stroked="true" strokeweight=".48pt" strokecolor="#000000">
                <v:path arrowok="t"/>
              </v:shape>
            </v:group>
            <v:group style="position:absolute;left:5391;top:5061;width:274;height:2" coordorigin="5391,5061" coordsize="274,2">
              <v:shape style="position:absolute;left:5391;top:5061;width:274;height:2" coordorigin="5391,5061" coordsize="274,0" path="m5391,5061l5665,5061e" filled="false" stroked="true" strokeweight=".48pt" strokecolor="#000000">
                <v:path arrowok="t"/>
              </v:shape>
            </v:group>
            <v:group style="position:absolute;left:5675;top:5061;width:1268;height:2" coordorigin="5675,5061" coordsize="1268,2">
              <v:shape style="position:absolute;left:5675;top:5061;width:1268;height:2" coordorigin="5675,5061" coordsize="1268,0" path="m5675,5061l6942,5061e" filled="false" stroked="true" strokeweight=".48pt" strokecolor="#000000">
                <v:path arrowok="t"/>
              </v:shape>
            </v:group>
            <v:group style="position:absolute;left:6952;top:5061;width:416;height:2" coordorigin="6952,5061" coordsize="416,2">
              <v:shape style="position:absolute;left:6952;top:5061;width:416;height:2" coordorigin="6952,5061" coordsize="416,0" path="m6952,5061l7367,5061e" filled="false" stroked="true" strokeweight=".48pt" strokecolor="#000000">
                <v:path arrowok="t"/>
              </v:shape>
            </v:group>
            <v:group style="position:absolute;left:7377;top:5061;width:1265;height:2" coordorigin="7377,5061" coordsize="1265,2">
              <v:shape style="position:absolute;left:7377;top:5061;width:1265;height:2" coordorigin="7377,5061" coordsize="1265,0" path="m7377,5061l8641,5061e" filled="false" stroked="true" strokeweight=".48pt" strokecolor="#000000">
                <v:path arrowok="t"/>
              </v:shape>
            </v:group>
            <v:group style="position:absolute;left:8651;top:5061;width:332;height:2" coordorigin="8651,5061" coordsize="332,2">
              <v:shape style="position:absolute;left:8651;top:5061;width:332;height:2" coordorigin="8651,5061" coordsize="332,0" path="m8651,5061l8983,5061e" filled="false" stroked="true" strokeweight=".48pt" strokecolor="#000000">
                <v:path arrowok="t"/>
              </v:shape>
            </v:group>
            <v:group style="position:absolute;left:8992;top:5061;width:502;height:2" coordorigin="8992,5061" coordsize="502,2">
              <v:shape style="position:absolute;left:8992;top:5061;width:502;height:2" coordorigin="8992,5061" coordsize="502,0" path="m8992,5061l9494,5061e" filled="false" stroked="true" strokeweight=".48pt" strokecolor="#000000">
                <v:path arrowok="t"/>
              </v:shape>
            </v:group>
            <v:group style="position:absolute;left:9504;top:5061;width:1191;height:2" coordorigin="9504,5061" coordsize="1191,2">
              <v:shape style="position:absolute;left:9504;top:5061;width:1191;height:2" coordorigin="9504,5061" coordsize="1191,0" path="m9504,5061l10694,5061e" filled="false" stroked="true" strokeweight=".48pt" strokecolor="#000000">
                <v:path arrowok="t"/>
              </v:shape>
            </v:group>
            <v:group style="position:absolute;left:1151;top:5779;width:2;height:394" coordorigin="1151,5779" coordsize="2,394">
              <v:shape style="position:absolute;left:1151;top:5779;width:2;height:394" coordorigin="1151,5779" coordsize="0,394" path="m1151,5779l1151,6173e" filled="false" stroked="true" strokeweight="1.08pt" strokecolor="#d2d2d2">
                <v:path arrowok="t"/>
              </v:shape>
            </v:group>
            <v:group style="position:absolute;left:2536;top:5779;width:2;height:394" coordorigin="2536,5779" coordsize="2,394">
              <v:shape style="position:absolute;left:2536;top:5779;width:2;height:394" coordorigin="2536,5779" coordsize="0,394" path="m2536,5779l2536,6173e" filled="false" stroked="true" strokeweight="1.08pt" strokecolor="#d2d2d2">
                <v:path arrowok="t"/>
              </v:shape>
            </v:group>
            <v:group style="position:absolute;left:1162;top:5779;width:1364;height:394" coordorigin="1162,5779" coordsize="1364,394">
              <v:shape style="position:absolute;left:1162;top:5779;width:1364;height:394" coordorigin="1162,5779" coordsize="1364,394" path="m1162,6173l2525,6173,2525,5779,1162,5779,1162,6173xe" filled="true" fillcolor="#d2d2d2" stroked="false">
                <v:path arrowok="t"/>
                <v:fill type="solid"/>
              </v:shape>
            </v:group>
            <v:group style="position:absolute;left:1138;top:5774;width:1410;height:2" coordorigin="1138,5774" coordsize="1410,2">
              <v:shape style="position:absolute;left:1138;top:5774;width:1410;height:2" coordorigin="1138,5774" coordsize="1410,0" path="m1138,5774l2547,5774e" filled="false" stroked="true" strokeweight=".48pt" strokecolor="#000000">
                <v:path arrowok="t"/>
              </v:shape>
            </v:group>
            <v:group style="position:absolute;left:2556;top:5774;width:1268;height:2" coordorigin="2556,5774" coordsize="1268,2">
              <v:shape style="position:absolute;left:2556;top:5774;width:1268;height:2" coordorigin="2556,5774" coordsize="1268,0" path="m2556,5774l3824,5774e" filled="false" stroked="true" strokeweight=".48pt" strokecolor="#000000">
                <v:path arrowok="t"/>
              </v:shape>
            </v:group>
            <v:group style="position:absolute;left:3834;top:5774;width:1265;height:2" coordorigin="3834,5774" coordsize="1265,2">
              <v:shape style="position:absolute;left:3834;top:5774;width:1265;height:2" coordorigin="3834,5774" coordsize="1265,0" path="m3834,5774l5099,5774e" filled="false" stroked="true" strokeweight=".48pt" strokecolor="#000000">
                <v:path arrowok="t"/>
              </v:shape>
            </v:group>
            <v:group style="position:absolute;left:5108;top:5774;width:274;height:2" coordorigin="5108,5774" coordsize="274,2">
              <v:shape style="position:absolute;left:5108;top:5774;width:274;height:2" coordorigin="5108,5774" coordsize="274,0" path="m5108,5774l5382,5774e" filled="false" stroked="true" strokeweight=".48pt" strokecolor="#000000">
                <v:path arrowok="t"/>
              </v:shape>
            </v:group>
            <v:group style="position:absolute;left:5391;top:5774;width:274;height:2" coordorigin="5391,5774" coordsize="274,2">
              <v:shape style="position:absolute;left:5391;top:5774;width:274;height:2" coordorigin="5391,5774" coordsize="274,0" path="m5391,5774l5665,5774e" filled="false" stroked="true" strokeweight=".48pt" strokecolor="#000000">
                <v:path arrowok="t"/>
              </v:shape>
            </v:group>
            <v:group style="position:absolute;left:5675;top:5774;width:1268;height:2" coordorigin="5675,5774" coordsize="1268,2">
              <v:shape style="position:absolute;left:5675;top:5774;width:1268;height:2" coordorigin="5675,5774" coordsize="1268,0" path="m5675,5774l6942,5774e" filled="false" stroked="true" strokeweight=".48pt" strokecolor="#000000">
                <v:path arrowok="t"/>
              </v:shape>
            </v:group>
            <v:group style="position:absolute;left:6952;top:5774;width:416;height:2" coordorigin="6952,5774" coordsize="416,2">
              <v:shape style="position:absolute;left:6952;top:5774;width:416;height:2" coordorigin="6952,5774" coordsize="416,0" path="m6952,5774l7367,5774e" filled="false" stroked="true" strokeweight=".48pt" strokecolor="#000000">
                <v:path arrowok="t"/>
              </v:shape>
            </v:group>
            <v:group style="position:absolute;left:7377;top:5774;width:1265;height:2" coordorigin="7377,5774" coordsize="1265,2">
              <v:shape style="position:absolute;left:7377;top:5774;width:1265;height:2" coordorigin="7377,5774" coordsize="1265,0" path="m7377,5774l8641,5774e" filled="false" stroked="true" strokeweight=".48pt" strokecolor="#000000">
                <v:path arrowok="t"/>
              </v:shape>
            </v:group>
            <v:group style="position:absolute;left:8651;top:5774;width:332;height:2" coordorigin="8651,5774" coordsize="332,2">
              <v:shape style="position:absolute;left:8651;top:5774;width:332;height:2" coordorigin="8651,5774" coordsize="332,0" path="m8651,5774l8983,5774e" filled="false" stroked="true" strokeweight=".48pt" strokecolor="#000000">
                <v:path arrowok="t"/>
              </v:shape>
            </v:group>
            <v:group style="position:absolute;left:8992;top:5774;width:502;height:2" coordorigin="8992,5774" coordsize="502,2">
              <v:shape style="position:absolute;left:8992;top:5774;width:502;height:2" coordorigin="8992,5774" coordsize="502,0" path="m8992,5774l9494,5774e" filled="false" stroked="true" strokeweight=".48pt" strokecolor="#000000">
                <v:path arrowok="t"/>
              </v:shape>
            </v:group>
            <v:group style="position:absolute;left:9504;top:5774;width:1191;height:2" coordorigin="9504,5774" coordsize="1191,2">
              <v:shape style="position:absolute;left:9504;top:5774;width:1191;height:2" coordorigin="9504,5774" coordsize="1191,0" path="m9504,5774l10694,5774e" filled="false" stroked="true" strokeweight=".48pt" strokecolor="#000000">
                <v:path arrowok="t"/>
              </v:shape>
            </v:group>
            <v:group style="position:absolute;left:1151;top:6182;width:2;height:392" coordorigin="1151,6182" coordsize="2,392">
              <v:shape style="position:absolute;left:1151;top:6182;width:2;height:392" coordorigin="1151,6182" coordsize="0,392" path="m1151,6182l1151,6573e" filled="false" stroked="true" strokeweight="1.08pt" strokecolor="#d2d2d2">
                <v:path arrowok="t"/>
              </v:shape>
            </v:group>
            <v:group style="position:absolute;left:2536;top:6182;width:2;height:392" coordorigin="2536,6182" coordsize="2,392">
              <v:shape style="position:absolute;left:2536;top:6182;width:2;height:392" coordorigin="2536,6182" coordsize="0,392" path="m2536,6182l2536,6573e" filled="false" stroked="true" strokeweight="1.08pt" strokecolor="#d2d2d2">
                <v:path arrowok="t"/>
              </v:shape>
            </v:group>
            <v:group style="position:absolute;left:1162;top:6182;width:1364;height:392" coordorigin="1162,6182" coordsize="1364,392">
              <v:shape style="position:absolute;left:1162;top:6182;width:1364;height:392" coordorigin="1162,6182" coordsize="1364,392" path="m1162,6573l2525,6573,2525,6182,1162,6182,1162,6573xe" filled="true" fillcolor="#d2d2d2" stroked="false">
                <v:path arrowok="t"/>
                <v:fill type="solid"/>
              </v:shape>
            </v:group>
            <v:group style="position:absolute;left:1138;top:6177;width:1410;height:2" coordorigin="1138,6177" coordsize="1410,2">
              <v:shape style="position:absolute;left:1138;top:6177;width:1410;height:2" coordorigin="1138,6177" coordsize="1410,0" path="m1138,6177l2547,6177e" filled="false" stroked="true" strokeweight=".48pt" strokecolor="#000000">
                <v:path arrowok="t"/>
              </v:shape>
            </v:group>
            <v:group style="position:absolute;left:2556;top:6177;width:1268;height:2" coordorigin="2556,6177" coordsize="1268,2">
              <v:shape style="position:absolute;left:2556;top:6177;width:1268;height:2" coordorigin="2556,6177" coordsize="1268,0" path="m2556,6177l3824,6177e" filled="false" stroked="true" strokeweight=".48pt" strokecolor="#000000">
                <v:path arrowok="t"/>
              </v:shape>
            </v:group>
            <v:group style="position:absolute;left:3834;top:6177;width:1265;height:2" coordorigin="3834,6177" coordsize="1265,2">
              <v:shape style="position:absolute;left:3834;top:6177;width:1265;height:2" coordorigin="3834,6177" coordsize="1265,0" path="m3834,6177l5099,6177e" filled="false" stroked="true" strokeweight=".48pt" strokecolor="#000000">
                <v:path arrowok="t"/>
              </v:shape>
            </v:group>
            <v:group style="position:absolute;left:5108;top:6177;width:274;height:2" coordorigin="5108,6177" coordsize="274,2">
              <v:shape style="position:absolute;left:5108;top:6177;width:274;height:2" coordorigin="5108,6177" coordsize="274,0" path="m5108,6177l5382,6177e" filled="false" stroked="true" strokeweight=".48pt" strokecolor="#000000">
                <v:path arrowok="t"/>
              </v:shape>
            </v:group>
            <v:group style="position:absolute;left:5391;top:6177;width:274;height:2" coordorigin="5391,6177" coordsize="274,2">
              <v:shape style="position:absolute;left:5391;top:6177;width:274;height:2" coordorigin="5391,6177" coordsize="274,0" path="m5391,6177l5665,6177e" filled="false" stroked="true" strokeweight=".48pt" strokecolor="#000000">
                <v:path arrowok="t"/>
              </v:shape>
            </v:group>
            <v:group style="position:absolute;left:5675;top:6177;width:1268;height:2" coordorigin="5675,6177" coordsize="1268,2">
              <v:shape style="position:absolute;left:5675;top:6177;width:1268;height:2" coordorigin="5675,6177" coordsize="1268,0" path="m5675,6177l6942,6177e" filled="false" stroked="true" strokeweight=".48pt" strokecolor="#000000">
                <v:path arrowok="t"/>
              </v:shape>
            </v:group>
            <v:group style="position:absolute;left:6952;top:6177;width:416;height:2" coordorigin="6952,6177" coordsize="416,2">
              <v:shape style="position:absolute;left:6952;top:6177;width:416;height:2" coordorigin="6952,6177" coordsize="416,0" path="m6952,6177l7367,6177e" filled="false" stroked="true" strokeweight=".48pt" strokecolor="#000000">
                <v:path arrowok="t"/>
              </v:shape>
            </v:group>
            <v:group style="position:absolute;left:7377;top:6177;width:1265;height:2" coordorigin="7377,6177" coordsize="1265,2">
              <v:shape style="position:absolute;left:7377;top:6177;width:1265;height:2" coordorigin="7377,6177" coordsize="1265,0" path="m7377,6177l8641,6177e" filled="false" stroked="true" strokeweight=".48pt" strokecolor="#000000">
                <v:path arrowok="t"/>
              </v:shape>
            </v:group>
            <v:group style="position:absolute;left:8651;top:6177;width:332;height:2" coordorigin="8651,6177" coordsize="332,2">
              <v:shape style="position:absolute;left:8651;top:6177;width:332;height:2" coordorigin="8651,6177" coordsize="332,0" path="m8651,6177l8983,6177e" filled="false" stroked="true" strokeweight=".48pt" strokecolor="#000000">
                <v:path arrowok="t"/>
              </v:shape>
            </v:group>
            <v:group style="position:absolute;left:8992;top:6177;width:502;height:2" coordorigin="8992,6177" coordsize="502,2">
              <v:shape style="position:absolute;left:8992;top:6177;width:502;height:2" coordorigin="8992,6177" coordsize="502,0" path="m8992,6177l9494,6177e" filled="false" stroked="true" strokeweight=".48pt" strokecolor="#000000">
                <v:path arrowok="t"/>
              </v:shape>
            </v:group>
            <v:group style="position:absolute;left:9504;top:6177;width:1191;height:2" coordorigin="9504,6177" coordsize="1191,2">
              <v:shape style="position:absolute;left:9504;top:6177;width:1191;height:2" coordorigin="9504,6177" coordsize="1191,0" path="m9504,6177l10694,6177e" filled="false" stroked="true" strokeweight=".48pt" strokecolor="#000000">
                <v:path arrowok="t"/>
              </v:shape>
            </v:group>
            <v:group style="position:absolute;left:1151;top:6583;width:2;height:1018" coordorigin="1151,6583" coordsize="2,1018">
              <v:shape style="position:absolute;left:1151;top:6583;width:2;height:1018" coordorigin="1151,6583" coordsize="0,1018" path="m1151,6583l1151,7601e" filled="false" stroked="true" strokeweight="1.08pt" strokecolor="#d2d2d2">
                <v:path arrowok="t"/>
              </v:shape>
            </v:group>
            <v:group style="position:absolute;left:2536;top:6583;width:2;height:1018" coordorigin="2536,6583" coordsize="2,1018">
              <v:shape style="position:absolute;left:2536;top:6583;width:2;height:1018" coordorigin="2536,6583" coordsize="0,1018" path="m2536,6583l2536,7601e" filled="false" stroked="true" strokeweight="1.08pt" strokecolor="#d2d2d2">
                <v:path arrowok="t"/>
              </v:shape>
            </v:group>
            <v:group style="position:absolute;left:1162;top:6583;width:1364;height:353" coordorigin="1162,6583" coordsize="1364,353">
              <v:shape style="position:absolute;left:1162;top:6583;width:1364;height:353" coordorigin="1162,6583" coordsize="1364,353" path="m1162,6936l2525,6936,2525,6583,1162,6583,1162,6936xe" filled="true" fillcolor="#d2d2d2" stroked="false">
                <v:path arrowok="t"/>
                <v:fill type="solid"/>
              </v:shape>
            </v:group>
            <v:group style="position:absolute;left:1162;top:6936;width:1364;height:312" coordorigin="1162,6936" coordsize="1364,312">
              <v:shape style="position:absolute;left:1162;top:6936;width:1364;height:312" coordorigin="1162,6936" coordsize="1364,312" path="m1162,7248l2525,7248,2525,6936,1162,6936,1162,7248xe" filled="true" fillcolor="#d2d2d2" stroked="false">
                <v:path arrowok="t"/>
                <v:fill type="solid"/>
              </v:shape>
            </v:group>
            <v:group style="position:absolute;left:1162;top:7248;width:1364;height:353" coordorigin="1162,7248" coordsize="1364,353">
              <v:shape style="position:absolute;left:1162;top:7248;width:1364;height:353" coordorigin="1162,7248" coordsize="1364,353" path="m1162,7601l2525,7601,2525,7248,1162,7248,1162,7601xe" filled="true" fillcolor="#d2d2d2" stroked="false">
                <v:path arrowok="t"/>
                <v:fill type="solid"/>
              </v:shape>
            </v:group>
            <v:group style="position:absolute;left:2568;top:6895;width:2;height:394" coordorigin="2568,6895" coordsize="2,394">
              <v:shape style="position:absolute;left:2568;top:6895;width:2;height:394" coordorigin="2568,6895" coordsize="0,394" path="m2568,6895l2568,7289e" filled="false" stroked="true" strokeweight="1.2pt" strokecolor="#ffffff">
                <v:path arrowok="t"/>
              </v:shape>
            </v:group>
            <v:group style="position:absolute;left:2580;top:6895;width:1220;height:394" coordorigin="2580,6895" coordsize="1220,394">
              <v:shape style="position:absolute;left:2580;top:6895;width:1220;height:394" coordorigin="2580,6895" coordsize="1220,394" path="m2580,7289l3800,7289,3800,6895,2580,6895,2580,7289xe" filled="true" fillcolor="#ffffff" stroked="false">
                <v:path arrowok="t"/>
                <v:fill type="solid"/>
              </v:shape>
            </v:group>
            <v:group style="position:absolute;left:1138;top:6578;width:1410;height:2" coordorigin="1138,6578" coordsize="1410,2">
              <v:shape style="position:absolute;left:1138;top:6578;width:1410;height:2" coordorigin="1138,6578" coordsize="1410,0" path="m1138,6578l2547,6578e" filled="false" stroked="true" strokeweight=".48pt" strokecolor="#000000">
                <v:path arrowok="t"/>
              </v:shape>
            </v:group>
            <v:group style="position:absolute;left:2556;top:6578;width:1268;height:2" coordorigin="2556,6578" coordsize="1268,2">
              <v:shape style="position:absolute;left:2556;top:6578;width:1268;height:2" coordorigin="2556,6578" coordsize="1268,0" path="m2556,6578l3824,6578e" filled="false" stroked="true" strokeweight=".48pt" strokecolor="#000000">
                <v:path arrowok="t"/>
              </v:shape>
            </v:group>
            <v:group style="position:absolute;left:3834;top:6578;width:1265;height:2" coordorigin="3834,6578" coordsize="1265,2">
              <v:shape style="position:absolute;left:3834;top:6578;width:1265;height:2" coordorigin="3834,6578" coordsize="1265,0" path="m3834,6578l5099,6578e" filled="false" stroked="true" strokeweight=".48pt" strokecolor="#000000">
                <v:path arrowok="t"/>
              </v:shape>
            </v:group>
            <v:group style="position:absolute;left:5108;top:6578;width:274;height:2" coordorigin="5108,6578" coordsize="274,2">
              <v:shape style="position:absolute;left:5108;top:6578;width:274;height:2" coordorigin="5108,6578" coordsize="274,0" path="m5108,6578l5382,6578e" filled="false" stroked="true" strokeweight=".48pt" strokecolor="#000000">
                <v:path arrowok="t"/>
              </v:shape>
            </v:group>
            <v:group style="position:absolute;left:5391;top:6578;width:274;height:2" coordorigin="5391,6578" coordsize="274,2">
              <v:shape style="position:absolute;left:5391;top:6578;width:274;height:2" coordorigin="5391,6578" coordsize="274,0" path="m5391,6578l5665,6578e" filled="false" stroked="true" strokeweight=".48pt" strokecolor="#000000">
                <v:path arrowok="t"/>
              </v:shape>
            </v:group>
            <v:group style="position:absolute;left:5675;top:6578;width:1268;height:2" coordorigin="5675,6578" coordsize="1268,2">
              <v:shape style="position:absolute;left:5675;top:6578;width:1268;height:2" coordorigin="5675,6578" coordsize="1268,0" path="m5675,6578l6942,6578e" filled="false" stroked="true" strokeweight=".48pt" strokecolor="#000000">
                <v:path arrowok="t"/>
              </v:shape>
            </v:group>
            <v:group style="position:absolute;left:6952;top:6578;width:416;height:2" coordorigin="6952,6578" coordsize="416,2">
              <v:shape style="position:absolute;left:6952;top:6578;width:416;height:2" coordorigin="6952,6578" coordsize="416,0" path="m6952,6578l7367,6578e" filled="false" stroked="true" strokeweight=".48pt" strokecolor="#000000">
                <v:path arrowok="t"/>
              </v:shape>
            </v:group>
            <v:group style="position:absolute;left:7377;top:6578;width:1265;height:2" coordorigin="7377,6578" coordsize="1265,2">
              <v:shape style="position:absolute;left:7377;top:6578;width:1265;height:2" coordorigin="7377,6578" coordsize="1265,0" path="m7377,6578l8641,6578e" filled="false" stroked="true" strokeweight=".48pt" strokecolor="#000000">
                <v:path arrowok="t"/>
              </v:shape>
            </v:group>
            <v:group style="position:absolute;left:8651;top:6578;width:332;height:2" coordorigin="8651,6578" coordsize="332,2">
              <v:shape style="position:absolute;left:8651;top:6578;width:332;height:2" coordorigin="8651,6578" coordsize="332,0" path="m8651,6578l8983,6578e" filled="false" stroked="true" strokeweight=".48pt" strokecolor="#000000">
                <v:path arrowok="t"/>
              </v:shape>
            </v:group>
            <v:group style="position:absolute;left:8992;top:6578;width:502;height:2" coordorigin="8992,6578" coordsize="502,2">
              <v:shape style="position:absolute;left:8992;top:6578;width:502;height:2" coordorigin="8992,6578" coordsize="502,0" path="m8992,6578l9494,6578e" filled="false" stroked="true" strokeweight=".48pt" strokecolor="#000000">
                <v:path arrowok="t"/>
              </v:shape>
            </v:group>
            <v:group style="position:absolute;left:9504;top:6578;width:1191;height:2" coordorigin="9504,6578" coordsize="1191,2">
              <v:shape style="position:absolute;left:9504;top:6578;width:1191;height:2" coordorigin="9504,6578" coordsize="1191,0" path="m9504,6578l10694,6578e" filled="false" stroked="true" strokeweight=".48pt" strokecolor="#000000">
                <v:path arrowok="t"/>
              </v:shape>
            </v:group>
            <v:group style="position:absolute;left:1133;top:5066;width:2;height:2545" coordorigin="1133,5066" coordsize="2,2545">
              <v:shape style="position:absolute;left:1133;top:5066;width:2;height:2545" coordorigin="1133,5066" coordsize="0,2545" path="m1133,5066l1133,7610e" filled="false" stroked="true" strokeweight=".48pt" strokecolor="#000000">
                <v:path arrowok="t"/>
              </v:shape>
            </v:group>
            <v:group style="position:absolute;left:1138;top:7605;width:1410;height:2" coordorigin="1138,7605" coordsize="1410,2">
              <v:shape style="position:absolute;left:1138;top:7605;width:1410;height:2" coordorigin="1138,7605" coordsize="1410,0" path="m1138,7605l2547,7605e" filled="false" stroked="true" strokeweight=".48pt" strokecolor="#000000">
                <v:path arrowok="t"/>
              </v:shape>
            </v:group>
            <v:group style="position:absolute;left:2552;top:5066;width:2;height:2545" coordorigin="2552,5066" coordsize="2,2545">
              <v:shape style="position:absolute;left:2552;top:5066;width:2;height:2545" coordorigin="2552,5066" coordsize="0,2545" path="m2552,5066l2552,7610e" filled="false" stroked="true" strokeweight=".48pt" strokecolor="#000000">
                <v:path arrowok="t"/>
              </v:shape>
            </v:group>
            <v:group style="position:absolute;left:2556;top:7605;width:1268;height:2" coordorigin="2556,7605" coordsize="1268,2">
              <v:shape style="position:absolute;left:2556;top:7605;width:1268;height:2" coordorigin="2556,7605" coordsize="1268,0" path="m2556,7605l3824,7605e" filled="false" stroked="true" strokeweight=".48pt" strokecolor="#000000">
                <v:path arrowok="t"/>
              </v:shape>
            </v:group>
            <v:group style="position:absolute;left:3829;top:1264;width:2;height:6347" coordorigin="3829,1264" coordsize="2,6347">
              <v:shape style="position:absolute;left:3829;top:1264;width:2;height:6347" coordorigin="3829,1264" coordsize="0,6347" path="m3829,1264l3829,7610e" filled="false" stroked="true" strokeweight=".48pt" strokecolor="#000000">
                <v:path arrowok="t"/>
              </v:shape>
            </v:group>
            <v:group style="position:absolute;left:3834;top:7605;width:1265;height:2" coordorigin="3834,7605" coordsize="1265,2">
              <v:shape style="position:absolute;left:3834;top:7605;width:1265;height:2" coordorigin="3834,7605" coordsize="1265,0" path="m3834,7605l5099,7605e" filled="false" stroked="true" strokeweight=".48pt" strokecolor="#000000">
                <v:path arrowok="t"/>
              </v:shape>
            </v:group>
            <v:group style="position:absolute;left:5103;top:1264;width:2;height:6347" coordorigin="5103,1264" coordsize="2,6347">
              <v:shape style="position:absolute;left:5103;top:1264;width:2;height:6347" coordorigin="5103,1264" coordsize="0,6347" path="m5103,1264l5103,7610e" filled="false" stroked="true" strokeweight=".48pt" strokecolor="#000000">
                <v:path arrowok="t"/>
              </v:shape>
            </v:group>
            <v:group style="position:absolute;left:5108;top:7605;width:274;height:2" coordorigin="5108,7605" coordsize="274,2">
              <v:shape style="position:absolute;left:5108;top:7605;width:274;height:2" coordorigin="5108,7605" coordsize="274,0" path="m5108,7605l5382,7605e" filled="false" stroked="true" strokeweight=".48pt" strokecolor="#000000">
                <v:path arrowok="t"/>
              </v:shape>
            </v:group>
            <v:group style="position:absolute;left:5387;top:1264;width:2;height:6347" coordorigin="5387,1264" coordsize="2,6347">
              <v:shape style="position:absolute;left:5387;top:1264;width:2;height:6347" coordorigin="5387,1264" coordsize="0,6347" path="m5387,1264l5387,7610e" filled="false" stroked="true" strokeweight=".48pt" strokecolor="#000000">
                <v:path arrowok="t"/>
              </v:shape>
            </v:group>
            <v:group style="position:absolute;left:5391;top:7605;width:274;height:2" coordorigin="5391,7605" coordsize="274,2">
              <v:shape style="position:absolute;left:5391;top:7605;width:274;height:2" coordorigin="5391,7605" coordsize="274,0" path="m5391,7605l5665,7605e" filled="false" stroked="true" strokeweight=".48pt" strokecolor="#000000">
                <v:path arrowok="t"/>
              </v:shape>
            </v:group>
            <v:group style="position:absolute;left:5670;top:1264;width:2;height:6347" coordorigin="5670,1264" coordsize="2,6347">
              <v:shape style="position:absolute;left:5670;top:1264;width:2;height:6347" coordorigin="5670,1264" coordsize="0,6347" path="m5670,1264l5670,7610e" filled="false" stroked="true" strokeweight=".48pt" strokecolor="#000000">
                <v:path arrowok="t"/>
              </v:shape>
            </v:group>
            <v:group style="position:absolute;left:5675;top:7605;width:1268;height:2" coordorigin="5675,7605" coordsize="1268,2">
              <v:shape style="position:absolute;left:5675;top:7605;width:1268;height:2" coordorigin="5675,7605" coordsize="1268,0" path="m5675,7605l6942,7605e" filled="false" stroked="true" strokeweight=".48pt" strokecolor="#000000">
                <v:path arrowok="t"/>
              </v:shape>
            </v:group>
            <v:group style="position:absolute;left:6947;top:1264;width:2;height:6347" coordorigin="6947,1264" coordsize="2,6347">
              <v:shape style="position:absolute;left:6947;top:1264;width:2;height:6347" coordorigin="6947,1264" coordsize="0,6347" path="m6947,1264l6947,7610e" filled="false" stroked="true" strokeweight=".48pt" strokecolor="#000000">
                <v:path arrowok="t"/>
              </v:shape>
            </v:group>
            <v:group style="position:absolute;left:6952;top:7605;width:416;height:2" coordorigin="6952,7605" coordsize="416,2">
              <v:shape style="position:absolute;left:6952;top:7605;width:416;height:2" coordorigin="6952,7605" coordsize="416,0" path="m6952,7605l7367,7605e" filled="false" stroked="true" strokeweight=".48pt" strokecolor="#000000">
                <v:path arrowok="t"/>
              </v:shape>
            </v:group>
            <v:group style="position:absolute;left:7372;top:1264;width:2;height:6347" coordorigin="7372,1264" coordsize="2,6347">
              <v:shape style="position:absolute;left:7372;top:1264;width:2;height:6347" coordorigin="7372,1264" coordsize="0,6347" path="m7372,1264l7372,7610e" filled="false" stroked="true" strokeweight=".48pt" strokecolor="#000000">
                <v:path arrowok="t"/>
              </v:shape>
            </v:group>
            <v:group style="position:absolute;left:7377;top:7605;width:1265;height:2" coordorigin="7377,7605" coordsize="1265,2">
              <v:shape style="position:absolute;left:7377;top:7605;width:1265;height:2" coordorigin="7377,7605" coordsize="1265,0" path="m7377,7605l8641,7605e" filled="false" stroked="true" strokeweight=".48pt" strokecolor="#000000">
                <v:path arrowok="t"/>
              </v:shape>
            </v:group>
            <v:group style="position:absolute;left:8646;top:1264;width:2;height:6347" coordorigin="8646,1264" coordsize="2,6347">
              <v:shape style="position:absolute;left:8646;top:1264;width:2;height:6347" coordorigin="8646,1264" coordsize="0,6347" path="m8646,1264l8646,7610e" filled="false" stroked="true" strokeweight=".48pt" strokecolor="#000000">
                <v:path arrowok="t"/>
              </v:shape>
            </v:group>
            <v:group style="position:absolute;left:8651;top:7605;width:332;height:2" coordorigin="8651,7605" coordsize="332,2">
              <v:shape style="position:absolute;left:8651;top:7605;width:332;height:2" coordorigin="8651,7605" coordsize="332,0" path="m8651,7605l8983,7605e" filled="false" stroked="true" strokeweight=".48pt" strokecolor="#000000">
                <v:path arrowok="t"/>
              </v:shape>
            </v:group>
            <v:group style="position:absolute;left:8988;top:860;width:2;height:6750" coordorigin="8988,860" coordsize="2,6750">
              <v:shape style="position:absolute;left:8988;top:860;width:2;height:6750" coordorigin="8988,860" coordsize="0,6750" path="m8988,860l8988,7610e" filled="false" stroked="true" strokeweight=".48pt" strokecolor="#000000">
                <v:path arrowok="t"/>
              </v:shape>
            </v:group>
            <v:group style="position:absolute;left:8992;top:7605;width:502;height:2" coordorigin="8992,7605" coordsize="502,2">
              <v:shape style="position:absolute;left:8992;top:7605;width:502;height:2" coordorigin="8992,7605" coordsize="502,0" path="m8992,7605l9494,7605e" filled="false" stroked="true" strokeweight=".48pt" strokecolor="#000000">
                <v:path arrowok="t"/>
              </v:shape>
            </v:group>
            <v:group style="position:absolute;left:9499;top:860;width:2;height:6750" coordorigin="9499,860" coordsize="2,6750">
              <v:shape style="position:absolute;left:9499;top:860;width:2;height:6750" coordorigin="9499,860" coordsize="0,6750" path="m9499,860l9499,7610e" filled="false" stroked="true" strokeweight=".48pt" strokecolor="#000000">
                <v:path arrowok="t"/>
              </v:shape>
            </v:group>
            <v:group style="position:absolute;left:9504;top:7605;width:1191;height:2" coordorigin="9504,7605" coordsize="1191,2">
              <v:shape style="position:absolute;left:9504;top:7605;width:1191;height:2" coordorigin="9504,7605" coordsize="1191,0" path="m9504,7605l10694,7605e" filled="false" stroked="true" strokeweight=".48pt" strokecolor="#000000">
                <v:path arrowok="t"/>
              </v:shape>
            </v:group>
            <v:group style="position:absolute;left:10699;top:460;width:2;height:7151" coordorigin="10699,460" coordsize="2,7151">
              <v:shape style="position:absolute;left:10699;top:460;width:2;height:7151" coordorigin="10699,460" coordsize="0,7151" path="m10699,460l10699,7610e" filled="false" stroked="true" strokeweight=".48pt" strokecolor="#000000">
                <v:path arrowok="t"/>
              </v:shape>
              <v:shape style="position:absolute;left:4779;top:574;width:2206;height:581" type="#_x0000_t202" filled="false" stroked="false">
                <v:textbox inset="0,0,0,0">
                  <w:txbxContent>
                    <w:p>
                      <w:pPr>
                        <w:spacing w:line="180" w:lineRule="exact" w:before="0"/>
                        <w:ind w:left="1485"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xbxContent>
                </v:textbox>
                <w10:wrap type="none"/>
              </v:shape>
              <v:shape style="position:absolute;left:1664;top:159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2580;top:1846;width:2247;height:490" type="#_x0000_t202" filled="false" stroked="false">
                <v:textbox inset="0,0,0,0">
                  <w:txbxContent>
                    <w:p>
                      <w:pPr>
                        <w:spacing w:line="140" w:lineRule="exact" w:before="0"/>
                        <w:ind w:left="0" w:right="1025" w:firstLine="0"/>
                        <w:jc w:val="center"/>
                        <w:rPr>
                          <w:rFonts w:ascii="宋体" w:hAnsi="宋体" w:cs="宋体" w:eastAsia="宋体" w:hint="default"/>
                          <w:sz w:val="18"/>
                          <w:szCs w:val="18"/>
                        </w:rPr>
                      </w:pPr>
                      <w:r>
                        <w:rPr>
                          <w:rFonts w:ascii="宋体" w:hAnsi="宋体" w:cs="宋体" w:eastAsia="宋体" w:hint="default"/>
                          <w:spacing w:val="-6"/>
                          <w:sz w:val="18"/>
                          <w:szCs w:val="18"/>
                        </w:rPr>
                        <w:t>实收资本（或股</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资本公积</w:t>
                      </w:r>
                    </w:p>
                    <w:p>
                      <w:pPr>
                        <w:spacing w:line="195" w:lineRule="exact" w:before="0"/>
                        <w:ind w:left="0" w:right="1025" w:firstLine="0"/>
                        <w:jc w:val="center"/>
                        <w:rPr>
                          <w:rFonts w:ascii="宋体" w:hAnsi="宋体" w:cs="宋体" w:eastAsia="宋体" w:hint="default"/>
                          <w:sz w:val="18"/>
                          <w:szCs w:val="18"/>
                        </w:rPr>
                      </w:pPr>
                      <w:r>
                        <w:rPr>
                          <w:rFonts w:ascii="宋体" w:hAnsi="宋体" w:cs="宋体" w:eastAsia="宋体" w:hint="default"/>
                          <w:sz w:val="18"/>
                          <w:szCs w:val="18"/>
                        </w:rPr>
                        <w:t>本）</w:t>
                      </w:r>
                    </w:p>
                  </w:txbxContent>
                </v:textbox>
                <w10:wrap type="none"/>
              </v:shape>
              <v:shape style="position:absolute;left:5156;top:1378;width:180;height:1426"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减</w:t>
                      </w:r>
                    </w:p>
                    <w:p>
                      <w:pPr>
                        <w:spacing w:line="312" w:lineRule="exact" w:before="34"/>
                        <w:ind w:left="0" w:right="0" w:firstLine="0"/>
                        <w:jc w:val="both"/>
                        <w:rPr>
                          <w:rFonts w:ascii="宋体" w:hAnsi="宋体" w:cs="宋体" w:eastAsia="宋体" w:hint="default"/>
                          <w:sz w:val="18"/>
                          <w:szCs w:val="18"/>
                        </w:rPr>
                      </w:pPr>
                      <w:r>
                        <w:rPr>
                          <w:rFonts w:ascii="宋体" w:hAnsi="宋体" w:cs="宋体" w:eastAsia="宋体" w:hint="default"/>
                          <w:sz w:val="18"/>
                          <w:szCs w:val="18"/>
                        </w:rPr>
                        <w:t>： 库 存 股</w:t>
                      </w:r>
                    </w:p>
                  </w:txbxContent>
                </v:textbox>
                <w10:wrap type="none"/>
              </v:shape>
              <v:shape style="position:absolute;left:5439;top:1534;width:180;height:1114"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专</w:t>
                      </w:r>
                    </w:p>
                    <w:p>
                      <w:pPr>
                        <w:spacing w:line="312" w:lineRule="exact" w:before="34"/>
                        <w:ind w:left="0" w:right="0" w:firstLine="0"/>
                        <w:jc w:val="both"/>
                        <w:rPr>
                          <w:rFonts w:ascii="宋体" w:hAnsi="宋体" w:cs="宋体" w:eastAsia="宋体" w:hint="default"/>
                          <w:sz w:val="18"/>
                          <w:szCs w:val="18"/>
                        </w:rPr>
                      </w:pPr>
                      <w:r>
                        <w:rPr>
                          <w:rFonts w:ascii="宋体" w:hAnsi="宋体" w:cs="宋体" w:eastAsia="宋体" w:hint="default"/>
                          <w:sz w:val="18"/>
                          <w:szCs w:val="18"/>
                        </w:rPr>
                        <w:t>项 储 备</w:t>
                      </w:r>
                    </w:p>
                  </w:txbxContent>
                </v:textbox>
                <w10:wrap type="none"/>
              </v:shape>
              <v:shape style="position:absolute;left:5948;top:200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盈余公积</w:t>
                      </w:r>
                    </w:p>
                  </w:txbxContent>
                </v:textbox>
                <w10:wrap type="none"/>
              </v:shape>
              <v:shape style="position:absolute;left:6981;top:1690;width:360;height:80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一般</w:t>
                      </w:r>
                    </w:p>
                    <w:p>
                      <w:pPr>
                        <w:spacing w:line="312"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风险 准备</w:t>
                      </w:r>
                    </w:p>
                  </w:txbxContent>
                </v:textbox>
                <w10:wrap type="none"/>
              </v:shape>
              <v:shape style="position:absolute;left:7559;top:200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未分配利润</w:t>
                      </w:r>
                    </w:p>
                  </w:txbxContent>
                </v:textbox>
                <w10:wrap type="none"/>
              </v:shape>
              <v:shape style="position:absolute;left:8728;top:1846;width:18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他</w:t>
                      </w:r>
                    </w:p>
                  </w:txbxContent>
                </v:textbox>
                <w10:wrap type="none"/>
              </v:shape>
              <v:shape style="position:absolute;left:9064;top:1489;width:36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少数</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股东 权益</w:t>
                      </w:r>
                    </w:p>
                  </w:txbxContent>
                </v:textbox>
                <w10:wrap type="none"/>
              </v:shape>
              <v:shape style="position:absolute;left:9559;top:1645;width:108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所有者权益合</w:t>
                      </w:r>
                    </w:p>
                    <w:p>
                      <w:pPr>
                        <w:spacing w:before="76"/>
                        <w:ind w:left="2" w:right="0" w:firstLine="0"/>
                        <w:jc w:val="center"/>
                        <w:rPr>
                          <w:rFonts w:ascii="宋体" w:hAnsi="宋体" w:cs="宋体" w:eastAsia="宋体" w:hint="default"/>
                          <w:sz w:val="18"/>
                          <w:szCs w:val="18"/>
                        </w:rPr>
                      </w:pPr>
                      <w:r>
                        <w:rPr>
                          <w:rFonts w:ascii="宋体" w:hAnsi="宋体" w:cs="宋体" w:eastAsia="宋体" w:hint="default"/>
                          <w:sz w:val="18"/>
                          <w:szCs w:val="18"/>
                        </w:rPr>
                        <w:t>计</w:t>
                      </w:r>
                    </w:p>
                  </w:txbxContent>
                </v:textbox>
                <w10:wrap type="none"/>
              </v:shape>
              <v:shape style="position:absolute;left:1162;top:3027;width:3916;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上年年末余额 </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7</w:t>
                      </w:r>
                    </w:p>
                  </w:txbxContent>
                </v:textbox>
                <w10:wrap type="none"/>
              </v:shape>
              <v:shape style="position:absolute;left:5883;top:3037;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18,975,237.83</w:t>
                      </w:r>
                    </w:p>
                  </w:txbxContent>
                </v:textbox>
                <w10:wrap type="none"/>
              </v:shape>
              <v:shape style="position:absolute;left:7494;top:3037;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107,770,556.08</w:t>
                      </w:r>
                    </w:p>
                  </w:txbxContent>
                </v:textbox>
                <w10:wrap type="none"/>
              </v:shape>
              <v:shape style="position:absolute;left:9547;top:3037;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740,006,362.68</w:t>
                      </w:r>
                    </w:p>
                  </w:txbxContent>
                </v:textbox>
                <w10:wrap type="none"/>
              </v:shape>
              <v:shape style="position:absolute;left:1162;top:3430;width:1362;height:2634" type="#_x0000_t202" filled="false" stroked="false">
                <v:textbox inset="0,0,0,0">
                  <w:txbxContent>
                    <w:p>
                      <w:pPr>
                        <w:spacing w:line="180" w:lineRule="exact"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0"/>
                          <w:sz w:val="18"/>
                          <w:szCs w:val="18"/>
                        </w:rPr>
                        <w:t>：</w:t>
                      </w:r>
                      <w:r>
                        <w:rPr>
                          <w:rFonts w:ascii="宋体" w:hAnsi="宋体" w:cs="宋体" w:eastAsia="宋体" w:hint="default"/>
                          <w:sz w:val="18"/>
                          <w:szCs w:val="18"/>
                        </w:rPr>
                        <w:t>同一控制</w:t>
                      </w:r>
                    </w:p>
                    <w:p>
                      <w:pPr>
                        <w:spacing w:line="316" w:lineRule="auto" w:before="74"/>
                        <w:ind w:left="0" w:right="99" w:firstLine="0"/>
                        <w:jc w:val="left"/>
                        <w:rPr>
                          <w:rFonts w:ascii="宋体" w:hAnsi="宋体" w:cs="宋体" w:eastAsia="宋体" w:hint="default"/>
                          <w:sz w:val="18"/>
                          <w:szCs w:val="18"/>
                        </w:rPr>
                      </w:pPr>
                      <w:r>
                        <w:rPr>
                          <w:rFonts w:ascii="宋体" w:hAnsi="宋体" w:cs="宋体" w:eastAsia="宋体" w:hint="default"/>
                          <w:sz w:val="18"/>
                          <w:szCs w:val="18"/>
                        </w:rPr>
                        <w:t>下企业合并产生 的追溯调整</w:t>
                      </w:r>
                    </w:p>
                    <w:p>
                      <w:pPr>
                        <w:spacing w:before="110"/>
                        <w:ind w:left="360" w:right="0" w:firstLine="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0"/>
                          <w:sz w:val="18"/>
                          <w:szCs w:val="18"/>
                        </w:rPr>
                        <w:t>：</w:t>
                      </w:r>
                      <w:r>
                        <w:rPr>
                          <w:rFonts w:ascii="宋体" w:hAnsi="宋体" w:cs="宋体" w:eastAsia="宋体" w:hint="default"/>
                          <w:sz w:val="18"/>
                          <w:szCs w:val="18"/>
                        </w:rPr>
                        <w:t>会计政策</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变更</w:t>
                      </w:r>
                    </w:p>
                    <w:p>
                      <w:pPr>
                        <w:spacing w:line="240" w:lineRule="auto" w:before="11"/>
                        <w:rPr>
                          <w:rFonts w:ascii="宋体" w:hAnsi="宋体" w:cs="宋体" w:eastAsia="宋体" w:hint="default"/>
                          <w:sz w:val="12"/>
                          <w:szCs w:val="12"/>
                        </w:rPr>
                      </w:pPr>
                    </w:p>
                    <w:p>
                      <w:pPr>
                        <w:spacing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前期差</w:t>
                      </w:r>
                    </w:p>
                    <w:p>
                      <w:pPr>
                        <w:spacing w:before="74"/>
                        <w:ind w:left="0" w:right="0" w:firstLine="0"/>
                        <w:jc w:val="left"/>
                        <w:rPr>
                          <w:rFonts w:ascii="宋体" w:hAnsi="宋体" w:cs="宋体" w:eastAsia="宋体" w:hint="default"/>
                          <w:sz w:val="18"/>
                          <w:szCs w:val="18"/>
                        </w:rPr>
                      </w:pPr>
                      <w:r>
                        <w:rPr>
                          <w:rFonts w:ascii="宋体" w:hAnsi="宋体" w:cs="宋体" w:eastAsia="宋体" w:hint="default"/>
                          <w:sz w:val="18"/>
                          <w:szCs w:val="18"/>
                        </w:rPr>
                        <w:t>错更正</w:t>
                      </w:r>
                    </w:p>
                    <w:p>
                      <w:pPr>
                        <w:spacing w:line="240" w:lineRule="auto" w:before="11"/>
                        <w:rPr>
                          <w:rFonts w:ascii="宋体" w:hAnsi="宋体" w:cs="宋体" w:eastAsia="宋体" w:hint="default"/>
                          <w:sz w:val="12"/>
                          <w:szCs w:val="12"/>
                        </w:rPr>
                      </w:pPr>
                    </w:p>
                    <w:p>
                      <w:pPr>
                        <w:spacing w:before="0"/>
                        <w:ind w:left="439" w:right="0" w:firstLine="0"/>
                        <w:jc w:val="center"/>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group>
            <w10:wrap type="none"/>
          </v:group>
        </w:pic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tbl>
      <w:tblPr>
        <w:tblW w:w="0" w:type="auto"/>
        <w:jc w:val="left"/>
        <w:tblInd w:w="164" w:type="dxa"/>
        <w:tblLayout w:type="fixed"/>
        <w:tblCellMar>
          <w:top w:w="0" w:type="dxa"/>
          <w:left w:w="0" w:type="dxa"/>
          <w:bottom w:w="0" w:type="dxa"/>
          <w:right w:w="0" w:type="dxa"/>
        </w:tblCellMar>
        <w:tblLook w:val="01E0"/>
      </w:tblPr>
      <w:tblGrid>
        <w:gridCol w:w="1396"/>
        <w:gridCol w:w="1305"/>
        <w:gridCol w:w="1635"/>
        <w:gridCol w:w="1726"/>
        <w:gridCol w:w="1877"/>
        <w:gridCol w:w="1616"/>
      </w:tblGrid>
      <w:tr>
        <w:trPr>
          <w:trHeight w:val="391" w:hRule="exact"/>
        </w:trPr>
        <w:tc>
          <w:tcPr>
            <w:tcW w:w="139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44"/>
              <w:ind w:right="16"/>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本年年初余额</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7" w:right="0"/>
              <w:jc w:val="center"/>
              <w:rPr>
                <w:rFonts w:ascii="Times New Roman" w:hAnsi="Times New Roman" w:cs="Times New Roman" w:eastAsia="Times New Roman" w:hint="default"/>
                <w:sz w:val="18"/>
                <w:szCs w:val="18"/>
              </w:rPr>
            </w:pPr>
            <w:r>
              <w:rPr>
                <w:rFonts w:ascii="Times New Roman"/>
                <w:sz w:val="18"/>
              </w:rPr>
              <w:t>100,000,000.00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5" w:right="0"/>
              <w:jc w:val="left"/>
              <w:rPr>
                <w:rFonts w:ascii="Times New Roman" w:hAnsi="Times New Roman" w:cs="Times New Roman" w:eastAsia="Times New Roman" w:hint="default"/>
                <w:sz w:val="18"/>
                <w:szCs w:val="18"/>
              </w:rPr>
            </w:pPr>
            <w:r>
              <w:rPr>
                <w:rFonts w:ascii="Times New Roman"/>
                <w:sz w:val="18"/>
              </w:rPr>
              <w:t>513,260,568.77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6"/>
              <w:jc w:val="right"/>
              <w:rPr>
                <w:rFonts w:ascii="Times New Roman" w:hAnsi="Times New Roman" w:cs="Times New Roman" w:eastAsia="Times New Roman" w:hint="default"/>
                <w:sz w:val="18"/>
                <w:szCs w:val="18"/>
              </w:rPr>
            </w:pPr>
            <w:r>
              <w:rPr>
                <w:rFonts w:ascii="Times New Roman"/>
                <w:spacing w:val="-1"/>
                <w:sz w:val="18"/>
              </w:rPr>
              <w:t>18,975,237.83</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61"/>
              <w:jc w:val="right"/>
              <w:rPr>
                <w:rFonts w:ascii="Times New Roman" w:hAnsi="Times New Roman" w:cs="Times New Roman" w:eastAsia="Times New Roman" w:hint="default"/>
                <w:sz w:val="18"/>
                <w:szCs w:val="18"/>
              </w:rPr>
            </w:pPr>
            <w:r>
              <w:rPr>
                <w:rFonts w:ascii="Times New Roman"/>
                <w:spacing w:val="-1"/>
                <w:sz w:val="18"/>
              </w:rPr>
              <w:t>107,770,556.08</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pacing w:val="-1"/>
                <w:sz w:val="18"/>
              </w:rPr>
              <w:t>740,006,362.68</w:t>
            </w:r>
          </w:p>
        </w:tc>
      </w:tr>
      <w:tr>
        <w:trPr>
          <w:trHeight w:val="355" w:hRule="exact"/>
        </w:trPr>
        <w:tc>
          <w:tcPr>
            <w:tcW w:w="139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3"/>
              <w:ind w:right="16"/>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本期增减变动</w:t>
            </w:r>
          </w:p>
        </w:tc>
        <w:tc>
          <w:tcPr>
            <w:tcW w:w="130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r>
      <w:tr>
        <w:trPr>
          <w:trHeight w:val="628" w:hRule="exact"/>
        </w:trPr>
        <w:tc>
          <w:tcPr>
            <w:tcW w:w="139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6" w:lineRule="auto" w:before="10"/>
              <w:ind w:left="16" w:right="381"/>
              <w:jc w:val="left"/>
              <w:rPr>
                <w:rFonts w:ascii="宋体" w:hAnsi="宋体" w:cs="宋体" w:eastAsia="宋体" w:hint="default"/>
                <w:sz w:val="18"/>
                <w:szCs w:val="18"/>
              </w:rPr>
            </w:pPr>
            <w:r>
              <w:rPr>
                <w:rFonts w:ascii="宋体" w:hAnsi="宋体" w:cs="宋体" w:eastAsia="宋体" w:hint="default"/>
                <w:spacing w:val="-15"/>
                <w:sz w:val="18"/>
                <w:szCs w:val="18"/>
              </w:rPr>
              <w:t>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7" w:right="0"/>
              <w:jc w:val="center"/>
              <w:rPr>
                <w:rFonts w:ascii="Times New Roman" w:hAnsi="Times New Roman" w:cs="Times New Roman" w:eastAsia="Times New Roman" w:hint="default"/>
                <w:sz w:val="18"/>
                <w:szCs w:val="18"/>
              </w:rPr>
            </w:pPr>
            <w:r>
              <w:rPr>
                <w:rFonts w:ascii="Times New Roman"/>
                <w:sz w:val="18"/>
              </w:rPr>
              <w:t>100,000,000.00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-100,000,000.00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6"/>
              <w:jc w:val="right"/>
              <w:rPr>
                <w:rFonts w:ascii="Times New Roman" w:hAnsi="Times New Roman" w:cs="Times New Roman" w:eastAsia="Times New Roman" w:hint="default"/>
                <w:sz w:val="18"/>
                <w:szCs w:val="18"/>
              </w:rPr>
            </w:pPr>
            <w:r>
              <w:rPr>
                <w:rFonts w:ascii="Times New Roman"/>
                <w:spacing w:val="-1"/>
                <w:sz w:val="18"/>
              </w:rPr>
              <w:t>9,253,465.92</w:t>
            </w: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1"/>
              <w:jc w:val="right"/>
              <w:rPr>
                <w:rFonts w:ascii="Times New Roman" w:hAnsi="Times New Roman" w:cs="Times New Roman" w:eastAsia="Times New Roman" w:hint="default"/>
                <w:sz w:val="18"/>
                <w:szCs w:val="18"/>
              </w:rPr>
            </w:pPr>
            <w:r>
              <w:rPr>
                <w:rFonts w:ascii="Times New Roman"/>
                <w:spacing w:val="-1"/>
                <w:sz w:val="18"/>
              </w:rPr>
              <w:t>19,242,216.84</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28,495,682.76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4" w:top="1060" w:bottom="1540" w:left="980" w:right="0"/>
        </w:sectPr>
      </w:pPr>
    </w:p>
    <w:p>
      <w:pPr>
        <w:spacing w:line="240" w:lineRule="auto" w:before="6"/>
        <w:rPr>
          <w:rFonts w:ascii="宋体" w:hAnsi="宋体" w:cs="宋体" w:eastAsia="宋体" w:hint="default"/>
          <w:sz w:val="28"/>
          <w:szCs w:val="28"/>
        </w:rPr>
      </w:pPr>
      <w:r>
        <w:rPr/>
        <w:pict>
          <v:shape style="position:absolute;margin-left:103.791pt;margin-top:133.525604pt;width:86.25pt;height:22.15pt;mso-position-horizontal-relative:page;mso-position-vertical-relative:page;z-index:-990400" type="#_x0000_t202" filled="false" stroked="false">
            <v:textbox inset="0,0,0,0">
              <w:txbxContent>
                <w:p>
                  <w:pPr>
                    <w:pStyle w:val="BodyText"/>
                    <w:spacing w:line="180" w:lineRule="exact"/>
                    <w:ind w:left="0" w:right="0"/>
                    <w:jc w:val="left"/>
                  </w:pPr>
                  <w:r>
                    <w:rPr/>
                    <w:t>（二）</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418"/>
        <w:gridCol w:w="1277"/>
        <w:gridCol w:w="1274"/>
        <w:gridCol w:w="283"/>
        <w:gridCol w:w="283"/>
        <w:gridCol w:w="1277"/>
        <w:gridCol w:w="425"/>
        <w:gridCol w:w="1274"/>
        <w:gridCol w:w="341"/>
        <w:gridCol w:w="511"/>
        <w:gridCol w:w="1200"/>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98,495,682.76</w:t>
            </w: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（二）其他综合收</w:t>
            </w:r>
            <w:r>
              <w:rPr>
                <w:rFonts w:ascii="宋体" w:hAnsi="宋体" w:cs="宋体" w:eastAsia="宋体" w:hint="default"/>
                <w:sz w:val="18"/>
                <w:szCs w:val="18"/>
              </w:rPr>
              <w:t> 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13"/>
              <w:jc w:val="left"/>
              <w:rPr>
                <w:rFonts w:ascii="宋体" w:hAnsi="宋体" w:cs="宋体" w:eastAsia="宋体" w:hint="default"/>
                <w:sz w:val="18"/>
                <w:szCs w:val="18"/>
              </w:rPr>
            </w:pPr>
            <w:r>
              <w:rPr>
                <w:rFonts w:ascii="宋体" w:hAnsi="宋体" w:cs="宋体" w:eastAsia="宋体" w:hint="default"/>
                <w:spacing w:val="-19"/>
                <w:sz w:val="18"/>
                <w:szCs w:val="18"/>
              </w:rPr>
              <w:t>上述（一）和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59"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pt;mso-position-horizontal-relative:char;mso-position-vertical-relative:line" coordorigin="0,0" coordsize="1268,560">
                  <v:group style="position:absolute;left:0;top:0;width:1268;height:156" coordorigin="0,0" coordsize="1268,156">
                    <v:shape style="position:absolute;left:0;top:0;width:1268;height:156" coordorigin="0,0" coordsize="1268,156" path="m0,156l1268,156,1268,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220;height:392" coordorigin="24,156" coordsize="1220,392">
                    <v:shape style="position:absolute;left:24;top:156;width:1220;height:392" coordorigin="24,156" coordsize="1220,392" path="m24,547l1244,547,1244,156,24,156,24,547xe" filled="true" fillcolor="#ffffff" stroked="false">
                      <v:path arrowok="t"/>
                      <v:fill type="solid"/>
                    </v:shape>
                  </v:group>
                </v:group>
              </w:pict>
            </w:r>
            <w:r>
              <w:rPr>
                <w:rFonts w:ascii="宋体" w:hAnsi="宋体" w:cs="宋体" w:eastAsia="宋体" w:hint="default"/>
                <w:position w:val="-10"/>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98,495,682.76</w:t>
            </w: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（三）所有者投入</w:t>
            </w:r>
            <w:r>
              <w:rPr>
                <w:rFonts w:ascii="宋体" w:hAnsi="宋体" w:cs="宋体" w:eastAsia="宋体" w:hint="default"/>
                <w:sz w:val="18"/>
                <w:szCs w:val="18"/>
              </w:rPr>
              <w:t> 和减少资本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 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 所有者权益的金 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9,253,465.92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-79,253,465.92</w:t>
            </w: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9,253,465.92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-9,253,465.92</w:t>
            </w: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10"/>
                <w:sz w:val="18"/>
                <w:szCs w:val="18"/>
              </w:rPr>
              <w:t>（五）所有者权益</w:t>
            </w:r>
            <w:r>
              <w:rPr>
                <w:rFonts w:ascii="宋体" w:hAnsi="宋体" w:cs="宋体" w:eastAsia="宋体" w:hint="default"/>
                <w:sz w:val="18"/>
                <w:szCs w:val="18"/>
              </w:rPr>
              <w:t> 内部结转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-100,000,000.00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-100,000,000.00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413,260,568.77</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28,228,703.75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127,012,772.92</w:t>
            </w:r>
          </w:p>
        </w:tc>
        <w:tc>
          <w:tcPr>
            <w:tcW w:w="34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768,502,045.44</w:t>
            </w:r>
          </w:p>
        </w:tc>
      </w:tr>
    </w:tbl>
    <w:p>
      <w:pPr>
        <w:spacing w:line="240" w:lineRule="auto" w:before="2"/>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after="0" w:line="240" w:lineRule="auto"/>
        <w:jc w:val="left"/>
        <w:sectPr>
          <w:pgSz w:w="11910" w:h="16840"/>
          <w:pgMar w:header="877" w:footer="1274"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4" w:top="1060" w:bottom="1540" w:left="980" w:right="0"/>
        </w:sectPr>
      </w:pPr>
    </w:p>
    <w:p>
      <w:pPr>
        <w:pStyle w:val="BodyText"/>
        <w:spacing w:line="357" w:lineRule="auto" w:before="44"/>
        <w:ind w:right="-20"/>
        <w:jc w:val="left"/>
      </w:pPr>
      <w:r>
        <w:rPr/>
        <w:t>编制单位：深圳市卓翼科技股份有限公司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4"/>
        <w:rPr>
          <w:rFonts w:ascii="宋体" w:hAnsi="宋体" w:cs="宋体" w:eastAsia="宋体" w:hint="default"/>
          <w:sz w:val="8"/>
          <w:szCs w:val="8"/>
        </w:rPr>
      </w:pPr>
      <w:r>
        <w:rPr/>
        <w:pict>
          <v:shape style="position:absolute;margin-left:103.674004pt;margin-top:374.689972pt;width:86.35pt;height:19.7pt;mso-position-horizontal-relative:page;mso-position-vertical-relative:page;z-index:-99035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103.791pt;margin-top:471.495605pt;width:86.25pt;height:22.15pt;mso-position-horizontal-relative:page;mso-position-vertical-relative:page;z-index:-990328" type="#_x0000_t202" filled="false" stroked="false">
            <v:textbox inset="0,0,0,0">
              <w:txbxContent>
                <w:p>
                  <w:pPr>
                    <w:pStyle w:val="BodyText"/>
                    <w:spacing w:line="180" w:lineRule="exact"/>
                    <w:ind w:left="0" w:right="0"/>
                    <w:jc w:val="left"/>
                  </w:pPr>
                  <w:r>
                    <w:rPr/>
                    <w:t>（二）</w:t>
                  </w:r>
                </w:p>
              </w:txbxContent>
            </v:textbox>
            <w10:wrap type="none"/>
          </v:shape>
        </w:pict>
      </w:r>
      <w:r>
        <w:rPr/>
        <w:pict>
          <v:group style="position:absolute;margin-left:129.020004pt;margin-top:374.689972pt;width:61pt;height:19.7pt;mso-position-horizontal-relative:page;mso-position-vertical-relative:page;z-index:-990304" coordorigin="2580,7494" coordsize="1220,394">
            <v:shape style="position:absolute;left:2580;top:7494;width:1220;height:394" coordorigin="2580,7494" coordsize="1220,394" path="m2580,7887l3800,7887,3800,7494,2580,7494,2580,7887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396"/>
        <w:gridCol w:w="149"/>
        <w:gridCol w:w="1140"/>
        <w:gridCol w:w="1274"/>
        <w:gridCol w:w="566"/>
        <w:gridCol w:w="566"/>
        <w:gridCol w:w="1136"/>
        <w:gridCol w:w="566"/>
        <w:gridCol w:w="1277"/>
        <w:gridCol w:w="1486"/>
      </w:tblGrid>
      <w:tr>
        <w:trPr>
          <w:trHeight w:val="396"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81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54" w:hRule="exact"/>
        </w:trPr>
        <w:tc>
          <w:tcPr>
            <w:tcW w:w="1396" w:type="dxa"/>
            <w:vMerge/>
            <w:tcBorders>
              <w:left w:val="single" w:sz="4" w:space="0" w:color="000000"/>
              <w:bottom w:val="single" w:sz="18" w:space="0" w:color="FFFFFF"/>
              <w:right w:val="single" w:sz="4" w:space="0" w:color="000000"/>
            </w:tcBorders>
            <w:shd w:val="clear" w:color="auto" w:fill="D2D2D2"/>
          </w:tcPr>
          <w:p>
            <w:pPr/>
          </w:p>
        </w:tc>
        <w:tc>
          <w:tcPr>
            <w:tcW w:w="1288" w:type="dxa"/>
            <w:gridSpan w:val="2"/>
            <w:tcBorders>
              <w:top w:val="single" w:sz="4" w:space="0" w:color="000000"/>
              <w:left w:val="single" w:sz="4" w:space="0" w:color="000000"/>
              <w:bottom w:val="single" w:sz="18" w:space="0" w:color="FFFFFF"/>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86" w:type="dxa"/>
            <w:vMerge w:val="restart"/>
            <w:tcBorders>
              <w:top w:val="single" w:sz="4" w:space="0" w:color="000000"/>
              <w:left w:val="single" w:sz="4" w:space="0" w:color="000000"/>
              <w:right w:val="single" w:sz="4" w:space="0" w:color="000000"/>
            </w:tcBorders>
            <w:shd w:val="clear" w:color="auto" w:fill="D2D2D2"/>
          </w:tcPr>
          <w:p>
            <w:pPr/>
          </w:p>
        </w:tc>
      </w:tr>
      <w:tr>
        <w:trPr>
          <w:trHeight w:val="167" w:hRule="exact"/>
        </w:trPr>
        <w:tc>
          <w:tcPr>
            <w:tcW w:w="1396" w:type="dxa"/>
            <w:vMerge w:val="restart"/>
            <w:tcBorders>
              <w:top w:val="single" w:sz="18" w:space="0" w:color="FFFFFF"/>
              <w:left w:val="single" w:sz="4" w:space="0" w:color="000000"/>
              <w:right w:val="single" w:sz="4" w:space="0" w:color="000000"/>
            </w:tcBorders>
            <w:shd w:val="clear" w:color="auto" w:fill="D2D2D2"/>
          </w:tcPr>
          <w:p>
            <w:pPr>
              <w:pStyle w:val="TableParagraph"/>
              <w:spacing w:line="228"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gridSpan w:val="2"/>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74"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86"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288" w:type="dxa"/>
            <w:gridSpan w:val="2"/>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288" w:type="dxa"/>
            <w:gridSpan w:val="2"/>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8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396" w:type="dxa"/>
            <w:vMerge/>
            <w:tcBorders>
              <w:left w:val="single" w:sz="4" w:space="0" w:color="000000"/>
              <w:right w:val="single" w:sz="4" w:space="0" w:color="000000"/>
            </w:tcBorders>
            <w:shd w:val="clear" w:color="auto" w:fill="D2D2D2"/>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8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上年年末余额</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413,247,188.34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28,228,703.75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122,058,333.64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763,534,225.73</w:t>
            </w:r>
          </w:p>
        </w:tc>
      </w:tr>
      <w:tr>
        <w:trPr>
          <w:trHeight w:val="71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0"/>
                <w:sz w:val="18"/>
                <w:szCs w:val="18"/>
              </w:rPr>
              <w:t>：</w:t>
            </w:r>
            <w:r>
              <w:rPr>
                <w:rFonts w:ascii="宋体" w:hAnsi="宋体" w:cs="宋体" w:eastAsia="宋体" w:hint="default"/>
                <w:sz w:val="18"/>
                <w:szCs w:val="18"/>
              </w:rPr>
              <w:t>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本年年初余额</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413,247,188.34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28,228,703.75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122,058,333.64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763,534,225.73</w:t>
            </w:r>
          </w:p>
        </w:tc>
      </w:tr>
      <w:tr>
        <w:trPr>
          <w:trHeight w:val="1027" w:hRule="exact"/>
        </w:trPr>
        <w:tc>
          <w:tcPr>
            <w:tcW w:w="139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49"/>
              <w:ind w:left="12" w:right="4"/>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z w:val="18"/>
                <w:szCs w:val="18"/>
              </w:rPr>
              <w:t> </w:t>
            </w:r>
            <w:r>
              <w:rPr>
                <w:rFonts w:ascii="宋体" w:hAnsi="宋体" w:cs="宋体" w:eastAsia="宋体" w:hint="default"/>
                <w:spacing w:val="-15"/>
                <w:sz w:val="18"/>
                <w:szCs w:val="18"/>
              </w:rPr>
              <w:t>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149" w:type="dxa"/>
            <w:tcBorders>
              <w:top w:val="single" w:sz="4" w:space="0" w:color="000000"/>
              <w:left w:val="single" w:sz="22" w:space="0" w:color="FFFFFF"/>
              <w:bottom w:val="single" w:sz="4" w:space="0" w:color="000000"/>
              <w:right w:val="nil" w:sz="6" w:space="0" w:color="auto"/>
            </w:tcBorders>
          </w:tcPr>
          <w:p>
            <w:pPr/>
          </w:p>
        </w:tc>
        <w:tc>
          <w:tcPr>
            <w:tcW w:w="114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458,914,000.00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8,731,161.30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38,580,451.72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546,225,613.02</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87,311,613.02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87,311,613.02</w:t>
            </w:r>
          </w:p>
        </w:tc>
      </w:tr>
      <w:tr>
        <w:trPr>
          <w:trHeight w:val="71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
              <w:jc w:val="left"/>
              <w:rPr>
                <w:rFonts w:ascii="宋体" w:hAnsi="宋体" w:cs="宋体" w:eastAsia="宋体" w:hint="default"/>
                <w:sz w:val="18"/>
                <w:szCs w:val="18"/>
              </w:rPr>
            </w:pPr>
            <w:r>
              <w:rPr>
                <w:rFonts w:ascii="宋体" w:hAnsi="宋体" w:cs="宋体" w:eastAsia="宋体" w:hint="default"/>
                <w:spacing w:val="-10"/>
                <w:sz w:val="18"/>
                <w:szCs w:val="18"/>
              </w:rPr>
              <w:t>（二）其他综合收</w:t>
            </w:r>
            <w:r>
              <w:rPr>
                <w:rFonts w:ascii="宋体" w:hAnsi="宋体" w:cs="宋体" w:eastAsia="宋体" w:hint="default"/>
                <w:sz w:val="18"/>
                <w:szCs w:val="18"/>
              </w:rPr>
              <w:t> 益</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2"/>
              <w:jc w:val="left"/>
              <w:rPr>
                <w:rFonts w:ascii="宋体" w:hAnsi="宋体" w:cs="宋体" w:eastAsia="宋体" w:hint="default"/>
                <w:sz w:val="18"/>
                <w:szCs w:val="18"/>
              </w:rPr>
            </w:pPr>
            <w:r>
              <w:rPr>
                <w:rFonts w:ascii="宋体" w:hAnsi="宋体" w:cs="宋体" w:eastAsia="宋体" w:hint="default"/>
                <w:spacing w:val="-19"/>
                <w:sz w:val="18"/>
                <w:szCs w:val="18"/>
              </w:rPr>
              <w:t>上述（一）和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559"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pt;mso-position-horizontal-relative:char;mso-position-vertical-relative:line" coordorigin="0,0" coordsize="1268,560">
                  <v:group style="position:absolute;left:0;top:0;width:1268;height:156" coordorigin="0,0" coordsize="1268,156">
                    <v:shape style="position:absolute;left:0;top:0;width:1268;height:156" coordorigin="0,0" coordsize="1268,156" path="m0,156l1268,156,1268,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220;height:392" coordorigin="24,156" coordsize="1220,392">
                    <v:shape style="position:absolute;left:24;top:156;width:1220;height:392" coordorigin="24,156" coordsize="1220,392" path="m24,547l1244,547,1244,156,24,156,24,547xe" filled="true" fillcolor="#ffffff" stroked="false">
                      <v:path arrowok="t"/>
                      <v:fill type="solid"/>
                    </v:shape>
                  </v:group>
                </v:group>
              </w:pict>
            </w:r>
            <w:r>
              <w:rPr>
                <w:rFonts w:ascii="宋体" w:hAnsi="宋体" w:cs="宋体" w:eastAsia="宋体" w:hint="default"/>
                <w:position w:val="-10"/>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87,311,613.02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87,311,613.02</w:t>
            </w: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0"/>
                <w:sz w:val="18"/>
                <w:szCs w:val="18"/>
              </w:rPr>
              <w:t>（三）所有者投入</w:t>
            </w:r>
            <w:r>
              <w:rPr>
                <w:rFonts w:ascii="宋体" w:hAnsi="宋体" w:cs="宋体" w:eastAsia="宋体" w:hint="default"/>
                <w:sz w:val="18"/>
                <w:szCs w:val="18"/>
              </w:rPr>
              <w:t> 和减少资本</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458,914,000.00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498,914,000.00</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 本</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458,914,000.00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498,914,000.00</w:t>
            </w:r>
          </w:p>
        </w:tc>
      </w:tr>
      <w:tr>
        <w:trPr>
          <w:trHeight w:val="1028"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 所有者权益的金 额</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8,731,161.30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-48,731,161.30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8,731,161.30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-8,731,161.30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03.674004pt;margin-top:612.435974pt;width:86.35pt;height:19.75pt;mso-position-horizontal-relative:page;mso-position-vertical-relative:page;z-index:-990256"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103.791pt;margin-top:709.245605pt;width:86.25pt;height:22.15pt;mso-position-horizontal-relative:page;mso-position-vertical-relative:page;z-index:-990232" type="#_x0000_t202" filled="false" stroked="false">
            <v:textbox inset="0,0,0,0">
              <w:txbxContent>
                <w:p>
                  <w:pPr>
                    <w:pStyle w:val="BodyText"/>
                    <w:spacing w:line="180" w:lineRule="exact"/>
                    <w:ind w:left="0" w:right="0"/>
                    <w:jc w:val="left"/>
                  </w:pPr>
                  <w:r>
                    <w:rPr/>
                    <w:t>（二）</w:t>
                  </w:r>
                </w:p>
              </w:txbxContent>
            </v:textbox>
            <w10:wrap type="none"/>
          </v:shape>
        </w:pict>
      </w:r>
      <w:r>
        <w:rPr/>
        <w:pict>
          <v:group style="position:absolute;margin-left:129.020004pt;margin-top:612.435974pt;width:61pt;height:19.75pt;mso-position-horizontal-relative:page;mso-position-vertical-relative:page;z-index:-990208" coordorigin="2580,12249" coordsize="1220,395">
            <v:shape style="position:absolute;left:2580;top:12249;width:1220;height:395" coordorigin="2580,12249" coordsize="1220,395" path="m2580,12643l3800,12643,3800,12249,2580,12249,2580,1264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18"/>
        <w:gridCol w:w="1277"/>
        <w:gridCol w:w="1274"/>
        <w:gridCol w:w="566"/>
        <w:gridCol w:w="566"/>
        <w:gridCol w:w="1136"/>
        <w:gridCol w:w="566"/>
        <w:gridCol w:w="1277"/>
        <w:gridCol w:w="1486"/>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（五）所有者权益</w:t>
            </w:r>
            <w:r>
              <w:rPr>
                <w:rFonts w:ascii="宋体" w:hAnsi="宋体" w:cs="宋体" w:eastAsia="宋体" w:hint="default"/>
                <w:sz w:val="18"/>
                <w:szCs w:val="18"/>
              </w:rPr>
              <w:t> 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872,161,188.34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36,959,865.05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160,638,785.36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1,309,759,838.75</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03"/>
        <w:gridCol w:w="1185"/>
        <w:gridCol w:w="1274"/>
        <w:gridCol w:w="566"/>
        <w:gridCol w:w="566"/>
        <w:gridCol w:w="1277"/>
        <w:gridCol w:w="566"/>
        <w:gridCol w:w="1277"/>
        <w:gridCol w:w="1346"/>
      </w:tblGrid>
      <w:tr>
        <w:trPr>
          <w:trHeight w:val="396"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81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55" w:hRule="exact"/>
        </w:trPr>
        <w:tc>
          <w:tcPr>
            <w:tcW w:w="1396" w:type="dxa"/>
            <w:vMerge/>
            <w:tcBorders>
              <w:left w:val="single" w:sz="4" w:space="0" w:color="000000"/>
              <w:bottom w:val="single" w:sz="17" w:space="0" w:color="FFFFFF"/>
              <w:right w:val="single" w:sz="4" w:space="0" w:color="000000"/>
            </w:tcBorders>
            <w:shd w:val="clear" w:color="auto" w:fill="D2D2D2"/>
          </w:tcPr>
          <w:p>
            <w:pPr/>
          </w:p>
        </w:tc>
        <w:tc>
          <w:tcPr>
            <w:tcW w:w="1288" w:type="dxa"/>
            <w:gridSpan w:val="2"/>
            <w:tcBorders>
              <w:top w:val="single" w:sz="4" w:space="0" w:color="000000"/>
              <w:left w:val="single" w:sz="4" w:space="0" w:color="000000"/>
              <w:bottom w:val="single" w:sz="17" w:space="0" w:color="FFFFFF"/>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346" w:type="dxa"/>
            <w:vMerge w:val="restart"/>
            <w:tcBorders>
              <w:top w:val="single" w:sz="4" w:space="0" w:color="000000"/>
              <w:left w:val="single" w:sz="4" w:space="0" w:color="000000"/>
              <w:right w:val="single" w:sz="4" w:space="0" w:color="000000"/>
            </w:tcBorders>
            <w:shd w:val="clear" w:color="auto" w:fill="D2D2D2"/>
          </w:tcPr>
          <w:p>
            <w:pPr/>
          </w:p>
        </w:tc>
      </w:tr>
      <w:tr>
        <w:trPr>
          <w:trHeight w:val="167" w:hRule="exact"/>
        </w:trPr>
        <w:tc>
          <w:tcPr>
            <w:tcW w:w="1396" w:type="dxa"/>
            <w:vMerge w:val="restart"/>
            <w:tcBorders>
              <w:top w:val="single" w:sz="17" w:space="0" w:color="FFFFFF"/>
              <w:left w:val="single" w:sz="4" w:space="0" w:color="000000"/>
              <w:right w:val="single" w:sz="4" w:space="0" w:color="000000"/>
            </w:tcBorders>
            <w:shd w:val="clear" w:color="auto" w:fill="D2D2D2"/>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gridSpan w:val="2"/>
            <w:vMerge w:val="restart"/>
            <w:tcBorders>
              <w:top w:val="single" w:sz="17" w:space="0" w:color="FFFFFF"/>
              <w:left w:val="single" w:sz="4" w:space="0" w:color="000000"/>
              <w:right w:val="single" w:sz="4" w:space="0" w:color="000000"/>
            </w:tcBorders>
            <w:shd w:val="clear" w:color="auto" w:fill="D2D2D2"/>
          </w:tcPr>
          <w:p>
            <w:pPr>
              <w:pStyle w:val="TableParagraph"/>
              <w:spacing w:line="319" w:lineRule="auto" w:before="38"/>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74"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288" w:type="dxa"/>
            <w:gridSpan w:val="2"/>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288" w:type="dxa"/>
            <w:gridSpan w:val="2"/>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396" w:type="dxa"/>
            <w:vMerge/>
            <w:tcBorders>
              <w:left w:val="single" w:sz="4" w:space="0" w:color="000000"/>
              <w:right w:val="single" w:sz="4" w:space="0" w:color="000000"/>
            </w:tcBorders>
            <w:shd w:val="clear" w:color="auto" w:fill="D2D2D2"/>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34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上年年末余额</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513,247,188.34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18,975,237.83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108,777,140.41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740,999,566.58</w:t>
            </w: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0"/>
                <w:sz w:val="18"/>
                <w:szCs w:val="18"/>
              </w:rPr>
              <w:t>：</w:t>
            </w:r>
            <w:r>
              <w:rPr>
                <w:rFonts w:ascii="宋体" w:hAnsi="宋体" w:cs="宋体" w:eastAsia="宋体" w:hint="default"/>
                <w:sz w:val="18"/>
                <w:szCs w:val="18"/>
              </w:rPr>
              <w:t>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本年年初余额</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513,247,188.34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18,975,237.83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108,777,140.41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740,999,566.58</w:t>
            </w:r>
          </w:p>
        </w:tc>
      </w:tr>
      <w:tr>
        <w:trPr>
          <w:trHeight w:val="1028" w:hRule="exact"/>
        </w:trPr>
        <w:tc>
          <w:tcPr>
            <w:tcW w:w="139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9" w:lineRule="auto" w:before="49"/>
              <w:ind w:left="12" w:right="4"/>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z w:val="18"/>
                <w:szCs w:val="18"/>
              </w:rPr>
              <w:t> </w:t>
            </w:r>
            <w:r>
              <w:rPr>
                <w:rFonts w:ascii="宋体" w:hAnsi="宋体" w:cs="宋体" w:eastAsia="宋体" w:hint="default"/>
                <w:spacing w:val="-15"/>
                <w:sz w:val="18"/>
                <w:szCs w:val="18"/>
              </w:rPr>
              <w:t>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号填列）</w:t>
            </w:r>
          </w:p>
        </w:tc>
        <w:tc>
          <w:tcPr>
            <w:tcW w:w="103" w:type="dxa"/>
            <w:tcBorders>
              <w:top w:val="single" w:sz="4" w:space="0" w:color="000000"/>
              <w:left w:val="single" w:sz="22" w:space="0" w:color="FFFFFF"/>
              <w:bottom w:val="single" w:sz="4" w:space="0" w:color="000000"/>
              <w:right w:val="nil" w:sz="6" w:space="0" w:color="auto"/>
            </w:tcBorders>
          </w:tcPr>
          <w:p>
            <w:pPr/>
          </w:p>
        </w:tc>
        <w:tc>
          <w:tcPr>
            <w:tcW w:w="11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9,253,465.92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13,281,193.23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22,534,659.15</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92,534,659.15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92,534,659.15</w:t>
            </w: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10"/>
                <w:sz w:val="18"/>
                <w:szCs w:val="18"/>
              </w:rPr>
              <w:t>（二）其他综合收</w:t>
            </w:r>
            <w:r>
              <w:rPr>
                <w:rFonts w:ascii="宋体" w:hAnsi="宋体" w:cs="宋体" w:eastAsia="宋体" w:hint="default"/>
                <w:sz w:val="18"/>
                <w:szCs w:val="18"/>
              </w:rPr>
              <w:t> 益</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2"/>
              <w:jc w:val="left"/>
              <w:rPr>
                <w:rFonts w:ascii="宋体" w:hAnsi="宋体" w:cs="宋体" w:eastAsia="宋体" w:hint="default"/>
                <w:sz w:val="18"/>
                <w:szCs w:val="18"/>
              </w:rPr>
            </w:pPr>
            <w:r>
              <w:rPr>
                <w:rFonts w:ascii="宋体" w:hAnsi="宋体" w:cs="宋体" w:eastAsia="宋体" w:hint="default"/>
                <w:spacing w:val="-19"/>
                <w:sz w:val="18"/>
                <w:szCs w:val="18"/>
              </w:rPr>
              <w:t>上述（一）和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12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559"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pt;mso-position-horizontal-relative:char;mso-position-vertical-relative:line" coordorigin="0,0" coordsize="1268,560">
                  <v:group style="position:absolute;left:0;top:0;width:1268;height:156" coordorigin="0,0" coordsize="1268,156">
                    <v:shape style="position:absolute;left:0;top:0;width:1268;height:156" coordorigin="0,0" coordsize="1268,156" path="m0,156l1268,156,1268,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220;height:392" coordorigin="24,156" coordsize="1220,392">
                    <v:shape style="position:absolute;left:24;top:156;width:1220;height:392" coordorigin="24,156" coordsize="1220,392" path="m24,547l1244,547,1244,156,24,156,24,547xe" filled="true" fillcolor="#ffffff" stroked="false">
                      <v:path arrowok="t"/>
                      <v:fill type="solid"/>
                    </v:shape>
                  </v:group>
                </v:group>
              </w:pict>
            </w:r>
            <w:r>
              <w:rPr>
                <w:rFonts w:ascii="宋体" w:hAnsi="宋体" w:cs="宋体" w:eastAsia="宋体" w:hint="default"/>
                <w:position w:val="-10"/>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92,534,659.15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92,534,659.15</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所有者投入</w:t>
            </w:r>
          </w:p>
        </w:tc>
        <w:tc>
          <w:tcPr>
            <w:tcW w:w="1288" w:type="dxa"/>
            <w:gridSpan w:val="2"/>
            <w:tcBorders>
              <w:top w:val="single" w:sz="4" w:space="0" w:color="000000"/>
              <w:left w:val="single" w:sz="12"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4"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1274"/>
        <w:gridCol w:w="566"/>
        <w:gridCol w:w="566"/>
        <w:gridCol w:w="1277"/>
        <w:gridCol w:w="566"/>
        <w:gridCol w:w="1277"/>
        <w:gridCol w:w="1346"/>
      </w:tblGrid>
      <w:tr>
        <w:trPr>
          <w:trHeight w:val="36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 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 所有者权益的金 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9,253,465.92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-79,253,465.92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9,253,465.92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-9,253,465.92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10"/>
                <w:sz w:val="18"/>
                <w:szCs w:val="18"/>
              </w:rPr>
              <w:t>（五）所有者权益</w:t>
            </w:r>
            <w:r>
              <w:rPr>
                <w:rFonts w:ascii="宋体" w:hAnsi="宋体" w:cs="宋体" w:eastAsia="宋体" w:hint="default"/>
                <w:sz w:val="18"/>
                <w:szCs w:val="18"/>
              </w:rPr>
              <w:t> 内部结转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413,247,188.34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28,228,703.75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122,058,333.64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763,534,225.73</w:t>
            </w:r>
          </w:p>
        </w:tc>
      </w:tr>
    </w:tbl>
    <w:p>
      <w:pPr>
        <w:spacing w:line="240" w:lineRule="auto" w:before="2"/>
        <w:rPr>
          <w:rFonts w:ascii="宋体" w:hAnsi="宋体" w:cs="宋体" w:eastAsia="宋体" w:hint="default"/>
          <w:sz w:val="20"/>
          <w:szCs w:val="20"/>
        </w:rPr>
      </w:pPr>
    </w:p>
    <w:p>
      <w:pPr>
        <w:pStyle w:val="BodyText"/>
        <w:tabs>
          <w:tab w:pos="3487" w:val="left" w:leader="none"/>
          <w:tab w:pos="7718" w:val="left" w:leader="none"/>
        </w:tabs>
        <w:spacing w:line="240" w:lineRule="auto" w:before="44"/>
        <w:ind w:right="1123"/>
        <w:jc w:val="left"/>
      </w:pPr>
      <w:r>
        <w:rPr/>
        <w:t>法定代表人：田昱</w:t>
        <w:tab/>
      </w:r>
      <w:r>
        <w:rPr>
          <w:spacing w:val="-1"/>
        </w:rPr>
        <w:t>主管会计工作负责人：曾兆豪</w:t>
        <w:tab/>
      </w:r>
      <w:r>
        <w:rPr/>
        <w:t>会计机构负责人：文国桥</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23" w:hanging="89"/>
        <w:jc w:val="left"/>
        <w:rPr>
          <w:rFonts w:ascii="Times New Roman" w:hAnsi="Times New Roman" w:cs="Times New Roman" w:eastAsia="Times New Roman" w:hint="default"/>
        </w:rPr>
      </w:pPr>
      <w:r>
        <w:rPr>
          <w:rFonts w:ascii="宋体" w:hAnsi="宋体" w:cs="宋体" w:eastAsia="宋体" w:hint="default"/>
          <w:b/>
          <w:bCs/>
        </w:rPr>
        <w:t>（一）公司历史沿革</w:t>
      </w:r>
      <w:r>
        <w:rPr>
          <w:rFonts w:ascii="宋体" w:hAnsi="宋体" w:cs="宋体" w:eastAsia="宋体" w:hint="default"/>
          <w:b/>
          <w:bCs/>
          <w:w w:val="99"/>
        </w:rPr>
        <w:t> </w:t>
      </w:r>
      <w:r>
        <w:rPr>
          <w:spacing w:val="-2"/>
          <w:w w:val="100"/>
        </w:rPr>
        <w:t>深圳市卓翼科技股份有限公司</w:t>
      </w:r>
      <w:r>
        <w:rPr>
          <w:rFonts w:ascii="Times New Roman" w:hAnsi="Times New Roman" w:cs="Times New Roman" w:eastAsia="Times New Roman" w:hint="default"/>
          <w:spacing w:val="-2"/>
          <w:w w:val="100"/>
        </w:rPr>
        <w:t>(</w:t>
      </w:r>
      <w:r>
        <w:rPr>
          <w:spacing w:val="-2"/>
          <w:w w:val="100"/>
        </w:rPr>
        <w:t>以下简称</w:t>
      </w:r>
      <w:r>
        <w:rPr>
          <w:rFonts w:ascii="Times New Roman" w:hAnsi="Times New Roman" w:cs="Times New Roman" w:eastAsia="Times New Roman" w:hint="default"/>
          <w:spacing w:val="-2"/>
          <w:w w:val="100"/>
        </w:rPr>
        <w:t>“</w:t>
      </w:r>
      <w:r>
        <w:rPr>
          <w:spacing w:val="-2"/>
          <w:w w:val="100"/>
        </w:rPr>
        <w:t>公司</w:t>
      </w:r>
      <w:r>
        <w:rPr>
          <w:rFonts w:ascii="Times New Roman" w:hAnsi="Times New Roman" w:cs="Times New Roman" w:eastAsia="Times New Roman" w:hint="default"/>
          <w:spacing w:val="-2"/>
          <w:w w:val="100"/>
        </w:rPr>
        <w:t>”</w:t>
      </w:r>
      <w:r>
        <w:rPr>
          <w:spacing w:val="-2"/>
          <w:w w:val="100"/>
        </w:rPr>
        <w:t>或</w:t>
      </w:r>
      <w:r>
        <w:rPr>
          <w:rFonts w:ascii="Times New Roman" w:hAnsi="Times New Roman" w:cs="Times New Roman" w:eastAsia="Times New Roman" w:hint="default"/>
          <w:spacing w:val="-2"/>
          <w:w w:val="100"/>
        </w:rPr>
        <w:t>“</w:t>
      </w:r>
      <w:r>
        <w:rPr>
          <w:spacing w:val="-2"/>
          <w:w w:val="100"/>
        </w:rPr>
        <w:t>本公司</w:t>
      </w:r>
      <w:r>
        <w:rPr>
          <w:rFonts w:ascii="Times New Roman" w:hAnsi="Times New Roman" w:cs="Times New Roman" w:eastAsia="Times New Roman" w:hint="default"/>
          <w:spacing w:val="-2"/>
          <w:w w:val="100"/>
        </w:rPr>
        <w:t>”)</w:t>
      </w:r>
      <w:r>
        <w:rPr>
          <w:spacing w:val="-2"/>
          <w:w w:val="100"/>
        </w:rPr>
        <w:t>的前身为深圳市卓翼科技发展有限公司，成立于</w:t>
      </w:r>
      <w:r>
        <w:rPr>
          <w:rFonts w:ascii="Times New Roman" w:hAnsi="Times New Roman" w:cs="Times New Roman" w:eastAsia="Times New Roman" w:hint="default"/>
          <w:spacing w:val="-2"/>
          <w:w w:val="100"/>
        </w:rPr>
        <w:t>2004</w:t>
      </w:r>
      <w:r>
        <w:rPr>
          <w:spacing w:val="-2"/>
          <w:w w:val="100"/>
        </w:rPr>
        <w:t>年</w:t>
      </w:r>
      <w:r>
        <w:rPr>
          <w:rFonts w:ascii="Times New Roman" w:hAnsi="Times New Roman" w:cs="Times New Roman" w:eastAsia="Times New Roman" w:hint="default"/>
          <w:spacing w:val="-2"/>
          <w:w w:val="100"/>
        </w:rPr>
        <w:t>2</w:t>
      </w:r>
      <w:r>
        <w:rPr>
          <w:spacing w:val="-2"/>
          <w:w w:val="100"/>
        </w:rPr>
        <w:t>月</w:t>
      </w:r>
      <w:r>
        <w:rPr>
          <w:rFonts w:ascii="Times New Roman" w:hAnsi="Times New Roman" w:cs="Times New Roman" w:eastAsia="Times New Roman" w:hint="default"/>
          <w:spacing w:val="-2"/>
          <w:w w:val="100"/>
        </w:rPr>
        <w:t>26</w:t>
      </w:r>
      <w:r>
        <w:rPr>
          <w:rFonts w:ascii="Times New Roman" w:hAnsi="Times New Roman" w:cs="Times New Roman" w:eastAsia="Times New Roman" w:hint="default"/>
          <w:w w:val="100"/>
        </w:rPr>
      </w:r>
    </w:p>
    <w:p>
      <w:pPr>
        <w:pStyle w:val="BodyText"/>
        <w:spacing w:line="300" w:lineRule="auto"/>
        <w:ind w:right="1034"/>
        <w:jc w:val="left"/>
      </w:pPr>
      <w:r>
        <w:rPr/>
        <w:t>日。根据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日董事会决议及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日发起人协议的规定，本公司由有限责任公司整体变更为股份有限公司， 变更后注册资本为人民币</w:t>
      </w:r>
      <w:r>
        <w:rPr>
          <w:rFonts w:ascii="Times New Roman" w:hAnsi="Times New Roman" w:cs="Times New Roman" w:eastAsia="Times New Roman" w:hint="default"/>
        </w:rPr>
        <w:t>6,937.50</w:t>
      </w:r>
      <w:r>
        <w:rPr/>
        <w:t>万元，股本为人民币</w:t>
      </w:r>
      <w:r>
        <w:rPr>
          <w:rFonts w:ascii="Times New Roman" w:hAnsi="Times New Roman" w:cs="Times New Roman" w:eastAsia="Times New Roman" w:hint="default"/>
        </w:rPr>
        <w:t>6,937.50</w:t>
      </w:r>
      <w:r>
        <w:rPr/>
        <w:t>万元。</w:t>
      </w:r>
    </w:p>
    <w:p>
      <w:pPr>
        <w:pStyle w:val="BodyText"/>
        <w:spacing w:line="300" w:lineRule="auto" w:before="10"/>
        <w:ind w:right="1123" w:firstLine="36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日，经公司第一次临时股东大会决议和修改后公司章程的规定，增加注册资本人民币</w:t>
      </w:r>
      <w:r>
        <w:rPr>
          <w:rFonts w:ascii="Times New Roman" w:hAnsi="Times New Roman" w:cs="Times New Roman" w:eastAsia="Times New Roman" w:hint="default"/>
        </w:rPr>
        <w:t>562.50</w:t>
      </w:r>
      <w:r>
        <w:rPr/>
        <w:t>万元，由袁军 等</w:t>
      </w:r>
      <w:r>
        <w:rPr>
          <w:rFonts w:ascii="Times New Roman" w:hAnsi="Times New Roman" w:cs="Times New Roman" w:eastAsia="Times New Roman" w:hint="default"/>
        </w:rPr>
        <w:t>6</w:t>
      </w:r>
      <w:r>
        <w:rPr/>
        <w:t>位自然人新股东认缴，变更后的注册资本为人民币</w:t>
      </w:r>
      <w:r>
        <w:rPr>
          <w:rFonts w:ascii="Times New Roman" w:hAnsi="Times New Roman" w:cs="Times New Roman" w:eastAsia="Times New Roman" w:hint="default"/>
        </w:rPr>
        <w:t>7,500.00</w:t>
      </w:r>
      <w:r>
        <w:rPr/>
        <w:t>万元。</w:t>
      </w:r>
    </w:p>
    <w:p>
      <w:pPr>
        <w:spacing w:after="0" w:line="300" w:lineRule="auto"/>
        <w:jc w:val="left"/>
        <w:sectPr>
          <w:pgSz w:w="11910" w:h="16840"/>
          <w:pgMar w:header="877" w:footer="1274"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9" w:firstLine="36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日，经中国证券监督管理委员会证监许可</w:t>
      </w:r>
      <w:r>
        <w:rPr>
          <w:rFonts w:ascii="Times New Roman" w:hAnsi="Times New Roman" w:cs="Times New Roman" w:eastAsia="Times New Roman" w:hint="default"/>
          <w:spacing w:val="-1"/>
        </w:rPr>
        <w:t>[2010]118</w:t>
      </w:r>
      <w:r>
        <w:rPr>
          <w:spacing w:val="-1"/>
        </w:rPr>
        <w:t>号文《关于核准深圳市卓翼科技股份有限公司首次公开</w:t>
      </w:r>
      <w:r>
        <w:rPr/>
        <w:t> </w:t>
      </w:r>
      <w:r>
        <w:rPr>
          <w:spacing w:val="-2"/>
        </w:rPr>
        <w:t>发行股票的批复》的核准，本公司于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日向社会公众投资者公开发行人民币普通股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)2,500.00</w:t>
      </w:r>
      <w:r>
        <w:rPr>
          <w:spacing w:val="-2"/>
        </w:rPr>
        <w:t>万股，每股面值人</w:t>
      </w:r>
      <w:r>
        <w:rPr>
          <w:spacing w:val="-31"/>
        </w:rPr>
        <w:t> </w:t>
      </w:r>
      <w:r>
        <w:rPr>
          <w:spacing w:val="-31"/>
        </w:rPr>
      </w:r>
      <w:r>
        <w:rPr/>
        <w:t>民币</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10,000.00</w:t>
      </w:r>
      <w:r>
        <w:rPr/>
        <w:t>万元。</w:t>
      </w:r>
    </w:p>
    <w:p>
      <w:pPr>
        <w:pStyle w:val="BodyText"/>
        <w:spacing w:line="300" w:lineRule="auto" w:before="13"/>
        <w:ind w:right="1040" w:firstLine="360"/>
        <w:jc w:val="both"/>
      </w:pPr>
      <w:r>
        <w:rPr/>
        <w:t>根据</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年</w:t>
      </w:r>
      <w:r>
        <w:rPr>
          <w:rFonts w:ascii="Times New Roman" w:hAnsi="Times New Roman" w:cs="Times New Roman" w:eastAsia="Times New Roman" w:hint="default"/>
          <w:spacing w:val="1"/>
        </w:rPr>
        <w:t>4</w:t>
      </w:r>
      <w:r>
        <w:rPr>
          <w:spacing w:val="-3"/>
        </w:rPr>
        <w:t>月</w:t>
      </w:r>
      <w:r>
        <w:rPr>
          <w:rFonts w:ascii="Times New Roman" w:hAnsi="Times New Roman" w:cs="Times New Roman" w:eastAsia="Times New Roman" w:hint="default"/>
          <w:spacing w:val="1"/>
        </w:rPr>
        <w:t>11</w:t>
      </w:r>
      <w:r>
        <w:rPr/>
        <w:t>日第二届董</w:t>
      </w:r>
      <w:r>
        <w:rPr>
          <w:spacing w:val="-3"/>
        </w:rPr>
        <w:t>事</w:t>
      </w:r>
      <w:r>
        <w:rPr/>
        <w:t>会第四次会议</w:t>
      </w:r>
      <w:r>
        <w:rPr>
          <w:spacing w:val="-8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11</w:t>
      </w:r>
      <w:r>
        <w:rPr>
          <w:spacing w:val="-3"/>
        </w:rPr>
        <w:t>年</w:t>
      </w:r>
      <w:r>
        <w:rPr>
          <w:rFonts w:ascii="Times New Roman" w:hAnsi="Times New Roman" w:cs="Times New Roman" w:eastAsia="Times New Roman" w:hint="default"/>
          <w:spacing w:val="1"/>
        </w:rPr>
        <w:t>5</w:t>
      </w:r>
      <w:r>
        <w:rPr/>
        <w:t>月</w:t>
      </w:r>
      <w:r>
        <w:rPr>
          <w:rFonts w:ascii="Times New Roman" w:hAnsi="Times New Roman" w:cs="Times New Roman" w:eastAsia="Times New Roman" w:hint="default"/>
          <w:spacing w:val="1"/>
        </w:rPr>
        <w:t>6</w:t>
      </w:r>
      <w:r>
        <w:rPr/>
        <w:t>日</w:t>
      </w:r>
      <w:r>
        <w:rPr>
          <w:spacing w:val="-3"/>
        </w:rPr>
        <w:t>召</w:t>
      </w:r>
      <w:r>
        <w:rPr/>
        <w:t>开的</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t>年年度股东大会决</w:t>
      </w:r>
      <w:r>
        <w:rPr>
          <w:spacing w:val="-3"/>
        </w:rPr>
        <w:t>议</w:t>
      </w:r>
      <w:r>
        <w:rPr/>
        <w:t>和修改后公司章程的规定，</w:t>
      </w:r>
      <w:r>
        <w:rPr/>
        <w:t> 本公司于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年</w:t>
      </w:r>
      <w:r>
        <w:rPr>
          <w:rFonts w:ascii="Times New Roman" w:hAnsi="Times New Roman" w:cs="Times New Roman" w:eastAsia="Times New Roman" w:hint="default"/>
          <w:spacing w:val="1"/>
        </w:rPr>
        <w:t>5</w:t>
      </w:r>
      <w:r>
        <w:rPr>
          <w:spacing w:val="-3"/>
        </w:rPr>
        <w:t>月</w:t>
      </w:r>
      <w:r>
        <w:rPr>
          <w:rFonts w:ascii="Times New Roman" w:hAnsi="Times New Roman" w:cs="Times New Roman" w:eastAsia="Times New Roman" w:hint="default"/>
          <w:spacing w:val="1"/>
        </w:rPr>
        <w:t>17</w:t>
      </w:r>
      <w:r>
        <w:rPr/>
        <w:t>日以资</w:t>
      </w:r>
      <w:r>
        <w:rPr>
          <w:spacing w:val="-3"/>
        </w:rPr>
        <w:t>本</w:t>
      </w:r>
      <w:r>
        <w:rPr/>
        <w:t>公积按每</w:t>
      </w:r>
      <w:r>
        <w:rPr>
          <w:rFonts w:ascii="Times New Roman" w:hAnsi="Times New Roman" w:cs="Times New Roman" w:eastAsia="Times New Roman" w:hint="default"/>
          <w:spacing w:val="1"/>
        </w:rPr>
        <w:t>10</w:t>
      </w:r>
      <w:r>
        <w:rPr/>
        <w:t>股转增</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t>股的比</w:t>
      </w:r>
      <w:r>
        <w:rPr>
          <w:spacing w:val="-3"/>
        </w:rPr>
        <w:t>例</w:t>
      </w:r>
      <w:r>
        <w:rPr/>
        <w:t>转增股本</w:t>
      </w:r>
      <w:r>
        <w:rPr>
          <w:spacing w:val="-87"/>
        </w:rPr>
        <w:t>，</w:t>
      </w:r>
      <w:r>
        <w:rPr/>
        <w:t>本次转增后</w:t>
      </w:r>
      <w:r>
        <w:rPr>
          <w:spacing w:val="-87"/>
        </w:rPr>
        <w:t>，</w:t>
      </w:r>
      <w:r>
        <w:rPr/>
        <w:t>注册资本变更为人民币</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0</w:t>
      </w:r>
      <w:r>
        <w:rPr/>
        <w:t>万</w:t>
      </w:r>
      <w:r>
        <w:rPr>
          <w:spacing w:val="-3"/>
        </w:rPr>
        <w:t>元</w:t>
      </w:r>
      <w:r>
        <w:rPr/>
        <w:t>。</w:t>
      </w:r>
    </w:p>
    <w:p>
      <w:pPr>
        <w:pStyle w:val="BodyText"/>
        <w:spacing w:line="300" w:lineRule="auto" w:before="13"/>
        <w:ind w:right="1129"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日，经中国证券监督管理委员会证监许可</w:t>
      </w:r>
      <w:r>
        <w:rPr>
          <w:rFonts w:ascii="Times New Roman" w:hAnsi="Times New Roman" w:cs="Times New Roman" w:eastAsia="Times New Roman" w:hint="default"/>
          <w:spacing w:val="-1"/>
        </w:rPr>
        <w:t>[2012]1019</w:t>
      </w:r>
      <w:r>
        <w:rPr>
          <w:spacing w:val="-1"/>
        </w:rPr>
        <w:t>号文《关于核准深圳市卓翼科技股份有限公司非公开发</w:t>
      </w:r>
      <w:r>
        <w:rPr/>
        <w:t> 行股票的批复》的核准，本公司于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日向特定对象非公开发行人民币普通股</w:t>
      </w:r>
      <w:r>
        <w:rPr>
          <w:spacing w:val="-60"/>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)4,000.00</w:t>
      </w:r>
      <w:r>
        <w:rPr/>
        <w:t>万股，每股面值人民币 </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24,000.00</w:t>
      </w:r>
      <w:r>
        <w:rPr/>
        <w:t>万元。</w:t>
      </w:r>
    </w:p>
    <w:p>
      <w:pPr>
        <w:pStyle w:val="BodyText"/>
        <w:spacing w:line="300" w:lineRule="auto" w:before="13"/>
        <w:ind w:left="513" w:right="1033"/>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日止，公司注册资本为人民币</w:t>
      </w:r>
      <w:r>
        <w:rPr>
          <w:rFonts w:ascii="Times New Roman" w:hAnsi="Times New Roman" w:cs="Times New Roman" w:eastAsia="Times New Roman" w:hint="default"/>
        </w:rPr>
        <w:t>24,000.00</w:t>
      </w:r>
      <w:r>
        <w:rPr/>
        <w:t>万元。 公司企业法人营业执照注册号：</w:t>
      </w:r>
      <w:r>
        <w:rPr>
          <w:rFonts w:ascii="Times New Roman" w:hAnsi="Times New Roman" w:cs="Times New Roman" w:eastAsia="Times New Roman" w:hint="default"/>
        </w:rPr>
        <w:t>440301102730527</w:t>
      </w:r>
      <w:r>
        <w:rPr/>
        <w:t>，注册地及营业办公地：深圳市南山区西丽平山民企科技工业园</w:t>
      </w:r>
      <w:r>
        <w:rPr>
          <w:rFonts w:ascii="Times New Roman" w:hAnsi="Times New Roman" w:cs="Times New Roman" w:eastAsia="Times New Roman" w:hint="default"/>
        </w:rPr>
        <w:t>5</w:t>
      </w:r>
      <w:r>
        <w:rPr/>
        <w:t>栋。</w:t>
      </w:r>
    </w:p>
    <w:p>
      <w:pPr>
        <w:spacing w:line="316" w:lineRule="auto" w:before="13"/>
        <w:ind w:left="513" w:right="6973" w:firstLine="0"/>
        <w:jc w:val="left"/>
        <w:rPr>
          <w:rFonts w:ascii="宋体" w:hAnsi="宋体" w:cs="宋体" w:eastAsia="宋体" w:hint="default"/>
          <w:sz w:val="18"/>
          <w:szCs w:val="18"/>
        </w:rPr>
      </w:pPr>
      <w:r>
        <w:rPr>
          <w:rFonts w:ascii="宋体" w:hAnsi="宋体" w:cs="宋体" w:eastAsia="宋体" w:hint="default"/>
          <w:b/>
          <w:bCs/>
          <w:sz w:val="18"/>
          <w:szCs w:val="18"/>
        </w:rPr>
        <w:t>（二）行业性质</w:t>
      </w:r>
      <w:r>
        <w:rPr>
          <w:rFonts w:ascii="宋体" w:hAnsi="宋体" w:cs="宋体" w:eastAsia="宋体" w:hint="default"/>
          <w:b/>
          <w:bCs/>
          <w:w w:val="99"/>
          <w:sz w:val="18"/>
          <w:szCs w:val="18"/>
        </w:rPr>
        <w:t> </w:t>
      </w:r>
      <w:r>
        <w:rPr>
          <w:rFonts w:ascii="宋体" w:hAnsi="宋体" w:cs="宋体" w:eastAsia="宋体" w:hint="default"/>
          <w:sz w:val="18"/>
          <w:szCs w:val="18"/>
        </w:rPr>
        <w:t>本公司的行业系通讯及其相关设备制造业。</w:t>
      </w:r>
    </w:p>
    <w:p>
      <w:pPr>
        <w:pStyle w:val="BodyText"/>
        <w:spacing w:line="316" w:lineRule="auto" w:before="19"/>
        <w:ind w:left="513" w:right="1123"/>
        <w:jc w:val="left"/>
      </w:pPr>
      <w:r>
        <w:rPr>
          <w:rFonts w:ascii="宋体" w:hAnsi="宋体" w:cs="宋体" w:eastAsia="宋体" w:hint="default"/>
          <w:b/>
          <w:bCs/>
        </w:rPr>
        <w:t>（三）经营范围</w:t>
      </w:r>
      <w:r>
        <w:rPr>
          <w:rFonts w:ascii="宋体" w:hAnsi="宋体" w:cs="宋体" w:eastAsia="宋体" w:hint="default"/>
          <w:b/>
          <w:bCs/>
          <w:w w:val="99"/>
        </w:rPr>
        <w:t> </w:t>
      </w:r>
      <w:r>
        <w:rPr/>
        <w:t>计算机周边板卡、消费数码产品、通讯网络产品、音响产品、广播电影电视器材、调制解调器</w:t>
      </w:r>
      <w:r>
        <w:rPr>
          <w:rFonts w:ascii="Times New Roman" w:hAnsi="Times New Roman" w:cs="Times New Roman" w:eastAsia="Times New Roman" w:hint="default"/>
        </w:rPr>
        <w:t>(</w:t>
      </w:r>
      <w:r>
        <w:rPr/>
        <w:t>不含卫星电视广播地面</w:t>
      </w:r>
    </w:p>
    <w:p>
      <w:pPr>
        <w:pStyle w:val="BodyText"/>
        <w:spacing w:line="300" w:lineRule="auto"/>
        <w:ind w:right="1131"/>
        <w:jc w:val="both"/>
      </w:pPr>
      <w:r>
        <w:rPr/>
        <w:t>接收设施</w:t>
      </w:r>
      <w:r>
        <w:rPr>
          <w:rFonts w:ascii="Times New Roman" w:hAnsi="Times New Roman" w:cs="Times New Roman" w:eastAsia="Times New Roman" w:hint="default"/>
        </w:rPr>
        <w:t>)</w:t>
      </w:r>
      <w:r>
        <w:rPr/>
        <w:t>、</w:t>
      </w:r>
      <w:r>
        <w:rPr>
          <w:rFonts w:ascii="Times New Roman" w:hAnsi="Times New Roman" w:cs="Times New Roman" w:eastAsia="Times New Roman" w:hint="default"/>
        </w:rPr>
        <w:t>U</w:t>
      </w:r>
      <w:r>
        <w:rPr/>
        <w:t>盘、</w:t>
      </w:r>
      <w:r>
        <w:rPr>
          <w:rFonts w:ascii="Times New Roman" w:hAnsi="Times New Roman" w:cs="Times New Roman" w:eastAsia="Times New Roman" w:hint="default"/>
        </w:rPr>
        <w:t>MP3</w:t>
      </w:r>
      <w:r>
        <w:rPr/>
        <w:t>、</w:t>
      </w:r>
      <w:r>
        <w:rPr>
          <w:rFonts w:ascii="Times New Roman" w:hAnsi="Times New Roman" w:cs="Times New Roman" w:eastAsia="Times New Roman" w:hint="default"/>
        </w:rPr>
        <w:t>MP4</w:t>
      </w:r>
      <w:r>
        <w:rPr/>
        <w:t>、数字电视系统用户终端接收机、网络交换机、无线网络适配器、无线路由器、</w:t>
      </w:r>
      <w:r>
        <w:rPr>
          <w:rFonts w:ascii="Times New Roman" w:hAnsi="Times New Roman" w:cs="Times New Roman" w:eastAsia="Times New Roman" w:hint="default"/>
        </w:rPr>
        <w:t>VOIP</w:t>
      </w:r>
      <w:r>
        <w:rPr/>
        <w:t>网关、</w:t>
      </w:r>
      <w:r>
        <w:rPr>
          <w:spacing w:val="-50"/>
        </w:rPr>
        <w:t> </w:t>
      </w:r>
      <w:r>
        <w:rPr>
          <w:rFonts w:ascii="Times New Roman" w:hAnsi="Times New Roman" w:cs="Times New Roman" w:eastAsia="Times New Roman" w:hint="default"/>
        </w:rPr>
        <w:t>VOIP</w:t>
      </w:r>
      <w:r>
        <w:rPr/>
        <w:t>电话、</w:t>
      </w:r>
      <w:r>
        <w:rPr>
          <w:rFonts w:ascii="Times New Roman" w:hAnsi="Times New Roman" w:cs="Times New Roman" w:eastAsia="Times New Roman" w:hint="default"/>
        </w:rPr>
        <w:t>IP</w:t>
      </w:r>
      <w:r>
        <w:rPr/>
        <w:t>机顶盒的组装生产</w:t>
      </w:r>
      <w:r>
        <w:rPr>
          <w:rFonts w:ascii="Times New Roman" w:hAnsi="Times New Roman" w:cs="Times New Roman" w:eastAsia="Times New Roman" w:hint="default"/>
        </w:rPr>
        <w:t>(</w:t>
      </w:r>
      <w:r>
        <w:rPr/>
        <w:t>在许可有效期内生产</w:t>
      </w:r>
      <w:r>
        <w:rPr>
          <w:rFonts w:ascii="Times New Roman" w:hAnsi="Times New Roman" w:cs="Times New Roman" w:eastAsia="Times New Roman" w:hint="default"/>
        </w:rPr>
        <w:t>)</w:t>
      </w:r>
      <w:r>
        <w:rPr/>
        <w:t>；手机和平板电脑等移动手持终端的生产</w:t>
      </w:r>
      <w:r>
        <w:rPr>
          <w:rFonts w:ascii="Times New Roman" w:hAnsi="Times New Roman" w:cs="Times New Roman" w:eastAsia="Times New Roman" w:hint="default"/>
        </w:rPr>
        <w:t>(</w:t>
      </w:r>
      <w:r>
        <w:rPr/>
        <w:t>由分支机构经营，执照另</w:t>
      </w:r>
      <w:r>
        <w:rPr>
          <w:spacing w:val="-41"/>
        </w:rPr>
        <w:t> </w:t>
      </w:r>
      <w:r>
        <w:rPr>
          <w:spacing w:val="-41"/>
        </w:rPr>
      </w:r>
      <w:r>
        <w:rPr>
          <w:spacing w:val="-3"/>
        </w:rPr>
        <w:t>行申办</w:t>
      </w:r>
      <w:r>
        <w:rPr>
          <w:rFonts w:ascii="Times New Roman" w:hAnsi="Times New Roman" w:cs="Times New Roman" w:eastAsia="Times New Roman" w:hint="default"/>
          <w:spacing w:val="-3"/>
        </w:rPr>
        <w:t>)</w:t>
      </w:r>
      <w:r>
        <w:rPr>
          <w:spacing w:val="-3"/>
        </w:rPr>
        <w:t>；技术开发、购销、电子产品的购销及其他国内商业、物资供销业</w:t>
      </w:r>
      <w:r>
        <w:rPr>
          <w:rFonts w:ascii="Times New Roman" w:hAnsi="Times New Roman" w:cs="Times New Roman" w:eastAsia="Times New Roman" w:hint="default"/>
          <w:spacing w:val="-3"/>
        </w:rPr>
        <w:t>(</w:t>
      </w:r>
      <w:r>
        <w:rPr>
          <w:spacing w:val="-3"/>
        </w:rPr>
        <w:t>不含专营、专控、专卖商品</w:t>
      </w:r>
      <w:r>
        <w:rPr>
          <w:rFonts w:ascii="Times New Roman" w:hAnsi="Times New Roman" w:cs="Times New Roman" w:eastAsia="Times New Roman" w:hint="default"/>
          <w:spacing w:val="-3"/>
        </w:rPr>
        <w:t>)</w:t>
      </w:r>
      <w:r>
        <w:rPr>
          <w:spacing w:val="-3"/>
        </w:rPr>
        <w:t>；经营进出口业务</w:t>
      </w:r>
      <w:r>
        <w:rPr>
          <w:rFonts w:ascii="Times New Roman" w:hAnsi="Times New Roman" w:cs="Times New Roman" w:eastAsia="Times New Roman" w:hint="default"/>
          <w:spacing w:val="-3"/>
        </w:rPr>
        <w:t>(</w:t>
      </w:r>
      <w:r>
        <w:rPr>
          <w:spacing w:val="-3"/>
        </w:rPr>
        <w:t>法</w:t>
      </w:r>
      <w:r>
        <w:rPr>
          <w:spacing w:val="-67"/>
        </w:rPr>
        <w:t> </w:t>
      </w:r>
      <w:r>
        <w:rPr/>
        <w:t>律、行政法规、国务院决定禁止的项目除外、限制的项目须取得许可后方可经营</w:t>
      </w:r>
      <w:r>
        <w:rPr>
          <w:rFonts w:ascii="Times New Roman" w:hAnsi="Times New Roman" w:cs="Times New Roman" w:eastAsia="Times New Roman" w:hint="default"/>
        </w:rPr>
        <w:t>)</w:t>
      </w:r>
      <w:r>
        <w:rPr/>
        <w:t>。</w:t>
      </w:r>
    </w:p>
    <w:p>
      <w:pPr>
        <w:pStyle w:val="BodyText"/>
        <w:spacing w:line="316" w:lineRule="auto" w:before="13"/>
        <w:ind w:left="513" w:right="1123"/>
        <w:jc w:val="left"/>
      </w:pPr>
      <w:r>
        <w:rPr>
          <w:rFonts w:ascii="宋体" w:hAnsi="宋体" w:cs="宋体" w:eastAsia="宋体" w:hint="default"/>
          <w:b/>
          <w:bCs/>
        </w:rPr>
        <w:t>（四）主要产品</w:t>
      </w:r>
      <w:r>
        <w:rPr>
          <w:rFonts w:ascii="宋体" w:hAnsi="宋体" w:cs="宋体" w:eastAsia="宋体" w:hint="default"/>
          <w:b/>
          <w:bCs/>
          <w:w w:val="99"/>
        </w:rPr>
        <w:t> </w:t>
      </w:r>
      <w:r>
        <w:rPr>
          <w:spacing w:val="-2"/>
        </w:rPr>
        <w:t>本公司主要产品为网络通讯类：</w:t>
      </w:r>
      <w:r>
        <w:rPr>
          <w:rFonts w:ascii="Times New Roman" w:hAnsi="Times New Roman" w:cs="Times New Roman" w:eastAsia="Times New Roman" w:hint="default"/>
          <w:spacing w:val="-2"/>
        </w:rPr>
        <w:t>XDSL</w:t>
      </w:r>
      <w:r>
        <w:rPr>
          <w:spacing w:val="-2"/>
        </w:rPr>
        <w:t>宽带接入设备、无线路由器、无线网卡、</w:t>
      </w:r>
      <w:r>
        <w:rPr>
          <w:rFonts w:ascii="Times New Roman" w:hAnsi="Times New Roman" w:cs="Times New Roman" w:eastAsia="Times New Roman" w:hint="default"/>
          <w:spacing w:val="-2"/>
        </w:rPr>
        <w:t>3G</w:t>
      </w:r>
      <w:r>
        <w:rPr>
          <w:spacing w:val="-2"/>
        </w:rPr>
        <w:t>数据卡、以太网交换机及路由器、数</w:t>
      </w:r>
    </w:p>
    <w:p>
      <w:pPr>
        <w:pStyle w:val="BodyText"/>
        <w:spacing w:line="300" w:lineRule="auto"/>
        <w:ind w:right="1125"/>
        <w:jc w:val="left"/>
      </w:pPr>
      <w:r>
        <w:rPr/>
        <w:t>字电视机顶盒、</w:t>
      </w:r>
      <w:r>
        <w:rPr>
          <w:rFonts w:ascii="Times New Roman" w:hAnsi="Times New Roman" w:cs="Times New Roman" w:eastAsia="Times New Roman" w:hint="default"/>
        </w:rPr>
        <w:t>WiFi</w:t>
      </w:r>
      <w:r>
        <w:rPr/>
        <w:t>电话等；消费电子类：音频产品</w:t>
      </w:r>
      <w:r>
        <w:rPr>
          <w:rFonts w:ascii="Times New Roman" w:hAnsi="Times New Roman" w:cs="Times New Roman" w:eastAsia="Times New Roman" w:hint="default"/>
        </w:rPr>
        <w:t>(</w:t>
      </w:r>
      <w:r>
        <w:rPr/>
        <w:t>包括</w:t>
      </w:r>
      <w:r>
        <w:rPr>
          <w:rFonts w:ascii="Times New Roman" w:hAnsi="Times New Roman" w:cs="Times New Roman" w:eastAsia="Times New Roman" w:hint="default"/>
        </w:rPr>
        <w:t>for iPod&amp;works with</w:t>
      </w:r>
      <w:r>
        <w:rPr>
          <w:rFonts w:ascii="Times New Roman" w:hAnsi="Times New Roman" w:cs="Times New Roman" w:eastAsia="Times New Roman" w:hint="default"/>
          <w:spacing w:val="44"/>
        </w:rPr>
        <w:t> </w:t>
      </w:r>
      <w:r>
        <w:rPr>
          <w:rFonts w:ascii="Times New Roman" w:hAnsi="Times New Roman" w:cs="Times New Roman" w:eastAsia="Times New Roman" w:hint="default"/>
        </w:rPr>
        <w:t>iPhone</w:t>
      </w:r>
      <w:r>
        <w:rPr/>
        <w:t>音频产品等</w:t>
      </w:r>
      <w:r>
        <w:rPr>
          <w:rFonts w:ascii="Times New Roman" w:hAnsi="Times New Roman" w:cs="Times New Roman" w:eastAsia="Times New Roman" w:hint="default"/>
        </w:rPr>
        <w:t>)</w:t>
      </w:r>
      <w:r>
        <w:rPr/>
        <w:t>、移动手持终端设备、存 储产品等。</w:t>
      </w:r>
    </w:p>
    <w:p>
      <w:pPr>
        <w:pStyle w:val="BodyText"/>
        <w:spacing w:line="316" w:lineRule="auto" w:before="31"/>
        <w:ind w:left="513" w:right="1123"/>
        <w:jc w:val="left"/>
      </w:pPr>
      <w:r>
        <w:rPr>
          <w:rFonts w:ascii="宋体" w:hAnsi="宋体" w:cs="宋体" w:eastAsia="宋体" w:hint="default"/>
          <w:b/>
          <w:bCs/>
        </w:rPr>
        <w:t>（五）公司基本架构</w:t>
      </w:r>
      <w:r>
        <w:rPr>
          <w:rFonts w:ascii="宋体" w:hAnsi="宋体" w:cs="宋体" w:eastAsia="宋体" w:hint="default"/>
          <w:b/>
          <w:bCs/>
          <w:w w:val="99"/>
        </w:rPr>
        <w:t> </w:t>
      </w:r>
      <w:r>
        <w:rPr>
          <w:spacing w:val="-2"/>
        </w:rPr>
        <w:t>根据国家法律法规和公司章程的规定，建立了股东大会、董事会、监事会及经营管理层的规范性治理结构；董事会下设</w:t>
      </w:r>
    </w:p>
    <w:p>
      <w:pPr>
        <w:pStyle w:val="BodyText"/>
        <w:spacing w:line="309" w:lineRule="auto" w:before="19"/>
        <w:ind w:right="0"/>
        <w:jc w:val="left"/>
      </w:pPr>
      <w:r>
        <w:rPr/>
        <w:t>审计委员会、薪酬与考核委员会、提名委员会等三个专门委员会。公司下设网通事业部、消费事业部、</w:t>
      </w:r>
      <w:r>
        <w:rPr>
          <w:rFonts w:ascii="Times New Roman" w:hAnsi="Times New Roman" w:cs="Times New Roman" w:eastAsia="Times New Roman" w:hint="default"/>
        </w:rPr>
        <w:t>OEM/EMS</w:t>
      </w:r>
      <w:r>
        <w:rPr/>
        <w:t>事业部、</w:t>
      </w:r>
      <w:r>
        <w:rPr>
          <w:spacing w:val="-6"/>
        </w:rPr>
        <w:t> </w:t>
      </w:r>
      <w:r>
        <w:rPr>
          <w:spacing w:val="-6"/>
        </w:rPr>
      </w:r>
      <w:r>
        <w:rPr>
          <w:spacing w:val="-2"/>
        </w:rPr>
        <w:t>技术中心、生产中心、制造系统、资材系统、工程系统、品质系统、内部审计部、证券投资部、财务部、制造发展部、行政</w:t>
      </w:r>
      <w:r>
        <w:rPr>
          <w:spacing w:val="-73"/>
        </w:rPr>
        <w:t> </w:t>
      </w:r>
      <w:r>
        <w:rPr>
          <w:spacing w:val="-73"/>
        </w:rPr>
      </w:r>
      <w:r>
        <w:rPr/>
        <w:t>后勤部、人力资源部、信息部、商务部、企业管理部等职能部门。</w:t>
      </w:r>
    </w:p>
    <w:p>
      <w:pPr>
        <w:spacing w:line="240" w:lineRule="auto" w:before="3"/>
        <w:rPr>
          <w:rFonts w:ascii="宋体" w:hAnsi="宋体" w:cs="宋体" w:eastAsia="宋体" w:hint="default"/>
          <w:sz w:val="21"/>
          <w:szCs w:val="21"/>
        </w:rPr>
      </w:pPr>
    </w:p>
    <w:p>
      <w:pPr>
        <w:pStyle w:val="Heading2"/>
        <w:spacing w:line="240" w:lineRule="auto"/>
        <w:ind w:right="1123"/>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 </w:t>
      </w:r>
      <w:r>
        <w:rPr>
          <w:spacing w:val="-4"/>
        </w:rPr>
        <w:t>则》和</w:t>
      </w:r>
      <w:r>
        <w:rPr>
          <w:rFonts w:ascii="Times New Roman" w:hAnsi="Times New Roman" w:cs="Times New Roman" w:eastAsia="Times New Roman" w:hint="default"/>
          <w:spacing w:val="-4"/>
        </w:rPr>
        <w:t>38</w:t>
      </w:r>
      <w:r>
        <w:rPr>
          <w:spacing w:val="-4"/>
        </w:rPr>
        <w:t>项具体会计准则、其后颁布的企业会计准则应用指南、企业会计准则解释及其他相关规定</w:t>
      </w:r>
      <w:r>
        <w:rPr>
          <w:rFonts w:ascii="Times New Roman" w:hAnsi="Times New Roman" w:cs="Times New Roman" w:eastAsia="Times New Roman" w:hint="default"/>
          <w:spacing w:val="-4"/>
        </w:rPr>
        <w:t>(</w:t>
      </w:r>
      <w:r>
        <w:rPr>
          <w:spacing w:val="-4"/>
        </w:rPr>
        <w:t>以下合称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w:t>
      </w:r>
      <w:r>
        <w:rPr>
          <w:spacing w:val="-37"/>
        </w:rPr>
        <w:t> </w:t>
      </w:r>
      <w:r>
        <w:rPr/>
        <w:t>中国证券监督管理委员会《公开发行证券的公司信息披露编报规则第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进行确</w:t>
      </w:r>
      <w:r>
        <w:rPr>
          <w:spacing w:val="-32"/>
        </w:rPr>
        <w:t> </w:t>
      </w:r>
      <w:r>
        <w:rPr>
          <w:spacing w:val="-32"/>
        </w:rPr>
      </w:r>
      <w:r>
        <w:rPr/>
        <w:t>认和计量，在此基础上编制财务报表。</w:t>
      </w:r>
    </w:p>
    <w:p>
      <w:pPr>
        <w:spacing w:line="240" w:lineRule="auto" w:before="10"/>
        <w:rPr>
          <w:rFonts w:ascii="宋体" w:hAnsi="宋体" w:cs="宋体" w:eastAsia="宋体" w:hint="default"/>
          <w:sz w:val="23"/>
          <w:szCs w:val="23"/>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4" w:firstLine="360"/>
        <w:jc w:val="both"/>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877" w:footer="1274"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23"/>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spacing w:val="-2"/>
        </w:rPr>
        <w:t>对于同一控制下的企业合并，合并方在企业合并中取得的资产和负债，按照合并日在被合并方的账面价值计量。合并方</w:t>
      </w:r>
      <w:r>
        <w:rPr/>
        <w:t> </w:t>
      </w:r>
      <w:r>
        <w:rPr>
          <w:spacing w:val="-1"/>
        </w:rPr>
        <w:t>取得的净资产账面价值与支付的合并对价账面价值</w:t>
      </w:r>
      <w:r>
        <w:rPr>
          <w:rFonts w:ascii="Times New Roman" w:hAnsi="Times New Roman" w:cs="Times New Roman" w:eastAsia="Times New Roman" w:hint="default"/>
          <w:spacing w:val="-1"/>
        </w:rPr>
        <w:t>(</w:t>
      </w:r>
      <w:r>
        <w:rPr>
          <w:spacing w:val="-1"/>
        </w:rPr>
        <w:t>或发行股份面值总额</w:t>
      </w:r>
      <w:r>
        <w:rPr>
          <w:rFonts w:ascii="Times New Roman" w:hAnsi="Times New Roman" w:cs="Times New Roman" w:eastAsia="Times New Roman" w:hint="default"/>
          <w:spacing w:val="-1"/>
        </w:rPr>
        <w:t>)</w:t>
      </w:r>
      <w:r>
        <w:rPr>
          <w:spacing w:val="-1"/>
        </w:rPr>
        <w:t>的差额，调整资本公积；资本公积不足冲减的，调</w:t>
      </w:r>
      <w:r>
        <w:rPr>
          <w:spacing w:val="-58"/>
        </w:rPr>
        <w:t> </w:t>
      </w:r>
      <w:r>
        <w:rPr>
          <w:spacing w:val="-58"/>
        </w:rPr>
      </w:r>
      <w:r>
        <w:rPr/>
        <w:t>整留存收益。</w:t>
      </w:r>
    </w:p>
    <w:p>
      <w:pPr>
        <w:pStyle w:val="BodyText"/>
        <w:spacing w:line="319" w:lineRule="auto" w:before="24"/>
        <w:ind w:right="1132" w:firstLine="360"/>
        <w:jc w:val="both"/>
      </w:pPr>
      <w:r>
        <w:rPr>
          <w:spacing w:val="-2"/>
        </w:rPr>
        <w:t>被合并各方采用的会计政策与本公司不一致的，本公司在合并日按照本公司会计政策进行调整，在此基础上按照企业会</w:t>
      </w:r>
      <w:r>
        <w:rPr/>
        <w:t> 计准则规定确认。</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对于非同一控制下的企业合并，合并成本为购买方在购买日为取得对被购买方的控制权而付出的资产、发生或承担的负</w:t>
      </w:r>
      <w:r>
        <w:rPr/>
        <w:t> 债以及发行的权益性证券的公允价值。</w:t>
      </w:r>
    </w:p>
    <w:p>
      <w:pPr>
        <w:pStyle w:val="BodyText"/>
        <w:spacing w:line="240" w:lineRule="auto" w:before="19"/>
        <w:ind w:left="513" w:right="1123"/>
        <w:jc w:val="left"/>
      </w:pPr>
      <w:r>
        <w:rPr/>
        <w:t>通过多次交换交易分步实现的非同一控制下企业合并，区分个别财务报表和合并财务报表进行相关会计处理：</w:t>
      </w:r>
    </w:p>
    <w:p>
      <w:pPr>
        <w:pStyle w:val="BodyText"/>
        <w:spacing w:line="300" w:lineRule="auto" w:before="76"/>
        <w:ind w:right="1128" w:firstLine="360"/>
        <w:jc w:val="both"/>
      </w:pPr>
      <w:r>
        <w:rPr>
          <w:rFonts w:ascii="Times New Roman" w:hAnsi="Times New Roman" w:cs="Times New Roman" w:eastAsia="Times New Roman" w:hint="default"/>
        </w:rPr>
        <w:t>(1)</w:t>
      </w:r>
      <w:r>
        <w:rPr/>
        <w:t>在个别财务报表中，以购买日之前所持被购买方的股权投资的账面价值与购买日新增投资成本之和，作为该项投资</w:t>
      </w:r>
      <w:r>
        <w:rPr>
          <w:w w:val="99"/>
        </w:rPr>
        <w:t> </w:t>
      </w:r>
      <w:r>
        <w:rPr>
          <w:spacing w:val="-3"/>
          <w:w w:val="99"/>
        </w:rPr>
        <w:t>的初始投资成本；购买日之前持有的被购买方的股权涉及其他综合收益的，在处置该项投资时将与其相关的其他综合收益</w:t>
      </w:r>
      <w:r>
        <w:rPr>
          <w:rFonts w:ascii="Times New Roman" w:hAnsi="Times New Roman" w:cs="Times New Roman" w:eastAsia="Times New Roman" w:hint="default"/>
          <w:spacing w:val="-3"/>
          <w:w w:val="99"/>
        </w:rPr>
        <w:t>(</w:t>
      </w:r>
      <w:r>
        <w:rPr>
          <w:spacing w:val="-3"/>
          <w:w w:val="99"/>
        </w:rPr>
        <w:t>例</w:t>
      </w:r>
      <w:r>
        <w:rPr>
          <w:spacing w:val="-63"/>
          <w:w w:val="99"/>
        </w:rPr>
        <w:t> </w:t>
      </w:r>
      <w:r>
        <w:rPr/>
        <w:t>如，可供出售金融资产公允价值变动计入资本公积的部分，下同</w:t>
      </w:r>
      <w:r>
        <w:rPr>
          <w:rFonts w:ascii="Times New Roman" w:hAnsi="Times New Roman" w:cs="Times New Roman" w:eastAsia="Times New Roman" w:hint="default"/>
        </w:rPr>
        <w:t>)</w:t>
      </w:r>
      <w:r>
        <w:rPr/>
        <w:t>转入当期投资收益。</w:t>
      </w:r>
    </w:p>
    <w:p>
      <w:pPr>
        <w:pStyle w:val="BodyText"/>
        <w:spacing w:line="309" w:lineRule="auto" w:before="13"/>
        <w:ind w:right="1133" w:firstLine="360"/>
        <w:jc w:val="both"/>
      </w:pPr>
      <w:r>
        <w:rPr>
          <w:rFonts w:ascii="Times New Roman" w:hAnsi="Times New Roman" w:cs="Times New Roman" w:eastAsia="Times New Roman" w:hint="default"/>
        </w:rPr>
        <w:t>(2)</w:t>
      </w:r>
      <w:r>
        <w:rPr/>
        <w:t>在合并财务报表中，对于购买日之前持有的被购买方的股权，按照该股权在购买日的公允价值进行重新计量，公允</w:t>
      </w:r>
      <w:r>
        <w:rPr>
          <w:w w:val="99"/>
        </w:rPr>
        <w:t> </w:t>
      </w:r>
      <w:r>
        <w:rPr>
          <w:spacing w:val="-2"/>
        </w:rPr>
        <w:t>价值与其账面价值的差额计入当期投资收益；购买日之前持有的被购买方的股权涉及其他综合收益的，与其相关的其他综合</w:t>
      </w:r>
      <w:r>
        <w:rPr>
          <w:spacing w:val="-65"/>
        </w:rPr>
        <w:t> </w:t>
      </w:r>
      <w:r>
        <w:rPr>
          <w:spacing w:val="-65"/>
        </w:rPr>
      </w:r>
      <w:r>
        <w:rPr/>
        <w:t>收益转为购买日所属当期投资收益。</w:t>
      </w:r>
    </w:p>
    <w:p>
      <w:pPr>
        <w:pStyle w:val="BodyText"/>
        <w:spacing w:line="316" w:lineRule="auto" w:before="24"/>
        <w:ind w:right="1042" w:firstLine="360"/>
        <w:jc w:val="both"/>
      </w:pPr>
      <w:r>
        <w:rPr/>
        <w:t>购买方为进行企业合并发生的审计、法律服务、评估咨询等中介费用以及其他相关管理费用，于发生时计入当期损益； 购买方作为合并对价发行的权益性证券或债务性证券的交易费用，计入权益性证券或债务性证券的初始确认金额。</w:t>
      </w:r>
    </w:p>
    <w:p>
      <w:pPr>
        <w:pStyle w:val="BodyText"/>
        <w:spacing w:line="316" w:lineRule="auto" w:before="19"/>
        <w:ind w:right="1132" w:firstLine="360"/>
        <w:jc w:val="both"/>
      </w:pPr>
      <w:r>
        <w:rPr>
          <w:spacing w:val="-2"/>
        </w:rPr>
        <w:t>购买方对合并成本大于合并中取得的被购买方可辨认净资产公允价值份额的差额，确认为商誉。购买方对合并成本小于</w:t>
      </w:r>
      <w:r>
        <w:rPr/>
        <w:t> </w:t>
      </w:r>
      <w:r>
        <w:rPr>
          <w:spacing w:val="-2"/>
        </w:rPr>
        <w:t>合并中取得的被购买方可辨认净资产公允价值份额的，经复核后合并成本仍小于合并中取得的被购买方可辨认净资产公允价</w:t>
      </w:r>
      <w:r>
        <w:rPr>
          <w:spacing w:val="-64"/>
        </w:rPr>
        <w:t> </w:t>
      </w:r>
      <w:r>
        <w:rPr>
          <w:spacing w:val="-64"/>
        </w:rPr>
      </w:r>
      <w:r>
        <w:rPr/>
        <w:t>值份额的差额，计入当期损益。</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left="513" w:right="1123"/>
        <w:jc w:val="left"/>
      </w:pPr>
      <w:r>
        <w:rPr/>
        <w:t>本公司合并财务报表的合并范围以控制为基础确定，所有子公司均纳入合并财务报表。 </w:t>
      </w:r>
      <w:r>
        <w:rPr>
          <w:spacing w:val="-2"/>
        </w:rPr>
        <w:t>所有纳入合并财务报表合并范围的子公司所采用的会计政策、会计期间与公司一致，如子公司采用的会计政策、会计期</w:t>
      </w:r>
    </w:p>
    <w:p>
      <w:pPr>
        <w:pStyle w:val="BodyText"/>
        <w:spacing w:line="316" w:lineRule="auto" w:before="19"/>
        <w:ind w:left="513" w:right="1123" w:hanging="361"/>
        <w:jc w:val="left"/>
      </w:pPr>
      <w:r>
        <w:rPr/>
        <w:t>间与公司不一致的，在编制合并财务报表时，按公司的会计政策、会计期间进行必要的调整。 </w:t>
      </w:r>
      <w:r>
        <w:rPr>
          <w:spacing w:val="-2"/>
        </w:rPr>
        <w:t>合并财务报表以公司及子公司的财务报表为基础，根据其他有关资料，按照权益法调整对子公司的长期股权投资后，由</w:t>
      </w:r>
    </w:p>
    <w:p>
      <w:pPr>
        <w:pStyle w:val="BodyText"/>
        <w:spacing w:line="240" w:lineRule="auto" w:before="19"/>
        <w:ind w:right="1123"/>
        <w:jc w:val="left"/>
      </w:pPr>
      <w:r>
        <w:rPr/>
        <w:t>公司编制。</w:t>
      </w:r>
    </w:p>
    <w:p>
      <w:pPr>
        <w:pStyle w:val="BodyText"/>
        <w:spacing w:line="316" w:lineRule="auto" w:before="76"/>
        <w:ind w:right="1130" w:firstLine="360"/>
        <w:jc w:val="both"/>
      </w:pPr>
      <w:r>
        <w:rPr>
          <w:spacing w:val="-2"/>
        </w:rPr>
        <w:t>合并财务报表时抵销公司与各子公司、各子公司相互之间发生的内部交易对合并资产负债表、合并利润表、合并现金流</w:t>
      </w:r>
      <w:r>
        <w:rPr/>
        <w:t> 量表、合并所有者权益变动表的影响。</w:t>
      </w:r>
    </w:p>
    <w:p>
      <w:pPr>
        <w:pStyle w:val="BodyText"/>
        <w:spacing w:line="316" w:lineRule="auto" w:before="19"/>
        <w:ind w:right="1131" w:firstLine="360"/>
        <w:jc w:val="both"/>
      </w:pPr>
      <w:r>
        <w:rPr>
          <w:spacing w:val="-2"/>
        </w:rPr>
        <w:t>子公司少数股东分担的当期亏损超过了少数股东在该子公司期初所有者权益中所享有的份额的，其余额仍应当冲减少数</w:t>
      </w:r>
      <w:r>
        <w:rPr/>
        <w:t> 股东权益。</w:t>
      </w:r>
    </w:p>
    <w:p>
      <w:pPr>
        <w:pStyle w:val="BodyText"/>
        <w:spacing w:line="240" w:lineRule="auto" w:before="19"/>
        <w:ind w:left="513" w:right="0"/>
        <w:jc w:val="left"/>
      </w:pPr>
      <w:r>
        <w:rPr/>
        <w:t>在报告期内，若因同一控制下企业合并增加子公司的，则调整合并资产负债表的期初数；将子公司合并当期期初至报告</w:t>
      </w:r>
    </w:p>
    <w:p>
      <w:pPr>
        <w:spacing w:after="0" w:line="240" w:lineRule="auto"/>
        <w:jc w:val="left"/>
        <w:sectPr>
          <w:footerReference w:type="default" r:id="rId48"/>
          <w:pgSz w:w="11910" w:h="16840"/>
          <w:pgMar w:footer="1306" w:header="877" w:top="1060" w:bottom="1500" w:left="980" w:right="0"/>
          <w:pgNumType w:start="83"/>
        </w:sectPr>
      </w:pPr>
    </w:p>
    <w:p>
      <w:pPr>
        <w:spacing w:line="240" w:lineRule="auto" w:before="9"/>
        <w:rPr>
          <w:rFonts w:ascii="宋体" w:hAnsi="宋体" w:cs="宋体" w:eastAsia="宋体" w:hint="default"/>
          <w:sz w:val="25"/>
          <w:szCs w:val="25"/>
        </w:rPr>
      </w:pPr>
    </w:p>
    <w:p>
      <w:pPr>
        <w:pStyle w:val="BodyText"/>
        <w:spacing w:line="319" w:lineRule="auto" w:before="44"/>
        <w:ind w:left="513" w:right="1123" w:hanging="361"/>
        <w:jc w:val="left"/>
      </w:pPr>
      <w:r>
        <w:rPr/>
        <w:t>期末的收入、费用、利润纳入合并利润表；将子公司合并当期期初至报告期末的现金流量纳入合并现金流量表。 </w:t>
      </w:r>
      <w:r>
        <w:rPr>
          <w:spacing w:val="-2"/>
        </w:rPr>
        <w:t>在报告期内，若因非同一控制下企业合并增加子公司的，则不调整合并资产负债表期初数；将子公司自购买日至报告期</w:t>
      </w:r>
    </w:p>
    <w:p>
      <w:pPr>
        <w:pStyle w:val="BodyText"/>
        <w:spacing w:line="316" w:lineRule="auto" w:before="17"/>
        <w:ind w:left="513" w:right="1123" w:hanging="361"/>
        <w:jc w:val="left"/>
      </w:pPr>
      <w:r>
        <w:rPr/>
        <w:t>末的收入、费用、利润纳入合并利润表；该子公司自购买日至报告期末的现金流量纳入合并现金流量表。 </w:t>
      </w:r>
      <w:r>
        <w:rPr>
          <w:spacing w:val="-2"/>
        </w:rPr>
        <w:t>报告期内，公司处置子公司，则该子公司期初至处置日的收入、费用、利润纳入合并利润表；该子公司期初至处置日的</w:t>
      </w:r>
    </w:p>
    <w:p>
      <w:pPr>
        <w:pStyle w:val="BodyText"/>
        <w:spacing w:line="316" w:lineRule="auto" w:before="19"/>
        <w:ind w:left="513" w:right="1123" w:hanging="361"/>
        <w:jc w:val="left"/>
      </w:pPr>
      <w:r>
        <w:rPr/>
        <w:t>现金流量纳入合并现金流量表。 </w:t>
      </w:r>
      <w:r>
        <w:rPr>
          <w:spacing w:val="-2"/>
        </w:rPr>
        <w:t>企业因处置部分股权投资或其他原因丧失了对原有子公司控制权的，在合并财务报表中，对于剩余股权，应当按照其在</w:t>
      </w:r>
    </w:p>
    <w:p>
      <w:pPr>
        <w:pStyle w:val="BodyText"/>
        <w:spacing w:line="316" w:lineRule="auto" w:before="19"/>
        <w:ind w:right="1133"/>
        <w:jc w:val="both"/>
      </w:pP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子公司自购买日开始持续计算的净资产的份额之间的差额，计入丧失控制权当期的投资收益。与原有子公司股权投资相关的</w:t>
      </w:r>
      <w:r>
        <w:rPr>
          <w:spacing w:val="-64"/>
        </w:rPr>
        <w:t> </w:t>
      </w:r>
      <w:r>
        <w:rPr>
          <w:spacing w:val="-64"/>
        </w:rPr>
      </w:r>
      <w:r>
        <w:rPr/>
        <w:t>其他综合收益，应当在丧失控制权时转为当期投资收益。</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4" w:firstLine="360"/>
        <w:jc w:val="both"/>
      </w:pPr>
      <w:r>
        <w:rPr/>
        <w:t>在编制现金流量表时，将公司库存现金以及可以随时用于支付的存款确认为现金；将同时具备期限短</w:t>
      </w:r>
      <w:r>
        <w:rPr>
          <w:rFonts w:ascii="Times New Roman" w:hAnsi="Times New Roman" w:cs="Times New Roman" w:eastAsia="Times New Roman" w:hint="default"/>
        </w:rPr>
        <w:t>(</w:t>
      </w:r>
      <w:r>
        <w:rPr/>
        <w:t>从购买日起三个 月内到期</w:t>
      </w:r>
      <w:r>
        <w:rPr>
          <w:rFonts w:ascii="Times New Roman" w:hAnsi="Times New Roman" w:cs="Times New Roman" w:eastAsia="Times New Roman" w:hint="default"/>
        </w:rPr>
        <w:t>)</w:t>
      </w:r>
      <w:r>
        <w:rPr/>
        <w:t>、流动性强、易于转换为已知现金、价值变动风险很小四个条件的投资，确定为现金等价物。</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9" w:lineRule="auto"/>
        <w:ind w:left="513" w:right="1123"/>
        <w:jc w:val="left"/>
      </w:pPr>
      <w:r>
        <w:rPr/>
        <w:t>外币业务采用交易发生日的即期汇率作为折算汇率折合成人民币记账。 </w:t>
      </w:r>
      <w:r>
        <w:rPr>
          <w:spacing w:val="-2"/>
        </w:rPr>
        <w:t>外币货币性项目余额按资产负债表日即期汇率折算，由此产生的汇兑差额，除属于与购建符合资本化条件的资产相关的</w:t>
      </w:r>
    </w:p>
    <w:p>
      <w:pPr>
        <w:pStyle w:val="BodyText"/>
        <w:spacing w:line="316" w:lineRule="auto" w:before="17"/>
        <w:ind w:right="1034"/>
        <w:jc w:val="left"/>
      </w:pPr>
      <w:r>
        <w:rPr/>
        <w:t>外币专门借款产生的汇兑差额按照借款费用资本化的原则处理外，均计入当期损益。以历史成本计量的外币非货币性项目，</w:t>
      </w:r>
      <w:r>
        <w:rPr>
          <w:spacing w:val="-83"/>
        </w:rPr>
        <w:t> </w:t>
      </w:r>
      <w:r>
        <w:rPr>
          <w:spacing w:val="-83"/>
        </w:rPr>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的即期汇率折算，由此产生的汇兑差额计入当期损益或资本公积。</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3"/>
        </w:rPr>
        <w:t> </w:t>
      </w:r>
      <w:r>
        <w:rPr>
          <w:spacing w:val="-63"/>
        </w:rPr>
      </w:r>
      <w:r>
        <w:rPr/>
        <w:t>务报表折算差额，在资产负债表所有者权益项目下单独列示。</w:t>
      </w:r>
    </w:p>
    <w:p>
      <w:pPr>
        <w:pStyle w:val="BodyText"/>
        <w:spacing w:line="319" w:lineRule="auto" w:before="24"/>
        <w:ind w:right="1130" w:firstLine="360"/>
        <w:jc w:val="both"/>
      </w:pPr>
      <w:r>
        <w:rPr>
          <w:spacing w:val="-2"/>
        </w:rPr>
        <w:t>处置境外经营时，将资产负债表中所有者权益项目下列示的、与该境外经营相关的外币财务报表折算差额，自所有者权</w:t>
      </w:r>
      <w:r>
        <w:rPr/>
        <w:t> </w:t>
      </w:r>
      <w:r>
        <w:rPr>
          <w:spacing w:val="-5"/>
        </w:rPr>
        <w:t>益项目转入处置当期损益；部分处置境外经营的，按处置的比例计算处置部分的外币财务报表折算差额，转入处置当期损益。</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3"/>
        <w:jc w:val="left"/>
      </w:pPr>
      <w:r>
        <w:rPr/>
        <w:t>金融工具包括金融资产、金融负债和权益工具。</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t>管理层按照取得持有金融资产和承担金融负债的目的，将其划分为：以公允价值计量且其变动计入当期损益的金融资产 </w:t>
      </w:r>
      <w:r>
        <w:rPr>
          <w:spacing w:val="-1"/>
        </w:rPr>
        <w:t>或金融负债，包括交易性金融资产或金融负债</w:t>
      </w:r>
      <w:r>
        <w:rPr>
          <w:rFonts w:ascii="Times New Roman" w:hAnsi="Times New Roman" w:cs="Times New Roman" w:eastAsia="Times New Roman" w:hint="default"/>
          <w:spacing w:val="-1"/>
        </w:rPr>
        <w:t>(</w:t>
      </w:r>
      <w:r>
        <w:rPr>
          <w:spacing w:val="-1"/>
        </w:rPr>
        <w:t>和直接指定为以公允价值计量且其变动计入当期损益的金融资产或金融负债</w:t>
      </w:r>
      <w:r>
        <w:rPr>
          <w:rFonts w:ascii="Times New Roman" w:hAnsi="Times New Roman" w:cs="Times New Roman" w:eastAsia="Times New Roman" w:hint="default"/>
          <w:spacing w:val="-1"/>
        </w:rPr>
        <w:t>)</w:t>
      </w:r>
      <w:r>
        <w:rPr>
          <w:spacing w:val="-1"/>
        </w:rPr>
        <w:t>；</w:t>
      </w:r>
    </w:p>
    <w:p>
      <w:pPr>
        <w:spacing w:after="0" w:line="316" w:lineRule="auto"/>
        <w:jc w:val="left"/>
        <w:sectPr>
          <w:pgSz w:w="11910" w:h="16840"/>
          <w:pgMar w:header="877" w:footer="1306"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持有至到期投资；应收款项；可供出售金融资产；其他金融负债等。</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以公允价值计量且其变动计入当期损益的金融资产</w:t>
      </w:r>
      <w:r>
        <w:rPr>
          <w:rFonts w:ascii="Times New Roman" w:hAnsi="Times New Roman" w:cs="Times New Roman" w:eastAsia="Times New Roman" w:hint="default"/>
        </w:rPr>
        <w:t>(</w:t>
      </w:r>
      <w:r>
        <w:rPr/>
        <w:t>金融负债</w:t>
      </w:r>
      <w:r>
        <w:rPr>
          <w:rFonts w:ascii="Times New Roman" w:hAnsi="Times New Roman" w:cs="Times New Roman" w:eastAsia="Times New Roman" w:hint="default"/>
        </w:rPr>
        <w:t>)</w:t>
      </w:r>
    </w:p>
    <w:p>
      <w:pPr>
        <w:pStyle w:val="BodyText"/>
        <w:spacing w:line="300" w:lineRule="auto" w:before="63"/>
        <w:ind w:right="1123" w:firstLine="360"/>
        <w:jc w:val="left"/>
      </w:pPr>
      <w:r>
        <w:rPr>
          <w:spacing w:val="-1"/>
        </w:rPr>
        <w:t>取得时以公允价值</w:t>
      </w:r>
      <w:r>
        <w:rPr>
          <w:rFonts w:ascii="Times New Roman" w:hAnsi="Times New Roman" w:cs="Times New Roman" w:eastAsia="Times New Roman" w:hint="default"/>
          <w:spacing w:val="-1"/>
        </w:rPr>
        <w:t>(</w:t>
      </w:r>
      <w:r>
        <w:rPr>
          <w:spacing w:val="-1"/>
        </w:rPr>
        <w:t>扣除已宣告但尚未发放的现金股利或已到付息期但尚未领取的债券利息</w:t>
      </w:r>
      <w:r>
        <w:rPr>
          <w:rFonts w:ascii="Times New Roman" w:hAnsi="Times New Roman" w:cs="Times New Roman" w:eastAsia="Times New Roman" w:hint="default"/>
          <w:spacing w:val="-1"/>
        </w:rPr>
        <w:t>)</w:t>
      </w:r>
      <w:r>
        <w:rPr>
          <w:spacing w:val="-1"/>
        </w:rPr>
        <w:t>作为初始确认金额，相关的</w:t>
      </w:r>
      <w:r>
        <w:rPr/>
        <w:t> 交易费用计入当期损益。</w:t>
      </w:r>
    </w:p>
    <w:p>
      <w:pPr>
        <w:pStyle w:val="BodyText"/>
        <w:spacing w:line="312" w:lineRule="auto" w:before="31"/>
        <w:ind w:left="513" w:right="2533"/>
        <w:jc w:val="left"/>
      </w:pPr>
      <w:r>
        <w:rPr/>
        <w:t>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(2)</w:t>
      </w:r>
      <w:r>
        <w:rPr/>
        <w:t>持有至到期投资 取得时按公允价值</w:t>
      </w:r>
      <w:r>
        <w:rPr>
          <w:rFonts w:ascii="Times New Roman" w:hAnsi="Times New Roman" w:cs="Times New Roman" w:eastAsia="Times New Roman" w:hint="default"/>
        </w:rPr>
        <w:t>(</w:t>
      </w:r>
      <w:r>
        <w:rPr/>
        <w:t>扣除已到付息期但尚未领取的债券利息</w:t>
      </w:r>
      <w:r>
        <w:rPr>
          <w:rFonts w:ascii="Times New Roman" w:hAnsi="Times New Roman" w:cs="Times New Roman" w:eastAsia="Times New Roman" w:hint="default"/>
        </w:rPr>
        <w:t>)</w:t>
      </w:r>
      <w:r>
        <w:rPr/>
        <w:t>和相关交易费用之和作为初始确认金额。</w:t>
      </w:r>
    </w:p>
    <w:p>
      <w:pPr>
        <w:pStyle w:val="BodyText"/>
        <w:spacing w:line="319" w:lineRule="auto" w:before="3"/>
        <w:ind w:right="1123"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7"/>
        <w:ind w:left="513" w:right="1123"/>
        <w:jc w:val="left"/>
      </w:pPr>
      <w:r>
        <w:rPr/>
        <w:t>处置时，将所取得价款与该投资账面价值之间的差额计入投资收益。</w:t>
      </w:r>
    </w:p>
    <w:p>
      <w:pPr>
        <w:pStyle w:val="BodyText"/>
        <w:spacing w:line="300" w:lineRule="auto" w:before="76"/>
        <w:ind w:left="513" w:right="1123"/>
        <w:jc w:val="left"/>
      </w:pPr>
      <w:r>
        <w:rPr>
          <w:rFonts w:ascii="Times New Roman" w:hAnsi="Times New Roman" w:cs="Times New Roman" w:eastAsia="Times New Roman" w:hint="default"/>
        </w:rPr>
        <w:t>(3)</w:t>
      </w:r>
      <w:r>
        <w:rPr/>
        <w:t>应收款项</w:t>
      </w:r>
      <w:r>
        <w:rPr>
          <w:w w:val="99"/>
        </w:rPr>
        <w:t> </w:t>
      </w:r>
      <w:r>
        <w:rPr>
          <w:spacing w:val="-2"/>
          <w:w w:val="99"/>
        </w:rPr>
        <w:t>公司对外销售商品或提供劳务形成的应收债权，以及公司持有的其他企业的不包括在活跃市场上有报价的债务工具的债</w:t>
      </w:r>
      <w:r>
        <w:rPr>
          <w:spacing w:val="-2"/>
        </w:rPr>
      </w:r>
    </w:p>
    <w:p>
      <w:pPr>
        <w:pStyle w:val="BodyText"/>
        <w:spacing w:line="316" w:lineRule="auto" w:before="31"/>
        <w:ind w:right="1123"/>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1123"/>
        <w:jc w:val="left"/>
      </w:pPr>
      <w:r>
        <w:rPr/>
        <w:t>收回或处置时，将取得的价款与该应收款项账面价值之间的差额计入当期损益。</w:t>
      </w:r>
    </w:p>
    <w:p>
      <w:pPr>
        <w:pStyle w:val="BodyText"/>
        <w:spacing w:line="240" w:lineRule="auto" w:before="76"/>
        <w:ind w:left="513" w:right="1123"/>
        <w:jc w:val="left"/>
      </w:pPr>
      <w:r>
        <w:rPr>
          <w:rFonts w:ascii="Times New Roman" w:hAnsi="Times New Roman" w:cs="Times New Roman" w:eastAsia="Times New Roman" w:hint="default"/>
        </w:rPr>
        <w:t>(4)</w:t>
      </w:r>
      <w:r>
        <w:rPr/>
        <w:t>可供出售金融资产</w:t>
      </w:r>
    </w:p>
    <w:p>
      <w:pPr>
        <w:pStyle w:val="BodyText"/>
        <w:spacing w:line="300" w:lineRule="auto" w:before="63"/>
        <w:ind w:right="1123" w:firstLine="360"/>
        <w:jc w:val="left"/>
      </w:pPr>
      <w:r>
        <w:rPr>
          <w:spacing w:val="2"/>
        </w:rPr>
        <w:t>取得时按公允价值</w:t>
      </w:r>
      <w:r>
        <w:rPr>
          <w:rFonts w:ascii="Times New Roman" w:hAnsi="Times New Roman" w:cs="Times New Roman" w:eastAsia="Times New Roman" w:hint="default"/>
          <w:spacing w:val="2"/>
        </w:rPr>
        <w:t>(</w:t>
      </w:r>
      <w:r>
        <w:rPr>
          <w:spacing w:val="2"/>
        </w:rPr>
        <w:t>扣除已宣告但尚未发放的现金股利或已到付息期但尚未领取的债券利息</w:t>
      </w:r>
      <w:r>
        <w:rPr>
          <w:rFonts w:ascii="Times New Roman" w:hAnsi="Times New Roman" w:cs="Times New Roman" w:eastAsia="Times New Roman" w:hint="default"/>
          <w:spacing w:val="2"/>
        </w:rPr>
        <w:t>)</w:t>
      </w:r>
      <w:r>
        <w:rPr>
          <w:spacing w:val="2"/>
        </w:rPr>
        <w:t>和相关交易费用之和作为</w:t>
      </w:r>
      <w:r>
        <w:rPr/>
        <w:t> 初始确认金额。</w:t>
      </w:r>
    </w:p>
    <w:p>
      <w:pPr>
        <w:pStyle w:val="BodyText"/>
        <w:spacing w:line="300" w:lineRule="auto" w:before="31"/>
        <w:ind w:right="1123" w:firstLine="360"/>
        <w:jc w:val="left"/>
      </w:pPr>
      <w:r>
        <w:rPr/>
        <w:t>持有期间将取得的利息或现金股利确认为投资收益。期末以公允价值计量且将公允价值变动计入资本公积</w:t>
      </w:r>
      <w:r>
        <w:rPr>
          <w:rFonts w:ascii="Times New Roman" w:hAnsi="Times New Roman" w:cs="Times New Roman" w:eastAsia="Times New Roman" w:hint="default"/>
        </w:rPr>
        <w:t>(</w:t>
      </w:r>
      <w:r>
        <w:rPr/>
        <w:t>其他资本公 积</w:t>
      </w:r>
      <w:r>
        <w:rPr>
          <w:rFonts w:ascii="Times New Roman" w:hAnsi="Times New Roman" w:cs="Times New Roman" w:eastAsia="Times New Roman" w:hint="default"/>
        </w:rPr>
        <w:t>)</w:t>
      </w:r>
      <w:r>
        <w:rPr/>
        <w:t>。</w:t>
      </w:r>
    </w:p>
    <w:p>
      <w:pPr>
        <w:pStyle w:val="BodyText"/>
        <w:spacing w:line="316" w:lineRule="auto" w:before="13"/>
        <w:ind w:right="1123"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pStyle w:val="BodyText"/>
        <w:spacing w:line="300" w:lineRule="auto" w:before="19"/>
        <w:ind w:left="513" w:right="3733"/>
        <w:jc w:val="left"/>
      </w:pPr>
      <w:r>
        <w:rPr>
          <w:rFonts w:ascii="Times New Roman" w:hAnsi="Times New Roman" w:cs="Times New Roman" w:eastAsia="Times New Roman" w:hint="default"/>
        </w:rPr>
        <w:t>(5)</w:t>
      </w:r>
      <w:r>
        <w:rPr/>
        <w:t>其他金融负债</w:t>
      </w:r>
      <w:r>
        <w:rPr>
          <w:w w:val="99"/>
        </w:rPr>
        <w:t> </w:t>
      </w:r>
      <w:r>
        <w:rPr/>
        <w:t>按其公允价值和相关交易费用之和作为初始确认金额。采用摊余成本进行后续计量。</w:t>
      </w:r>
    </w:p>
    <w:p>
      <w:pPr>
        <w:spacing w:line="240" w:lineRule="auto" w:before="10"/>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3"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1123"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300" w:lineRule="auto" w:before="19"/>
        <w:ind w:left="513" w:right="4063"/>
        <w:jc w:val="left"/>
      </w:pPr>
      <w:r>
        <w:rPr>
          <w:rFonts w:ascii="Times New Roman" w:hAnsi="Times New Roman" w:cs="Times New Roman" w:eastAsia="Times New Roman" w:hint="default"/>
        </w:rPr>
        <w:t>(1)</w:t>
      </w:r>
      <w:r>
        <w:rPr/>
        <w:t>所转移金融资产的账面价值；</w:t>
      </w:r>
      <w:r>
        <w:rPr>
          <w:w w:val="99"/>
        </w:rPr>
        <w:t> </w:t>
      </w:r>
      <w:r>
        <w:rPr>
          <w:rFonts w:ascii="Times New Roman" w:hAnsi="Times New Roman" w:cs="Times New Roman" w:eastAsia="Times New Roman" w:hint="default"/>
        </w:rPr>
        <w:t>(2)</w:t>
      </w:r>
      <w:r>
        <w:rPr/>
        <w:t>因转移而收到的对价，与原直接计入所有者权益的公允价值变动累计额之和。</w:t>
      </w:r>
    </w:p>
    <w:p>
      <w:pPr>
        <w:pStyle w:val="BodyText"/>
        <w:spacing w:line="316" w:lineRule="auto" w:before="13"/>
        <w:ind w:left="513" w:right="1033"/>
        <w:jc w:val="left"/>
      </w:pPr>
      <w:r>
        <w:rPr/>
        <w:t>金融资产部分转移满足终止确认条件的，将所转移金融资产整体的账面价值，在终止确认部分和未终止确认部分之间，</w:t>
      </w:r>
      <w:r>
        <w:rPr>
          <w:spacing w:val="-85"/>
        </w:rPr>
        <w:t> </w:t>
      </w:r>
      <w:r>
        <w:rPr>
          <w:spacing w:val="-85"/>
        </w:rPr>
      </w:r>
      <w:r>
        <w:rPr/>
        <w:t>按照各自的相对公允价值进行分摊，并将下列两项金额的差额计入当期损益：</w:t>
      </w:r>
    </w:p>
    <w:p>
      <w:pPr>
        <w:pStyle w:val="BodyText"/>
        <w:spacing w:line="300" w:lineRule="auto" w:before="19"/>
        <w:ind w:left="513" w:right="1903"/>
        <w:jc w:val="left"/>
      </w:pPr>
      <w:r>
        <w:rPr>
          <w:rFonts w:ascii="Times New Roman" w:hAnsi="Times New Roman" w:cs="Times New Roman" w:eastAsia="Times New Roman" w:hint="default"/>
        </w:rPr>
        <w:t>(1)</w:t>
      </w:r>
      <w:r>
        <w:rPr/>
        <w:t>终止确认部分的账面价值；</w:t>
      </w:r>
      <w:r>
        <w:rPr>
          <w:w w:val="99"/>
        </w:rPr>
        <w:t> </w:t>
      </w:r>
      <w:r>
        <w:rPr>
          <w:rFonts w:ascii="Times New Roman" w:hAnsi="Times New Roman" w:cs="Times New Roman" w:eastAsia="Times New Roman" w:hint="default"/>
        </w:rPr>
        <w:t>(2)</w:t>
      </w:r>
      <w:r>
        <w:rPr/>
        <w:t>终止确认部分的对价，与原直接计入所有者权益的公允价值变动累计额中对应终止确认部分的金额之和。</w:t>
      </w:r>
      <w:r>
        <w:rPr>
          <w:w w:val="99"/>
        </w:rPr>
        <w:t> </w:t>
      </w:r>
      <w:r>
        <w:rPr/>
        <w:t>金融资产转移不满足终止确认条件的，继续确认该金融资产，所收到的对价确认为一项金融负债。</w:t>
      </w:r>
    </w:p>
    <w:p>
      <w:pPr>
        <w:spacing w:after="0" w:line="30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金融负债的现时义务全部或部分已经解除的，则终止确认该金融负债或其一部分；公司若与债权人签定协议，以承担新</w:t>
      </w:r>
      <w:r>
        <w:rPr/>
        <w:t> </w:t>
      </w:r>
      <w:r>
        <w:rPr>
          <w:spacing w:val="-2"/>
        </w:rPr>
        <w:t>金融负债方式替换现存金融负债，且新金融负债与现存金融负债的合同条款实质上不同的，则终止确认现存金融负债，并同</w:t>
      </w:r>
      <w:r>
        <w:rPr>
          <w:spacing w:val="-65"/>
        </w:rPr>
        <w:t> </w:t>
      </w:r>
      <w:r>
        <w:rPr>
          <w:spacing w:val="-65"/>
        </w:rPr>
      </w:r>
      <w:r>
        <w:rPr/>
        <w:t>时确认新金融负债。</w:t>
      </w:r>
    </w:p>
    <w:p>
      <w:pPr>
        <w:pStyle w:val="BodyText"/>
        <w:spacing w:line="316" w:lineRule="auto" w:before="19"/>
        <w:ind w:right="1132"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00" w:lineRule="auto" w:before="19"/>
        <w:ind w:right="1137" w:firstLine="360"/>
        <w:jc w:val="both"/>
      </w:pPr>
      <w:r>
        <w:rPr/>
        <w:t>金融负债全部或部分终止确认时，终止确认的金融负债账面价值与支付对价</w:t>
      </w:r>
      <w:r>
        <w:rPr>
          <w:rFonts w:ascii="Times New Roman" w:hAnsi="Times New Roman" w:cs="Times New Roman" w:eastAsia="Times New Roman" w:hint="default"/>
        </w:rPr>
        <w:t>(</w:t>
      </w:r>
      <w:r>
        <w:rPr/>
        <w:t>包括转出的非现金资产或承担的新金融负 债</w:t>
      </w:r>
      <w:r>
        <w:rPr>
          <w:rFonts w:ascii="Times New Roman" w:hAnsi="Times New Roman" w:cs="Times New Roman" w:eastAsia="Times New Roman" w:hint="default"/>
        </w:rPr>
        <w:t>)</w:t>
      </w:r>
      <w:r>
        <w:rPr/>
        <w:t>之间的差额，计入当期损益。</w:t>
      </w:r>
    </w:p>
    <w:p>
      <w:pPr>
        <w:pStyle w:val="BodyText"/>
        <w:spacing w:line="309" w:lineRule="auto" w:before="13"/>
        <w:ind w:right="1131" w:firstLine="360"/>
        <w:jc w:val="both"/>
      </w:pPr>
      <w:r>
        <w:rPr>
          <w:spacing w:val="-2"/>
        </w:rPr>
        <w:t>公司若回购部分金融负债的，在回购日按照继续确认部分与终止确认部分的相对公允价值，将该金融负债整体的账面价</w:t>
      </w:r>
      <w:r>
        <w:rPr/>
        <w:t> </w:t>
      </w:r>
      <w:r>
        <w:rPr>
          <w:spacing w:val="-1"/>
        </w:rPr>
        <w:t>值进行分配。分配给终止确认部分的账面价值与支付的对价</w:t>
      </w:r>
      <w:r>
        <w:rPr>
          <w:rFonts w:ascii="Times New Roman" w:hAnsi="Times New Roman" w:cs="Times New Roman" w:eastAsia="Times New Roman" w:hint="default"/>
          <w:spacing w:val="-1"/>
        </w:rPr>
        <w:t>(</w:t>
      </w:r>
      <w:r>
        <w:rPr>
          <w:spacing w:val="-1"/>
        </w:rPr>
        <w:t>包括转出的非现金资产或承担的新金融负债</w:t>
      </w:r>
      <w:r>
        <w:rPr>
          <w:rFonts w:ascii="Times New Roman" w:hAnsi="Times New Roman" w:cs="Times New Roman" w:eastAsia="Times New Roman" w:hint="default"/>
          <w:spacing w:val="-1"/>
        </w:rPr>
        <w:t>)</w:t>
      </w:r>
      <w:r>
        <w:rPr>
          <w:spacing w:val="-1"/>
        </w:rPr>
        <w:t>之间的差额，计入</w:t>
      </w:r>
      <w:r>
        <w:rPr>
          <w:spacing w:val="-57"/>
        </w:rPr>
        <w:t> </w:t>
      </w:r>
      <w:r>
        <w:rPr>
          <w:spacing w:val="-57"/>
        </w:rPr>
      </w:r>
      <w:r>
        <w:rPr/>
        <w:t>当期损益。</w:t>
      </w:r>
    </w:p>
    <w:p>
      <w:pPr>
        <w:spacing w:line="240" w:lineRule="auto" w:before="3"/>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132" w:firstLine="360"/>
        <w:jc w:val="both"/>
      </w:pPr>
      <w:r>
        <w:rPr>
          <w:spacing w:val="-2"/>
        </w:rPr>
        <w:t>本公司采用公允价值计量的金融资产和金融负债存在活跃市场的金融资产或金融负债，以活跃市场的报价确定其公允价</w:t>
      </w:r>
      <w:r>
        <w:rPr/>
        <w:t> 值；不存在活跃市场的金融资产或金融负债，采用估值技术</w:t>
      </w:r>
      <w:r>
        <w:rPr>
          <w:rFonts w:ascii="Times New Roman" w:hAnsi="Times New Roman" w:cs="Times New Roman" w:eastAsia="Times New Roman" w:hint="default"/>
        </w:rPr>
        <w:t>(</w:t>
      </w:r>
      <w:r>
        <w:rPr/>
        <w:t>包括参考熟悉情况并自愿交易的各方最近进行的市场交易中使</w:t>
      </w:r>
      <w:r>
        <w:rPr>
          <w:spacing w:val="-57"/>
        </w:rPr>
        <w:t> </w:t>
      </w:r>
      <w:r>
        <w:rPr>
          <w:spacing w:val="-57"/>
        </w:rPr>
      </w:r>
      <w:r>
        <w:rPr/>
        <w:t>用的价格、参照实质上相同的其他金融工具的当前公允价值、现金流量折现法和期权定价模型等</w:t>
      </w:r>
      <w:r>
        <w:rPr>
          <w:rFonts w:ascii="Times New Roman" w:hAnsi="Times New Roman" w:cs="Times New Roman" w:eastAsia="Times New Roman" w:hint="default"/>
        </w:rPr>
        <w:t>)</w:t>
      </w:r>
      <w:r>
        <w:rPr/>
        <w:t>确定其公允价值；初始取</w:t>
      </w:r>
      <w:r>
        <w:rPr>
          <w:spacing w:val="-55"/>
        </w:rPr>
        <w:t> </w:t>
      </w:r>
      <w:r>
        <w:rPr>
          <w:spacing w:val="-55"/>
        </w:rPr>
      </w:r>
      <w:r>
        <w:rPr/>
        <w:t>得或源生的金融资产或承担的金融负债，以市场交易价格作为确定其公允价值的基础。</w:t>
      </w:r>
    </w:p>
    <w:p>
      <w:pPr>
        <w:spacing w:line="240" w:lineRule="auto" w:before="4"/>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资产负债表日对以公允价值计量且其变动计入当期损益的金融资产以外的金融资产的账面价值进行检查，如有客观证据</w:t>
      </w:r>
      <w:r>
        <w:rPr/>
        <w:t> 表明该金融资产发生减值的，计提减值准备。</w:t>
      </w:r>
    </w:p>
    <w:p>
      <w:pPr>
        <w:pStyle w:val="BodyText"/>
        <w:spacing w:line="300" w:lineRule="auto" w:before="19"/>
        <w:ind w:left="513" w:right="1123"/>
        <w:jc w:val="left"/>
      </w:pPr>
      <w:r>
        <w:rPr>
          <w:rFonts w:ascii="Times New Roman" w:hAnsi="Times New Roman" w:cs="Times New Roman" w:eastAsia="Times New Roman" w:hint="default"/>
        </w:rPr>
        <w:t>(1)</w:t>
      </w:r>
      <w:r>
        <w:rPr/>
        <w:t>可供出售金融资产的减值准备：</w:t>
      </w:r>
      <w:r>
        <w:rPr>
          <w:w w:val="99"/>
        </w:rPr>
        <w:t> </w:t>
      </w:r>
      <w:r>
        <w:rPr>
          <w:spacing w:val="-2"/>
        </w:rPr>
        <w:t>期末如果可供出售金融资产的公允价值发生较大幅度下降，或在综合考虑各种相关因素后，预期这种下降趋势属于非暂</w:t>
      </w:r>
    </w:p>
    <w:p>
      <w:pPr>
        <w:pStyle w:val="BodyText"/>
        <w:spacing w:line="309" w:lineRule="auto" w:before="31"/>
        <w:ind w:left="513" w:right="1123" w:hanging="361"/>
        <w:jc w:val="left"/>
      </w:pPr>
      <w:r>
        <w:rPr/>
        <w:t>时性的，就认定其已发生减值，将原直接计入所有者权益的公允价值下降形成的累计损失一并转出，确认减值损失。 </w:t>
      </w:r>
      <w:r>
        <w:rPr>
          <w:rFonts w:ascii="Times New Roman" w:hAnsi="Times New Roman" w:cs="Times New Roman" w:eastAsia="Times New Roman"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316" w:lineRule="auto" w:before="24"/>
        <w:ind w:right="1123"/>
        <w:jc w:val="left"/>
      </w:pPr>
      <w:r>
        <w:rPr>
          <w:spacing w:val="-2"/>
        </w:rPr>
        <w:t>值损失；计提后如有证据表明其价值已恢复，原确认的减值损失可予以转回，记入当期损益，但该转回的账面价值不超过假</w:t>
      </w:r>
      <w:r>
        <w:rPr>
          <w:spacing w:val="-65"/>
        </w:rPr>
        <w:t> </w:t>
      </w:r>
      <w:r>
        <w:rPr>
          <w:spacing w:val="-65"/>
        </w:rPr>
      </w:r>
      <w:r>
        <w:rPr/>
        <w:t>定不计提减值准备情况下该金融资产在转回日的摊余成本。</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本公司应收款项（包括应收账款和其他应收款等）按合同或协议价款作为初始入账金额。凡因债务人破产，依照法律清</w:t>
      </w:r>
      <w:r>
        <w:rPr/>
        <w:t> </w:t>
      </w:r>
      <w:r>
        <w:rPr>
          <w:spacing w:val="-2"/>
        </w:rPr>
        <w:t>偿程序清偿后仍无法收回；或因债务人死亡，既无遗产可供清偿，又无义务承担人，确实无法收回；或因债务人逾期未能履</w:t>
      </w:r>
      <w:r>
        <w:rPr>
          <w:spacing w:val="-66"/>
        </w:rPr>
        <w:t> </w:t>
      </w:r>
      <w:r>
        <w:rPr>
          <w:spacing w:val="-66"/>
        </w:rPr>
      </w:r>
      <w:r>
        <w:rPr/>
        <w:t>行偿债义务，经法定程序审核批准，该等应收账款列为坏账损失。</w:t>
      </w:r>
    </w:p>
    <w:p>
      <w:pPr>
        <w:pStyle w:val="BodyText"/>
        <w:spacing w:line="316" w:lineRule="auto" w:before="19"/>
        <w:ind w:right="1130" w:firstLine="360"/>
        <w:jc w:val="both"/>
      </w:pPr>
      <w:r>
        <w:rPr>
          <w:spacing w:val="-2"/>
        </w:rPr>
        <w:t>本公司以应收债权向银行等金融机构转让、质押或贴现等方式融资时，根据相关合同的约定，当债务人到期未偿还该项</w:t>
      </w:r>
      <w:r>
        <w:rPr/>
        <w:t> </w:t>
      </w:r>
      <w:r>
        <w:rPr>
          <w:spacing w:val="-2"/>
        </w:rPr>
        <w:t>债务时，若本公司负有向金融机构还款的责任，则该应收债权作为质押贷款处理；若本公司没有向金融机构还款的责任，则</w:t>
      </w:r>
      <w:r>
        <w:rPr>
          <w:spacing w:val="-64"/>
        </w:rPr>
        <w:t> </w:t>
      </w:r>
      <w:r>
        <w:rPr>
          <w:spacing w:val="-64"/>
        </w:rPr>
      </w:r>
      <w:r>
        <w:rPr/>
        <w:t>该应收债权作为转让处理，并确认债权的转让损益。</w:t>
      </w:r>
    </w:p>
    <w:p>
      <w:pPr>
        <w:pStyle w:val="BodyText"/>
        <w:spacing w:line="240" w:lineRule="auto" w:before="19"/>
        <w:ind w:left="513" w:right="1123"/>
        <w:jc w:val="left"/>
      </w:pPr>
      <w:r>
        <w:rPr/>
        <w:t>本公司收回应收款项时，将取得的价款和应收款项账面价值之间的差额计入当期损益。</w:t>
      </w:r>
    </w:p>
    <w:p>
      <w:pPr>
        <w:spacing w:after="0" w:line="24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66"/>
        <w:gridCol w:w="4503"/>
      </w:tblGrid>
      <w:tr>
        <w:trPr>
          <w:trHeight w:val="713"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应收账款单项金额重大是指人民币超过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万元。其他应</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收款单项金额重大是指人民币超过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价值的差额计提坏账准备，计入当期损益。</w:t>
            </w:r>
          </w:p>
        </w:tc>
      </w:tr>
    </w:tbl>
    <w:p>
      <w:pPr>
        <w:spacing w:line="240" w:lineRule="auto" w:before="3"/>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按账龄分析法划分为若干组合</w:t>
            </w:r>
          </w:p>
        </w:tc>
        <w:tc>
          <w:tcPr>
            <w:tcW w:w="2187" w:type="dxa"/>
            <w:tcBorders>
              <w:top w:val="single" w:sz="4" w:space="0" w:color="000000"/>
              <w:left w:val="single" w:sz="4" w:space="0" w:color="000000"/>
              <w:bottom w:val="single" w:sz="4" w:space="0" w:color="000000"/>
              <w:right w:val="single" w:sz="10" w:space="0" w:color="C6ECCC"/>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按应收款项组合余额的一定比例计算确定减值损失，计提坏 账准备，计入当期损益。</w:t>
            </w:r>
          </w:p>
        </w:tc>
      </w:tr>
    </w:tbl>
    <w:p>
      <w:pPr>
        <w:pStyle w:val="BodyText"/>
        <w:spacing w:line="240" w:lineRule="auto" w:before="49"/>
        <w:ind w:right="1123"/>
        <w:jc w:val="left"/>
      </w:pPr>
      <w:r>
        <w:rPr/>
        <w:t>组合中，采用账龄分析法计提坏账准备的</w:t>
      </w:r>
    </w:p>
    <w:p>
      <w:pPr>
        <w:pStyle w:val="BodyText"/>
        <w:spacing w:line="240" w:lineRule="auto" w:before="117"/>
        <w:ind w:right="1123"/>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123"/>
        <w:jc w:val="left"/>
      </w:pPr>
      <w:r>
        <w:rPr/>
        <w:t>组合中，采用余额百分比法计提坏账准备的</w:t>
      </w:r>
    </w:p>
    <w:p>
      <w:pPr>
        <w:pStyle w:val="BodyText"/>
        <w:spacing w:line="360" w:lineRule="auto" w:before="115"/>
        <w:ind w:right="7694"/>
        <w:jc w:val="left"/>
      </w:pPr>
      <w:r>
        <w:rPr/>
        <w:t>□ 适用 √</w:t>
      </w:r>
      <w:r>
        <w:rPr>
          <w:spacing w:val="3"/>
        </w:rPr>
        <w:t> </w:t>
      </w:r>
      <w:r>
        <w:rPr/>
        <w:t>不适用</w:t>
      </w:r>
      <w:r>
        <w:rPr/>
        <w:t> 组合中，采用其他方法计提坏账准备的</w:t>
      </w:r>
    </w:p>
    <w:p>
      <w:pPr>
        <w:pStyle w:val="BodyText"/>
        <w:spacing w:line="240" w:lineRule="auto" w:before="25"/>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有客观证据表明可能发生了减值，如债务人出现撤销、破产或死亡，以其破产 财产或遗产清偿后，仍不能收回、现金流量严重不足等情况的。</w:t>
            </w:r>
          </w:p>
        </w:tc>
      </w:tr>
      <w:tr>
        <w:trPr>
          <w:trHeight w:val="716"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 单独进行减值测试，确认减值损失。</w:t>
            </w:r>
          </w:p>
        </w:tc>
      </w:tr>
    </w:tbl>
    <w:p>
      <w:pPr>
        <w:spacing w:line="240" w:lineRule="auto" w:before="3"/>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123" w:firstLine="360"/>
        <w:jc w:val="left"/>
      </w:pPr>
      <w:r>
        <w:rPr>
          <w:spacing w:val="-2"/>
        </w:rPr>
        <w:t>存货是指本公司在日常活动中持有以备出售的产成品或商品、处在生产过程中的在产品、在生产过程或提供劳务过程中</w:t>
      </w:r>
      <w:r>
        <w:rPr/>
        <w:t> 耗用的材料和物料等。存货分类为：在途物资、原材料、周转材料、库存商品、在产品、发出商品、委托加工物资等。</w:t>
      </w:r>
    </w:p>
    <w:p>
      <w:pPr>
        <w:spacing w:after="0" w:line="316"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513" w:right="1123" w:hanging="361"/>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513" w:right="7513"/>
        <w:jc w:val="left"/>
      </w:pPr>
      <w:r>
        <w:rPr/>
        <w:t>计价方法：加权平均法 存货发出时按月末加权平均法计价。</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360"/>
        <w:jc w:val="both"/>
      </w:pPr>
      <w:r>
        <w:rPr>
          <w:spacing w:val="-2"/>
        </w:rPr>
        <w:t>期末对存货进行全面清查后，按存货的成本与可变现净值孰低提取或调整存货跌价准备。库存商品和用于出售的材料等</w:t>
      </w:r>
      <w:r>
        <w:rPr/>
        <w:t> </w:t>
      </w:r>
      <w:r>
        <w:rPr>
          <w:spacing w:val="-2"/>
        </w:rPr>
        <w:t>直接用于出售的商品存货，在正常生产经营过程中，以该存货的估计售价减去估计的销售费用和相关税费后的金额，确定其</w:t>
      </w:r>
      <w:r>
        <w:rPr>
          <w:spacing w:val="-63"/>
        </w:rPr>
        <w:t> </w:t>
      </w:r>
      <w:r>
        <w:rPr>
          <w:spacing w:val="-63"/>
        </w:rPr>
      </w:r>
      <w:r>
        <w:rPr>
          <w:spacing w:val="-2"/>
        </w:rPr>
        <w:t>可变现净值；需要经过加工的材料存货，在正常生产经营过程中，以所生产的产成品的估计售价减去至完工时估计将要发生</w:t>
      </w:r>
      <w:r>
        <w:rPr>
          <w:spacing w:val="-63"/>
        </w:rPr>
        <w:t> </w:t>
      </w:r>
      <w:r>
        <w:rPr>
          <w:spacing w:val="-63"/>
        </w:rPr>
      </w:r>
      <w:r>
        <w:rPr>
          <w:spacing w:val="-2"/>
        </w:rPr>
        <w:t>的成本、估计的销售费用和相关税费后的金额，确定其可变现净值；为执行销售合同或者劳务合同而持有的存货，其可变现</w:t>
      </w:r>
      <w:r>
        <w:rPr>
          <w:spacing w:val="-64"/>
        </w:rPr>
        <w:t> </w:t>
      </w:r>
      <w:r>
        <w:rPr>
          <w:spacing w:val="-64"/>
        </w:rPr>
      </w:r>
      <w:r>
        <w:rPr>
          <w:spacing w:val="-2"/>
        </w:rPr>
        <w:t>净值以合同价格为基础计算，若持有存货的数量多于销售合同订购数量的，超出部分的存货的可变现净值以一般销售价格为</w:t>
      </w:r>
      <w:r>
        <w:rPr>
          <w:spacing w:val="-64"/>
        </w:rPr>
        <w:t> </w:t>
      </w:r>
      <w:r>
        <w:rPr>
          <w:spacing w:val="-64"/>
        </w:rPr>
      </w:r>
      <w:r>
        <w:rPr/>
        <w:t>基础计算。</w:t>
      </w:r>
    </w:p>
    <w:p>
      <w:pPr>
        <w:pStyle w:val="BodyText"/>
        <w:spacing w:line="316" w:lineRule="auto" w:before="17"/>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13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3"/>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513" w:right="8593"/>
        <w:jc w:val="left"/>
      </w:pPr>
      <w:r>
        <w:rPr/>
        <w:t>低值易耗品 摊销方法：分次摊销法 包装物 摊销方法：分次摊销法</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40" w:lineRule="auto"/>
        <w:ind w:left="513" w:right="1123"/>
        <w:jc w:val="left"/>
      </w:pPr>
      <w:r>
        <w:rPr>
          <w:rFonts w:ascii="Times New Roman" w:hAnsi="Times New Roman" w:cs="Times New Roman" w:eastAsia="Times New Roman" w:hint="default"/>
        </w:rPr>
        <w:t>(1)</w:t>
      </w:r>
      <w:r>
        <w:rPr/>
        <w:t>企业合并形成的长期股权投资同一控制下的企业合并：</w:t>
      </w:r>
      <w:r>
        <w:rPr>
          <w:w w:val="99"/>
        </w:rPr>
        <w:t> </w:t>
      </w:r>
      <w:r>
        <w:rPr>
          <w:spacing w:val="-2"/>
        </w:rPr>
        <w:t>公司以支付现金、转让非现金资产或承担债务方式以及以发行权益性证券作为合并对价的，在合并日按照取得被合并方</w:t>
      </w:r>
    </w:p>
    <w:p>
      <w:pPr>
        <w:pStyle w:val="BodyText"/>
        <w:spacing w:line="316" w:lineRule="auto" w:before="1"/>
        <w:ind w:right="1131"/>
        <w:jc w:val="both"/>
      </w:pPr>
      <w:r>
        <w:rPr>
          <w:spacing w:val="-2"/>
        </w:rPr>
        <w:t>所有者权益账面价值的份额作为长期股权投资的初始投资成本。长期股权投资初始投资成本与支付合并对价之间的差额，调</w:t>
      </w:r>
      <w:r>
        <w:rPr>
          <w:spacing w:val="-64"/>
        </w:rPr>
        <w:t> </w:t>
      </w:r>
      <w:r>
        <w:rPr>
          <w:spacing w:val="-64"/>
        </w:rPr>
      </w:r>
      <w:r>
        <w:rPr>
          <w:spacing w:val="-2"/>
        </w:rPr>
        <w:t>整资本公积；资本公积不足冲减的，调整留存收益。合并发生的各项直接相关费用，包括为进行合并而支付的审计费用、评</w:t>
      </w:r>
      <w:r>
        <w:rPr>
          <w:spacing w:val="-67"/>
        </w:rPr>
        <w:t> </w:t>
      </w:r>
      <w:r>
        <w:rPr>
          <w:spacing w:val="-67"/>
        </w:rPr>
      </w:r>
      <w:r>
        <w:rPr>
          <w:spacing w:val="-2"/>
        </w:rPr>
        <w:t>估费用、法律服务费用等，于发生时计入当期损益。被合并方存在合并财务报表，则以合并日被合并方合并财务报表所有者</w:t>
      </w:r>
      <w:r>
        <w:rPr>
          <w:spacing w:val="-64"/>
        </w:rPr>
        <w:t> </w:t>
      </w:r>
      <w:r>
        <w:rPr>
          <w:spacing w:val="-64"/>
        </w:rPr>
      </w:r>
      <w:r>
        <w:rPr/>
        <w:t>权益为基础确定长期股权投资的初始投资成本。</w:t>
      </w:r>
    </w:p>
    <w:p>
      <w:pPr>
        <w:pStyle w:val="BodyText"/>
        <w:spacing w:line="316" w:lineRule="auto" w:before="57"/>
        <w:ind w:right="1130" w:firstLine="360"/>
        <w:jc w:val="both"/>
      </w:pPr>
      <w:r>
        <w:rPr>
          <w:spacing w:val="-2"/>
        </w:rPr>
        <w:t>非同一控制下的企业合并：合并成本为购买日购买方为取得对被购买方的控制权而付出的资产、发生或承担的负债以及</w:t>
      </w:r>
      <w:r>
        <w:rPr/>
        <w:t> </w:t>
      </w:r>
      <w:r>
        <w:rPr>
          <w:spacing w:val="-2"/>
        </w:rPr>
        <w:t>发行的权益性证券的公允价值，本公司为进行企业合并而发生的各项直接相关费用，包括为进行企业合并而支付的审计、法</w:t>
      </w:r>
      <w:r>
        <w:rPr>
          <w:spacing w:val="-63"/>
        </w:rPr>
        <w:t> </w:t>
      </w:r>
      <w:r>
        <w:rPr>
          <w:spacing w:val="-63"/>
        </w:rPr>
      </w:r>
      <w:r>
        <w:rPr>
          <w:spacing w:val="-2"/>
        </w:rPr>
        <w:t>律服务、评估咨询等中介费用以及其他相关管理费用于发生时计入当期损益，作为合并对价发行的权益性证券或债务性证券</w:t>
      </w:r>
      <w:r>
        <w:rPr>
          <w:spacing w:val="-64"/>
        </w:rPr>
        <w:t> </w:t>
      </w:r>
      <w:r>
        <w:rPr>
          <w:spacing w:val="-64"/>
        </w:rPr>
      </w:r>
      <w:r>
        <w:rPr/>
        <w:t>的交易费用，计入权益性证券或债务性证券的初始确认金额。</w:t>
      </w:r>
    </w:p>
    <w:p>
      <w:pPr>
        <w:spacing w:after="0" w:line="316" w:lineRule="auto"/>
        <w:jc w:val="both"/>
        <w:sectPr>
          <w:pgSz w:w="11910" w:h="16840"/>
          <w:pgMar w:header="877" w:footer="1306" w:top="1060" w:bottom="150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1123"/>
        <w:jc w:val="left"/>
      </w:pPr>
      <w:r>
        <w:rPr/>
        <w:t>企业通过多次交易分步实现非同一控制下企业合并的，应当区分个别财务报表和合并财务报表进行相关会计处理： </w:t>
      </w:r>
      <w:r>
        <w:rPr>
          <w:spacing w:val="-2"/>
        </w:rPr>
        <w:t>在个别财务报表中，应当以购买日之前所持被购买方的股权投资的账面价值与购买日新增投资成本之和，作为该项投资</w:t>
      </w:r>
    </w:p>
    <w:p>
      <w:pPr>
        <w:pStyle w:val="BodyText"/>
        <w:spacing w:line="222" w:lineRule="exact"/>
        <w:ind w:right="0"/>
        <w:jc w:val="left"/>
      </w:pPr>
      <w:r>
        <w:rPr/>
        <w:t>的初始投资成本，购买日之前持有的被购买方的股权涉及其他综合收益的，应当在处置该项投资时将与其相关的其他综合收</w:t>
      </w:r>
    </w:p>
    <w:p>
      <w:pPr>
        <w:pStyle w:val="BodyText"/>
        <w:spacing w:line="357" w:lineRule="auto" w:before="76"/>
        <w:ind w:left="513" w:right="1123" w:hanging="361"/>
        <w:jc w:val="left"/>
      </w:pPr>
      <w:r>
        <w:rPr/>
        <w:t>益（例如，可供出售金融资产公允价值变动计入资本公积的部分，下同）转入当期投资收益。 </w:t>
      </w:r>
      <w:r>
        <w:rPr>
          <w:spacing w:val="-2"/>
        </w:rPr>
        <w:t>在合并财务报表中，对于购买日之前持有的被购买方的股权，应当按照该股权在购买日的公允价值进行重新计量，公允</w:t>
      </w:r>
    </w:p>
    <w:p>
      <w:pPr>
        <w:pStyle w:val="BodyText"/>
        <w:spacing w:line="224" w:lineRule="exact"/>
        <w:ind w:right="0"/>
        <w:jc w:val="left"/>
      </w:pPr>
      <w:r>
        <w:rPr/>
        <w:t>价值与其账面价值的差额计入当期投资收益。购买日之前持有的被购买方的股权涉及其他综合收益的，与其相关的其他综合</w:t>
      </w:r>
    </w:p>
    <w:p>
      <w:pPr>
        <w:pStyle w:val="BodyText"/>
        <w:spacing w:line="316" w:lineRule="auto" w:before="76"/>
        <w:ind w:right="1123"/>
        <w:jc w:val="left"/>
      </w:pPr>
      <w:r>
        <w:rPr>
          <w:spacing w:val="-2"/>
        </w:rPr>
        <w:t>收益应当转为购买日所属当期投资收益。在合并合同中对可能影响合并成本的未来事项作出约定的，购买日如果估计未来事</w:t>
      </w:r>
      <w:r>
        <w:rPr>
          <w:spacing w:val="-63"/>
        </w:rPr>
        <w:t> </w:t>
      </w:r>
      <w:r>
        <w:rPr>
          <w:spacing w:val="-63"/>
        </w:rPr>
      </w:r>
      <w:r>
        <w:rPr/>
        <w:t>项很可能发生并且对合并成本的影响金额能够可靠计量的，也计入合并成本。</w:t>
      </w:r>
    </w:p>
    <w:p>
      <w:pPr>
        <w:pStyle w:val="BodyText"/>
        <w:spacing w:line="312" w:lineRule="auto" w:before="59"/>
        <w:ind w:right="1034" w:firstLine="360"/>
        <w:jc w:val="left"/>
      </w:pPr>
      <w:r>
        <w:rPr>
          <w:rFonts w:ascii="Times New Roman" w:hAnsi="Times New Roman" w:cs="Times New Roman" w:eastAsia="Times New Roman" w:hint="default"/>
        </w:rPr>
        <w:t>(2)</w:t>
      </w:r>
      <w:r>
        <w:rPr/>
        <w:t>其他方式取得的长期股权投资以支付现金方式取得的长期股权投资，按照实际支付的购买价款作为初始投资成本。</w:t>
      </w:r>
      <w:r>
        <w:rPr>
          <w:w w:val="99"/>
        </w:rPr>
        <w:t> </w:t>
      </w:r>
      <w:r>
        <w:rPr/>
        <w:t>以发行权益性证券取得的长期股权投资，按照发行权益性证券的公允价值作为初始投资成本。投资者投入的长期股权投资，</w:t>
      </w:r>
      <w:r>
        <w:rPr>
          <w:spacing w:val="-87"/>
        </w:rPr>
        <w:t> </w:t>
      </w:r>
      <w:r>
        <w:rPr>
          <w:spacing w:val="-87"/>
        </w:rPr>
      </w:r>
      <w:r>
        <w:rPr/>
        <w:t>按照投资合同或协议约定的价值</w:t>
      </w:r>
      <w:r>
        <w:rPr>
          <w:rFonts w:ascii="Times New Roman" w:hAnsi="Times New Roman" w:cs="Times New Roman" w:eastAsia="Times New Roman" w:hint="default"/>
        </w:rPr>
        <w:t>(</w:t>
      </w:r>
      <w:r>
        <w:rPr/>
        <w:t>扣除已宣告但尚未发放的现金股利或利润</w:t>
      </w:r>
      <w:r>
        <w:rPr>
          <w:rFonts w:ascii="Times New Roman" w:hAnsi="Times New Roman" w:cs="Times New Roman" w:eastAsia="Times New Roman" w:hint="default"/>
        </w:rPr>
        <w:t>)</w:t>
      </w:r>
      <w:r>
        <w:rPr/>
        <w:t>作为初始投资成本，但合同或协议约定价值不公</w:t>
      </w:r>
      <w:r>
        <w:rPr>
          <w:w w:val="99"/>
        </w:rPr>
        <w:t> </w:t>
      </w:r>
      <w:r>
        <w:rPr/>
        <w:t>允的除外。</w:t>
      </w:r>
      <w:r>
        <w:rPr>
          <w:spacing w:val="1"/>
        </w:rPr>
        <w:t> </w:t>
      </w:r>
      <w:r>
        <w:rPr/>
        <w:t>在非货币性资产交换具备商业实质和换入资产或换出资产的公允价值能够可靠计量的前提下，非货币性资产交</w:t>
      </w:r>
      <w:r>
        <w:rPr>
          <w:w w:val="99"/>
        </w:rPr>
        <w:t> </w:t>
      </w:r>
      <w:r>
        <w:rPr>
          <w:spacing w:val="-2"/>
          <w:w w:val="99"/>
        </w:rPr>
        <w:t>换换入的长期股权投资以换出资产的公允价值为基础确定其初始投资成本，除非有确凿证据表明换入资产的公允价值更加可</w:t>
      </w:r>
      <w:r>
        <w:rPr>
          <w:spacing w:val="-64"/>
          <w:w w:val="99"/>
        </w:rPr>
        <w:t> </w:t>
      </w:r>
      <w:r>
        <w:rPr>
          <w:spacing w:val="-64"/>
          <w:w w:val="99"/>
        </w:rPr>
      </w:r>
      <w:r>
        <w:rPr>
          <w:spacing w:val="-2"/>
        </w:rPr>
        <w:t>靠；不满足上述前提的非货币性资产交换，以换出资产的账面价值和应支付的相关税费作为换入长期股权投资的初始投资成</w:t>
      </w:r>
      <w:r>
        <w:rPr>
          <w:spacing w:val="-65"/>
        </w:rPr>
        <w:t> </w:t>
      </w:r>
      <w:r>
        <w:rPr>
          <w:spacing w:val="-65"/>
        </w:rPr>
      </w:r>
      <w:r>
        <w:rPr/>
        <w:t>本。通过债务重组取得的长期股权投资，其初始投资成本按照公允价值为基础确定。</w:t>
      </w:r>
    </w:p>
    <w:p>
      <w:pPr>
        <w:spacing w:line="240" w:lineRule="auto" w:before="1"/>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23" w:firstLine="360"/>
        <w:jc w:val="left"/>
      </w:pPr>
      <w:r>
        <w:rPr>
          <w:rFonts w:ascii="Times New Roman" w:hAnsi="Times New Roman" w:cs="Times New Roman" w:eastAsia="Times New Roman" w:hint="default"/>
        </w:rPr>
        <w:t>(1)</w:t>
      </w:r>
      <w:r>
        <w:rPr/>
        <w:t>后续计量公司对子公司的长期股权投资，采用成本法核算，编制合并财务报表时按照权益法进行调整。对被投资单</w:t>
      </w:r>
      <w:r>
        <w:rPr>
          <w:w w:val="99"/>
        </w:rPr>
        <w:t> </w:t>
      </w:r>
      <w:r>
        <w:rPr>
          <w:spacing w:val="-2"/>
        </w:rPr>
        <w:t>位不具有共同控制或重大影响，并且在活跃市场中没有报价、公允价值不能可靠计量的长期股权投资，采用成本法核算。对</w:t>
      </w:r>
      <w:r>
        <w:rPr>
          <w:spacing w:val="-64"/>
        </w:rPr>
        <w:t> </w:t>
      </w:r>
      <w:r>
        <w:rPr>
          <w:spacing w:val="-64"/>
        </w:rPr>
      </w:r>
      <w:r>
        <w:rPr>
          <w:spacing w:val="-2"/>
        </w:rPr>
        <w:t>被投资单位具有共同控制或重大影响的长期股权投资，采用权益法核算。初始投资成本大于投资时应享有被投资单位可辨认</w:t>
      </w:r>
      <w:r>
        <w:rPr>
          <w:spacing w:val="-65"/>
        </w:rPr>
        <w:t> </w:t>
      </w:r>
      <w:r>
        <w:rPr>
          <w:spacing w:val="-65"/>
        </w:rPr>
      </w:r>
      <w:r>
        <w:rPr>
          <w:spacing w:val="-2"/>
        </w:rPr>
        <w:t>净资产公允价值份额的差额，不调整长期股权投资的初始投资成本；初始投资成本小于投资时应享有被投资单位可辨认净资</w:t>
      </w:r>
      <w:r>
        <w:rPr>
          <w:spacing w:val="-65"/>
        </w:rPr>
        <w:t> </w:t>
      </w:r>
      <w:r>
        <w:rPr>
          <w:spacing w:val="-65"/>
        </w:rPr>
      </w:r>
      <w:r>
        <w:rPr>
          <w:spacing w:val="-2"/>
        </w:rPr>
        <w:t>产公允价值份额的差额，计入当期损益。被投资单位除净损益以外所有者权益其他变动的处理：对于被投资单位除净损益以</w:t>
      </w:r>
      <w:r>
        <w:rPr>
          <w:spacing w:val="-64"/>
        </w:rPr>
        <w:t> </w:t>
      </w:r>
      <w:r>
        <w:rPr>
          <w:spacing w:val="-64"/>
        </w:rPr>
      </w:r>
      <w:r>
        <w:rPr>
          <w:spacing w:val="-2"/>
        </w:rPr>
        <w:t>外所有者权益的其他变动，在持股比例不变的情况下，公司按照持股比例计算应享有或承担的部分，调整长期股权投资的账</w:t>
      </w:r>
      <w:r>
        <w:rPr>
          <w:spacing w:val="-64"/>
        </w:rPr>
        <w:t> </w:t>
      </w:r>
      <w:r>
        <w:rPr>
          <w:spacing w:val="-64"/>
        </w:rPr>
      </w:r>
      <w:r>
        <w:rPr>
          <w:spacing w:val="-1"/>
        </w:rPr>
        <w:t>面价值，同时增加或减少资本公积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。在持有投资期间，被投资单位能够提供合并财务报表的，应当以合并财</w:t>
      </w:r>
      <w:r>
        <w:rPr>
          <w:spacing w:val="-55"/>
        </w:rPr>
        <w:t> </w:t>
      </w:r>
      <w:r>
        <w:rPr>
          <w:spacing w:val="-55"/>
        </w:rPr>
      </w:r>
      <w:r>
        <w:rPr/>
        <w:t>务报表，净利润和其他投资变动为基础进行核算。</w:t>
      </w:r>
    </w:p>
    <w:p>
      <w:pPr>
        <w:pStyle w:val="BodyText"/>
        <w:spacing w:line="316" w:lineRule="auto" w:before="61"/>
        <w:ind w:right="0" w:firstLine="360"/>
        <w:jc w:val="left"/>
      </w:pPr>
      <w:r>
        <w:rPr>
          <w:rFonts w:ascii="Times New Roman" w:hAnsi="Times New Roman" w:cs="Times New Roman" w:eastAsia="Times New Roman" w:hint="default"/>
        </w:rPr>
        <w:t>(2)</w:t>
      </w:r>
      <w:r>
        <w:rPr/>
        <w:t>损益确认成本法下，除取得投资时实际支付的价款或对价中包含的已宣告但尚未发放的现金股利或利润外，公司按</w:t>
      </w:r>
      <w:r>
        <w:rPr>
          <w:w w:val="99"/>
        </w:rPr>
        <w:t> </w:t>
      </w:r>
      <w:r>
        <w:rPr/>
        <w:t>照享有被投资单位宣告发放的现金股利或利润确认投资收益。权益法下，投资企业在确认应享有被投资单位的净利润或净亏</w:t>
      </w:r>
      <w:r>
        <w:rPr>
          <w:w w:val="99"/>
        </w:rPr>
        <w:t> </w:t>
      </w:r>
      <w:r>
        <w:rPr/>
        <w:t>损时，以取得投资时被投资单位各项可辨认资产等的公允价值为基础，对被投资单位的净利润进行调整后确认，投资企业与</w:t>
      </w:r>
      <w:r>
        <w:rPr>
          <w:w w:val="99"/>
        </w:rPr>
        <w:t> </w:t>
      </w:r>
      <w:r>
        <w:rPr/>
        <w:t>联营企业及合营企业之间发生的内部交易损益按照持股比例计算归属于投资企业的部分，应当予以抵销，在此基础上确认投</w:t>
      </w:r>
      <w:r>
        <w:rPr>
          <w:w w:val="99"/>
        </w:rPr>
        <w:t> </w:t>
      </w:r>
      <w:r>
        <w:rPr>
          <w:spacing w:val="-5"/>
        </w:rPr>
        <w:t>资损益；在公司确认应分担被投资单位发生的亏损时，按照以下顺序进行处理：首先，冲减长期股权投资的账面价值。其次，</w:t>
      </w:r>
      <w:r>
        <w:rPr>
          <w:spacing w:val="-81"/>
        </w:rPr>
        <w:t> </w:t>
      </w:r>
      <w:r>
        <w:rPr>
          <w:spacing w:val="-81"/>
        </w:rPr>
      </w:r>
      <w:r>
        <w:rPr>
          <w:spacing w:val="-2"/>
          <w:w w:val="99"/>
        </w:rPr>
        <w:t>长期股权投资的账面价值不足以冲减的，以其他实质上构成对被投资单位净投资的长期权益账面价值为限继续确认投资损失，</w:t>
      </w:r>
      <w:r>
        <w:rPr>
          <w:spacing w:val="-62"/>
          <w:w w:val="99"/>
        </w:rPr>
        <w:t> </w:t>
      </w:r>
      <w:r>
        <w:rPr>
          <w:spacing w:val="-62"/>
          <w:w w:val="99"/>
        </w:rPr>
      </w:r>
      <w:r>
        <w:rPr/>
        <w:t>冲减长期应收项目等的账面价值。最后，经过上述处理，按照投资合同或协议约定企业仍承担额外义务的，按预计承担的义</w:t>
      </w:r>
      <w:r>
        <w:rPr>
          <w:w w:val="99"/>
        </w:rPr>
        <w:t> </w:t>
      </w:r>
      <w:r>
        <w:rPr/>
        <w:t>务确认预计负债，计入当期投资损失。被投资单位以后期间实现盈利的，公司在扣除未确认的亏损分担额后，按与上述相反</w:t>
      </w:r>
      <w:r>
        <w:rPr>
          <w:w w:val="99"/>
        </w:rPr>
        <w:t> </w:t>
      </w:r>
      <w:r>
        <w:rPr/>
        <w:t>的顺序处理，减记已确认预计负债的账面余额、恢复其他实质上构成对被投资单位净投资的长期权益及长期股权投资的账面</w:t>
      </w:r>
      <w:r>
        <w:rPr>
          <w:w w:val="99"/>
        </w:rPr>
        <w:t> </w:t>
      </w:r>
      <w:r>
        <w:rPr/>
        <w:t>价值，同时确认投资收益。</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按照合同约定对某项经济活动所共有的控制，仅在与该项经济活动相关的重要财务和经营决策需要分享控制权的投资方</w:t>
      </w:r>
      <w:r>
        <w:rPr/>
        <w:t> </w:t>
      </w:r>
      <w:r>
        <w:rPr>
          <w:spacing w:val="-2"/>
        </w:rPr>
        <w:t>一致同意时存在，则视为与其他方对被投资单位实施共同控制；对一个企业的财务和经营决策有参与决策的权力，但并不能</w:t>
      </w:r>
      <w:r>
        <w:rPr>
          <w:spacing w:val="-63"/>
        </w:rPr>
        <w:t> </w:t>
      </w:r>
      <w:r>
        <w:rPr>
          <w:spacing w:val="-63"/>
        </w:rPr>
      </w:r>
      <w:r>
        <w:rPr/>
        <w:t>够控制或者与其他方一起共同控制这些政策的制定，则视为投资企业能够对被投资单位施加重大影响。</w:t>
      </w:r>
    </w:p>
    <w:p>
      <w:pPr>
        <w:spacing w:after="0" w:line="316" w:lineRule="auto"/>
        <w:jc w:val="both"/>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420"/>
        <w:jc w:val="both"/>
      </w:pPr>
      <w:r>
        <w:rPr/>
        <w:t>资产负债表日，若因市价持续下跌或被投资单位经营状况恶化等原因使长期股权投资存在减值迹象时，根据单项长期 股权投资的公允价值减去处置费用后的净额与长期股权投资预计未来现金流量的现值两者之间较高者确定长期股权投资的</w:t>
      </w:r>
      <w:r>
        <w:rPr>
          <w:spacing w:val="-11"/>
        </w:rPr>
        <w:t> </w:t>
      </w:r>
      <w:r>
        <w:rPr>
          <w:spacing w:val="-11"/>
        </w:rPr>
      </w:r>
      <w:r>
        <w:rPr>
          <w:spacing w:val="-2"/>
        </w:rPr>
        <w:t>可收回金额。长期股权投资的可收回金额低于账面价值时，将资产的账面价值减记至可收回金额，减记的金额确认为资产减</w:t>
      </w:r>
      <w:r>
        <w:rPr>
          <w:spacing w:val="-63"/>
        </w:rPr>
        <w:t> </w:t>
      </w:r>
      <w:r>
        <w:rPr>
          <w:spacing w:val="-63"/>
        </w:rPr>
      </w:r>
      <w:r>
        <w:rPr/>
        <w:t>值损失，计入当期损益，同时计提相应的资产减值准备。</w:t>
      </w:r>
    </w:p>
    <w:p>
      <w:pPr>
        <w:pStyle w:val="BodyText"/>
        <w:spacing w:line="316" w:lineRule="auto" w:before="19"/>
        <w:ind w:right="1138" w:firstLine="420"/>
        <w:jc w:val="both"/>
      </w:pPr>
      <w:r>
        <w:rPr/>
        <w:t>重大影响以下的、在活跃市场中没有报价、公允价值不能可靠计量的长期股权投资，其减值损失是根据其账面价值与 按类似金融资产当时市场收益率对未来现金流量折现确定的现值之间的差额进行确定。</w:t>
      </w:r>
    </w:p>
    <w:p>
      <w:pPr>
        <w:pStyle w:val="BodyText"/>
        <w:spacing w:line="316" w:lineRule="auto" w:before="19"/>
        <w:ind w:right="1138" w:firstLine="420"/>
        <w:jc w:val="both"/>
      </w:pPr>
      <w:r>
        <w:rPr/>
        <w:t>除因企业合并形成的商誉以外的存在减值迹象的其他长期股权投资，如果可收回金额的计量结果表明，该长期股权投 资的可收回金额低于其账面价值的，将差额确认为减值损失。</w:t>
      </w:r>
    </w:p>
    <w:p>
      <w:pPr>
        <w:pStyle w:val="BodyText"/>
        <w:spacing w:line="316" w:lineRule="auto" w:before="19"/>
        <w:ind w:right="1138" w:firstLine="420"/>
        <w:jc w:val="both"/>
      </w:pPr>
      <w:r>
        <w:rPr/>
        <w:t>采用成本法核算的长期股权投资，因被投资单位宣告分派现金股利或利润确认投资收益后，考虑长期股权投资是否发 生减值。</w:t>
      </w:r>
    </w:p>
    <w:p>
      <w:pPr>
        <w:pStyle w:val="BodyText"/>
        <w:spacing w:line="316" w:lineRule="auto" w:before="19"/>
        <w:ind w:left="573" w:right="4573"/>
        <w:jc w:val="left"/>
      </w:pPr>
      <w:r>
        <w:rPr/>
        <w:t>因企业合并形成的商誉，无论是否存在减值迹象，每年都进行减值测试。 长期股权投资减值损失一经确认，不再转回。</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60" w:lineRule="auto"/>
        <w:ind w:left="513" w:right="1153"/>
        <w:jc w:val="left"/>
      </w:pPr>
      <w:r>
        <w:rPr/>
        <w:t>固定资产指为生产商品、提供劳务、出租或经营管理而持有，并且使用寿命超过一个会计年度的有形资产。 固定资产在同时满足下列条件时予以确认：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w:t>
      </w:r>
    </w:p>
    <w:p>
      <w:pPr>
        <w:pStyle w:val="BodyText"/>
        <w:spacing w:line="199" w:lineRule="exact"/>
        <w:ind w:right="1123"/>
        <w:jc w:val="left"/>
      </w:pPr>
      <w:r>
        <w:rPr/>
        <w:t>够可靠地计量。</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当本公司租入的固定资产符合下列一项或数项标准时公司与租赁方所签订的租赁协议条款中规定了下列条件之一的，确</w:t>
      </w:r>
      <w:r>
        <w:rPr/>
        <w:t> 认为融资租入资产：</w:t>
      </w:r>
    </w:p>
    <w:p>
      <w:pPr>
        <w:pStyle w:val="BodyText"/>
        <w:spacing w:line="338" w:lineRule="auto" w:before="59"/>
        <w:ind w:left="513" w:right="1123"/>
        <w:jc w:val="left"/>
      </w:pPr>
      <w:r>
        <w:rPr>
          <w:rFonts w:ascii="Times New Roman" w:hAnsi="Times New Roman" w:cs="Times New Roman" w:eastAsia="Times New Roman" w:hint="default"/>
        </w:rPr>
        <w:t>(1)</w:t>
      </w:r>
      <w:r>
        <w:rPr/>
        <w:t>租赁期满后租赁资产的所有权归属于本公司；</w:t>
      </w:r>
      <w:r>
        <w:rPr>
          <w:w w:val="99"/>
        </w:rPr>
        <w:t> </w:t>
      </w:r>
      <w:r>
        <w:rPr>
          <w:rFonts w:ascii="Times New Roman" w:hAnsi="Times New Roman" w:cs="Times New Roman" w:eastAsia="Times New Roman" w:hint="default"/>
        </w:rPr>
        <w:t>(2)</w:t>
      </w:r>
      <w:r>
        <w:rPr/>
        <w:t>公司具有购买资产的选择权，购买价款远低于行使选择权时该资产的公允价值；</w:t>
      </w:r>
      <w:r>
        <w:rPr>
          <w:w w:val="99"/>
        </w:rPr>
        <w:t> </w:t>
      </w:r>
      <w:r>
        <w:rPr>
          <w:rFonts w:ascii="Times New Roman" w:hAnsi="Times New Roman" w:cs="Times New Roman" w:eastAsia="Times New Roman" w:hint="default"/>
        </w:rPr>
        <w:t>(3)</w:t>
      </w:r>
      <w:r>
        <w:rPr/>
        <w:t>租赁期占所租赁资产使用寿命的大部分；</w:t>
      </w:r>
      <w:r>
        <w:rPr>
          <w:w w:val="99"/>
        </w:rPr>
        <w:t> </w:t>
      </w:r>
      <w:r>
        <w:rPr>
          <w:rFonts w:ascii="Times New Roman" w:hAnsi="Times New Roman" w:cs="Times New Roman" w:eastAsia="Times New Roman" w:hint="default"/>
        </w:rPr>
        <w:t>(4)</w:t>
      </w:r>
      <w:r>
        <w:rPr/>
        <w:t>租赁开始日的最低租赁付款额现值，与该资产的公允价值不存在较大的差异。</w:t>
      </w:r>
      <w:r>
        <w:rPr>
          <w:w w:val="99"/>
        </w:rPr>
        <w:t> </w:t>
      </w:r>
      <w:r>
        <w:rPr>
          <w:spacing w:val="-2"/>
        </w:rPr>
        <w:t>公司在承租开始日，将租赁资产公允价值与最低租赁付款额现值两者中较低者作为租入资产的入账价值，将最低租赁付</w:t>
      </w:r>
    </w:p>
    <w:p>
      <w:pPr>
        <w:pStyle w:val="BodyText"/>
        <w:spacing w:line="240" w:lineRule="auto" w:before="2"/>
        <w:ind w:right="1123"/>
        <w:jc w:val="left"/>
      </w:pPr>
      <w:r>
        <w:rPr/>
        <w:t>款额作为长期应付款的入账价值，其差额作为未确认融资费用。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除已提足折旧仍继续使用的固定资产之外，固定资产折旧采用年限平均法分类计提，根据固定资产类别、预计使用寿命</w:t>
      </w:r>
      <w:r>
        <w:rPr/>
        <w:t> 和预计净残值率确定折旧率。</w:t>
      </w:r>
    </w:p>
    <w:p>
      <w:pPr>
        <w:pStyle w:val="BodyText"/>
        <w:spacing w:line="316" w:lineRule="auto" w:before="18"/>
        <w:ind w:right="113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p>
    <w:p>
      <w:pPr>
        <w:spacing w:after="0" w:line="316" w:lineRule="auto"/>
        <w:jc w:val="both"/>
        <w:sectPr>
          <w:pgSz w:w="11910" w:h="16840"/>
          <w:pgMar w:header="877" w:footer="1306"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折旧。</w:t>
      </w:r>
    </w:p>
    <w:p>
      <w:pPr>
        <w:pStyle w:val="BodyText"/>
        <w:spacing w:line="316" w:lineRule="auto" w:before="77"/>
        <w:ind w:right="1123" w:firstLine="360"/>
        <w:jc w:val="left"/>
      </w:pPr>
      <w:r>
        <w:rPr>
          <w:spacing w:val="-2"/>
        </w:rPr>
        <w:t>利用专项储备支出形成的固定资产，按照形成固定资产的成本冲减专项储备，并确认相同金额的累计折旧。该固定资产</w:t>
      </w:r>
      <w:r>
        <w:rPr/>
        <w:t> 在以后期间不再计提折旧。</w:t>
      </w:r>
    </w:p>
    <w:p>
      <w:pPr>
        <w:pStyle w:val="BodyText"/>
        <w:spacing w:line="240" w:lineRule="auto" w:before="19"/>
        <w:ind w:left="513" w:right="1123"/>
        <w:jc w:val="left"/>
      </w:pPr>
      <w:r>
        <w:rPr/>
        <w:t>各类固定资产折旧年限和年折旧率如下：</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3.16%</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3"/>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w:t>
      </w:r>
    </w:p>
    <w:p>
      <w:pPr>
        <w:pStyle w:val="BodyText"/>
        <w:spacing w:line="316" w:lineRule="auto" w:before="19"/>
        <w:ind w:left="513" w:right="1123" w:hanging="361"/>
        <w:jc w:val="left"/>
      </w:pPr>
      <w:r>
        <w:rPr/>
        <w:t>预计未来现金流量的现值两者之间较高者确定。 </w:t>
      </w:r>
      <w:r>
        <w:rPr>
          <w:spacing w:val="-2"/>
        </w:rPr>
        <w:t>当固定资产的可收回金额低于其账面价值的，将固定资产的账面价值减记至可收回金额，减记的金额确认为固定资产减</w:t>
      </w:r>
    </w:p>
    <w:p>
      <w:pPr>
        <w:pStyle w:val="BodyText"/>
        <w:spacing w:line="316" w:lineRule="auto" w:before="19"/>
        <w:ind w:left="513" w:right="1123" w:hanging="361"/>
        <w:jc w:val="left"/>
      </w:pPr>
      <w:r>
        <w:rPr/>
        <w:t>值损失，计入当期损益，同时计提相应的固定资产减值准备。 </w:t>
      </w:r>
      <w:r>
        <w:rPr>
          <w:spacing w:val="-2"/>
        </w:rPr>
        <w:t>固定资产减值损失确认后，减值固定资产的折旧在未来期间作相应调整，以使该固定资产在剩余使用寿命内，系统地分</w:t>
      </w:r>
    </w:p>
    <w:p>
      <w:pPr>
        <w:pStyle w:val="BodyText"/>
        <w:spacing w:line="300" w:lineRule="auto" w:before="19"/>
        <w:ind w:left="513" w:right="5713" w:hanging="361"/>
        <w:jc w:val="left"/>
      </w:pPr>
      <w:r>
        <w:rPr/>
        <w:t>摊调整后的固定资产账面价值</w:t>
      </w:r>
      <w:r>
        <w:rPr>
          <w:rFonts w:ascii="Times New Roman" w:hAnsi="Times New Roman" w:cs="Times New Roman" w:eastAsia="Times New Roman" w:hint="default"/>
        </w:rPr>
        <w:t>(</w:t>
      </w:r>
      <w:r>
        <w:rPr/>
        <w:t>扣除预计净残值</w:t>
      </w:r>
      <w:r>
        <w:rPr>
          <w:rFonts w:ascii="Times New Roman" w:hAnsi="Times New Roman" w:cs="Times New Roman" w:eastAsia="Times New Roman" w:hint="default"/>
        </w:rPr>
        <w:t>)</w:t>
      </w:r>
      <w:r>
        <w:rPr/>
        <w:t>。 固定资产的减值损失一经确认，在以后会计期间不再转回。</w:t>
      </w:r>
    </w:p>
    <w:p>
      <w:pPr>
        <w:pStyle w:val="BodyText"/>
        <w:spacing w:line="297" w:lineRule="auto" w:before="32"/>
        <w:ind w:right="1132" w:firstLine="360"/>
        <w:jc w:val="both"/>
        <w:rPr>
          <w:sz w:val="21"/>
          <w:szCs w:val="21"/>
        </w:rPr>
      </w:pPr>
      <w:r>
        <w:rPr>
          <w:spacing w:val="-2"/>
        </w:rPr>
        <w:t>有迹象表明一项固定资产可能发生减值的，企业以单项固定资产为基础估计其可收回金额。企业难以对单项固定资产的</w:t>
      </w:r>
      <w:r>
        <w:rPr/>
        <w:t> 可收回金额进行估计的，以该固定资产所属的资产组为基础确定资产组的可收回金额</w:t>
      </w:r>
      <w:r>
        <w:rPr>
          <w:sz w:val="21"/>
          <w:szCs w:val="21"/>
        </w:rPr>
        <w:t>。</w:t>
      </w:r>
    </w:p>
    <w:p>
      <w:pPr>
        <w:spacing w:line="240" w:lineRule="auto" w:before="12"/>
        <w:rPr>
          <w:rFonts w:ascii="宋体" w:hAnsi="宋体" w:cs="宋体" w:eastAsia="宋体" w:hint="default"/>
          <w:sz w:val="21"/>
          <w:szCs w:val="21"/>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ind w:right="1046" w:firstLine="360"/>
        <w:jc w:val="both"/>
      </w:pPr>
      <w:r>
        <w:rPr/>
        <w:t>本公司自行建造的在建工程按实际成本计价，实际成本由建造该项资产达到预定可使用状态前所发生的必要支出构成。 在建工程以立项项目分类核算。</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after="0" w:line="316" w:lineRule="auto"/>
        <w:jc w:val="both"/>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123"/>
        <w:jc w:val="left"/>
      </w:pPr>
      <w:r>
        <w:rPr/>
        <w:t>公司在每期末判断在建工程是否存在可能发生减值的迹象。 </w:t>
      </w:r>
      <w:r>
        <w:rPr>
          <w:spacing w:val="-2"/>
        </w:rPr>
        <w:t>在建工程存在减值迹象的，估计其可收回金额。可收回金额根据在建工程的公允价值减去处置费用后的净额与在建工程</w:t>
      </w:r>
    </w:p>
    <w:p>
      <w:pPr>
        <w:pStyle w:val="BodyText"/>
        <w:spacing w:line="316" w:lineRule="auto" w:before="19"/>
        <w:ind w:left="513" w:right="1123" w:hanging="361"/>
        <w:jc w:val="left"/>
      </w:pPr>
      <w:r>
        <w:rPr/>
        <w:t>预计未来现金流量的现值两者之间较高者确定。 </w:t>
      </w:r>
      <w:r>
        <w:rPr>
          <w:spacing w:val="-2"/>
        </w:rPr>
        <w:t>当在建工程的可收回金额低于其账面价值的，将在建工程的账面价值减记至可收回金额，减记的金额确认为在建工程减</w:t>
      </w:r>
    </w:p>
    <w:p>
      <w:pPr>
        <w:pStyle w:val="BodyText"/>
        <w:spacing w:line="316" w:lineRule="auto" w:before="19"/>
        <w:ind w:left="513" w:right="5713" w:hanging="361"/>
        <w:jc w:val="left"/>
      </w:pPr>
      <w:r>
        <w:rPr/>
        <w:t>值损失，计入当期损益，同时计提相应的在建工程减值准备。 在建工程的减值损失一经确认，在以后会计期间不再转回。</w:t>
      </w:r>
    </w:p>
    <w:p>
      <w:pPr>
        <w:pStyle w:val="BodyText"/>
        <w:spacing w:line="316" w:lineRule="auto" w:before="19"/>
        <w:ind w:right="1123" w:firstLine="360"/>
        <w:jc w:val="left"/>
      </w:pPr>
      <w:r>
        <w:rPr>
          <w:spacing w:val="-2"/>
        </w:rPr>
        <w:t>有迹象表明一项在建工程可能发生减值的，企业以单项在建工程为基础估计其可收回金额。企业难以对单项在建工程的</w:t>
      </w:r>
      <w:r>
        <w:rPr/>
        <w:t> 可收回金额进行估计的，以该在建工程所属的资产组为基础确定资产组的可收回金额。</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123" w:firstLine="360"/>
        <w:jc w:val="left"/>
      </w:pPr>
      <w:r>
        <w:rPr>
          <w:spacing w:val="-2"/>
        </w:rPr>
        <w:t>公司发生的借款费用，可直接归属于符合资本化条件的资产的购建或者生产的，予以资本化，计入相关资产成本；其他</w:t>
      </w:r>
      <w:r>
        <w:rPr/>
        <w:t> 借款费用，在发生时根据其发生额确认为费用，计入当期损益。</w:t>
      </w:r>
    </w:p>
    <w:p>
      <w:pPr>
        <w:pStyle w:val="BodyText"/>
        <w:spacing w:line="316" w:lineRule="auto" w:before="19"/>
        <w:ind w:right="0" w:firstLine="360"/>
        <w:jc w:val="left"/>
      </w:pPr>
      <w:r>
        <w:rPr>
          <w:spacing w:val="-2"/>
        </w:rPr>
        <w:t>符合资本化条件的资产，是指需要经过相当长时间的购建或者生产活动才能达到预定可使用或者可销售状态的固定资产、</w:t>
      </w:r>
      <w:r>
        <w:rPr/>
        <w:t> 投资性房地产和存货等资产。</w:t>
      </w:r>
    </w:p>
    <w:p>
      <w:pPr>
        <w:pStyle w:val="BodyText"/>
        <w:spacing w:line="240" w:lineRule="auto" w:before="19"/>
        <w:ind w:left="513" w:right="1123"/>
        <w:jc w:val="left"/>
      </w:pPr>
      <w:r>
        <w:rPr/>
        <w:t>借款费用同时满足下列条件时开始资本化：</w:t>
      </w:r>
    </w:p>
    <w:p>
      <w:pPr>
        <w:pStyle w:val="BodyText"/>
        <w:spacing w:line="300" w:lineRule="auto" w:before="76"/>
        <w:ind w:right="1123" w:firstLine="36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w:t>
      </w:r>
      <w:r>
        <w:rPr>
          <w:w w:val="99"/>
        </w:rPr>
        <w:t> </w:t>
      </w:r>
      <w:r>
        <w:rPr/>
        <w:t>带息债务形式发生的支出；</w:t>
      </w:r>
    </w:p>
    <w:p>
      <w:pPr>
        <w:pStyle w:val="BodyText"/>
        <w:spacing w:line="300" w:lineRule="auto" w:before="31"/>
        <w:ind w:left="513" w:right="3883"/>
        <w:jc w:val="left"/>
      </w:pPr>
      <w:r>
        <w:rPr>
          <w:rFonts w:ascii="Times New Roman" w:hAnsi="Times New Roman" w:cs="Times New Roman" w:eastAsia="Times New Roman" w:hint="default"/>
        </w:rPr>
        <w:t>(2)</w:t>
      </w:r>
      <w:r>
        <w:rPr/>
        <w:t>借款费用已经发生；</w:t>
      </w:r>
      <w:r>
        <w:rPr>
          <w:w w:val="99"/>
        </w:rPr>
        <w:t> </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123"/>
        <w:jc w:val="left"/>
      </w:pPr>
      <w:r>
        <w:rPr/>
        <w:t>资本化期间，指从借款费用开始资本化时点到停止资本化时点的期间，借款费用暂停资本化的期间不包括在内。 </w:t>
      </w:r>
      <w:r>
        <w:rPr>
          <w:spacing w:val="-2"/>
        </w:rPr>
        <w:t>当购建或者生产符合资本化条件的资产达到预定可使用或者可销售状态时，借款费用停止资本化。当购建或者生产符合</w:t>
      </w:r>
    </w:p>
    <w:p>
      <w:pPr>
        <w:pStyle w:val="BodyText"/>
        <w:spacing w:line="316" w:lineRule="auto" w:before="19"/>
        <w:ind w:right="1123"/>
        <w:jc w:val="left"/>
      </w:pPr>
      <w:r>
        <w:rPr>
          <w:spacing w:val="-2"/>
        </w:rPr>
        <w:t>资本化条件的资产中部分项目分别完工且可单独使用时，该部分资产借款费用停止资本化。购建或者生产的资产的各部分分</w:t>
      </w:r>
      <w:r>
        <w:rPr>
          <w:spacing w:val="-64"/>
        </w:rPr>
        <w:t> </w:t>
      </w:r>
      <w:r>
        <w:rPr>
          <w:spacing w:val="-64"/>
        </w:rPr>
      </w:r>
      <w:r>
        <w:rPr/>
        <w:t>别完工，但必须等到整体完工后才可使用或可对外销售的，在该资产整体完工时停止借款费用资本化。</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1" w:firstLine="360"/>
        <w:jc w:val="both"/>
      </w:pPr>
      <w:r>
        <w:rPr>
          <w:spacing w:val="-4"/>
        </w:rPr>
        <w:t>符合资本化条件的资产在购建或生产过程中发生的非正常中断、且中断时间连续超过</w:t>
      </w:r>
      <w:r>
        <w:rPr>
          <w:rFonts w:ascii="Times New Roman" w:hAnsi="Times New Roman" w:cs="Times New Roman" w:eastAsia="Times New Roman" w:hint="default"/>
          <w:spacing w:val="-4"/>
        </w:rPr>
        <w:t>3</w:t>
      </w:r>
      <w:r>
        <w:rPr>
          <w:spacing w:val="-4"/>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3"/>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3" w:firstLine="360"/>
        <w:jc w:val="left"/>
      </w:pPr>
      <w:r>
        <w:rPr>
          <w:spacing w:val="2"/>
        </w:rPr>
        <w:t>专门借款的利息费用</w:t>
      </w:r>
      <w:r>
        <w:rPr>
          <w:rFonts w:ascii="Times New Roman" w:hAnsi="Times New Roman" w:cs="Times New Roman" w:eastAsia="Times New Roman" w:hint="default"/>
          <w:spacing w:val="2"/>
        </w:rPr>
        <w:t>(</w:t>
      </w:r>
      <w:r>
        <w:rPr>
          <w:spacing w:val="2"/>
        </w:rPr>
        <w:t>扣除尚未动用的借款资金存入银行取得的利息收入或者进行暂时性投资取得的投资收益</w:t>
      </w:r>
      <w:r>
        <w:rPr>
          <w:rFonts w:ascii="Times New Roman" w:hAnsi="Times New Roman" w:cs="Times New Roman" w:eastAsia="Times New Roman" w:hint="default"/>
          <w:spacing w:val="2"/>
        </w:rPr>
        <w:t>)</w:t>
      </w:r>
      <w:r>
        <w:rPr>
          <w:spacing w:val="2"/>
        </w:rPr>
        <w:t>及其辅 </w:t>
      </w:r>
      <w:r>
        <w:rPr/>
        <w:t>助费用在所购建或者生产的符合资本化条件的资产达到预定可使用或者可销售状态前，予以资本化。</w:t>
      </w:r>
    </w:p>
    <w:p>
      <w:pPr>
        <w:pStyle w:val="BodyText"/>
        <w:spacing w:line="316" w:lineRule="auto" w:before="31"/>
        <w:ind w:right="1123" w:firstLine="360"/>
        <w:jc w:val="left"/>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pStyle w:val="BodyText"/>
        <w:spacing w:line="240" w:lineRule="auto" w:before="19"/>
        <w:ind w:left="513" w:right="1123"/>
        <w:jc w:val="left"/>
      </w:pPr>
      <w:r>
        <w:rPr/>
        <w:t>借款存在折价或者溢价的，按照实际利率法确定每一会计期间应摊销的折价或者溢价金额，调整每期利息金额。</w:t>
      </w:r>
    </w:p>
    <w:p>
      <w:pPr>
        <w:spacing w:after="0" w:line="24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left="513" w:right="1123"/>
        <w:jc w:val="left"/>
      </w:pPr>
      <w:r>
        <w:rPr>
          <w:rFonts w:ascii="Times New Roman" w:hAnsi="Times New Roman" w:cs="Times New Roman" w:eastAsia="Times New Roman" w:hint="default"/>
        </w:rPr>
        <w:t>(1)</w:t>
      </w:r>
      <w:r>
        <w:rPr/>
        <w:t>公司取得无形资产时按成本进行初始计量；</w:t>
      </w:r>
      <w:r>
        <w:rPr>
          <w:w w:val="99"/>
        </w:rPr>
        <w:t>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123"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123"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123"/>
        <w:jc w:val="left"/>
      </w:pPr>
      <w:r>
        <w:rPr>
          <w:spacing w:val="-2"/>
        </w:rPr>
        <w:t>无形资产以换出资产的公允价值为基础确定其入账价值，除非有确凿证据表明换入资产的公允价值更加可靠；不满足上述前</w:t>
      </w:r>
      <w:r>
        <w:rPr>
          <w:spacing w:val="-63"/>
        </w:rPr>
        <w:t> </w:t>
      </w:r>
      <w:r>
        <w:rPr>
          <w:spacing w:val="-63"/>
        </w:rPr>
      </w:r>
      <w:r>
        <w:rPr/>
        <w:t>提的非货币性资产交换，以换出资产的账面价值和应支付的相关税费作为换入无形资产的成本，不确认损益。</w:t>
      </w:r>
    </w:p>
    <w:p>
      <w:pPr>
        <w:pStyle w:val="BodyText"/>
        <w:spacing w:line="316" w:lineRule="auto" w:before="19"/>
        <w:ind w:right="1123"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1123"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00" w:lineRule="auto" w:before="19"/>
        <w:ind w:left="513" w:right="7153"/>
        <w:jc w:val="left"/>
      </w:pPr>
      <w:r>
        <w:rPr>
          <w:rFonts w:ascii="Times New Roman" w:hAnsi="Times New Roman" w:cs="Times New Roman" w:eastAsia="Times New Roman" w:hint="default"/>
        </w:rPr>
        <w:t>(2)</w:t>
      </w:r>
      <w:r>
        <w:rPr/>
        <w:t>后续计量</w:t>
      </w:r>
      <w:r>
        <w:rPr>
          <w:w w:val="99"/>
        </w:rPr>
        <w:t> </w:t>
      </w:r>
      <w:r>
        <w:rPr/>
        <w:t>在取得无形资产时分析判断其使用寿命。</w:t>
      </w:r>
    </w:p>
    <w:p>
      <w:pPr>
        <w:pStyle w:val="BodyText"/>
        <w:spacing w:line="316" w:lineRule="auto" w:before="31"/>
        <w:ind w:right="1123"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3" w:right="4573"/>
        <w:jc w:val="left"/>
      </w:pPr>
      <w:r>
        <w:rPr/>
        <w:t>每期末，对使用寿命有限的无形资产的使用寿命及摊销方法进行复核。 经复核，本年期末无形资产的使用寿命及摊销方法与以前估计未有不同。</w:t>
      </w: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相关法律规定使用年限</w:t>
            </w:r>
          </w:p>
        </w:tc>
      </w:tr>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生产经营用软件</w:t>
            </w:r>
          </w:p>
        </w:tc>
        <w:tc>
          <w:tcPr>
            <w:tcW w:w="2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0"/>
        <w:rPr>
          <w:rFonts w:ascii="宋体" w:hAnsi="宋体" w:cs="宋体" w:eastAsia="宋体" w:hint="default"/>
          <w:sz w:val="20"/>
          <w:szCs w:val="20"/>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3"/>
        <w:jc w:val="left"/>
      </w:pPr>
      <w:r>
        <w:rPr/>
        <w:t>对于使用寿命确定的无形资产，如有明显减值迹象的，期末进行减值测试。</w:t>
      </w:r>
    </w:p>
    <w:p>
      <w:pPr>
        <w:spacing w:after="0" w:line="240" w:lineRule="auto"/>
        <w:jc w:val="left"/>
        <w:sectPr>
          <w:footerReference w:type="default" r:id="rId49"/>
          <w:pgSz w:w="11910" w:h="16840"/>
          <w:pgMar w:footer="1340" w:header="877" w:top="1060" w:bottom="1540" w:left="980" w:right="0"/>
          <w:pgNumType w:start="93"/>
        </w:sectPr>
      </w:pPr>
    </w:p>
    <w:p>
      <w:pPr>
        <w:spacing w:line="240" w:lineRule="auto" w:before="9"/>
        <w:rPr>
          <w:rFonts w:ascii="宋体" w:hAnsi="宋体" w:cs="宋体" w:eastAsia="宋体" w:hint="default"/>
          <w:sz w:val="25"/>
          <w:szCs w:val="25"/>
        </w:rPr>
      </w:pPr>
    </w:p>
    <w:p>
      <w:pPr>
        <w:pStyle w:val="BodyText"/>
        <w:spacing w:line="319" w:lineRule="auto" w:before="44"/>
        <w:ind w:left="513" w:right="1123"/>
        <w:jc w:val="left"/>
      </w:pPr>
      <w:r>
        <w:rPr/>
        <w:t>对于使用寿命不确定的无形资产，每期末进行减值测试。 </w:t>
      </w:r>
      <w:r>
        <w:rPr>
          <w:spacing w:val="-2"/>
        </w:rPr>
        <w:t>对无形资产进行减值测试，估计其可收回金额。可收回金额根据无形资产的公允价值减去处置费用后的净额与无形资产</w:t>
      </w:r>
    </w:p>
    <w:p>
      <w:pPr>
        <w:pStyle w:val="BodyText"/>
        <w:spacing w:line="316" w:lineRule="auto" w:before="17"/>
        <w:ind w:left="513" w:right="1123" w:hanging="361"/>
        <w:jc w:val="left"/>
      </w:pPr>
      <w:r>
        <w:rPr/>
        <w:t>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316" w:lineRule="auto" w:before="19"/>
        <w:ind w:left="513" w:right="1123" w:hanging="361"/>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309" w:lineRule="auto" w:before="19"/>
        <w:ind w:left="513" w:right="1132" w:hanging="361"/>
        <w:jc w:val="left"/>
      </w:pPr>
      <w:r>
        <w:rPr/>
        <w:t>内，系统地分摊调整后的无形资产账面价值</w:t>
      </w:r>
      <w:r>
        <w:rPr>
          <w:rFonts w:ascii="Times New Roman" w:hAnsi="Times New Roman" w:cs="Times New Roman" w:eastAsia="Times New Roman" w:hint="default"/>
        </w:rPr>
        <w:t>(</w:t>
      </w:r>
      <w:r>
        <w:rPr/>
        <w:t>扣除预计净残值</w:t>
      </w:r>
      <w:r>
        <w:rPr>
          <w:rFonts w:ascii="Times New Roman" w:hAnsi="Times New Roman" w:cs="Times New Roman" w:eastAsia="Times New Roman" w:hint="default"/>
        </w:rPr>
        <w:t>)</w:t>
      </w:r>
      <w:r>
        <w:rPr/>
        <w:t>。 无形资产的减值损失一经确认，在以后会计期间不再转回。 </w:t>
      </w:r>
      <w:r>
        <w:rPr>
          <w:spacing w:val="-2"/>
        </w:rPr>
        <w:t>有迹象表明一项无形资产可能发生减值的，公司以单项无形资产为基础估计其可收回金额。公司难以对单项资产的可收</w:t>
      </w:r>
    </w:p>
    <w:p>
      <w:pPr>
        <w:pStyle w:val="BodyText"/>
        <w:spacing w:line="240" w:lineRule="auto" w:before="24"/>
        <w:ind w:right="1123"/>
        <w:jc w:val="left"/>
      </w:pPr>
      <w:r>
        <w:rPr/>
        <w:t>回金额进行估计的，以该无形资产所属的资产组为基础确定无形资产组的可收回金额。</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123"/>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19"/>
        <w:ind w:left="513" w:right="5533" w:hanging="361"/>
        <w:jc w:val="left"/>
      </w:pPr>
      <w:r>
        <w:rPr/>
        <w:t>进的材料、装置、产品等活动的阶段。 内部研究开发项目研究阶段的支出，在发生时计入当期损益。</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4453"/>
        <w:jc w:val="left"/>
      </w:pPr>
      <w:r>
        <w:rPr/>
        <w:t>内部研究开发项目开发阶段的支出，同时满足下列条件时确认为无形资产： </w:t>
      </w:r>
      <w:r>
        <w:rPr>
          <w:rFonts w:ascii="Times New Roman" w:hAnsi="Times New Roman" w:cs="Times New Roman" w:eastAsia="Times New Roman" w:hint="default"/>
        </w:rPr>
        <w:t>(1)</w:t>
      </w:r>
      <w:r>
        <w:rPr/>
        <w:t>完成该无形资产以使其能够使用或出售在技术上具有可行性； </w:t>
      </w:r>
      <w:r>
        <w:rPr>
          <w:rFonts w:ascii="Times New Roman" w:hAnsi="Times New Roman" w:cs="Times New Roman" w:eastAsia="Times New Roman" w:hint="default"/>
        </w:rPr>
        <w:t>(2)</w:t>
      </w:r>
      <w:r>
        <w:rPr/>
        <w:t>具有完成该无形资产并使用或出售的意图；</w:t>
      </w:r>
    </w:p>
    <w:p>
      <w:pPr>
        <w:pStyle w:val="BodyText"/>
        <w:spacing w:line="300" w:lineRule="auto" w:before="5"/>
        <w:ind w:right="1123" w:firstLine="360"/>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w:t>
      </w:r>
      <w:r>
        <w:rPr>
          <w:w w:val="99"/>
        </w:rPr>
        <w:t> </w:t>
      </w:r>
      <w:r>
        <w:rPr/>
        <w:t>资产将在内部使用的，能够证明其有用性；</w:t>
      </w:r>
    </w:p>
    <w:p>
      <w:pPr>
        <w:pStyle w:val="BodyText"/>
        <w:spacing w:line="300" w:lineRule="auto" w:before="31"/>
        <w:ind w:left="513" w:right="1903"/>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t>归属于该无形资产开发阶段的支出能够可靠地计量。</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0"/>
        <w:rPr>
          <w:rFonts w:ascii="宋体" w:hAnsi="宋体" w:cs="宋体" w:eastAsia="宋体" w:hint="default"/>
          <w:b/>
          <w:bCs/>
          <w:sz w:val="24"/>
          <w:szCs w:val="24"/>
        </w:rPr>
      </w:pPr>
    </w:p>
    <w:p>
      <w:pPr>
        <w:spacing w:line="285" w:lineRule="auto" w:before="0"/>
        <w:ind w:left="573" w:right="76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z w:val="18"/>
          <w:szCs w:val="18"/>
        </w:rPr>
        <w:t>长期待摊费用在受益期内平均摊销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sz w:val="21"/>
          <w:szCs w:val="21"/>
        </w:rPr>
      </w:r>
    </w:p>
    <w:tbl>
      <w:tblPr>
        <w:tblW w:w="0" w:type="auto"/>
        <w:jc w:val="left"/>
        <w:tblInd w:w="145" w:type="dxa"/>
        <w:tblLayout w:type="fixed"/>
        <w:tblCellMar>
          <w:top w:w="0" w:type="dxa"/>
          <w:left w:w="0" w:type="dxa"/>
          <w:bottom w:w="0" w:type="dxa"/>
          <w:right w:w="0" w:type="dxa"/>
        </w:tblCellMar>
        <w:tblLook w:val="01E0"/>
      </w:tblPr>
      <w:tblGrid>
        <w:gridCol w:w="3375"/>
        <w:gridCol w:w="2580"/>
        <w:gridCol w:w="2693"/>
      </w:tblGrid>
      <w:tr>
        <w:trPr>
          <w:trHeight w:val="353" w:hRule="exact"/>
        </w:trPr>
        <w:tc>
          <w:tcPr>
            <w:tcW w:w="3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69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3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6"/>
              <w:jc w:val="center"/>
              <w:rPr>
                <w:rFonts w:ascii="Times New Roman" w:hAnsi="Times New Roman" w:cs="Times New Roman" w:eastAsia="Times New Roman" w:hint="default"/>
                <w:sz w:val="18"/>
                <w:szCs w:val="18"/>
              </w:rPr>
            </w:pPr>
            <w:r>
              <w:rPr>
                <w:rFonts w:ascii="Times New Roman"/>
                <w:sz w:val="18"/>
              </w:rPr>
              <w:t>5</w:t>
            </w:r>
          </w:p>
        </w:tc>
        <w:tc>
          <w:tcPr>
            <w:tcW w:w="26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3375" w:type="dxa"/>
            <w:tcBorders>
              <w:top w:val="single" w:sz="12" w:space="0" w:color="000000"/>
              <w:left w:val="single" w:sz="6" w:space="0" w:color="000000"/>
              <w:bottom w:val="single" w:sz="12" w:space="0" w:color="000000"/>
              <w:right w:val="single" w:sz="6" w:space="0" w:color="000000"/>
            </w:tcBorders>
          </w:tcPr>
          <w:p>
            <w:pPr>
              <w:pStyle w:val="TableParagraph"/>
              <w:spacing w:line="234" w:lineRule="exact"/>
              <w:ind w:left="74" w:right="0"/>
              <w:jc w:val="left"/>
              <w:rPr>
                <w:rFonts w:ascii="宋体" w:hAnsi="宋体" w:cs="宋体" w:eastAsia="宋体" w:hint="default"/>
                <w:sz w:val="18"/>
                <w:szCs w:val="18"/>
              </w:rPr>
            </w:pPr>
            <w:r>
              <w:rPr>
                <w:rFonts w:ascii="宋体" w:hAnsi="宋体" w:cs="宋体" w:eastAsia="宋体" w:hint="default"/>
                <w:sz w:val="18"/>
                <w:szCs w:val="18"/>
              </w:rPr>
              <w:t>用电增容费</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6"/>
              <w:jc w:val="center"/>
              <w:rPr>
                <w:rFonts w:ascii="Times New Roman" w:hAnsi="Times New Roman" w:cs="Times New Roman" w:eastAsia="Times New Roman" w:hint="default"/>
                <w:sz w:val="18"/>
                <w:szCs w:val="18"/>
              </w:rPr>
            </w:pPr>
            <w:r>
              <w:rPr>
                <w:rFonts w:ascii="Times New Roman"/>
                <w:sz w:val="18"/>
              </w:rPr>
              <w:t>5</w:t>
            </w:r>
          </w:p>
        </w:tc>
        <w:tc>
          <w:tcPr>
            <w:tcW w:w="2693" w:type="dxa"/>
            <w:tcBorders>
              <w:top w:val="single" w:sz="12" w:space="0" w:color="000000"/>
              <w:left w:val="single" w:sz="6" w:space="0" w:color="000000"/>
              <w:bottom w:val="single" w:sz="12" w:space="0" w:color="000000"/>
              <w:right w:val="single" w:sz="4" w:space="0" w:color="000000"/>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0" w:hRule="exact"/>
        </w:trPr>
        <w:tc>
          <w:tcPr>
            <w:tcW w:w="3375" w:type="dxa"/>
            <w:tcBorders>
              <w:top w:val="single" w:sz="12" w:space="0" w:color="000000"/>
              <w:left w:val="single" w:sz="6" w:space="0" w:color="000000"/>
              <w:bottom w:val="single" w:sz="12" w:space="0" w:color="000000"/>
              <w:right w:val="single" w:sz="6" w:space="0" w:color="000000"/>
            </w:tcBorders>
          </w:tcPr>
          <w:p>
            <w:pPr>
              <w:pStyle w:val="TableParagraph"/>
              <w:spacing w:line="233" w:lineRule="exact"/>
              <w:ind w:left="74"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6"/>
              <w:jc w:val="center"/>
              <w:rPr>
                <w:rFonts w:ascii="Times New Roman" w:hAnsi="Times New Roman" w:cs="Times New Roman" w:eastAsia="Times New Roman" w:hint="default"/>
                <w:sz w:val="18"/>
                <w:szCs w:val="18"/>
              </w:rPr>
            </w:pPr>
            <w:r>
              <w:rPr>
                <w:rFonts w:ascii="Times New Roman"/>
                <w:sz w:val="18"/>
              </w:rPr>
              <w:t>5</w:t>
            </w:r>
          </w:p>
        </w:tc>
        <w:tc>
          <w:tcPr>
            <w:tcW w:w="2693" w:type="dxa"/>
            <w:tcBorders>
              <w:top w:val="single" w:sz="12" w:space="0" w:color="000000"/>
              <w:left w:val="single" w:sz="6" w:space="0" w:color="000000"/>
              <w:bottom w:val="single" w:sz="12" w:space="0" w:color="000000"/>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3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4"/>
              <w:jc w:val="center"/>
              <w:rPr>
                <w:rFonts w:ascii="Times New Roman" w:hAnsi="Times New Roman" w:cs="Times New Roman" w:eastAsia="Times New Roman" w:hint="default"/>
                <w:sz w:val="18"/>
                <w:szCs w:val="18"/>
              </w:rPr>
            </w:pPr>
            <w:r>
              <w:rPr>
                <w:rFonts w:ascii="Times New Roman"/>
                <w:sz w:val="18"/>
              </w:rPr>
              <w:t>1.5</w:t>
            </w:r>
          </w:p>
        </w:tc>
        <w:tc>
          <w:tcPr>
            <w:tcW w:w="26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3375" w:type="dxa"/>
            <w:tcBorders>
              <w:top w:val="single" w:sz="12" w:space="0" w:color="000000"/>
              <w:left w:val="single" w:sz="6" w:space="0" w:color="000000"/>
              <w:bottom w:val="single" w:sz="12" w:space="0" w:color="000000"/>
              <w:right w:val="single" w:sz="6" w:space="0" w:color="000000"/>
            </w:tcBorders>
          </w:tcPr>
          <w:p>
            <w:pPr>
              <w:pStyle w:val="TableParagraph"/>
              <w:spacing w:line="233" w:lineRule="exact"/>
              <w:ind w:left="74"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6"/>
              <w:jc w:val="center"/>
              <w:rPr>
                <w:rFonts w:ascii="Times New Roman" w:hAnsi="Times New Roman" w:cs="Times New Roman" w:eastAsia="Times New Roman" w:hint="default"/>
                <w:sz w:val="18"/>
                <w:szCs w:val="18"/>
              </w:rPr>
            </w:pPr>
            <w:r>
              <w:rPr>
                <w:rFonts w:ascii="Times New Roman"/>
                <w:sz w:val="18"/>
              </w:rPr>
              <w:t>5</w:t>
            </w:r>
          </w:p>
        </w:tc>
        <w:tc>
          <w:tcPr>
            <w:tcW w:w="2693" w:type="dxa"/>
            <w:tcBorders>
              <w:top w:val="single" w:sz="12" w:space="0" w:color="000000"/>
              <w:left w:val="single" w:sz="6" w:space="0" w:color="000000"/>
              <w:bottom w:val="single" w:sz="12" w:space="0" w:color="000000"/>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5"/>
        <w:rPr>
          <w:rFonts w:ascii="宋体" w:hAnsi="宋体" w:cs="宋体" w:eastAsia="宋体" w:hint="default"/>
          <w:b/>
          <w:bCs/>
          <w:sz w:val="18"/>
          <w:szCs w:val="18"/>
        </w:rPr>
      </w:pPr>
    </w:p>
    <w:p>
      <w:pPr>
        <w:pStyle w:val="Heading3"/>
        <w:spacing w:line="240" w:lineRule="auto" w:before="36"/>
        <w:ind w:right="1123"/>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4" w:firstLine="360"/>
        <w:jc w:val="both"/>
      </w:pPr>
      <w:r>
        <w:rPr>
          <w:spacing w:val="-2"/>
        </w:rPr>
        <w:t>本公司涉及诉讼、债务担保、亏损合同、重组事项时，如该等事项很可能需要未来以交付资产或提供劳务、其金额能够</w:t>
      </w:r>
      <w:r>
        <w:rPr/>
        <w:t> 可靠计量的，确认为预计负债。</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left="513" w:right="4813"/>
        <w:jc w:val="left"/>
      </w:pPr>
      <w:r>
        <w:rPr/>
        <w:t>与或有事项相关的义务同时满足下列条件时，本公司确认为预计负债： </w:t>
      </w:r>
      <w:r>
        <w:rPr>
          <w:rFonts w:ascii="Times New Roman" w:hAnsi="Times New Roman" w:cs="Times New Roman" w:eastAsia="Times New Roman" w:hint="default"/>
        </w:rPr>
        <w:t>(1)</w:t>
      </w:r>
      <w:r>
        <w:rPr/>
        <w:t>该义务是本公司承担的现时义务； </w:t>
      </w:r>
      <w:r>
        <w:rPr>
          <w:rFonts w:ascii="Times New Roman" w:hAnsi="Times New Roman" w:cs="Times New Roman" w:eastAsia="Times New Roman" w:hint="default"/>
        </w:rPr>
        <w:t>(2)</w:t>
      </w:r>
      <w:r>
        <w:rPr/>
        <w:t>履行该义务很可能导致经济利益流出本公司； </w:t>
      </w:r>
      <w:r>
        <w:rPr>
          <w:rFonts w:ascii="Times New Roman" w:hAnsi="Times New Roman" w:cs="Times New Roman" w:eastAsia="Times New Roman" w:hint="default"/>
        </w:rPr>
        <w:t>(3)</w:t>
      </w:r>
      <w:r>
        <w:rPr/>
        <w:t>该义务的金额能够可靠地计量。</w:t>
      </w:r>
    </w:p>
    <w:p>
      <w:pPr>
        <w:spacing w:line="240" w:lineRule="auto" w:before="12"/>
        <w:rPr>
          <w:rFonts w:ascii="宋体" w:hAnsi="宋体" w:cs="宋体" w:eastAsia="宋体" w:hint="default"/>
          <w:sz w:val="21"/>
          <w:szCs w:val="21"/>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3"/>
        <w:jc w:val="left"/>
      </w:pPr>
      <w:r>
        <w:rPr/>
        <w:t>公司预计负债按履行相关现时义务所需的支出的最佳估计数进行初始计量。 </w:t>
      </w:r>
      <w:r>
        <w:rPr>
          <w:spacing w:val="-2"/>
        </w:rPr>
        <w:t>公司在确定最佳估计数时，综合考虑与或有事项有关的风险、不确定性和货币时间价值等因素。对于货币时间价值影响</w:t>
      </w:r>
    </w:p>
    <w:p>
      <w:pPr>
        <w:pStyle w:val="BodyText"/>
        <w:spacing w:line="316" w:lineRule="auto" w:before="19"/>
        <w:ind w:left="513" w:right="5714" w:hanging="361"/>
        <w:jc w:val="left"/>
      </w:pPr>
      <w:r>
        <w:rPr/>
        <w:t>重大的，通过对相关未来现金流出进行折现后确定最佳估计数。 最佳估计数分别以下情况处理：</w:t>
      </w:r>
    </w:p>
    <w:p>
      <w:pPr>
        <w:pStyle w:val="BodyText"/>
        <w:spacing w:line="300" w:lineRule="auto" w:before="19"/>
        <w:ind w:right="1132" w:firstLine="360"/>
        <w:jc w:val="both"/>
      </w:pPr>
      <w:r>
        <w:rPr>
          <w:rFonts w:ascii="Times New Roman" w:hAnsi="Times New Roman" w:cs="Times New Roman" w:eastAsia="Times New Roman" w:hint="default"/>
          <w:spacing w:val="-1"/>
        </w:rPr>
        <w:t>(1)</w:t>
      </w:r>
      <w:r>
        <w:rPr>
          <w:spacing w:val="-1"/>
        </w:rPr>
        <w:t>所需支出存在一个连续范围</w:t>
      </w:r>
      <w:r>
        <w:rPr>
          <w:rFonts w:ascii="Times New Roman" w:hAnsi="Times New Roman" w:cs="Times New Roman" w:eastAsia="Times New Roman" w:hint="default"/>
          <w:spacing w:val="-1"/>
        </w:rPr>
        <w:t>(</w:t>
      </w:r>
      <w:r>
        <w:rPr>
          <w:spacing w:val="-1"/>
        </w:rPr>
        <w:t>或区间</w:t>
      </w:r>
      <w:r>
        <w:rPr>
          <w:rFonts w:ascii="Times New Roman" w:hAnsi="Times New Roman" w:cs="Times New Roman" w:eastAsia="Times New Roman" w:hint="default"/>
          <w:spacing w:val="-1"/>
        </w:rPr>
        <w:t>)</w:t>
      </w:r>
      <w:r>
        <w:rPr>
          <w:spacing w:val="-1"/>
        </w:rPr>
        <w:t>，且该范围内各种结果发生的可能性相同的，则最佳估计数按照该范围的中间值</w:t>
      </w:r>
      <w:r>
        <w:rPr>
          <w:w w:val="99"/>
        </w:rPr>
        <w:t> </w:t>
      </w:r>
      <w:r>
        <w:rPr/>
        <w:t>即上下限金额的平均数确定。</w:t>
      </w:r>
    </w:p>
    <w:p>
      <w:pPr>
        <w:pStyle w:val="BodyText"/>
        <w:spacing w:line="309" w:lineRule="auto" w:before="31"/>
        <w:ind w:right="1130" w:firstLine="360"/>
        <w:jc w:val="both"/>
      </w:pPr>
      <w:r>
        <w:rPr>
          <w:rFonts w:ascii="Times New Roman" w:hAnsi="Times New Roman" w:cs="Times New Roman" w:eastAsia="Times New Roman" w:hint="default"/>
          <w:spacing w:val="-1"/>
        </w:rPr>
        <w:t>(2)</w:t>
      </w:r>
      <w:r>
        <w:rPr>
          <w:spacing w:val="-1"/>
        </w:rPr>
        <w:t>所需支出不存在一个连续范围</w:t>
      </w:r>
      <w:r>
        <w:rPr>
          <w:rFonts w:ascii="Times New Roman" w:hAnsi="Times New Roman" w:cs="Times New Roman" w:eastAsia="Times New Roman" w:hint="default"/>
          <w:spacing w:val="-1"/>
        </w:rPr>
        <w:t>(</w:t>
      </w:r>
      <w:r>
        <w:rPr>
          <w:spacing w:val="-1"/>
        </w:rPr>
        <w:t>或区间</w:t>
      </w:r>
      <w:r>
        <w:rPr>
          <w:rFonts w:ascii="Times New Roman" w:hAnsi="Times New Roman" w:cs="Times New Roman" w:eastAsia="Times New Roman" w:hint="default"/>
          <w:spacing w:val="-1"/>
        </w:rPr>
        <w:t>)</w:t>
      </w:r>
      <w:r>
        <w:rPr>
          <w:spacing w:val="-1"/>
        </w:rPr>
        <w:t>，或虽然存在一个连续范围但该范围内各种结果发生的可能性不相同的，如或</w:t>
      </w:r>
      <w:r>
        <w:rPr>
          <w:w w:val="99"/>
        </w:rPr>
        <w:t> </w:t>
      </w:r>
      <w:r>
        <w:rPr>
          <w:spacing w:val="-2"/>
        </w:rPr>
        <w:t>有事项涉及单个项目的，则最佳估计数按照最可能发生金额确定；如或有事项涉及多个项目的，则最佳估计数按各种可能结</w:t>
      </w:r>
      <w:r>
        <w:rPr>
          <w:spacing w:val="-64"/>
        </w:rPr>
        <w:t> </w:t>
      </w:r>
      <w:r>
        <w:rPr>
          <w:spacing w:val="-64"/>
        </w:rPr>
      </w:r>
      <w:r>
        <w:rPr/>
        <w:t>果及相关概率计算确定。</w:t>
      </w:r>
    </w:p>
    <w:p>
      <w:pPr>
        <w:pStyle w:val="BodyText"/>
        <w:spacing w:line="319" w:lineRule="auto" w:before="24"/>
        <w:ind w:right="1130" w:firstLine="360"/>
        <w:jc w:val="both"/>
      </w:pPr>
      <w:r>
        <w:rPr>
          <w:spacing w:val="-2"/>
        </w:rPr>
        <w:t>公司清偿预计负债所需支出全部或部分预期由第三方补偿的，补偿金额在基本确定能够收到时，作为资产单独确认，确</w:t>
      </w:r>
      <w:r>
        <w:rPr/>
        <w:t> 认的补偿金额不超过预计负债的账面价值。</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公司已将商品所有权上的主要风险和报酬转移给购买方；公司既没有保留与所有权相联系的继续管理权，也没有对已售</w:t>
      </w:r>
      <w:r>
        <w:rPr/>
        <w:t> </w:t>
      </w: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3" w:right="1033"/>
        <w:jc w:val="left"/>
      </w:pPr>
      <w:r>
        <w:rPr/>
        <w:t>与交易相关的经济利益很可能流入企业，收入的金额能够可靠地计量时。分别下列情况确定让渡资产使用权收入金额：</w:t>
      </w:r>
      <w:r>
        <w:rPr>
          <w:spacing w:val="-86"/>
        </w:rPr>
        <w:t> </w:t>
      </w:r>
      <w:r>
        <w:rPr>
          <w:spacing w:val="-86"/>
        </w:rPr>
      </w:r>
      <w:r>
        <w:rPr>
          <w:rFonts w:ascii="Times New Roman" w:hAnsi="Times New Roman" w:cs="Times New Roman" w:eastAsia="Times New Roman" w:hint="default"/>
        </w:rPr>
        <w:t>(1)</w:t>
      </w:r>
      <w:r>
        <w:rPr/>
        <w:t>利息收入金额，按照他人使用本企业货币资金的时间和实际利率计算确定。 </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10"/>
        <w:rPr>
          <w:rFonts w:ascii="宋体" w:hAnsi="宋体" w:cs="宋体" w:eastAsia="宋体" w:hint="default"/>
          <w:sz w:val="21"/>
          <w:szCs w:val="21"/>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513" w:right="0"/>
        <w:jc w:val="left"/>
      </w:pPr>
      <w:r>
        <w:rPr/>
        <w:t>政府补助，是本公司从政府无偿取得的货币性资产与非货币性资产。分为与资产相关的政府补助和与收益相关的政府补</w:t>
      </w:r>
    </w:p>
    <w:p>
      <w:pPr>
        <w:pStyle w:val="BodyText"/>
        <w:spacing w:line="240" w:lineRule="auto" w:before="76"/>
        <w:ind w:right="1123"/>
        <w:jc w:val="left"/>
      </w:pPr>
      <w:r>
        <w:rPr/>
        <w:t>助。</w:t>
      </w:r>
    </w:p>
    <w:p>
      <w:pPr>
        <w:spacing w:line="240" w:lineRule="auto" w:before="6"/>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3" w:firstLine="360"/>
        <w:jc w:val="left"/>
      </w:pPr>
      <w:r>
        <w:rPr>
          <w:spacing w:val="-2"/>
        </w:rPr>
        <w:t>与购建固定资产、无形资产等长期资产相关的政府补助，确认为递延收益，按照所建造或购买的资产使用年限分期计入</w:t>
      </w:r>
      <w:r>
        <w:rPr/>
        <w:t> 营业外收入；</w:t>
      </w:r>
    </w:p>
    <w:p>
      <w:pPr>
        <w:pStyle w:val="BodyText"/>
        <w:spacing w:line="316" w:lineRule="auto" w:before="17"/>
        <w:ind w:right="1123" w:firstLine="360"/>
        <w:jc w:val="left"/>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公司以很可能取得用来抵扣可抵扣暂时性差异的应纳税所得额为限，确认由可抵扣暂时性差异产生的递延所得税资产。</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公司将当期与以前期间应交未交的应纳税暂时性差异确认为递延所得税负债。但不包括商誉、非企业合并形成的交易且</w:t>
      </w:r>
      <w:r>
        <w:rPr/>
        <w:t> 该交易发生时既不影响会计利润也不影响应纳税所得额所形成的暂时性差异。</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right="1139" w:firstLine="360"/>
        <w:jc w:val="both"/>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w:t>
      </w:r>
      <w:r>
        <w:rPr>
          <w:w w:val="99"/>
        </w:rPr>
        <w:t> </w:t>
      </w:r>
      <w:r>
        <w:rPr/>
        <w:t>与租赁交易相关的初始直接费用，计入当期费用。</w:t>
      </w:r>
    </w:p>
    <w:p>
      <w:pPr>
        <w:pStyle w:val="BodyText"/>
        <w:spacing w:line="319" w:lineRule="auto" w:before="31"/>
        <w:ind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09" w:lineRule="auto" w:before="17"/>
        <w:ind w:right="1133" w:firstLine="360"/>
        <w:jc w:val="both"/>
      </w:pP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w:t>
      </w:r>
      <w:r>
        <w:rPr>
          <w:w w:val="99"/>
        </w:rPr>
        <w:t> </w:t>
      </w:r>
      <w:r>
        <w:rPr>
          <w:spacing w:val="-2"/>
        </w:rPr>
        <w:t>的与租赁交易相关的初始直接费用，计入当期费用；如金额较大的，则予以资本化，在整个租赁期间内按照与租赁收入确认</w:t>
      </w:r>
      <w:r>
        <w:rPr>
          <w:spacing w:val="-67"/>
        </w:rPr>
        <w:t> </w:t>
      </w:r>
      <w:r>
        <w:rPr>
          <w:spacing w:val="-67"/>
        </w:rPr>
      </w:r>
      <w:r>
        <w:rPr/>
        <w:t>相同的基础分期计入当期收益。</w:t>
      </w:r>
    </w:p>
    <w:p>
      <w:pPr>
        <w:pStyle w:val="BodyText"/>
        <w:spacing w:line="316" w:lineRule="auto" w:before="24"/>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9" w:firstLine="360"/>
        <w:jc w:val="both"/>
      </w:pP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w:t>
      </w:r>
      <w:r>
        <w:rPr>
          <w:w w:val="99"/>
        </w:rPr>
        <w:t> </w:t>
      </w:r>
      <w:r>
        <w:rPr/>
        <w:t>价值，将最低租赁付款额作为长期应付款的入账价值，其差额作为未确认的融资费用。</w:t>
      </w:r>
    </w:p>
    <w:p>
      <w:pPr>
        <w:pStyle w:val="BodyText"/>
        <w:spacing w:line="240" w:lineRule="auto" w:before="31"/>
        <w:ind w:left="513" w:right="1123"/>
        <w:jc w:val="left"/>
      </w:pPr>
      <w:r>
        <w:rPr/>
        <w:t>公司采用实际利率法对未确认的融资费用，在资产租赁期间内摊销，计入财务费用。</w:t>
      </w:r>
    </w:p>
    <w:p>
      <w:pPr>
        <w:pStyle w:val="BodyText"/>
        <w:spacing w:line="309" w:lineRule="auto" w:before="77"/>
        <w:ind w:right="1133" w:firstLine="360"/>
        <w:jc w:val="both"/>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w:t>
      </w:r>
      <w:r>
        <w:rPr>
          <w:w w:val="99"/>
        </w:rPr>
        <w:t> </w:t>
      </w:r>
      <w:r>
        <w:rPr>
          <w:spacing w:val="-2"/>
        </w:rPr>
        <w:t>在将来收到租金的各期间内确认为租赁收入，公司发生的与出租交易相关的初始直接费用，计入应收融资租赁款的初始计量</w:t>
      </w:r>
      <w:r>
        <w:rPr>
          <w:spacing w:val="-65"/>
        </w:rPr>
        <w:t> </w:t>
      </w:r>
      <w:r>
        <w:rPr>
          <w:spacing w:val="-65"/>
        </w:rPr>
      </w:r>
      <w:r>
        <w:rPr/>
        <w:t>中，并减少租赁期内确认的收益金额。</w:t>
      </w:r>
    </w:p>
    <w:p>
      <w:pPr>
        <w:spacing w:line="240" w:lineRule="auto" w:before="3"/>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本报告期主要会计政策、会计估计是否变更</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1"/>
        <w:ind w:left="513" w:right="1123"/>
        <w:jc w:val="left"/>
      </w:pPr>
      <w:r>
        <w:rPr/>
        <w:t>本报告期主要会计政策未变更；本报告期主要会计估计变更。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本报告期主要会计政策是否变更</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513" w:right="1123"/>
        <w:jc w:val="left"/>
      </w:pPr>
      <w:r>
        <w:rPr/>
        <w:t>本报告期主要会计政策未变更。</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本报告期主要会计估计是否变更</w:t>
      </w:r>
    </w:p>
    <w:p>
      <w:pPr>
        <w:pStyle w:val="BodyText"/>
        <w:spacing w:line="240" w:lineRule="auto" w:before="115"/>
        <w:ind w:right="1123"/>
        <w:jc w:val="left"/>
      </w:pPr>
      <w:r>
        <w:rPr/>
        <w:t>√ 是 □</w:t>
      </w:r>
      <w:r>
        <w:rPr>
          <w:spacing w:val="3"/>
        </w:rPr>
        <w:t> </w:t>
      </w:r>
      <w:r>
        <w:rPr/>
        <w:t>否</w:t>
      </w:r>
    </w:p>
    <w:p>
      <w:pPr>
        <w:pStyle w:val="BodyText"/>
        <w:spacing w:line="300" w:lineRule="auto" w:before="117"/>
        <w:ind w:right="1119" w:firstLine="420"/>
        <w:jc w:val="left"/>
      </w:pPr>
      <w:r>
        <w:rPr>
          <w:spacing w:val="-1"/>
        </w:rPr>
        <w:t>经</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日公司董事会第二届第十四次会议审议通过《关于调整坏账准备会计估计变更的议案》，决定对一年以</w:t>
      </w:r>
      <w:r>
        <w:rPr/>
        <w:t> 内的应收款项坏账准备计提比例进行变更。</w:t>
      </w:r>
    </w:p>
    <w:tbl>
      <w:tblPr>
        <w:tblW w:w="0" w:type="auto"/>
        <w:jc w:val="left"/>
        <w:tblInd w:w="145" w:type="dxa"/>
        <w:tblLayout w:type="fixed"/>
        <w:tblCellMar>
          <w:top w:w="0" w:type="dxa"/>
          <w:left w:w="0" w:type="dxa"/>
          <w:bottom w:w="0" w:type="dxa"/>
          <w:right w:w="0" w:type="dxa"/>
        </w:tblCellMar>
        <w:tblLook w:val="01E0"/>
      </w:tblPr>
      <w:tblGrid>
        <w:gridCol w:w="1527"/>
        <w:gridCol w:w="3545"/>
        <w:gridCol w:w="3685"/>
      </w:tblGrid>
      <w:tr>
        <w:trPr>
          <w:trHeight w:val="356"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3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坏账准备计提比例</w:t>
            </w:r>
          </w:p>
        </w:tc>
      </w:tr>
      <w:tr>
        <w:trPr>
          <w:trHeight w:val="350" w:hRule="exact"/>
        </w:trPr>
        <w:tc>
          <w:tcPr>
            <w:tcW w:w="1527" w:type="dxa"/>
            <w:vMerge/>
            <w:tcBorders>
              <w:left w:val="single" w:sz="6" w:space="0" w:color="000000"/>
              <w:bottom w:val="single" w:sz="12" w:space="0" w:color="000000"/>
              <w:right w:val="single" w:sz="6" w:space="0" w:color="000000"/>
            </w:tcBorders>
          </w:tcPr>
          <w:p>
            <w:pPr/>
          </w:p>
        </w:tc>
        <w:tc>
          <w:tcPr>
            <w:tcW w:w="3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36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3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1%</w:t>
            </w:r>
          </w:p>
        </w:tc>
        <w:tc>
          <w:tcPr>
            <w:tcW w:w="3685" w:type="dxa"/>
            <w:vMerge w:val="restart"/>
            <w:tcBorders>
              <w:top w:val="single" w:sz="12" w:space="0" w:color="000000"/>
              <w:left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w:t>
            </w:r>
          </w:p>
        </w:tc>
      </w:tr>
      <w:tr>
        <w:trPr>
          <w:trHeight w:val="353"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5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1.5%</w:t>
            </w:r>
          </w:p>
        </w:tc>
        <w:tc>
          <w:tcPr>
            <w:tcW w:w="3685" w:type="dxa"/>
            <w:vMerge/>
            <w:tcBorders>
              <w:left w:val="single" w:sz="6" w:space="0" w:color="000000"/>
              <w:bottom w:val="single" w:sz="12" w:space="0" w:color="000000"/>
              <w:right w:val="single" w:sz="6" w:space="0" w:color="000000"/>
            </w:tcBorders>
          </w:tcPr>
          <w:p>
            <w:pPr/>
          </w:p>
        </w:tc>
      </w:tr>
    </w:tbl>
    <w:p>
      <w:pPr>
        <w:spacing w:line="240" w:lineRule="auto" w:before="13"/>
        <w:rPr>
          <w:rFonts w:ascii="宋体" w:hAnsi="宋体" w:cs="宋体" w:eastAsia="宋体" w:hint="default"/>
          <w:sz w:val="25"/>
          <w:szCs w:val="25"/>
        </w:rPr>
      </w:pPr>
    </w:p>
    <w:p>
      <w:pPr>
        <w:pStyle w:val="BodyText"/>
        <w:spacing w:line="240" w:lineRule="auto" w:before="44"/>
        <w:ind w:right="1123"/>
        <w:jc w:val="left"/>
      </w:pPr>
      <w:r>
        <w:rPr/>
        <w:t>详细说明</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15"/>
        <w:gridCol w:w="2686"/>
        <w:gridCol w:w="1466"/>
        <w:gridCol w:w="1901"/>
      </w:tblGrid>
      <w:tr>
        <w:trPr>
          <w:trHeight w:val="715"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713" w:hRule="exact"/>
        </w:trPr>
        <w:tc>
          <w:tcPr>
            <w:tcW w:w="35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一年以内的应收款项坏账准备计提比例</w:t>
            </w:r>
          </w:p>
        </w:tc>
        <w:tc>
          <w:tcPr>
            <w:tcW w:w="26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日公司董事会第二 届第十四次会议审议通过</w:t>
            </w:r>
          </w:p>
        </w:tc>
        <w:tc>
          <w:tcPr>
            <w:tcW w:w="14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4" w:right="0"/>
              <w:jc w:val="left"/>
              <w:rPr>
                <w:rFonts w:ascii="Times New Roman" w:hAnsi="Times New Roman" w:cs="Times New Roman" w:eastAsia="Times New Roman" w:hint="default"/>
                <w:sz w:val="18"/>
                <w:szCs w:val="18"/>
              </w:rPr>
            </w:pPr>
            <w:r>
              <w:rPr>
                <w:rFonts w:ascii="Times New Roman"/>
                <w:sz w:val="18"/>
              </w:rPr>
              <w:t>9,966,800.00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本报告期是否发现前期会计差错</w:t>
      </w:r>
    </w:p>
    <w:p>
      <w:pPr>
        <w:pStyle w:val="BodyText"/>
        <w:spacing w:line="338" w:lineRule="auto" w:before="117"/>
        <w:ind w:right="986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after="0" w:line="338"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本报告期是否发现采用追溯重述法的前期会计差错</w:t>
      </w:r>
    </w:p>
    <w:p>
      <w:pPr>
        <w:pStyle w:val="BodyText"/>
        <w:spacing w:line="240" w:lineRule="auto" w:before="115"/>
        <w:ind w:right="1123"/>
        <w:jc w:val="left"/>
      </w:pPr>
      <w:r>
        <w:rPr/>
        <w:t>□ 是 √</w:t>
      </w:r>
      <w:r>
        <w:rPr>
          <w:spacing w:val="3"/>
        </w:rPr>
        <w:t> </w:t>
      </w:r>
      <w:r>
        <w:rPr/>
        <w:t>否</w:t>
      </w:r>
    </w:p>
    <w:p>
      <w:pPr>
        <w:pStyle w:val="BodyText"/>
        <w:spacing w:line="240" w:lineRule="auto" w:before="117"/>
        <w:ind w:left="573" w:right="1123"/>
        <w:jc w:val="left"/>
      </w:pPr>
      <w:r>
        <w:rPr/>
        <w:t>本报告期未发现采用追溯重述法的前期会计差错。</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本报告期是否发现采用未来适用法的前期会计差错</w:t>
      </w:r>
    </w:p>
    <w:p>
      <w:pPr>
        <w:pStyle w:val="BodyText"/>
        <w:spacing w:line="240" w:lineRule="auto" w:before="117"/>
        <w:ind w:right="1123"/>
        <w:jc w:val="left"/>
      </w:pPr>
      <w:r>
        <w:rPr/>
        <w:t>□ 是 √</w:t>
      </w:r>
      <w:r>
        <w:rPr>
          <w:spacing w:val="3"/>
        </w:rPr>
        <w:t> </w:t>
      </w:r>
      <w:r>
        <w:rPr/>
        <w:t>否</w:t>
      </w:r>
    </w:p>
    <w:p>
      <w:pPr>
        <w:pStyle w:val="BodyText"/>
        <w:spacing w:line="240" w:lineRule="auto" w:before="117"/>
        <w:ind w:left="513" w:right="1123"/>
        <w:jc w:val="left"/>
      </w:pPr>
      <w:r>
        <w:rPr/>
        <w:t>本报告期未发现采用未来适用法的前期会计差错。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23"/>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26"/>
        <w:gridCol w:w="3027"/>
      </w:tblGrid>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49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产品或劳务收入</w:t>
            </w:r>
          </w:p>
        </w:tc>
        <w:tc>
          <w:tcPr>
            <w:tcW w:w="30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49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3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49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房屋租赁收入、工程劳务收入</w:t>
            </w:r>
          </w:p>
        </w:tc>
        <w:tc>
          <w:tcPr>
            <w:tcW w:w="30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49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增值税、营业税额</w:t>
            </w:r>
          </w:p>
        </w:tc>
        <w:tc>
          <w:tcPr>
            <w:tcW w:w="30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49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增值税、营业税额</w:t>
            </w:r>
          </w:p>
        </w:tc>
        <w:tc>
          <w:tcPr>
            <w:tcW w:w="30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357" w:lineRule="auto" w:before="49"/>
        <w:ind w:left="513" w:right="4653" w:hanging="361"/>
        <w:jc w:val="left"/>
      </w:pPr>
      <w:r>
        <w:rPr/>
        <w:t>各分公司、分厂执行的所得税税率 本公司属生产型出口企业，出口销售收入按</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办法进行申报。</w:t>
      </w:r>
    </w:p>
    <w:p>
      <w:pPr>
        <w:pStyle w:val="BodyText"/>
        <w:spacing w:line="214" w:lineRule="exact"/>
        <w:ind w:left="513" w:right="0"/>
        <w:jc w:val="left"/>
      </w:pPr>
      <w:r>
        <w:rPr/>
        <w:t>本公司之子公司卓翼科技（香港）有限公司根据香港税则的规定执行公司利得税税率</w:t>
      </w:r>
      <w:r>
        <w:rPr>
          <w:rFonts w:ascii="宋体" w:hAnsi="宋体" w:cs="宋体" w:eastAsia="宋体" w:hint="default"/>
        </w:rPr>
        <w:t>1</w:t>
      </w:r>
      <w:r>
        <w:rPr>
          <w:rFonts w:ascii="Times New Roman" w:hAnsi="Times New Roman" w:cs="Times New Roman" w:eastAsia="Times New Roman" w:hint="default"/>
        </w:rPr>
        <w:t>6.5%</w:t>
      </w:r>
      <w:r>
        <w:rPr/>
        <w:t>；本公司其他子公司企业所</w:t>
      </w:r>
    </w:p>
    <w:p>
      <w:pPr>
        <w:pStyle w:val="BodyText"/>
        <w:spacing w:line="240" w:lineRule="auto" w:before="63"/>
        <w:ind w:right="1123"/>
        <w:jc w:val="left"/>
      </w:pPr>
      <w:r>
        <w:rPr/>
        <w:t>得税税率为</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日通过深圳市科技工贸和信息化委员会、深圳市财政委员会、深圳市国家税务局、深圳市地方税务局 </w:t>
      </w:r>
      <w:r>
        <w:rPr>
          <w:spacing w:val="-3"/>
        </w:rPr>
        <w:t>联合的高新技术企业的复审，并取得证书编号为</w:t>
      </w:r>
      <w:r>
        <w:rPr>
          <w:rFonts w:ascii="Times New Roman" w:hAnsi="Times New Roman" w:cs="Times New Roman" w:eastAsia="Times New Roman" w:hint="default"/>
          <w:spacing w:val="-3"/>
        </w:rPr>
        <w:t>GF201144200255</w:t>
      </w:r>
      <w:r>
        <w:rPr>
          <w:spacing w:val="-3"/>
        </w:rPr>
        <w:t>号高新技术企业证书，有效期为三年。根据相关税收规定，</w:t>
      </w:r>
      <w:r>
        <w:rPr>
          <w:spacing w:val="-43"/>
        </w:rPr>
        <w:t> </w:t>
      </w:r>
      <w:r>
        <w:rPr>
          <w:spacing w:val="-43"/>
        </w:rPr>
      </w:r>
      <w:r>
        <w:rPr/>
        <w:t>公司将自</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年起连续三年享受关于高新技术企业的相关税收优惠政策，按照</w:t>
      </w:r>
      <w:r>
        <w:rPr>
          <w:rFonts w:ascii="Times New Roman" w:hAnsi="Times New Roman" w:cs="Times New Roman" w:eastAsia="Times New Roman" w:hint="default"/>
        </w:rPr>
        <w:t>15%</w:t>
      </w:r>
      <w:r>
        <w:rPr/>
        <w:t>的优惠税率征收企业所得税。</w:t>
      </w:r>
      <w:r>
        <w:rPr>
          <w:rFonts w:ascii="Times New Roman" w:hAnsi="Times New Roman" w:cs="Times New Roman" w:eastAsia="Times New Roman" w:hint="default"/>
        </w:rPr>
        <w:t>2011</w:t>
      </w:r>
      <w:r>
        <w:rPr/>
        <w:t>年至</w:t>
      </w:r>
      <w:r>
        <w:rPr>
          <w:spacing w:val="-81"/>
        </w:rPr>
        <w:t> </w:t>
      </w:r>
      <w:r>
        <w:rPr>
          <w:rFonts w:ascii="Times New Roman" w:hAnsi="Times New Roman" w:cs="Times New Roman" w:eastAsia="Times New Roman" w:hint="default"/>
        </w:rPr>
        <w:t>2013</w:t>
      </w:r>
      <w:r>
        <w:rPr/>
        <w:t>年按</w:t>
      </w:r>
      <w:r>
        <w:rPr>
          <w:rFonts w:ascii="Times New Roman" w:hAnsi="Times New Roman" w:cs="Times New Roman" w:eastAsia="Times New Roman" w:hint="default"/>
        </w:rPr>
        <w:t>15%</w:t>
      </w:r>
      <w:r>
        <w:rPr/>
        <w:t>的税率计缴企业所得税。故</w:t>
      </w:r>
      <w:r>
        <w:rPr>
          <w:rFonts w:ascii="Times New Roman" w:hAnsi="Times New Roman" w:cs="Times New Roman" w:eastAsia="Times New Roman" w:hint="default"/>
        </w:rPr>
        <w:t>2012</w:t>
      </w:r>
      <w:r>
        <w:rPr/>
        <w:t>年度实际执行的所得税税率为</w:t>
      </w:r>
      <w:r>
        <w:rPr>
          <w:rFonts w:ascii="Times New Roman" w:hAnsi="Times New Roman" w:cs="Times New Roman" w:eastAsia="Times New Roman" w:hint="default"/>
        </w:rPr>
        <w:t>15%</w:t>
      </w:r>
      <w:r>
        <w:rPr/>
        <w:t>。</w:t>
      </w:r>
    </w:p>
    <w:p>
      <w:pPr>
        <w:pStyle w:val="BodyText"/>
        <w:spacing w:line="300" w:lineRule="auto" w:before="13"/>
        <w:ind w:right="1130" w:firstLine="360"/>
        <w:jc w:val="both"/>
      </w:pPr>
      <w:r>
        <w:rPr>
          <w:rFonts w:ascii="Times New Roman" w:hAnsi="Times New Roman" w:cs="Times New Roman" w:eastAsia="Times New Roman" w:hint="default"/>
        </w:rPr>
        <w:t>2</w:t>
      </w:r>
      <w:r>
        <w:rPr/>
        <w:t>、公司下属的全资子公司卓翼科技</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卓翼香港</w:t>
      </w:r>
      <w:r>
        <w:rPr>
          <w:rFonts w:ascii="Times New Roman" w:hAnsi="Times New Roman" w:cs="Times New Roman" w:eastAsia="Times New Roman" w:hint="default"/>
        </w:rPr>
        <w:t>”)</w:t>
      </w:r>
      <w:r>
        <w:rPr/>
        <w:t>的公司利得税税率为</w:t>
      </w:r>
      <w:r>
        <w:rPr>
          <w:rFonts w:ascii="Times New Roman" w:hAnsi="Times New Roman" w:cs="Times New Roman" w:eastAsia="Times New Roman" w:hint="default"/>
        </w:rPr>
        <w:t>17.5%</w:t>
      </w:r>
      <w:r>
        <w:rPr/>
        <w:t>，根据香港税则的 </w:t>
      </w:r>
      <w:r>
        <w:rPr>
          <w:spacing w:val="-2"/>
        </w:rPr>
        <w:t>规定，仅对来自香港或者在香港产生的利润才需要缴纳公司利得税，卓翼香港全部利润均来源于香港以外的地区，已经香港</w:t>
      </w:r>
    </w:p>
    <w:p>
      <w:pPr>
        <w:spacing w:after="0" w:line="300"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90160"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10:wrap type="none"/>
          </v:group>
        </w:pict>
      </w:r>
    </w:p>
    <w:p>
      <w:pPr>
        <w:pStyle w:val="BodyText"/>
        <w:spacing w:line="240" w:lineRule="auto" w:before="44"/>
        <w:ind w:right="1123"/>
        <w:jc w:val="left"/>
      </w:pPr>
      <w:r>
        <w:rPr/>
        <w:t>税务主管部门认定通过，卓翼香港不需缴纳公司利得税。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23"/>
        <w:jc w:val="left"/>
      </w:pPr>
      <w:r>
        <w:rPr/>
        <w:t>本节下列表式数据中的金额单位，除非特别注明外均为人民币万元。</w:t>
      </w:r>
    </w:p>
    <w:p>
      <w:pPr>
        <w:spacing w:line="240" w:lineRule="auto" w:before="0"/>
        <w:rPr>
          <w:rFonts w:ascii="宋体" w:hAnsi="宋体" w:cs="宋体" w:eastAsia="宋体" w:hint="default"/>
          <w:sz w:val="18"/>
          <w:szCs w:val="18"/>
        </w:rPr>
      </w:pPr>
    </w:p>
    <w:p>
      <w:pPr>
        <w:pStyle w:val="Heading3"/>
        <w:spacing w:line="240" w:lineRule="auto" w:before="121"/>
        <w:ind w:left="258" w:right="1123"/>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1118"/>
        <w:gridCol w:w="994"/>
        <w:gridCol w:w="425"/>
        <w:gridCol w:w="566"/>
        <w:gridCol w:w="566"/>
        <w:gridCol w:w="711"/>
        <w:gridCol w:w="566"/>
        <w:gridCol w:w="516"/>
        <w:gridCol w:w="673"/>
      </w:tblGrid>
      <w:tr>
        <w:trPr>
          <w:trHeight w:val="570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311" w:right="41" w:hanging="272"/>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8" w:right="24"/>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55" w:right="50"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79" w:right="80"/>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74" w:right="71"/>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281"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53"/>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卓翼科 技</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卓翼香 港</w:t>
            </w:r>
            <w:r>
              <w:rPr>
                <w:rFonts w:ascii="Times New Roman" w:hAnsi="Times New Roman" w:cs="Times New Roman" w:eastAsia="Times New Roman" w:hint="default"/>
                <w:sz w:val="18"/>
                <w:szCs w:val="18"/>
              </w:rPr>
              <w:t>”)*1</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一般商务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745,520.00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298"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深圳市 卓大精 密模具 有限公</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w:t>
            </w:r>
          </w:p>
        </w:tc>
        <w:tc>
          <w:tcPr>
            <w:tcW w:w="11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塑胶五金制 </w:t>
            </w:r>
            <w:r>
              <w:rPr>
                <w:rFonts w:ascii="宋体" w:hAnsi="宋体" w:cs="宋体" w:eastAsia="宋体" w:hint="default"/>
                <w:spacing w:val="-3"/>
                <w:sz w:val="18"/>
                <w:szCs w:val="18"/>
              </w:rPr>
              <w:t>品、塑胶五金</w:t>
            </w:r>
            <w:r>
              <w:rPr>
                <w:rFonts w:ascii="宋体" w:hAnsi="宋体" w:cs="宋体" w:eastAsia="宋体" w:hint="default"/>
                <w:sz w:val="18"/>
                <w:szCs w:val="18"/>
              </w:rPr>
              <w:t> 模具、精冲 </w:t>
            </w:r>
            <w:r>
              <w:rPr>
                <w:rFonts w:ascii="宋体" w:hAnsi="宋体" w:cs="宋体" w:eastAsia="宋体" w:hint="default"/>
                <w:spacing w:val="-3"/>
                <w:sz w:val="18"/>
                <w:szCs w:val="18"/>
              </w:rPr>
              <w:t>模、精密型腔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50"/>
          <w:footerReference w:type="default" r:id="rId5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9011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1108"/>
        <w:gridCol w:w="1005"/>
        <w:gridCol w:w="425"/>
        <w:gridCol w:w="566"/>
        <w:gridCol w:w="566"/>
        <w:gridCol w:w="711"/>
        <w:gridCol w:w="566"/>
        <w:gridCol w:w="516"/>
        <w:gridCol w:w="684"/>
      </w:tblGrid>
      <w:tr>
        <w:trPr>
          <w:trHeight w:val="1611"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8"/>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卓 大精 密</w:t>
            </w:r>
            <w:r>
              <w:rPr>
                <w:rFonts w:ascii="Times New Roman" w:hAnsi="Times New Roman" w:cs="Times New Roman" w:eastAsia="Times New Roman" w:hint="default"/>
                <w:sz w:val="18"/>
                <w:szCs w:val="18"/>
              </w:rPr>
              <w:t>”)*2</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8"/>
              <w:jc w:val="left"/>
              <w:rPr>
                <w:rFonts w:ascii="宋体" w:hAnsi="宋体" w:cs="宋体" w:eastAsia="宋体" w:hint="default"/>
                <w:sz w:val="18"/>
                <w:szCs w:val="18"/>
              </w:rPr>
            </w:pPr>
            <w:r>
              <w:rPr>
                <w:rFonts w:ascii="宋体" w:hAnsi="宋体" w:cs="宋体" w:eastAsia="宋体" w:hint="default"/>
                <w:spacing w:val="-3"/>
                <w:sz w:val="18"/>
                <w:szCs w:val="18"/>
              </w:rPr>
              <w:t>模、模具标准</w:t>
            </w:r>
            <w:r>
              <w:rPr>
                <w:rFonts w:ascii="宋体" w:hAnsi="宋体" w:cs="宋体" w:eastAsia="宋体" w:hint="default"/>
                <w:sz w:val="18"/>
                <w:szCs w:val="18"/>
              </w:rPr>
              <w:t> 件的生产和 </w:t>
            </w:r>
            <w:r>
              <w:rPr>
                <w:rFonts w:ascii="宋体" w:hAnsi="宋体" w:cs="宋体" w:eastAsia="宋体" w:hint="default"/>
                <w:spacing w:val="-3"/>
                <w:sz w:val="18"/>
                <w:szCs w:val="18"/>
              </w:rPr>
              <w:t>销售；国内贸</w:t>
            </w:r>
            <w:r>
              <w:rPr>
                <w:rFonts w:ascii="宋体" w:hAnsi="宋体" w:cs="宋体" w:eastAsia="宋体" w:hint="default"/>
                <w:sz w:val="18"/>
                <w:szCs w:val="18"/>
              </w:rPr>
              <w:t> </w:t>
            </w:r>
            <w:r>
              <w:rPr>
                <w:rFonts w:ascii="宋体" w:hAnsi="宋体" w:cs="宋体" w:eastAsia="宋体" w:hint="default"/>
                <w:spacing w:val="-3"/>
                <w:sz w:val="18"/>
                <w:szCs w:val="18"/>
              </w:rPr>
              <w:t>易，货物及技</w:t>
            </w:r>
            <w:r>
              <w:rPr>
                <w:rFonts w:ascii="宋体" w:hAnsi="宋体" w:cs="宋体" w:eastAsia="宋体" w:hint="default"/>
                <w:sz w:val="18"/>
                <w:szCs w:val="18"/>
              </w:rPr>
              <w:t> 术进出口。</w:t>
            </w:r>
          </w:p>
        </w:tc>
        <w:tc>
          <w:tcPr>
            <w:tcW w:w="1005" w:type="dxa"/>
            <w:tcBorders>
              <w:top w:val="single" w:sz="4" w:space="0" w:color="000000"/>
              <w:left w:val="single" w:sz="12" w:space="0" w:color="C6ECCC"/>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 中广视 讯科技 发展有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中广 视 讯</w:t>
            </w:r>
            <w:r>
              <w:rPr>
                <w:rFonts w:ascii="Times New Roman" w:hAnsi="Times New Roman" w:cs="Times New Roman" w:eastAsia="Times New Roman" w:hint="default"/>
                <w:sz w:val="18"/>
                <w:szCs w:val="18"/>
              </w:rPr>
              <w:t>”)*3</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1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pacing w:val="-3"/>
                <w:sz w:val="18"/>
                <w:szCs w:val="18"/>
              </w:rPr>
              <w:t>网络电话、机</w:t>
            </w:r>
            <w:r>
              <w:rPr>
                <w:rFonts w:ascii="宋体" w:hAnsi="宋体" w:cs="宋体" w:eastAsia="宋体" w:hint="default"/>
                <w:sz w:val="18"/>
                <w:szCs w:val="18"/>
              </w:rPr>
              <w:t> </w:t>
            </w:r>
            <w:r>
              <w:rPr>
                <w:rFonts w:ascii="宋体" w:hAnsi="宋体" w:cs="宋体" w:eastAsia="宋体" w:hint="default"/>
                <w:spacing w:val="-3"/>
                <w:sz w:val="18"/>
                <w:szCs w:val="18"/>
              </w:rPr>
              <w:t>顶盒、广播电</w:t>
            </w:r>
            <w:r>
              <w:rPr>
                <w:rFonts w:ascii="宋体" w:hAnsi="宋体" w:cs="宋体" w:eastAsia="宋体" w:hint="default"/>
                <w:sz w:val="18"/>
                <w:szCs w:val="18"/>
              </w:rPr>
              <w:t> 视器材及相 关芯片的技 术开发、生 </w:t>
            </w:r>
            <w:r>
              <w:rPr>
                <w:rFonts w:ascii="宋体" w:hAnsi="宋体" w:cs="宋体" w:eastAsia="宋体" w:hint="default"/>
                <w:spacing w:val="-3"/>
                <w:sz w:val="18"/>
                <w:szCs w:val="18"/>
              </w:rPr>
              <w:t>产、销售和相</w:t>
            </w:r>
            <w:r>
              <w:rPr>
                <w:rFonts w:ascii="宋体" w:hAnsi="宋体" w:cs="宋体" w:eastAsia="宋体" w:hint="default"/>
                <w:sz w:val="18"/>
                <w:szCs w:val="18"/>
              </w:rPr>
              <w:t> 关技术服务； 电子产品的 购销及其他 </w:t>
            </w:r>
            <w:r>
              <w:rPr>
                <w:rFonts w:ascii="宋体" w:hAnsi="宋体" w:cs="宋体" w:eastAsia="宋体" w:hint="default"/>
                <w:spacing w:val="-3"/>
                <w:sz w:val="18"/>
                <w:szCs w:val="18"/>
              </w:rPr>
              <w:t>国内商业、物</w:t>
            </w:r>
            <w:r>
              <w:rPr>
                <w:rFonts w:ascii="宋体" w:hAnsi="宋体" w:cs="宋体" w:eastAsia="宋体" w:hint="default"/>
                <w:sz w:val="18"/>
                <w:szCs w:val="18"/>
              </w:rPr>
              <w:t> 资供销业。</w:t>
            </w:r>
          </w:p>
        </w:tc>
        <w:tc>
          <w:tcPr>
            <w:tcW w:w="1005"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8787"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2" w:lineRule="auto"/>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天津卓 达科技 发展有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天津 卓 达</w:t>
            </w:r>
            <w:r>
              <w:rPr>
                <w:rFonts w:ascii="Times New Roman" w:hAnsi="Times New Roman" w:cs="Times New Roman" w:eastAsia="Times New Roman" w:hint="default"/>
                <w:sz w:val="18"/>
                <w:szCs w:val="18"/>
              </w:rPr>
              <w:t>”)*4</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1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计算机周边 </w:t>
            </w:r>
            <w:r>
              <w:rPr>
                <w:rFonts w:ascii="宋体" w:hAnsi="宋体" w:cs="宋体" w:eastAsia="宋体" w:hint="default"/>
                <w:spacing w:val="-3"/>
                <w:sz w:val="18"/>
                <w:szCs w:val="18"/>
              </w:rPr>
              <w:t>板卡、数码产</w:t>
            </w:r>
            <w:r>
              <w:rPr>
                <w:rFonts w:ascii="宋体" w:hAnsi="宋体" w:cs="宋体" w:eastAsia="宋体" w:hint="default"/>
                <w:sz w:val="18"/>
                <w:szCs w:val="18"/>
              </w:rPr>
              <w:t> </w:t>
            </w:r>
            <w:r>
              <w:rPr>
                <w:rFonts w:ascii="宋体" w:hAnsi="宋体" w:cs="宋体" w:eastAsia="宋体" w:hint="default"/>
                <w:spacing w:val="-3"/>
                <w:sz w:val="18"/>
                <w:szCs w:val="18"/>
              </w:rPr>
              <w:t>品、通讯网络</w:t>
            </w:r>
            <w:r>
              <w:rPr>
                <w:rFonts w:ascii="宋体" w:hAnsi="宋体" w:cs="宋体" w:eastAsia="宋体" w:hint="default"/>
                <w:sz w:val="18"/>
                <w:szCs w:val="18"/>
              </w:rPr>
              <w:t> </w:t>
            </w:r>
            <w:r>
              <w:rPr>
                <w:rFonts w:ascii="宋体" w:hAnsi="宋体" w:cs="宋体" w:eastAsia="宋体" w:hint="default"/>
                <w:spacing w:val="-3"/>
                <w:sz w:val="18"/>
                <w:szCs w:val="18"/>
              </w:rPr>
              <w:t>产品、音响产</w:t>
            </w:r>
            <w:r>
              <w:rPr>
                <w:rFonts w:ascii="宋体" w:hAnsi="宋体" w:cs="宋体" w:eastAsia="宋体" w:hint="default"/>
                <w:sz w:val="18"/>
                <w:szCs w:val="18"/>
              </w:rPr>
              <w:t> </w:t>
            </w:r>
            <w:r>
              <w:rPr>
                <w:rFonts w:ascii="宋体" w:hAnsi="宋体" w:cs="宋体" w:eastAsia="宋体" w:hint="default"/>
                <w:spacing w:val="-3"/>
                <w:sz w:val="18"/>
                <w:szCs w:val="18"/>
              </w:rPr>
              <w:t>品、广播电影</w:t>
            </w:r>
            <w:r>
              <w:rPr>
                <w:rFonts w:ascii="宋体" w:hAnsi="宋体" w:cs="宋体" w:eastAsia="宋体" w:hint="default"/>
                <w:sz w:val="18"/>
                <w:szCs w:val="18"/>
              </w:rPr>
              <w:t> </w:t>
            </w:r>
            <w:r>
              <w:rPr>
                <w:rFonts w:ascii="宋体" w:hAnsi="宋体" w:cs="宋体" w:eastAsia="宋体" w:hint="default"/>
                <w:spacing w:val="-3"/>
                <w:sz w:val="18"/>
                <w:szCs w:val="18"/>
              </w:rPr>
              <w:t>电视器材、调</w:t>
            </w:r>
            <w:r>
              <w:rPr>
                <w:rFonts w:ascii="宋体" w:hAnsi="宋体" w:cs="宋体" w:eastAsia="宋体" w:hint="default"/>
                <w:sz w:val="18"/>
                <w:szCs w:val="18"/>
              </w:rPr>
              <w:t> </w:t>
            </w:r>
            <w:r>
              <w:rPr>
                <w:rFonts w:ascii="宋体" w:hAnsi="宋体" w:cs="宋体" w:eastAsia="宋体" w:hint="default"/>
                <w:spacing w:val="-3"/>
                <w:sz w:val="18"/>
                <w:szCs w:val="18"/>
              </w:rPr>
              <w:t>制调解器、数</w:t>
            </w:r>
            <w:r>
              <w:rPr>
                <w:rFonts w:ascii="宋体" w:hAnsi="宋体" w:cs="宋体" w:eastAsia="宋体" w:hint="default"/>
                <w:sz w:val="18"/>
                <w:szCs w:val="18"/>
              </w:rPr>
              <w:t> 字电视系统 用户终端接 </w:t>
            </w:r>
            <w:r>
              <w:rPr>
                <w:rFonts w:ascii="宋体" w:hAnsi="宋体" w:cs="宋体" w:eastAsia="宋体" w:hint="default"/>
                <w:spacing w:val="-3"/>
                <w:sz w:val="18"/>
                <w:szCs w:val="18"/>
              </w:rPr>
              <w:t>收机、无线网</w:t>
            </w:r>
            <w:r>
              <w:rPr>
                <w:rFonts w:ascii="宋体" w:hAnsi="宋体" w:cs="宋体" w:eastAsia="宋体" w:hint="default"/>
                <w:sz w:val="18"/>
                <w:szCs w:val="18"/>
              </w:rPr>
              <w:t> 络通讯产品、 </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网关、 </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电话、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机顶盒、数</w:t>
            </w:r>
            <w:r>
              <w:rPr>
                <w:rFonts w:ascii="宋体" w:hAnsi="宋体" w:cs="宋体" w:eastAsia="宋体" w:hint="default"/>
                <w:sz w:val="18"/>
                <w:szCs w:val="18"/>
              </w:rPr>
              <w:t> 字移动通讯 </w:t>
            </w:r>
            <w:r>
              <w:rPr>
                <w:rFonts w:ascii="宋体" w:hAnsi="宋体" w:cs="宋体" w:eastAsia="宋体" w:hint="default"/>
                <w:spacing w:val="-3"/>
                <w:sz w:val="18"/>
                <w:szCs w:val="18"/>
              </w:rPr>
              <w:t>设备、移动互</w:t>
            </w:r>
            <w:r>
              <w:rPr>
                <w:rFonts w:ascii="宋体" w:hAnsi="宋体" w:cs="宋体" w:eastAsia="宋体" w:hint="default"/>
                <w:sz w:val="18"/>
                <w:szCs w:val="18"/>
              </w:rPr>
              <w:t> </w:t>
            </w:r>
            <w:r>
              <w:rPr>
                <w:rFonts w:ascii="宋体" w:hAnsi="宋体" w:cs="宋体" w:eastAsia="宋体" w:hint="default"/>
                <w:spacing w:val="-3"/>
                <w:sz w:val="18"/>
                <w:szCs w:val="18"/>
              </w:rPr>
              <w:t>联终端、下一</w:t>
            </w:r>
            <w:r>
              <w:rPr>
                <w:rFonts w:ascii="宋体" w:hAnsi="宋体" w:cs="宋体" w:eastAsia="宋体" w:hint="default"/>
                <w:sz w:val="18"/>
                <w:szCs w:val="18"/>
              </w:rPr>
              <w:t> 代互联网网 </w:t>
            </w:r>
            <w:r>
              <w:rPr>
                <w:rFonts w:ascii="宋体" w:hAnsi="宋体" w:cs="宋体" w:eastAsia="宋体" w:hint="default"/>
                <w:spacing w:val="-3"/>
                <w:sz w:val="18"/>
                <w:szCs w:val="18"/>
              </w:rPr>
              <w:t>络设备、电子</w:t>
            </w:r>
            <w:r>
              <w:rPr>
                <w:rFonts w:ascii="宋体" w:hAnsi="宋体" w:cs="宋体" w:eastAsia="宋体" w:hint="default"/>
                <w:sz w:val="18"/>
                <w:szCs w:val="18"/>
              </w:rPr>
              <w:t> </w:t>
            </w:r>
            <w:r>
              <w:rPr>
                <w:rFonts w:ascii="宋体" w:hAnsi="宋体" w:cs="宋体" w:eastAsia="宋体" w:hint="default"/>
                <w:spacing w:val="-3"/>
                <w:sz w:val="18"/>
                <w:szCs w:val="18"/>
              </w:rPr>
              <w:t>计算机、数字</w:t>
            </w:r>
            <w:r>
              <w:rPr>
                <w:rFonts w:ascii="宋体" w:hAnsi="宋体" w:cs="宋体" w:eastAsia="宋体" w:hint="default"/>
                <w:sz w:val="18"/>
                <w:szCs w:val="18"/>
              </w:rPr>
              <w:t> </w:t>
            </w:r>
            <w:r>
              <w:rPr>
                <w:rFonts w:ascii="宋体" w:hAnsi="宋体" w:cs="宋体" w:eastAsia="宋体" w:hint="default"/>
                <w:spacing w:val="-3"/>
                <w:sz w:val="18"/>
                <w:szCs w:val="18"/>
              </w:rPr>
              <w:t>移动电话、塑</w:t>
            </w:r>
            <w:r>
              <w:rPr>
                <w:rFonts w:ascii="宋体" w:hAnsi="宋体" w:cs="宋体" w:eastAsia="宋体" w:hint="default"/>
                <w:sz w:val="18"/>
                <w:szCs w:val="18"/>
              </w:rPr>
              <w:t> 胶五金制品、 塑胶五金模 具、精冲模、 精密型腔模、 模具标准件 </w:t>
            </w:r>
            <w:r>
              <w:rPr>
                <w:rFonts w:ascii="宋体" w:hAnsi="宋体" w:cs="宋体" w:eastAsia="宋体" w:hint="default"/>
                <w:spacing w:val="-3"/>
                <w:sz w:val="18"/>
                <w:szCs w:val="18"/>
              </w:rPr>
              <w:t>的生产、技术</w:t>
            </w:r>
            <w:r>
              <w:rPr>
                <w:rFonts w:ascii="宋体" w:hAnsi="宋体" w:cs="宋体" w:eastAsia="宋体" w:hint="default"/>
                <w:sz w:val="18"/>
                <w:szCs w:val="18"/>
              </w:rPr>
              <w:t> 开发及销售；</w:t>
            </w:r>
          </w:p>
        </w:tc>
        <w:tc>
          <w:tcPr>
            <w:tcW w:w="1005"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58" w:right="0"/>
              <w:jc w:val="center"/>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98" w:right="0"/>
              <w:jc w:val="center"/>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98" w:right="0"/>
              <w:jc w:val="center"/>
              <w:rPr>
                <w:rFonts w:ascii="Times New Roman" w:hAnsi="Times New Roman" w:cs="Times New Roman" w:eastAsia="Times New Roman" w:hint="default"/>
                <w:sz w:val="18"/>
                <w:szCs w:val="18"/>
              </w:rPr>
            </w:pPr>
            <w:r>
              <w:rPr>
                <w:rFonts w:ascii="Times New Roman"/>
                <w:sz w:val="18"/>
              </w:rPr>
              <w:t>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52"/>
          <w:footerReference w:type="default" r:id="rId5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1108"/>
        <w:gridCol w:w="1005"/>
        <w:gridCol w:w="425"/>
        <w:gridCol w:w="566"/>
        <w:gridCol w:w="566"/>
        <w:gridCol w:w="711"/>
        <w:gridCol w:w="566"/>
        <w:gridCol w:w="516"/>
        <w:gridCol w:w="684"/>
      </w:tblGrid>
      <w:tr>
        <w:trPr>
          <w:trHeight w:val="1299"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3" w:right="173"/>
              <w:jc w:val="both"/>
              <w:rPr>
                <w:rFonts w:ascii="宋体" w:hAnsi="宋体" w:cs="宋体" w:eastAsia="宋体" w:hint="default"/>
                <w:sz w:val="18"/>
                <w:szCs w:val="18"/>
              </w:rPr>
            </w:pPr>
            <w:r>
              <w:rPr>
                <w:rFonts w:ascii="宋体" w:hAnsi="宋体" w:cs="宋体" w:eastAsia="宋体" w:hint="default"/>
                <w:sz w:val="18"/>
                <w:szCs w:val="18"/>
              </w:rPr>
              <w:t>自营和代理 货物进出口 和技术进出 口。</w:t>
            </w:r>
          </w:p>
        </w:tc>
        <w:tc>
          <w:tcPr>
            <w:tcW w:w="1005" w:type="dxa"/>
            <w:tcBorders>
              <w:top w:val="single" w:sz="4" w:space="0" w:color="000000"/>
              <w:left w:val="single" w:sz="12" w:space="0" w:color="C6ECCC"/>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通过设立或投资等方式取得的子公司的其他说明</w:t>
      </w:r>
    </w:p>
    <w:p>
      <w:pPr>
        <w:pStyle w:val="BodyText"/>
        <w:tabs>
          <w:tab w:pos="906" w:val="left" w:leader="none"/>
        </w:tabs>
        <w:spacing w:line="300" w:lineRule="auto" w:before="115"/>
        <w:ind w:right="1131" w:firstLine="360"/>
        <w:jc w:val="left"/>
      </w:pPr>
      <w:r>
        <w:rPr>
          <w:rFonts w:ascii="Times New Roman" w:hAnsi="Times New Roman" w:cs="Times New Roman" w:eastAsia="Times New Roman" w:hint="default"/>
          <w:spacing w:val="-2"/>
        </w:rPr>
        <w:t>*1</w:t>
        <w:tab/>
      </w:r>
      <w:r>
        <w:rPr/>
        <w:t>卓翼香港是由公司投资组建的全资子公司，注册资金美元</w:t>
      </w:r>
      <w:r>
        <w:rPr>
          <w:rFonts w:ascii="Times New Roman" w:hAnsi="Times New Roman" w:cs="Times New Roman" w:eastAsia="Times New Roman" w:hint="default"/>
        </w:rPr>
        <w:t>10</w:t>
      </w:r>
      <w:r>
        <w:rPr/>
        <w:t>万元，业经</w:t>
      </w:r>
      <w:r>
        <w:rPr>
          <w:rFonts w:ascii="Times New Roman" w:hAnsi="Times New Roman" w:cs="Times New Roman" w:eastAsia="Times New Roman" w:hint="default"/>
        </w:rPr>
        <w:t>Y.C.CHEUNG &amp; CO. </w:t>
      </w:r>
      <w:r>
        <w:rPr>
          <w:rFonts w:ascii="Times New Roman" w:hAnsi="Times New Roman" w:cs="Times New Roman" w:eastAsia="Times New Roman" w:hint="default"/>
          <w:spacing w:val="-1"/>
        </w:rPr>
        <w:t>CERTIFIED</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rPr>
        <w:t>PUBLIC</w:t>
      </w:r>
      <w:r>
        <w:rPr>
          <w:rFonts w:ascii="Times New Roman" w:hAnsi="Times New Roman" w:cs="Times New Roman" w:eastAsia="Times New Roman" w:hint="default"/>
          <w:w w:val="99"/>
        </w:rPr>
        <w:t> </w:t>
      </w:r>
      <w:r>
        <w:rPr>
          <w:rFonts w:ascii="Times New Roman" w:hAnsi="Times New Roman" w:cs="Times New Roman" w:eastAsia="Times New Roman" w:hint="default"/>
        </w:rPr>
        <w:t>ACCOUNTANTS</w:t>
      </w:r>
      <w:r>
        <w:rPr>
          <w:rFonts w:ascii="Times New Roman" w:hAnsi="Times New Roman" w:cs="Times New Roman" w:eastAsia="Times New Roman" w:hint="default"/>
          <w:spacing w:val="-6"/>
        </w:rPr>
        <w:t> </w:t>
      </w:r>
      <w:r>
        <w:rPr>
          <w:rFonts w:ascii="Times New Roman" w:hAnsi="Times New Roman" w:cs="Times New Roman" w:eastAsia="Times New Roman" w:hint="default"/>
        </w:rPr>
        <w:t>NO.1163833</w:t>
      </w:r>
      <w:r>
        <w:rPr/>
        <w:t>验资报告验证。</w:t>
      </w:r>
    </w:p>
    <w:p>
      <w:pPr>
        <w:pStyle w:val="BodyText"/>
        <w:spacing w:line="300" w:lineRule="auto" w:before="13"/>
        <w:ind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卓大精密原是公司持股</w:t>
      </w:r>
      <w:r>
        <w:rPr>
          <w:rFonts w:ascii="Times New Roman" w:hAnsi="Times New Roman" w:cs="Times New Roman" w:eastAsia="Times New Roman" w:hint="default"/>
        </w:rPr>
        <w:t>51%</w:t>
      </w:r>
      <w:r>
        <w:rPr/>
        <w:t>的控股子公司。</w:t>
      </w:r>
      <w:r>
        <w:rPr>
          <w:rFonts w:ascii="Times New Roman" w:hAnsi="Times New Roman" w:cs="Times New Roman" w:eastAsia="Times New Roman" w:hint="default"/>
        </w:rPr>
        <w:t>2007</w:t>
      </w:r>
      <w:r>
        <w:rPr/>
        <w:t>年本公司出资人民币</w:t>
      </w:r>
      <w:r>
        <w:rPr>
          <w:rFonts w:ascii="Times New Roman" w:hAnsi="Times New Roman" w:cs="Times New Roman" w:eastAsia="Times New Roman" w:hint="default"/>
        </w:rPr>
        <w:t>488.66</w:t>
      </w:r>
      <w:r>
        <w:rPr/>
        <w:t>万元收购了少数股东</w:t>
      </w:r>
      <w:r>
        <w:rPr>
          <w:rFonts w:ascii="Times New Roman" w:hAnsi="Times New Roman" w:cs="Times New Roman" w:eastAsia="Times New Roman" w:hint="default"/>
        </w:rPr>
        <w:t>49%</w:t>
      </w:r>
      <w:r>
        <w:rPr/>
        <w:t>的股权</w:t>
      </w:r>
      <w:r>
        <w:rPr>
          <w:rFonts w:ascii="Times New Roman" w:hAnsi="Times New Roman" w:cs="Times New Roman" w:eastAsia="Times New Roman" w:hint="default"/>
        </w:rPr>
        <w:t>,</w:t>
      </w:r>
      <w:r>
        <w:rPr/>
        <w:t>使其成</w:t>
      </w:r>
      <w:r>
        <w:rPr>
          <w:spacing w:val="2"/>
        </w:rPr>
        <w:t> </w:t>
      </w:r>
      <w:r>
        <w:rPr/>
        <w:t>为全资子公司，并增加注册资本人民币</w:t>
      </w:r>
      <w:r>
        <w:rPr>
          <w:rFonts w:ascii="Times New Roman" w:hAnsi="Times New Roman" w:cs="Times New Roman" w:eastAsia="Times New Roman" w:hint="default"/>
        </w:rPr>
        <w:t>500</w:t>
      </w:r>
      <w:r>
        <w:rPr/>
        <w:t>万元，业经深圳大华天诚会计师事务所深华验字</w:t>
      </w:r>
      <w:r>
        <w:rPr>
          <w:rFonts w:ascii="Times New Roman" w:hAnsi="Times New Roman" w:cs="Times New Roman" w:eastAsia="Times New Roman" w:hint="default"/>
        </w:rPr>
        <w:t>[2007]103</w:t>
      </w:r>
      <w:r>
        <w:rPr/>
        <w:t>号验资报告验证，本次 </w:t>
      </w:r>
      <w:r>
        <w:rPr>
          <w:spacing w:val="-6"/>
        </w:rPr>
        <w:t>增资后卓大精密的注册资本为人民币</w:t>
      </w:r>
      <w:r>
        <w:rPr>
          <w:rFonts w:ascii="Times New Roman" w:hAnsi="Times New Roman" w:cs="Times New Roman" w:eastAsia="Times New Roman" w:hint="default"/>
          <w:spacing w:val="-6"/>
        </w:rPr>
        <w:t>1,500</w:t>
      </w:r>
      <w:r>
        <w:rPr>
          <w:spacing w:val="-6"/>
        </w:rPr>
        <w:t>万元；</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28</w:t>
      </w:r>
      <w:r>
        <w:rPr>
          <w:spacing w:val="-6"/>
        </w:rPr>
        <w:t>日，本公司对卓大精密增资人民币</w:t>
      </w:r>
      <w:r>
        <w:rPr>
          <w:rFonts w:ascii="Times New Roman" w:hAnsi="Times New Roman" w:cs="Times New Roman" w:eastAsia="Times New Roman" w:hint="default"/>
          <w:spacing w:val="-6"/>
        </w:rPr>
        <w:t>3,500</w:t>
      </w:r>
      <w:r>
        <w:rPr>
          <w:spacing w:val="-6"/>
        </w:rPr>
        <w:t>万元，业经立信大华（深）</w:t>
      </w:r>
      <w:r>
        <w:rPr>
          <w:spacing w:val="-60"/>
        </w:rPr>
        <w:t> </w:t>
      </w:r>
      <w:r>
        <w:rPr>
          <w:spacing w:val="-60"/>
        </w:rPr>
      </w:r>
      <w:r>
        <w:rPr/>
        <w:t>验字</w:t>
      </w:r>
      <w:r>
        <w:rPr>
          <w:rFonts w:ascii="Times New Roman" w:hAnsi="Times New Roman" w:cs="Times New Roman" w:eastAsia="Times New Roman" w:hint="default"/>
        </w:rPr>
        <w:t>[2011]012</w:t>
      </w:r>
      <w:r>
        <w:rPr/>
        <w:t>号验资报告验证，本次增资后卓大精密的注册资本为人民币</w:t>
      </w:r>
      <w:r>
        <w:rPr>
          <w:rFonts w:ascii="Times New Roman" w:hAnsi="Times New Roman" w:cs="Times New Roman" w:eastAsia="Times New Roman" w:hint="default"/>
        </w:rPr>
        <w:t>5,000</w:t>
      </w:r>
      <w:r>
        <w:rPr/>
        <w:t>万元。</w:t>
      </w:r>
    </w:p>
    <w:p>
      <w:pPr>
        <w:pStyle w:val="BodyText"/>
        <w:tabs>
          <w:tab w:pos="909" w:val="left" w:leader="none"/>
        </w:tabs>
        <w:spacing w:line="240" w:lineRule="auto" w:before="13"/>
        <w:ind w:left="513" w:right="0"/>
        <w:jc w:val="left"/>
      </w:pPr>
      <w:r>
        <w:rPr>
          <w:rFonts w:ascii="Times New Roman" w:hAnsi="Times New Roman" w:cs="Times New Roman" w:eastAsia="Times New Roman" w:hint="default"/>
          <w:spacing w:val="-2"/>
        </w:rPr>
        <w:t>*3</w:t>
        <w:tab/>
      </w:r>
      <w:r>
        <w:rPr/>
        <w:t>中广视讯是由公司投资组建的全资子公司，注册资金人民币</w:t>
      </w:r>
      <w:r>
        <w:rPr>
          <w:rFonts w:ascii="Times New Roman" w:hAnsi="Times New Roman" w:cs="Times New Roman" w:eastAsia="Times New Roman" w:hint="default"/>
        </w:rPr>
        <w:t>1,000</w:t>
      </w:r>
      <w:r>
        <w:rPr/>
        <w:t>万元，业经深圳华堂会计师事务所出具华堂验字</w:t>
      </w:r>
    </w:p>
    <w:p>
      <w:pPr>
        <w:pStyle w:val="BodyText"/>
        <w:spacing w:line="240" w:lineRule="auto" w:before="63"/>
        <w:ind w:right="1123"/>
        <w:jc w:val="left"/>
      </w:pPr>
      <w:r>
        <w:rPr>
          <w:rFonts w:ascii="Times New Roman" w:hAnsi="Times New Roman" w:cs="Times New Roman" w:eastAsia="Times New Roman" w:hint="default"/>
        </w:rPr>
        <w:t>[2007]</w:t>
      </w:r>
      <w:r>
        <w:rPr/>
        <w:t>第</w:t>
      </w:r>
      <w:r>
        <w:rPr>
          <w:rFonts w:ascii="Times New Roman" w:hAnsi="Times New Roman" w:cs="Times New Roman" w:eastAsia="Times New Roman" w:hint="default"/>
        </w:rPr>
        <w:t>011</w:t>
      </w:r>
      <w:r>
        <w:rPr/>
        <w:t>号验资报告验证。</w:t>
      </w:r>
    </w:p>
    <w:p>
      <w:pPr>
        <w:pStyle w:val="BodyText"/>
        <w:spacing w:line="300" w:lineRule="auto" w:before="63"/>
        <w:ind w:right="1126"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天津卓达是由公司投资组建的全资子公司，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日，本公司对天津卓达增资人民币</w:t>
      </w:r>
      <w:r>
        <w:rPr>
          <w:rFonts w:ascii="Times New Roman" w:hAnsi="Times New Roman" w:cs="Times New Roman" w:eastAsia="Times New Roman" w:hint="default"/>
        </w:rPr>
        <w:t>2,000</w:t>
      </w:r>
      <w:r>
        <w:rPr/>
        <w:t>万元，业经天津中 鼎会计师事务所以中鼎验字（</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-065</w:t>
      </w:r>
      <w:r>
        <w:rPr/>
        <w:t>号验资报告验证。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w:t>
      </w:r>
      <w:r>
        <w:rPr/>
        <w:t>本公司对天津卓达增资人民币</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w:t>
      </w:r>
      <w:r>
        <w:rPr/>
        <w:t>业经天 </w:t>
      </w:r>
      <w:r>
        <w:rPr>
          <w:spacing w:val="-2"/>
        </w:rPr>
        <w:t>津市正泰有限责任会计师事务所以津正泰验字</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01066</w:t>
      </w:r>
      <w:r>
        <w:rPr>
          <w:spacing w:val="-2"/>
        </w:rPr>
        <w:t>号验资报告验证。本次增资后天津卓达注册资本为人民币</w:t>
      </w:r>
      <w:r>
        <w:rPr>
          <w:rFonts w:ascii="Times New Roman" w:hAnsi="Times New Roman" w:cs="Times New Roman" w:eastAsia="Times New Roman" w:hint="default"/>
          <w:spacing w:val="-2"/>
        </w:rPr>
        <w:t>10,000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万元。</w:t>
      </w:r>
    </w:p>
    <w:p>
      <w:pPr>
        <w:spacing w:line="240" w:lineRule="auto" w:before="10"/>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1"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8"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794"/>
        <w:jc w:val="left"/>
      </w:pPr>
      <w:r>
        <w:rPr/>
        <w:t>通过同一控制下企业合并取得的子公司的其他说明 无</w:t>
      </w:r>
    </w:p>
    <w:p>
      <w:pPr>
        <w:spacing w:after="0" w:line="357" w:lineRule="auto"/>
        <w:jc w:val="left"/>
        <w:sectPr>
          <w:footerReference w:type="default" r:id="rId54"/>
          <w:pgSz w:w="11910" w:h="16840"/>
          <w:pgMar w:footer="1340" w:header="877" w:top="1060" w:bottom="1540" w:left="980" w:right="0"/>
          <w:pgNumType w:start="102"/>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6"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614"/>
        <w:jc w:val="left"/>
      </w:pPr>
      <w:r>
        <w:rPr/>
        <w:t>通过非同一控制下企业合并取得的子公司的其他说明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71"/>
        <w:gridCol w:w="4711"/>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711"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357" w:lineRule="auto" w:before="49"/>
        <w:ind w:right="4634"/>
        <w:jc w:val="left"/>
      </w:pPr>
      <w:r>
        <w:rPr/>
        <w:t>特殊目的主体或通过受托经营或承租等方式形成控制权的经营实体的其他说明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75" w:right="7811" w:hanging="423"/>
        <w:jc w:val="left"/>
      </w:pPr>
      <w:r>
        <w:rPr/>
        <w:t>合并报表范围发生变更说明 本报告期合并范围未发生变更。</w:t>
      </w:r>
    </w:p>
    <w:p>
      <w:pPr>
        <w:pStyle w:val="BodyText"/>
        <w:spacing w:line="240" w:lineRule="auto" w:before="2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本期新纳入合并范围的子公司、特殊目的主体、通过受托经营或承租等方式形成控制权的经营实体</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396"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8" w:hRule="exact"/>
        </w:trPr>
        <w:tc>
          <w:tcPr>
            <w:tcW w:w="40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52"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396"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8" w:hRule="exact"/>
        </w:trPr>
        <w:tc>
          <w:tcPr>
            <w:tcW w:w="40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52"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894"/>
        <w:jc w:val="left"/>
      </w:pPr>
      <w:r>
        <w:rPr/>
        <w:t>新纳入合并范围的主体和不再纳入合并范围的主体的其他说明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403" w:hRule="exact"/>
        </w:trPr>
        <w:tc>
          <w:tcPr>
            <w:tcW w:w="1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234"/>
        <w:jc w:val="left"/>
      </w:pPr>
      <w:r>
        <w:rPr/>
        <w:t>同一控制下企业合并的其他说明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50"/>
      </w:tblGrid>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50"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60" w:lineRule="auto" w:before="49"/>
        <w:ind w:right="8054"/>
        <w:jc w:val="left"/>
      </w:pPr>
      <w:r>
        <w:rPr/>
        <w:t>非同一控制下企业合并的其他说明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85"/>
        <w:gridCol w:w="2489"/>
        <w:gridCol w:w="3085"/>
      </w:tblGrid>
      <w:tr>
        <w:trPr>
          <w:trHeight w:val="398" w:hRule="exact"/>
        </w:trPr>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6" w:hRule="exact"/>
        </w:trPr>
        <w:tc>
          <w:tcPr>
            <w:tcW w:w="39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89" w:type="dxa"/>
            <w:tcBorders>
              <w:top w:val="single" w:sz="4" w:space="0" w:color="000000"/>
              <w:left w:val="single" w:sz="4" w:space="0" w:color="000000"/>
              <w:bottom w:val="single" w:sz="4" w:space="0" w:color="000000"/>
              <w:right w:val="single" w:sz="13" w:space="0" w:color="C6ECCC"/>
            </w:tcBorders>
          </w:tcPr>
          <w:p>
            <w:pPr/>
          </w:p>
        </w:tc>
        <w:tc>
          <w:tcPr>
            <w:tcW w:w="3085"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60" w:lineRule="auto" w:before="49"/>
        <w:ind w:right="6794"/>
        <w:jc w:val="left"/>
      </w:pPr>
      <w:r>
        <w:rPr/>
        <w:t>出售丧失控制权的股权而减少的子公司的其他说明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r>
        <w:trPr>
          <w:trHeight w:val="40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877" w:footer="1340" w:top="1060" w:bottom="1540" w:left="980" w:right="0"/>
        </w:sectPr>
      </w:pPr>
    </w:p>
    <w:p>
      <w:pPr>
        <w:spacing w:line="240" w:lineRule="auto" w:before="9"/>
        <w:rPr>
          <w:rFonts w:ascii="宋体" w:hAnsi="宋体" w:cs="宋体" w:eastAsia="宋体" w:hint="default"/>
          <w:b/>
          <w:bCs/>
          <w:sz w:val="25"/>
          <w:szCs w:val="25"/>
        </w:rPr>
      </w:pPr>
    </w:p>
    <w:p>
      <w:pPr>
        <w:pStyle w:val="BodyText"/>
        <w:spacing w:line="360" w:lineRule="auto" w:before="44"/>
        <w:ind w:right="9134"/>
        <w:jc w:val="left"/>
      </w:pPr>
      <w:r>
        <w:rPr/>
        <w:t>反向购买的其他说明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42"/>
        <w:gridCol w:w="1481"/>
        <w:gridCol w:w="1484"/>
        <w:gridCol w:w="1471"/>
        <w:gridCol w:w="1494"/>
      </w:tblGrid>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6"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397"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36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4" w:type="dxa"/>
            <w:tcBorders>
              <w:top w:val="single" w:sz="4" w:space="0" w:color="000000"/>
              <w:left w:val="single" w:sz="10" w:space="0" w:color="C6ECCC"/>
              <w:bottom w:val="single" w:sz="4" w:space="0" w:color="000000"/>
              <w:right w:val="single" w:sz="4" w:space="0" w:color="000000"/>
            </w:tcBorders>
          </w:tcPr>
          <w:p>
            <w:pP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7"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36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94"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357" w:lineRule="auto" w:before="49"/>
        <w:ind w:right="9134"/>
        <w:jc w:val="left"/>
      </w:pPr>
      <w:r>
        <w:rPr/>
        <w:t>吸收合并的其他说明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1123"/>
        <w:jc w:val="left"/>
      </w:pPr>
      <w:r>
        <w:rPr/>
        <w:t>本公司境外全资子公司卓翼科技</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有限公司记账本位币为人民币，不存在期末将外币折算为人民币。</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4"/>
      </w:tblGrid>
      <w:tr>
        <w:trPr>
          <w:trHeight w:val="206" w:hRule="exact"/>
        </w:trPr>
        <w:tc>
          <w:tcPr>
            <w:tcW w:w="1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8"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494,086.46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450,259.99</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487,995.07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442,160.12</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2,904.54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2,354.70</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837.96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5,267.00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5,279.90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465.27</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319,533,098.47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190,540,631.35</w:t>
            </w:r>
          </w:p>
        </w:tc>
      </w:tr>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294,568,063.82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179,092,924.95</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26,137.12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21,193.29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10,404.60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8,435.02</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3,912,639.81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24,592,897.53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1,815,498.00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11,439,271.38</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42,192.92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350,943.83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74,002,792.30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80,351,595.58</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74,002,792.30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80,351,595.58</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394,029,977.23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271,342,486.92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3418"/>
        <w:jc w:val="center"/>
      </w:pPr>
      <w:r>
        <w:rPr/>
        <w:t>如有因抵押、质押或冻结等对使用有限制、存放在境外、有潜在回收风险的款项应单独说明</w:t>
      </w:r>
    </w:p>
    <w:p>
      <w:pPr>
        <w:pStyle w:val="BodyText"/>
        <w:spacing w:line="240" w:lineRule="auto" w:before="117"/>
        <w:ind w:left="513" w:right="1123"/>
        <w:jc w:val="left"/>
      </w:pP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w:t>
      </w:r>
    </w:p>
    <w:p>
      <w:pPr>
        <w:spacing w:before="42"/>
        <w:ind w:left="573" w:right="1123" w:firstLine="0"/>
        <w:jc w:val="left"/>
        <w:rPr>
          <w:rFonts w:ascii="宋体" w:hAnsi="宋体" w:cs="宋体" w:eastAsia="宋体" w:hint="default"/>
          <w:sz w:val="21"/>
          <w:szCs w:val="21"/>
        </w:rPr>
      </w:pPr>
      <w:r>
        <w:rPr>
          <w:rFonts w:ascii="宋体" w:hAnsi="宋体" w:cs="宋体" w:eastAsia="宋体" w:hint="default"/>
          <w:sz w:val="21"/>
          <w:szCs w:val="21"/>
        </w:rPr>
        <w:t>期末受限制的货币资金明细如下：</w:t>
      </w:r>
    </w:p>
    <w:p>
      <w:pPr>
        <w:spacing w:line="240" w:lineRule="auto" w:before="4"/>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920"/>
        <w:gridCol w:w="2422"/>
        <w:gridCol w:w="2309"/>
      </w:tblGrid>
      <w:tr>
        <w:trPr>
          <w:trHeight w:val="353" w:hRule="exact"/>
        </w:trPr>
        <w:tc>
          <w:tcPr>
            <w:tcW w:w="3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769"/>
              <w:jc w:val="right"/>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24,451,272.44</w:t>
            </w:r>
          </w:p>
        </w:tc>
        <w:tc>
          <w:tcPr>
            <w:tcW w:w="23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27,131,820.22</w:t>
            </w:r>
          </w:p>
        </w:tc>
      </w:tr>
      <w:tr>
        <w:trPr>
          <w:trHeight w:val="353" w:hRule="exact"/>
        </w:trPr>
        <w:tc>
          <w:tcPr>
            <w:tcW w:w="3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49,551,519.86</w:t>
            </w:r>
          </w:p>
        </w:tc>
        <w:tc>
          <w:tcPr>
            <w:tcW w:w="23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95,931.36</w:t>
            </w:r>
          </w:p>
        </w:tc>
      </w:tr>
      <w:tr>
        <w:trPr>
          <w:trHeight w:val="350" w:hRule="exact"/>
        </w:trPr>
        <w:tc>
          <w:tcPr>
            <w:tcW w:w="3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短期借款保证金</w:t>
            </w:r>
          </w:p>
        </w:tc>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3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53,123,844.00</w:t>
            </w:r>
          </w:p>
        </w:tc>
      </w:tr>
      <w:tr>
        <w:trPr>
          <w:trHeight w:val="353" w:hRule="exact"/>
        </w:trPr>
        <w:tc>
          <w:tcPr>
            <w:tcW w:w="39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769"/>
              <w:jc w:val="right"/>
              <w:rPr>
                <w:rFonts w:ascii="宋体" w:hAnsi="宋体" w:cs="宋体" w:eastAsia="宋体" w:hint="default"/>
                <w:sz w:val="18"/>
                <w:szCs w:val="18"/>
              </w:rPr>
            </w:pPr>
            <w:r>
              <w:rPr>
                <w:rFonts w:ascii="宋体" w:hAnsi="宋体" w:cs="宋体" w:eastAsia="宋体" w:hint="default"/>
                <w:sz w:val="18"/>
                <w:szCs w:val="18"/>
              </w:rPr>
              <w:t>合计</w:t>
            </w:r>
          </w:p>
        </w:tc>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74,002,792.30</w:t>
            </w:r>
          </w:p>
        </w:tc>
        <w:tc>
          <w:tcPr>
            <w:tcW w:w="23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80,351,595.58</w:t>
            </w:r>
          </w:p>
        </w:tc>
      </w:tr>
    </w:tbl>
    <w:p>
      <w:pPr>
        <w:pStyle w:val="BodyText"/>
        <w:spacing w:line="240" w:lineRule="auto" w:before="8"/>
        <w:ind w:left="0" w:right="1048"/>
        <w:jc w:val="right"/>
      </w:pP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期末其他货币资金主要系公司的保证金存款。公司编制现金流量表时，已将其从期末现金及现金等价物余额中扣除。</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1"/>
        <w:gridCol w:w="3852"/>
        <w:gridCol w:w="2177"/>
      </w:tblGrid>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27,837,861.88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179,397,450.68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133,305,403.79</w:t>
            </w:r>
          </w:p>
        </w:tc>
      </w:tr>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207,235,312.56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133,305,403.79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28"/>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14,174,003.37</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54,174,003.37</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59" w:lineRule="auto" w:before="36"/>
        <w:ind w:right="1123"/>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123"/>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28"/>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w:t>
      </w:r>
    </w:p>
    <w:p>
      <w:pPr>
        <w:pStyle w:val="BodyText"/>
        <w:spacing w:line="240" w:lineRule="auto" w:before="115"/>
        <w:ind w:left="513" w:right="1123"/>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日本公司不存在因出票人无力履约而将票据转为应收账款的情况。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1123"/>
        <w:jc w:val="left"/>
      </w:pPr>
      <w:r>
        <w:rPr/>
        <w:t>公司已经背书给其他方但尚未到期的票据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28"/>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28"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2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日，本公司已经背书给其他方但尚未到期的银行承兑票据和商业承兑汇票总金额为</w:t>
      </w:r>
      <w:r>
        <w:rPr>
          <w:rFonts w:ascii="Times New Roman" w:hAnsi="Times New Roman" w:cs="Times New Roman" w:eastAsia="Times New Roman" w:hint="default"/>
        </w:rPr>
        <w:t>44,183,750.00</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60" w:lineRule="auto"/>
        <w:ind w:left="573" w:right="1738" w:hanging="421"/>
        <w:jc w:val="left"/>
      </w:pPr>
      <w:r>
        <w:rPr/>
        <w:t>已贴现或质押的商业承兑票据的说明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日，本公司已经贴现但尚未到期的商业承兑票据总额为</w:t>
      </w:r>
      <w:r>
        <w:rPr>
          <w:rFonts w:ascii="Times New Roman" w:hAnsi="Times New Roman" w:cs="Times New Roman" w:eastAsia="Times New Roman" w:hint="default"/>
        </w:rPr>
        <w:t>41,239,462.23</w:t>
      </w:r>
      <w:r>
        <w:rPr/>
        <w:t>元，前五名明细如下：</w:t>
      </w:r>
    </w:p>
    <w:p>
      <w:pPr>
        <w:spacing w:line="240" w:lineRule="auto" w:before="1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77"/>
        <w:gridCol w:w="1702"/>
        <w:gridCol w:w="1702"/>
        <w:gridCol w:w="2269"/>
      </w:tblGrid>
      <w:tr>
        <w:trPr>
          <w:trHeight w:val="355" w:hRule="exact"/>
        </w:trPr>
        <w:tc>
          <w:tcPr>
            <w:tcW w:w="2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26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0"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2012.9.17</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2013.2.26</w:t>
            </w:r>
          </w:p>
        </w:tc>
        <w:tc>
          <w:tcPr>
            <w:tcW w:w="22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13,401,600.35</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2012.7.11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2013.1.11</w:t>
            </w:r>
          </w:p>
        </w:tc>
        <w:tc>
          <w:tcPr>
            <w:tcW w:w="22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2012.7.11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2013.1.11</w:t>
            </w:r>
          </w:p>
        </w:tc>
        <w:tc>
          <w:tcPr>
            <w:tcW w:w="22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4,118,092.62</w:t>
            </w:r>
          </w:p>
        </w:tc>
      </w:tr>
      <w:tr>
        <w:trPr>
          <w:trHeight w:val="350"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2012.7.18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2013.1.18</w:t>
            </w:r>
          </w:p>
        </w:tc>
        <w:tc>
          <w:tcPr>
            <w:tcW w:w="22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2012.7.18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2013.1.18</w:t>
            </w:r>
          </w:p>
        </w:tc>
        <w:tc>
          <w:tcPr>
            <w:tcW w:w="22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22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30,519,692.97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1340"/>
        <w:gridCol w:w="1339"/>
        <w:gridCol w:w="1433"/>
        <w:gridCol w:w="1339"/>
        <w:gridCol w:w="1327"/>
        <w:gridCol w:w="1350"/>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4"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50" w:type="dxa"/>
            <w:vMerge/>
            <w:tcBorders>
              <w:left w:val="single" w:sz="4" w:space="0" w:color="000000"/>
              <w:right w:val="single" w:sz="4" w:space="0" w:color="000000"/>
            </w:tcBorders>
            <w:shd w:val="clear" w:color="auto" w:fill="D2D2D2"/>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50" w:type="dxa"/>
            <w:tcBorders>
              <w:top w:val="single" w:sz="4" w:space="0" w:color="000000"/>
              <w:left w:val="single" w:sz="10" w:space="0" w:color="C6ECCC"/>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50" w:type="dxa"/>
            <w:tcBorders>
              <w:top w:val="single" w:sz="4" w:space="0" w:color="000000"/>
              <w:left w:val="single" w:sz="10" w:space="0" w:color="C6ECCC"/>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建行汇贷盈借款保证金 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769,222.47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489,588.09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1,258,810.56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769,222.47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489,588.09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1,258,810.56</w:t>
            </w: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262"/>
        <w:gridCol w:w="850"/>
        <w:gridCol w:w="1133"/>
        <w:gridCol w:w="711"/>
        <w:gridCol w:w="1276"/>
        <w:gridCol w:w="709"/>
        <w:gridCol w:w="1133"/>
        <w:gridCol w:w="708"/>
      </w:tblGrid>
      <w:tr>
        <w:trPr>
          <w:trHeight w:val="401"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2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7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246,348,156.59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12,353,876.11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350,912,264.37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3,617,293.77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246,348,156.59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12,353,876.11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350,912,264.37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3,617,293.77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246,348,156.59</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12,353,876.11</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350,912,264.37</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3,617,293.77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55"/>
          <w:footerReference w:type="default" r:id="rId56"/>
          <w:pgSz w:w="11910" w:h="16840"/>
          <w:pgMar w:header="877" w:footer="0" w:top="1060" w:bottom="0" w:left="980" w:right="0"/>
        </w:sectPr>
      </w:pPr>
    </w:p>
    <w:p>
      <w:pPr>
        <w:pStyle w:val="BodyText"/>
        <w:spacing w:line="360" w:lineRule="auto" w:before="49"/>
        <w:ind w:right="2320"/>
        <w:jc w:val="left"/>
      </w:pPr>
      <w:r>
        <w:rPr/>
        <w:t>应收账款种类的说明 无</w:t>
      </w:r>
    </w:p>
    <w:p>
      <w:pPr>
        <w:pStyle w:val="BodyText"/>
        <w:spacing w:line="240" w:lineRule="auto" w:before="27"/>
        <w:ind w:right="-20"/>
        <w:jc w:val="left"/>
      </w:pPr>
      <w:r>
        <w:rPr/>
        <w:t>期末单项金额重大并单项计提坏账准备的应收账款</w:t>
      </w:r>
    </w:p>
    <w:p>
      <w:pPr>
        <w:pStyle w:val="BodyText"/>
        <w:spacing w:line="360" w:lineRule="auto" w:before="115"/>
        <w:ind w:right="160"/>
        <w:jc w:val="left"/>
      </w:pPr>
      <w:r>
        <w:rPr/>
        <w:t>□ 适用 √</w:t>
      </w:r>
      <w:r>
        <w:rPr>
          <w:spacing w:val="3"/>
        </w:rPr>
        <w:t> </w:t>
      </w:r>
      <w:r>
        <w:rPr/>
        <w:t>不适用</w:t>
      </w:r>
      <w:r>
        <w:rPr/>
        <w:t> 组合中，按账龄分析法计提坏账准备的应收账款</w:t>
      </w:r>
    </w:p>
    <w:p>
      <w:pPr>
        <w:pStyle w:val="BodyText"/>
        <w:spacing w:line="240" w:lineRule="auto" w:before="25"/>
        <w:ind w:right="23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460.320007pt;margin-top:96.851715pt;width:135pt;height:77pt;mso-position-horizontal-relative:page;mso-position-vertical-relative:paragraph;z-index:-990064" coordorigin="9206,1937" coordsize="2700,1540">
            <v:shape style="position:absolute;left:9206;top:1937;width:2700;height:1540" type="#_x0000_t75" stroked="false">
              <v:imagedata r:id="rId15" o:title=""/>
            </v:shape>
            <v:shape style="position:absolute;left:10502;top:229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109</w:t>
                    </w:r>
                  </w:p>
                </w:txbxContent>
              </v:textbox>
              <w10:wrap type="none"/>
            </v:shape>
            <w10:wrap type="none"/>
          </v:group>
        </w:pict>
      </w: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444"/>
        <w:gridCol w:w="1605"/>
        <w:gridCol w:w="929"/>
        <w:gridCol w:w="1728"/>
        <w:gridCol w:w="1459"/>
        <w:gridCol w:w="932"/>
        <w:gridCol w:w="1459"/>
      </w:tblGrid>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246,246,812.42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3" w:right="0"/>
              <w:jc w:val="left"/>
              <w:rPr>
                <w:rFonts w:ascii="Times New Roman" w:hAnsi="Times New Roman" w:cs="Times New Roman" w:eastAsia="Times New Roman" w:hint="default"/>
                <w:sz w:val="18"/>
                <w:szCs w:val="18"/>
              </w:rPr>
            </w:pPr>
            <w:r>
              <w:rPr>
                <w:rFonts w:ascii="Times New Roman"/>
                <w:sz w:val="18"/>
              </w:rPr>
              <w:t>99.95%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12,312,340.61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350,448,267.84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3,504,482.68</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45,566.05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4,556.60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131,939.35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13,193.93</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15,287.18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0.01%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4,586.15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332,057.18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99,617.16</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40,490.94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32,392.75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246,348,156.59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12,353,876.11</w:t>
            </w:r>
          </w:p>
        </w:tc>
        <w:tc>
          <w:tcPr>
            <w:tcW w:w="145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350,912,264.37</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3,617,293.77</w:t>
            </w:r>
          </w:p>
        </w:tc>
      </w:tr>
    </w:tbl>
    <w:p>
      <w:pPr>
        <w:pStyle w:val="BodyText"/>
        <w:spacing w:line="240" w:lineRule="auto" w:before="49"/>
        <w:ind w:right="1123"/>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57" w:lineRule="auto" w:before="27"/>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09"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8" w:hRule="exact"/>
        </w:trPr>
        <w:tc>
          <w:tcPr>
            <w:tcW w:w="2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25"/>
        <w:gridCol w:w="190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14" w:space="0" w:color="C6ECCC"/>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57" w:lineRule="auto" w:before="49"/>
        <w:ind w:right="4634"/>
        <w:jc w:val="left"/>
      </w:pPr>
      <w:r>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10" w:space="0" w:color="C6ECCC"/>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13" w:space="0" w:color="C6ECCC"/>
              <w:bottom w:val="single" w:sz="4" w:space="0" w:color="000000"/>
              <w:right w:val="single" w:sz="4" w:space="0" w:color="000000"/>
            </w:tcBorders>
          </w:tcPr>
          <w:p>
            <w:pPr/>
          </w:p>
        </w:tc>
      </w:tr>
    </w:tbl>
    <w:p>
      <w:pPr>
        <w:pStyle w:val="BodyText"/>
        <w:spacing w:line="360" w:lineRule="auto" w:before="49"/>
        <w:ind w:right="9314"/>
        <w:jc w:val="left"/>
      </w:pPr>
      <w:r>
        <w:rPr/>
        <w:t>应收账款核销说明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57"/>
          <w:pgSz w:w="11910" w:h="16840"/>
          <w:pgMar w:footer="1296" w:header="877" w:top="1060" w:bottom="1480" w:left="980" w:right="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108,189,014.99</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43.92%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79,263,613.17</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13,482,639.97</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13,030,991.30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6,727,612.40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220,693,871.83</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89.59%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8"/>
        <w:gridCol w:w="2443"/>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1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443" w:type="dxa"/>
            <w:tcBorders>
              <w:top w:val="single" w:sz="4" w:space="0" w:color="000000"/>
              <w:left w:val="single" w:sz="10" w:space="0" w:color="C6ECCC"/>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91"/>
        <w:gridCol w:w="2991"/>
        <w:gridCol w:w="3589"/>
      </w:tblGrid>
      <w:tr>
        <w:trPr>
          <w:trHeight w:val="403" w:hRule="exact"/>
        </w:trPr>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1" w:hRule="exact"/>
        </w:trPr>
        <w:tc>
          <w:tcPr>
            <w:tcW w:w="29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91" w:type="dxa"/>
            <w:tcBorders>
              <w:top w:val="single" w:sz="4" w:space="0" w:color="000000"/>
              <w:left w:val="single" w:sz="10" w:space="0" w:color="C6ECCC"/>
              <w:bottom w:val="single" w:sz="4" w:space="0" w:color="000000"/>
              <w:right w:val="single" w:sz="4" w:space="0" w:color="000000"/>
            </w:tcBorders>
          </w:tcPr>
          <w:p>
            <w:pP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0"/>
        <w:gridCol w:w="5721"/>
      </w:tblGrid>
      <w:tr>
        <w:trPr>
          <w:trHeight w:val="402" w:hRule="exact"/>
        </w:trPr>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13" w:hRule="exact"/>
        </w:trPr>
        <w:tc>
          <w:tcPr>
            <w:tcW w:w="3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21" w:type="dxa"/>
            <w:tcBorders>
              <w:top w:val="single" w:sz="4" w:space="0" w:color="000000"/>
              <w:left w:val="single" w:sz="10" w:space="0" w:color="C6ECCC"/>
              <w:bottom w:val="single" w:sz="4" w:space="0" w:color="000000"/>
              <w:right w:val="single" w:sz="4" w:space="0" w:color="000000"/>
            </w:tcBorders>
          </w:tcPr>
          <w:p>
            <w:pP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8" w:hRule="exact"/>
        </w:trPr>
        <w:tc>
          <w:tcPr>
            <w:tcW w:w="3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21" w:type="dxa"/>
            <w:tcBorders>
              <w:top w:val="single" w:sz="4" w:space="0" w:color="000000"/>
              <w:left w:val="single" w:sz="10" w:space="0" w:color="C6ECCC"/>
              <w:bottom w:val="single" w:sz="4" w:space="0" w:color="000000"/>
              <w:right w:val="single" w:sz="4" w:space="0" w:color="000000"/>
            </w:tcBorders>
          </w:tcPr>
          <w:p>
            <w:pPr/>
          </w:p>
        </w:tc>
      </w:tr>
    </w:tbl>
    <w:p>
      <w:pPr>
        <w:spacing w:after="0"/>
        <w:sectPr>
          <w:pgSz w:w="11910" w:h="16840"/>
          <w:pgMar w:header="877" w:footer="1296"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按账龄组合计提坏账准 备的其他应收款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4,027,264.27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91.48%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290,037.54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4,083,010.26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256,215.55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97.11%</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4,027,264.27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91.48%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290,037.54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4,083,010.26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99.32%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256,215.55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97.11%</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374,973.90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27,963.70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4,402,238.17</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290,037.54</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4,110,973.96</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263,815.55</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其他应收款种类的说明</w:t>
      </w:r>
    </w:p>
    <w:p>
      <w:pPr>
        <w:pStyle w:val="BodyText"/>
        <w:spacing w:line="300" w:lineRule="auto" w:before="117"/>
        <w:ind w:right="0" w:firstLine="329"/>
        <w:jc w:val="left"/>
      </w:pPr>
      <w:r>
        <w:rPr>
          <w:rFonts w:ascii="Times New Roman" w:hAnsi="Times New Roman" w:cs="Times New Roman" w:eastAsia="Times New Roman" w:hint="default"/>
        </w:rPr>
        <w:t>*</w:t>
      </w:r>
      <w:r>
        <w:rPr/>
        <w:t>期末单项金额虽不重大但单项计提坏账准备的其他应收款系应收出口退税款，账龄均为</w:t>
      </w:r>
      <w:r>
        <w:rPr>
          <w:rFonts w:ascii="Times New Roman" w:hAnsi="Times New Roman" w:cs="Times New Roman" w:eastAsia="Times New Roman" w:hint="default"/>
        </w:rPr>
        <w:t>1</w:t>
      </w:r>
      <w:r>
        <w:rPr/>
        <w:t>年以内，且不存在坏账情况， 故不对其计提坏账准备。</w:t>
      </w: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296" w:top="1060" w:bottom="1540" w:left="980" w:right="0"/>
        </w:sectPr>
      </w:pPr>
    </w:p>
    <w:p>
      <w:pPr>
        <w:pStyle w:val="BodyText"/>
        <w:spacing w:line="240" w:lineRule="auto" w:before="44"/>
        <w:ind w:right="-20"/>
        <w:jc w:val="left"/>
      </w:pPr>
      <w:r>
        <w:rPr/>
        <w:t>期末单项金额重大并单项计提坏账准备的其他应收款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4"/>
        <w:gridCol w:w="1859"/>
        <w:gridCol w:w="646"/>
        <w:gridCol w:w="1459"/>
        <w:gridCol w:w="1450"/>
        <w:gridCol w:w="646"/>
        <w:gridCol w:w="1674"/>
      </w:tblGrid>
      <w:tr>
        <w:trPr>
          <w:trHeight w:val="401" w:hRule="exact"/>
        </w:trPr>
        <w:tc>
          <w:tcPr>
            <w:tcW w:w="1824" w:type="dxa"/>
            <w:vMerge w:val="restart"/>
            <w:tcBorders>
              <w:top w:val="single" w:sz="4" w:space="0" w:color="000000"/>
              <w:left w:val="single" w:sz="4" w:space="0" w:color="000000"/>
              <w:right w:val="single" w:sz="4" w:space="0" w:color="000000"/>
            </w:tcBorders>
            <w:shd w:val="clear" w:color="auto" w:fill="D2D2D2"/>
          </w:tcPr>
          <w:p>
            <w:pPr/>
          </w:p>
        </w:tc>
        <w:tc>
          <w:tcPr>
            <w:tcW w:w="39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4"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24" w:type="dxa"/>
            <w:vMerge/>
            <w:tcBorders>
              <w:left w:val="single" w:sz="4" w:space="0" w:color="000000"/>
              <w:bottom w:val="single" w:sz="4" w:space="0" w:color="FFFFFF"/>
              <w:right w:val="single" w:sz="4" w:space="0" w:color="000000"/>
            </w:tcBorders>
            <w:shd w:val="clear" w:color="auto" w:fill="D2D2D2"/>
          </w:tcPr>
          <w:p>
            <w:pPr/>
          </w:p>
        </w:tc>
        <w:tc>
          <w:tcPr>
            <w:tcW w:w="185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3"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824" w:type="dxa"/>
            <w:vMerge w:val="restart"/>
            <w:tcBorders>
              <w:top w:val="single" w:sz="4" w:space="0" w:color="FFFFFF"/>
              <w:left w:val="single" w:sz="4" w:space="0" w:color="000000"/>
              <w:right w:val="single" w:sz="4" w:space="0" w:color="000000"/>
            </w:tcBorders>
            <w:shd w:val="clear" w:color="auto" w:fill="D2D2D2"/>
          </w:tcPr>
          <w:p>
            <w:pPr/>
          </w:p>
        </w:tc>
        <w:tc>
          <w:tcPr>
            <w:tcW w:w="18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24" w:type="dxa"/>
            <w:vMerge/>
            <w:tcBorders>
              <w:left w:val="single" w:sz="4" w:space="0" w:color="000000"/>
              <w:right w:val="single" w:sz="4" w:space="0" w:color="000000"/>
            </w:tcBorders>
            <w:shd w:val="clear" w:color="auto" w:fill="D2D2D2"/>
          </w:tcPr>
          <w:p>
            <w:pPr/>
          </w:p>
        </w:tc>
        <w:tc>
          <w:tcPr>
            <w:tcW w:w="1859"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4" w:type="dxa"/>
            <w:vMerge/>
            <w:tcBorders>
              <w:left w:val="single" w:sz="4" w:space="0" w:color="000000"/>
              <w:bottom w:val="single" w:sz="4" w:space="0" w:color="000000"/>
              <w:right w:val="single" w:sz="4" w:space="0" w:color="000000"/>
            </w:tcBorders>
            <w:shd w:val="clear" w:color="auto" w:fill="D2D2D2"/>
          </w:tcPr>
          <w:p>
            <w:pPr/>
          </w:p>
        </w:tc>
        <w:tc>
          <w:tcPr>
            <w:tcW w:w="1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3,160,777.63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158,038.88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1,939,210.26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47.17%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20,505.55</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722,686.64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72,268.66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2,120,100.00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51.57%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212,010.00</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120,100.00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36,030.00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4,027,264.27</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290,037.54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4,083,010.26</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256,215.55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96" w:top="1060" w:bottom="1540" w:left="980" w:right="0"/>
        </w:sectPr>
      </w:pPr>
    </w:p>
    <w:p>
      <w:pPr>
        <w:pStyle w:val="BodyText"/>
        <w:spacing w:line="240" w:lineRule="auto" w:before="49"/>
        <w:ind w:right="-20"/>
        <w:jc w:val="left"/>
      </w:pPr>
      <w:r>
        <w:rPr/>
        <w:t>组合中，采用余额百分比法计提坏账准备的其他应收款</w:t>
      </w:r>
    </w:p>
    <w:p>
      <w:pPr>
        <w:pStyle w:val="BodyText"/>
        <w:spacing w:line="340" w:lineRule="auto" w:before="115"/>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651" w:hRule="exact"/>
        </w:trPr>
        <w:tc>
          <w:tcPr>
            <w:tcW w:w="1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374,973.90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该其他应收款为应收 出口退税，账龄为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以内，且不存在坏账情 况，故不对其计提坏账 准备。</w:t>
            </w: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374,973.90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2"/>
        <w:gridCol w:w="1712"/>
        <w:gridCol w:w="1865"/>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6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57" w:lineRule="auto" w:before="49"/>
        <w:ind w:right="4454"/>
        <w:jc w:val="left"/>
      </w:pPr>
      <w:r>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1" w:type="dxa"/>
            <w:tcBorders>
              <w:top w:val="single" w:sz="4" w:space="0" w:color="000000"/>
              <w:left w:val="single" w:sz="13" w:space="0" w:color="C6ECCC"/>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02"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240" w:lineRule="auto" w:before="49"/>
        <w:ind w:right="1123"/>
        <w:jc w:val="left"/>
      </w:pPr>
      <w:r>
        <w:rPr/>
        <w:t>其他应收款核销说明</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4"/>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2"/>
        <w:gridCol w:w="1914"/>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13" w:space="0" w:color="C6ECCC"/>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8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10394"/>
        <w:jc w:val="left"/>
      </w:pPr>
      <w:r>
        <w:rPr/>
        <w:t>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20"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深圳英特利投资有限公 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45.43%</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天津经济开发区建设管 理中心</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374,973.90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员工社保费</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361,403.45</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李玲燕</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3,406,377.35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77.38%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8"/>
        <w:gridCol w:w="2443"/>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1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443" w:type="dxa"/>
            <w:tcBorders>
              <w:top w:val="single" w:sz="4" w:space="0" w:color="000000"/>
              <w:left w:val="single" w:sz="10" w:space="0" w:color="C6ECCC"/>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96"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8"/>
        <w:gridCol w:w="3004"/>
        <w:gridCol w:w="3589"/>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3"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04" w:type="dxa"/>
            <w:tcBorders>
              <w:top w:val="single" w:sz="4" w:space="0" w:color="000000"/>
              <w:left w:val="single" w:sz="10" w:space="0" w:color="C6ECCC"/>
              <w:bottom w:val="single" w:sz="4" w:space="0" w:color="000000"/>
              <w:right w:val="single" w:sz="4" w:space="0" w:color="000000"/>
            </w:tcBorders>
          </w:tcPr>
          <w:p>
            <w:pP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5847"/>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4,624,344.97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38,566,713.82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99.29%</w:t>
            </w:r>
          </w:p>
        </w:tc>
      </w:tr>
      <w:tr>
        <w:trPr>
          <w:trHeight w:val="404"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786,310.06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6,428.00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27,647.54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193,666.96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5,444,730.57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38,842,681.69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134"/>
        <w:jc w:val="left"/>
      </w:pPr>
      <w:r>
        <w:rPr/>
        <w:t>预付款项账龄的说明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25"/>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650,240.95</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621,970.28</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电力供应商</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579,917.94</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预存电费</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出口保险</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459,668.77</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尚末履行完毕</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材料供应商</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348,335.55</w:t>
            </w:r>
          </w:p>
        </w:tc>
        <w:tc>
          <w:tcPr>
            <w:tcW w:w="1925" w:type="dxa"/>
            <w:tcBorders>
              <w:top w:val="single" w:sz="4" w:space="0" w:color="000000"/>
              <w:left w:val="single" w:sz="4" w:space="0" w:color="000000"/>
              <w:bottom w:val="single" w:sz="4" w:space="0" w:color="000000"/>
              <w:right w:val="single" w:sz="14" w:space="0" w:color="C6ECCC"/>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2,660,133.49</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预付款项主要单位的说明</w:t>
      </w:r>
    </w:p>
    <w:p>
      <w:pPr>
        <w:spacing w:after="0" w:line="240" w:lineRule="auto"/>
        <w:jc w:val="left"/>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8"/>
        <w:gridCol w:w="1473"/>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118,716,581.48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2,948,986.81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115,767,594.67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102,316,740.16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2,754,506.42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99,562,233.74</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22,329,929.77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22,329,929.77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9,804,467.09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9,804,467.09</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28,378,753.92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1,056,800.88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27,321,953.04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18,329,611.31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964,600.15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17,365,011.16</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4,141,677.96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4,141,677.96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3,120,133.36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3,120,133.36</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1,959,563.61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1,959,563.61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31,705,565.35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31,705,565.35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1,198,888.44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1,198,888.44</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207,232,072.09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4,005,787.69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203,226,284.40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134,769,840.36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3,719,106.57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131,050,733.79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5"/>
        <w:gridCol w:w="1414"/>
        <w:gridCol w:w="1431"/>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2,754,506.42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194,480.39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2,948,986.81</w:t>
            </w: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964,600.15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92,200.73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1,056,800.88</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3,719,106.57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286,681.12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4,005,787.69</w:t>
            </w:r>
          </w:p>
        </w:tc>
      </w:tr>
    </w:tbl>
    <w:p>
      <w:pPr>
        <w:spacing w:after="0" w:line="240" w:lineRule="auto"/>
        <w:jc w:val="right"/>
        <w:rPr>
          <w:rFonts w:ascii="Times New Roman" w:hAnsi="Times New Roman" w:cs="Times New Roman" w:eastAsia="Times New Roman" w:hint="default"/>
          <w:sz w:val="18"/>
          <w:szCs w:val="18"/>
        </w:rPr>
        <w:sectPr>
          <w:footerReference w:type="default" r:id="rId58"/>
          <w:pgSz w:w="11910" w:h="16840"/>
          <w:pgMar w:footer="1340" w:header="877" w:top="1060" w:bottom="1540" w:left="980" w:right="0"/>
          <w:pgNumType w:start="116"/>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1123"/>
        <w:jc w:val="left"/>
      </w:pPr>
      <w:r>
        <w:rPr/>
        <w:t>存货的说明</w:t>
      </w:r>
    </w:p>
    <w:p>
      <w:pPr>
        <w:pStyle w:val="BodyText"/>
        <w:spacing w:line="314" w:lineRule="auto" w:before="117"/>
        <w:ind w:right="1130" w:firstLine="360"/>
        <w:jc w:val="both"/>
      </w:pPr>
      <w:r>
        <w:rPr>
          <w:rFonts w:ascii="Times New Roman" w:hAnsi="Times New Roman" w:cs="Times New Roman" w:eastAsia="Times New Roman" w:hint="default"/>
        </w:rPr>
        <w:t>*</w:t>
      </w:r>
      <w:r>
        <w:rPr/>
        <w:t>库存商品和用于出售的材料等直接用于出售的商品存货，在正常生产经营过程中，以该存货的估计售价减去估计的销 </w:t>
      </w:r>
      <w:r>
        <w:rPr>
          <w:spacing w:val="-2"/>
        </w:rPr>
        <w:t>售费用和相关税费后的金额，确定其可变现净值；需要经过加工的材料存货，在正常生产经营过程中，以所生产的产成品的</w:t>
      </w:r>
      <w:r>
        <w:rPr>
          <w:spacing w:val="-65"/>
        </w:rPr>
        <w:t> </w:t>
      </w:r>
      <w:r>
        <w:rPr>
          <w:spacing w:val="-65"/>
        </w:rPr>
      </w:r>
      <w:r>
        <w:rPr>
          <w:spacing w:val="-2"/>
        </w:rPr>
        <w:t>估计售价减去至完工时估计将要发生的成本、估计的销售费用和相关税费后的金额，确定其可变现净值；为执行销售合同或</w:t>
      </w:r>
      <w:r>
        <w:rPr>
          <w:spacing w:val="-63"/>
        </w:rPr>
        <w:t> </w:t>
      </w:r>
      <w:r>
        <w:rPr>
          <w:spacing w:val="-63"/>
        </w:rPr>
      </w:r>
      <w:r>
        <w:rPr>
          <w:spacing w:val="-2"/>
        </w:rPr>
        <w:t>者劳务合同而持有的存货，其可变现净值以合同价格为基础计算，若持有存货的数量多于销售合同订购数量的，超出部分的</w:t>
      </w:r>
      <w:r>
        <w:rPr>
          <w:spacing w:val="-63"/>
        </w:rPr>
        <w:t> </w:t>
      </w:r>
      <w:r>
        <w:rPr>
          <w:spacing w:val="-63"/>
        </w:rPr>
      </w:r>
      <w:r>
        <w:rPr/>
        <w:t>存货的可变现净值以一般销售价格为基础计算。</w:t>
      </w:r>
    </w:p>
    <w:p>
      <w:pPr>
        <w:spacing w:line="240" w:lineRule="auto" w:before="12"/>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预缴进口增值税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3,940,544.40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3,280,039.91</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30,224,354.44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7,428,241.25</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34,164,898.84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10,708,281.16</w:t>
            </w:r>
          </w:p>
        </w:tc>
      </w:tr>
    </w:tbl>
    <w:p>
      <w:pPr>
        <w:pStyle w:val="BodyText"/>
        <w:spacing w:line="357" w:lineRule="auto" w:before="49"/>
        <w:ind w:right="9314"/>
        <w:jc w:val="left"/>
      </w:pPr>
      <w:r>
        <w:rPr/>
        <w:t>其他流动资产说明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0"/>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pStyle w:val="BodyText"/>
        <w:spacing w:line="240" w:lineRule="auto" w:before="29"/>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1"/>
        <w:gridCol w:w="1064"/>
        <w:gridCol w:w="1063"/>
        <w:gridCol w:w="1063"/>
        <w:gridCol w:w="1064"/>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7514"/>
        <w:jc w:val="left"/>
      </w:pPr>
      <w:r>
        <w:rPr/>
        <w:t>可供出售金融资产的长期债权投资的说明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3"/>
        <w:gridCol w:w="3190"/>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8954"/>
        <w:jc w:val="left"/>
      </w:pPr>
      <w:r>
        <w:rPr/>
        <w:t>持有至到期投资的说明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7"/>
        <w:gridCol w:w="2792"/>
        <w:gridCol w:w="3982"/>
      </w:tblGrid>
      <w:tr>
        <w:trPr>
          <w:trHeight w:val="401" w:hRule="exact"/>
        </w:trPr>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434"/>
        <w:jc w:val="left"/>
      </w:pPr>
      <w:r>
        <w:rPr/>
        <w:t>本报告期内出售但尚未到期的持有至到期投资情况说明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3014"/>
        <w:jc w:val="left"/>
      </w:pPr>
      <w:r>
        <w:rPr/>
        <w:t>合营企业、联营企业的重要会计政策、会计估计与公司的会计政策、会计估计存在重大差异的说明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924"/>
        <w:gridCol w:w="1419"/>
        <w:gridCol w:w="566"/>
        <w:gridCol w:w="709"/>
        <w:gridCol w:w="851"/>
        <w:gridCol w:w="709"/>
        <w:gridCol w:w="566"/>
        <w:gridCol w:w="641"/>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p>
            <w:pPr>
              <w:pStyle w:val="TableParagraph"/>
              <w:spacing w:line="240" w:lineRule="auto" w:before="59"/>
              <w:ind w:left="143" w:right="0"/>
              <w:jc w:val="both"/>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6" w:right="32"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表决权 比例</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 w:right="60"/>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5" w:right="43"/>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卓翼科技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745,520.0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745,520.00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深圳市卓 大精密模 具有限公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64,868,11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64,868,11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64,868,119.57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深圳市中 广视讯科 技发展有 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天津卓达 科技发展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448,977,3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174,800,0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274,177,32</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2.06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448,977,322.06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524,590,9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250,413,6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274,177,32</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2.06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524,590,961.63</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134"/>
        <w:jc w:val="left"/>
      </w:pPr>
      <w:r>
        <w:rPr/>
        <w:t>长期股权投资的说明 无</w:t>
      </w:r>
    </w:p>
    <w:p>
      <w:pPr>
        <w:spacing w:after="0" w:line="36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四、投资性房地产减 值准备累计金额合计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32"/>
        <w:gridCol w:w="1012"/>
        <w:gridCol w:w="1021"/>
        <w:gridCol w:w="1000"/>
        <w:gridCol w:w="1010"/>
        <w:gridCol w:w="1009"/>
        <w:gridCol w:w="1019"/>
        <w:gridCol w:w="954"/>
      </w:tblGrid>
      <w:tr>
        <w:trPr>
          <w:trHeight w:val="206" w:hRule="exact"/>
        </w:trPr>
        <w:tc>
          <w:tcPr>
            <w:tcW w:w="2532" w:type="dxa"/>
            <w:vMerge w:val="restart"/>
            <w:tcBorders>
              <w:top w:val="single" w:sz="4" w:space="0" w:color="000000"/>
              <w:left w:val="single" w:sz="4" w:space="0" w:color="000000"/>
              <w:right w:val="single" w:sz="4" w:space="0" w:color="000000"/>
            </w:tcBorders>
            <w:shd w:val="clear" w:color="auto" w:fill="D2D2D2"/>
          </w:tcPr>
          <w:p>
            <w:pPr/>
          </w:p>
        </w:tc>
        <w:tc>
          <w:tcPr>
            <w:tcW w:w="10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4" w:hRule="exact"/>
        </w:trPr>
        <w:tc>
          <w:tcPr>
            <w:tcW w:w="2532" w:type="dxa"/>
            <w:vMerge/>
            <w:tcBorders>
              <w:left w:val="single" w:sz="4" w:space="0" w:color="000000"/>
              <w:bottom w:val="nil" w:sz="6" w:space="0" w:color="auto"/>
              <w:right w:val="single" w:sz="4" w:space="0" w:color="000000"/>
            </w:tcBorders>
            <w:shd w:val="clear" w:color="auto" w:fill="D2D2D2"/>
          </w:tcPr>
          <w:p>
            <w:pPr/>
          </w:p>
        </w:tc>
        <w:tc>
          <w:tcPr>
            <w:tcW w:w="101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3" w:right="47"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vMerge/>
            <w:tcBorders>
              <w:left w:val="single" w:sz="4" w:space="0" w:color="000000"/>
              <w:bottom w:val="single" w:sz="4" w:space="0" w:color="000000"/>
              <w:right w:val="single" w:sz="4" w:space="0" w:color="000000"/>
            </w:tcBorders>
            <w:shd w:val="clear" w:color="auto" w:fill="D2D2D2"/>
          </w:tcPr>
          <w:p>
            <w:pPr/>
          </w:p>
        </w:tc>
        <w:tc>
          <w:tcPr>
            <w:tcW w:w="2029" w:type="dxa"/>
            <w:gridSpan w:val="2"/>
            <w:vMerge/>
            <w:tcBorders>
              <w:left w:val="single" w:sz="4" w:space="0" w:color="000000"/>
              <w:bottom w:val="single" w:sz="4" w:space="0" w:color="000000"/>
              <w:right w:val="single" w:sz="4" w:space="0" w:color="000000"/>
            </w:tcBorders>
            <w:shd w:val="clear" w:color="auto" w:fill="D2D2D2"/>
          </w:tcPr>
          <w:p>
            <w:pPr/>
          </w:p>
        </w:tc>
        <w:tc>
          <w:tcPr>
            <w:tcW w:w="9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1"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4" w:hRule="exact"/>
        </w:trPr>
        <w:tc>
          <w:tcPr>
            <w:tcW w:w="2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012" w:type="dxa"/>
            <w:vMerge/>
            <w:tcBorders>
              <w:left w:val="single" w:sz="4" w:space="0" w:color="000000"/>
              <w:right w:val="single" w:sz="4" w:space="0" w:color="000000"/>
            </w:tcBorders>
            <w:shd w:val="clear" w:color="auto" w:fill="D2D2D2"/>
          </w:tcPr>
          <w:p>
            <w:pPr/>
          </w:p>
        </w:tc>
        <w:tc>
          <w:tcPr>
            <w:tcW w:w="1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38" w:right="51"/>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324" w:right="52"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4" w:type="dxa"/>
            <w:vMerge/>
            <w:tcBorders>
              <w:left w:val="single" w:sz="4" w:space="0" w:color="000000"/>
              <w:right w:val="single" w:sz="4" w:space="0" w:color="000000"/>
            </w:tcBorders>
            <w:shd w:val="clear" w:color="auto" w:fill="D2D2D2"/>
          </w:tcPr>
          <w:p>
            <w:pPr/>
          </w:p>
        </w:tc>
      </w:tr>
      <w:tr>
        <w:trPr>
          <w:trHeight w:val="190" w:hRule="exact"/>
        </w:trPr>
        <w:tc>
          <w:tcPr>
            <w:tcW w:w="2532" w:type="dxa"/>
            <w:vMerge/>
            <w:tcBorders>
              <w:left w:val="single" w:sz="4" w:space="0" w:color="000000"/>
              <w:bottom w:val="nil" w:sz="6" w:space="0" w:color="auto"/>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0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vMerge/>
            <w:tcBorders>
              <w:left w:val="single" w:sz="4" w:space="0" w:color="000000"/>
              <w:right w:val="single" w:sz="4" w:space="0" w:color="000000"/>
            </w:tcBorders>
            <w:shd w:val="clear" w:color="auto" w:fill="D2D2D2"/>
          </w:tcPr>
          <w:p>
            <w:pPr/>
          </w:p>
        </w:tc>
        <w:tc>
          <w:tcPr>
            <w:tcW w:w="954" w:type="dxa"/>
            <w:vMerge/>
            <w:tcBorders>
              <w:left w:val="single" w:sz="4" w:space="0" w:color="000000"/>
              <w:right w:val="single" w:sz="4" w:space="0" w:color="000000"/>
            </w:tcBorders>
            <w:shd w:val="clear" w:color="auto" w:fill="D2D2D2"/>
          </w:tcPr>
          <w:p>
            <w:pPr/>
          </w:p>
        </w:tc>
      </w:tr>
      <w:tr>
        <w:trPr>
          <w:trHeight w:val="167" w:hRule="exact"/>
        </w:trPr>
        <w:tc>
          <w:tcPr>
            <w:tcW w:w="2532" w:type="dxa"/>
            <w:vMerge w:val="restart"/>
            <w:tcBorders>
              <w:top w:val="nil" w:sz="6" w:space="0" w:color="auto"/>
              <w:left w:val="single" w:sz="4" w:space="0" w:color="000000"/>
              <w:right w:val="single" w:sz="4" w:space="0" w:color="000000"/>
            </w:tcBorders>
            <w:shd w:val="clear" w:color="auto" w:fill="D2D2D2"/>
          </w:tcPr>
          <w:p>
            <w:pPr/>
          </w:p>
        </w:tc>
        <w:tc>
          <w:tcPr>
            <w:tcW w:w="1012" w:type="dxa"/>
            <w:vMerge/>
            <w:tcBorders>
              <w:left w:val="single" w:sz="4" w:space="0" w:color="000000"/>
              <w:bottom w:val="single" w:sz="18" w:space="0" w:color="FFFFFF"/>
              <w:right w:val="single" w:sz="4" w:space="0" w:color="000000"/>
            </w:tcBorders>
            <w:shd w:val="clear" w:color="auto" w:fill="D2D2D2"/>
          </w:tcPr>
          <w:p>
            <w:pPr/>
          </w:p>
        </w:tc>
        <w:tc>
          <w:tcPr>
            <w:tcW w:w="1021" w:type="dxa"/>
            <w:vMerge/>
            <w:tcBorders>
              <w:left w:val="single" w:sz="4" w:space="0" w:color="000000"/>
              <w:bottom w:val="single" w:sz="18" w:space="0" w:color="FFFFFF"/>
              <w:right w:val="single" w:sz="4" w:space="0" w:color="000000"/>
            </w:tcBorders>
            <w:shd w:val="clear" w:color="auto" w:fill="D2D2D2"/>
          </w:tcPr>
          <w:p>
            <w:pPr/>
          </w:p>
        </w:tc>
        <w:tc>
          <w:tcPr>
            <w:tcW w:w="100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09"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954"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32" w:type="dxa"/>
            <w:vMerge/>
            <w:tcBorders>
              <w:left w:val="single" w:sz="4" w:space="0" w:color="000000"/>
              <w:bottom w:val="single" w:sz="4" w:space="0" w:color="000000"/>
              <w:right w:val="single" w:sz="4" w:space="0" w:color="000000"/>
            </w:tcBorders>
            <w:shd w:val="clear" w:color="auto" w:fill="D2D2D2"/>
          </w:tcPr>
          <w:p>
            <w:pPr/>
          </w:p>
        </w:tc>
        <w:tc>
          <w:tcPr>
            <w:tcW w:w="1012"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21"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9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10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footerReference w:type="default" r:id="rId59"/>
          <w:pgSz w:w="11910" w:h="16840"/>
          <w:pgMar w:footer="1340" w:header="877" w:top="1060" w:bottom="154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14" w:lineRule="auto" w:before="49"/>
        <w:ind w:right="1123"/>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pStyle w:val="BodyText"/>
        <w:spacing w:line="240" w:lineRule="auto" w:before="61"/>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2"/>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309,600,487.18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327,375,427.49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636,975,914.67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2"/>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55,551,879.56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55,551,879.56</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252,154,898.65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244,845,682.78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497,000,581.43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1,815,813.66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2,665,264.59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4,481,078.25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sz w:val="18"/>
                <w:szCs w:val="18"/>
              </w:rPr>
              <w:t>仪器仪表</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35,045,540.07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16,266,439.96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51,311,980.03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17,335,090.75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6,103,325.04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23,438,415.79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3,249,144.05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1,942,835.56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5,191,979.61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2"/>
              <w:jc w:val="righ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54,523,501.84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40,875,263.63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95,398,765.47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2"/>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34,430,628.46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29,457,053.95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63,887,682.41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233,384.11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310,613.18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543,997.29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sz w:val="18"/>
                <w:szCs w:val="18"/>
              </w:rPr>
              <w:t>仪器仪表</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12,573,921.00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7,168,123.17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19,742,044.17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5,404,129.47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3,585,010.13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8,989,139.60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461"/>
              <w:jc w:val="righ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1,881,438.80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354,463.20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2,235,902.00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494"/>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255,076,985.34</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541,577,149.20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55,551,879.56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217,724,270.19</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433,112,899.02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1,582,429.55</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3,937,080.96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22,471,619.07</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31,569,935.86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11,930,961.28</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14,449,276.19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1,367,705.25</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2,956,077.61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255,076,985.34</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541,577,149.20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55,551,879.56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217,724,270.19</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433,112,899.02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1,582,429.55</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3,937,080.96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22,471,619.07</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31,569,935.86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11,930,961.28</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14,449,276.19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1,367,705.25</w:t>
            </w:r>
          </w:p>
        </w:tc>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80"/>
              <w:jc w:val="right"/>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2,956,077.61</w:t>
            </w:r>
          </w:p>
        </w:tc>
      </w:tr>
    </w:tbl>
    <w:p>
      <w:pPr>
        <w:pStyle w:val="BodyText"/>
        <w:spacing w:line="240" w:lineRule="auto" w:before="49"/>
        <w:ind w:right="1123"/>
        <w:jc w:val="left"/>
      </w:pPr>
      <w:r>
        <w:rPr/>
        <w:t>本期折旧额</w:t>
      </w:r>
      <w:r>
        <w:rPr>
          <w:spacing w:val="-48"/>
        </w:rPr>
        <w:t> </w:t>
      </w:r>
      <w:r>
        <w:rPr>
          <w:rFonts w:ascii="Times New Roman" w:hAnsi="Times New Roman" w:cs="Times New Roman" w:eastAsia="Times New Roman" w:hint="default"/>
        </w:rPr>
        <w:t>40,875,263.63</w:t>
      </w:r>
      <w:r>
        <w:rPr>
          <w:rFonts w:ascii="Times New Roman" w:hAnsi="Times New Roman" w:cs="Times New Roman" w:eastAsia="Times New Roman" w:hint="default"/>
          <w:spacing w:val="-2"/>
        </w:rPr>
        <w:t> </w:t>
      </w:r>
      <w:r>
        <w:rPr/>
        <w:t>元；本期由在建工程转入固定资产原价为</w:t>
      </w:r>
      <w:r>
        <w:rPr>
          <w:spacing w:val="-48"/>
        </w:rPr>
        <w:t> </w:t>
      </w:r>
      <w:r>
        <w:rPr>
          <w:rFonts w:ascii="Times New Roman" w:hAnsi="Times New Roman" w:cs="Times New Roman" w:eastAsia="Times New Roman" w:hint="default"/>
        </w:rPr>
        <w:t>104,358,458.63</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4"/>
        <w:gridCol w:w="1596"/>
        <w:gridCol w:w="1594"/>
        <w:gridCol w:w="1594"/>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3"/>
        <w:gridCol w:w="1721"/>
        <w:gridCol w:w="1875"/>
        <w:gridCol w:w="1875"/>
        <w:gridCol w:w="1874"/>
      </w:tblGrid>
      <w:tr>
        <w:trPr>
          <w:trHeight w:val="403"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1" w:hRule="exact"/>
        </w:trPr>
        <w:tc>
          <w:tcPr>
            <w:tcW w:w="22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1"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49"/>
        <w:ind w:right="1123"/>
        <w:jc w:val="left"/>
      </w:pPr>
      <w:r>
        <w:rPr/>
        <w:t>固定资产说明</w:t>
      </w:r>
    </w:p>
    <w:p>
      <w:pPr>
        <w:pStyle w:val="BodyText"/>
        <w:spacing w:line="240" w:lineRule="auto" w:before="115"/>
        <w:ind w:left="513" w:right="1123"/>
        <w:jc w:val="left"/>
      </w:pPr>
      <w:r>
        <w:rPr>
          <w:rFonts w:ascii="Times New Roman" w:hAnsi="Times New Roman" w:cs="Times New Roman" w:eastAsia="Times New Roman" w:hint="default"/>
        </w:rPr>
        <w:t>*1</w:t>
      </w:r>
      <w:r>
        <w:rPr/>
        <w:t>、本公司认为期末固定资产不存在可回收金额低于账面价值的情形，故未计提减值准备。</w:t>
      </w:r>
    </w:p>
    <w:p>
      <w:pPr>
        <w:pStyle w:val="BodyText"/>
        <w:spacing w:line="240" w:lineRule="auto" w:before="63"/>
        <w:ind w:left="513" w:right="1123"/>
        <w:jc w:val="left"/>
      </w:pPr>
      <w:r>
        <w:rPr>
          <w:rFonts w:ascii="Times New Roman" w:hAnsi="Times New Roman" w:cs="Times New Roman" w:eastAsia="Times New Roman" w:hint="default"/>
        </w:rPr>
        <w:t>*2</w:t>
      </w:r>
      <w:r>
        <w:rPr/>
        <w:t>、期末本公司固定资产不存在抵押、担保情况。</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4"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187,073,522.19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187,073,522.19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120,177,449.38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120,177,449.38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187,073,522.19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187,073,522.19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120,177,449.38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120,177,449.38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天津基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418,714,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79,333,1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144,541,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263.63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67,551,8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z w:val="18"/>
              </w:rPr>
              <w:t>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156,322,</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547.88</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深圳基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413,664,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6,843,02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14,882,3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731,554.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6,978,09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14,015,6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98.60</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精密模 具生产 厂</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49,881,5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34,001,2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20,954,7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36,075,0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24.43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2,145,67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16,735,2</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75.71</w:t>
            </w:r>
          </w:p>
        </w:tc>
      </w:tr>
      <w:tr>
        <w:trPr>
          <w:trHeight w:val="716"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882,259,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120,177,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449.38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180,378,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298.80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104,358,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458.63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9,123,76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187,073,</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522.19</w:t>
            </w:r>
          </w:p>
        </w:tc>
      </w:tr>
    </w:tbl>
    <w:p>
      <w:pPr>
        <w:pStyle w:val="BodyText"/>
        <w:spacing w:line="240" w:lineRule="auto" w:before="49"/>
        <w:ind w:right="1123"/>
        <w:jc w:val="left"/>
      </w:pPr>
      <w:r>
        <w:rPr/>
        <w:t>在建工程项目变动情况的说明</w:t>
      </w:r>
    </w:p>
    <w:p>
      <w:pPr>
        <w:pStyle w:val="BodyText"/>
        <w:spacing w:line="300" w:lineRule="auto" w:before="115"/>
        <w:ind w:right="1123" w:firstLine="360"/>
        <w:jc w:val="left"/>
      </w:pPr>
      <w:r>
        <w:rPr>
          <w:rFonts w:ascii="Times New Roman" w:hAnsi="Times New Roman" w:cs="Times New Roman" w:eastAsia="Times New Roman" w:hint="default"/>
          <w:spacing w:val="-1"/>
        </w:rPr>
        <w:t>*1</w:t>
      </w:r>
      <w:r>
        <w:rPr>
          <w:spacing w:val="-1"/>
        </w:rPr>
        <w:t>、深圳基地项目包括：深圳生产基地改造项目、深圳生产基地</w:t>
      </w:r>
      <w:r>
        <w:rPr>
          <w:rFonts w:ascii="Times New Roman" w:hAnsi="Times New Roman" w:cs="Times New Roman" w:eastAsia="Times New Roman" w:hint="default"/>
          <w:spacing w:val="-1"/>
        </w:rPr>
        <w:t>(</w:t>
      </w:r>
      <w:r>
        <w:rPr>
          <w:spacing w:val="-1"/>
        </w:rPr>
        <w:t>松岗项目</w:t>
      </w:r>
      <w:r>
        <w:rPr>
          <w:rFonts w:ascii="Times New Roman" w:hAnsi="Times New Roman" w:cs="Times New Roman" w:eastAsia="Times New Roman" w:hint="default"/>
          <w:spacing w:val="-1"/>
        </w:rPr>
        <w:t>)</w:t>
      </w:r>
      <w:r>
        <w:rPr>
          <w:spacing w:val="-1"/>
        </w:rPr>
        <w:t>、深圳松岗基地建设项目、手持终端产品车</w:t>
      </w:r>
      <w:r>
        <w:rPr/>
        <w:t> 间项目、深圳松岗网络通信产品扩产项目。</w:t>
      </w:r>
    </w:p>
    <w:p>
      <w:pPr>
        <w:pStyle w:val="BodyText"/>
        <w:spacing w:line="240" w:lineRule="auto" w:before="31"/>
        <w:ind w:left="513" w:right="1123"/>
        <w:jc w:val="left"/>
      </w:pPr>
      <w:r>
        <w:rPr>
          <w:rFonts w:ascii="Times New Roman" w:hAnsi="Times New Roman" w:cs="Times New Roman" w:eastAsia="Times New Roman" w:hint="default"/>
        </w:rPr>
        <w:t>*2</w:t>
      </w:r>
      <w:r>
        <w:rPr/>
        <w:t>、天津基地项目包括：网络通讯产品生产基地、消费电子产品生产基地、天津网络通信产品生产建设项目</w:t>
      </w:r>
      <w:r>
        <w:rPr>
          <w:rFonts w:ascii="Times New Roman" w:hAnsi="Times New Roman" w:cs="Times New Roman" w:eastAsia="Times New Roman" w:hint="default"/>
        </w:rPr>
        <w:t>(</w:t>
      </w:r>
      <w:r>
        <w:rPr/>
        <w:t>二期</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4"/>
        <w:gridCol w:w="1594"/>
        <w:gridCol w:w="1597"/>
        <w:gridCol w:w="1591"/>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天津基地项目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深圳基地项目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99%</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精密模具生产厂</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4"/>
        <w:rPr>
          <w:rFonts w:ascii="宋体" w:hAnsi="宋体" w:cs="宋体" w:eastAsia="宋体" w:hint="default"/>
          <w:b/>
          <w:bCs/>
          <w:sz w:val="19"/>
          <w:szCs w:val="19"/>
        </w:rPr>
      </w:pPr>
    </w:p>
    <w:p>
      <w:pPr>
        <w:spacing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573" w:right="1123"/>
        <w:jc w:val="left"/>
      </w:pPr>
      <w:r>
        <w:rPr/>
        <w:t>截止期末在建工程不存在减值情况，故未计提在建工程减值准备。</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1"/>
        <w:gridCol w:w="1594"/>
        <w:gridCol w:w="1462"/>
        <w:gridCol w:w="1594"/>
        <w:gridCol w:w="1860"/>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494"/>
        <w:jc w:val="left"/>
      </w:pPr>
      <w:r>
        <w:rPr/>
        <w:t>工程物资的说明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2127"/>
        <w:gridCol w:w="2512"/>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92" w:type="dxa"/>
            <w:tcBorders>
              <w:top w:val="single" w:sz="4" w:space="0" w:color="000000"/>
              <w:left w:val="single" w:sz="10" w:space="0" w:color="C6ECCC"/>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512"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38" w:lineRule="auto" w:before="49"/>
        <w:ind w:right="5356"/>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 无</w:t>
      </w:r>
    </w:p>
    <w:p>
      <w:pPr>
        <w:spacing w:line="240" w:lineRule="auto" w:before="7"/>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8"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96"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4"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8954"/>
        <w:jc w:val="left"/>
      </w:pPr>
      <w:r>
        <w:rPr/>
        <w:t>生产性生物资产的说明 无</w:t>
      </w:r>
    </w:p>
    <w:p>
      <w:pPr>
        <w:spacing w:after="0" w:line="36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二、累计折耗合计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．井及相关设施</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三、油气资产减值准备累 计金额合计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20" w:type="dxa"/>
            <w:tcBorders>
              <w:top w:val="single" w:sz="4" w:space="0" w:color="000000"/>
              <w:left w:val="single" w:sz="10" w:space="0" w:color="D2D2D2"/>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9494"/>
        <w:jc w:val="left"/>
      </w:pPr>
      <w:r>
        <w:rPr/>
        <w:t>油气资产的说明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24,919,198.35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3,848,177.53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787,094.02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27,980,281.86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21,888,705.82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21,888,705.82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）营运及办公软件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3,030,492.53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3,848,177.53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787,094.02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6,091,576.04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3,514,798.87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1,278,831.23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787,094.02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4,006,536.08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1,915,599.70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437,774.16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2,353,373.86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）营运及办公软件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1,599,199.17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841,057.07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787,094.02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1,653,162.22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21,404,399.48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2,569,346.30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23,973,745.78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19,973,106.12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19,535,331.96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）营运及办公软件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1,431,293.36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4,438,413.82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）营运及办公软件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21,404,399.48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2,569,346.30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23,973,745.78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19,973,106.12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19,535,331.96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）营运及办公软件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1,431,293.36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4,438,413.82</w:t>
            </w:r>
          </w:p>
        </w:tc>
      </w:tr>
    </w:tbl>
    <w:p>
      <w:pPr>
        <w:pStyle w:val="BodyText"/>
        <w:spacing w:line="240" w:lineRule="auto" w:before="49"/>
        <w:ind w:right="1123"/>
        <w:jc w:val="left"/>
      </w:pPr>
      <w:r>
        <w:rPr/>
        <w:t>本期摊销额</w:t>
      </w:r>
      <w:r>
        <w:rPr>
          <w:spacing w:val="-47"/>
        </w:rPr>
        <w:t> </w:t>
      </w:r>
      <w:r>
        <w:rPr>
          <w:rFonts w:ascii="Times New Roman" w:hAnsi="Times New Roman" w:cs="Times New Roman" w:eastAsia="Times New Roman" w:hint="default"/>
        </w:rPr>
        <w:t>491,737.21</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下一代网络高速接 入终端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VDSL</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6,390,809.47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6,390,809.47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下一代数字家庭多 媒体接入终端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7,993,587.64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7,993,587.64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下一代光网络接入 终端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XPON</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14,474,534.42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14,474,534.42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下一代无线城市热 点接入终端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WLAN</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7,138,396.37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7,138,396.37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行业移动终端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6,337,312.31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6,337,312.31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平板电脑产品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3,231,201.07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3,231,201.07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45,565,841.29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45,565,841.29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38" w:lineRule="auto" w:before="49"/>
        <w:ind w:right="5068"/>
        <w:jc w:val="left"/>
      </w:pPr>
      <w:r>
        <w:rPr/>
        <w:t>本期开发支出占本期研究开发项目支出总额的比例</w:t>
      </w:r>
      <w:r>
        <w:rPr>
          <w:spacing w:val="-45"/>
        </w:rPr>
        <w:t> </w:t>
      </w:r>
      <w:r>
        <w:rPr>
          <w:rFonts w:ascii="Times New Roman" w:hAnsi="Times New Roman" w:cs="Times New Roman" w:eastAsia="Times New Roman" w:hint="default"/>
        </w:rPr>
        <w:t>100%</w:t>
      </w:r>
      <w:r>
        <w:rPr/>
        <w:t>。 通过公司内部研发形成的无形资产占无形资产期末账面价值的比例</w:t>
      </w:r>
      <w:r>
        <w:rPr>
          <w:spacing w:val="-44"/>
        </w:rPr>
        <w:t> </w:t>
      </w:r>
      <w:r>
        <w:rPr>
          <w:rFonts w:ascii="Times New Roman" w:hAnsi="Times New Roman" w:cs="Times New Roman" w:eastAsia="Times New Roman" w:hint="default"/>
        </w:rPr>
        <w:t>0%</w:t>
      </w:r>
      <w:r>
        <w:rPr/>
        <w:t>。</w:t>
      </w:r>
    </w:p>
    <w:p>
      <w:pPr>
        <w:pStyle w:val="BodyText"/>
        <w:spacing w:line="338" w:lineRule="auto" w:before="22"/>
        <w:ind w:right="1123"/>
        <w:jc w:val="left"/>
      </w:pPr>
      <w:r>
        <w:rPr>
          <w:spacing w:val="-2"/>
        </w:rPr>
        <w:t>公司开发项目的说明，包括本期发生的单项价值在</w:t>
      </w:r>
      <w:r>
        <w:rPr>
          <w:spacing w:val="-36"/>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无</w:t>
      </w:r>
    </w:p>
    <w:p>
      <w:pPr>
        <w:spacing w:line="240" w:lineRule="auto" w:before="8"/>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90.371719pt;width:135pt;height:77pt;mso-position-horizontal-relative:page;mso-position-vertical-relative:paragraph;z-index:-990016" coordorigin="9206,1807" coordsize="2700,1540">
            <v:shape style="position:absolute;left:9206;top:1807;width:2700;height:1540" type="#_x0000_t75" stroked="false">
              <v:imagedata r:id="rId15" o:title=""/>
            </v:shape>
            <v:shape style="position:absolute;left:10502;top:216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127</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60"/>
          <w:footerReference w:type="default" r:id="rId61"/>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7154"/>
        <w:jc w:val="left"/>
      </w:pPr>
      <w:r>
        <w:rPr/>
        <w:t>说明商誉的减值测试方法和减值准备计提方法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租入固定资产改 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12,964,389.33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11,750,367.23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4,608,526.16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20,106,230.40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6,502,703.99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2,136,817.59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5,536,915.73</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1,221,908.64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200,367.02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1,021,541.62</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806,631.88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262,519.42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352,869.24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716,282.06</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14,942,050.54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19,737,499.28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7,298,580.01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27,380,969.81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134"/>
        <w:jc w:val="left"/>
      </w:pPr>
      <w:r>
        <w:rPr/>
        <w:t>长期待摊费用的说明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8"/>
        <w:gridCol w:w="2927"/>
        <w:gridCol w:w="2921"/>
      </w:tblGrid>
      <w:tr>
        <w:trPr>
          <w:trHeight w:val="406"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2,399,322.00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1,125,230.87</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3,275,779.32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1,114,295.97</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43,495.20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5,675,101.32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2,283,022.04</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47,058.54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47,058.54</w:t>
            </w: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未确认递延所得税资产明细</w:t>
      </w:r>
    </w:p>
    <w:p>
      <w:pPr>
        <w:pStyle w:val="BodyText"/>
        <w:spacing w:line="240" w:lineRule="auto" w:before="115"/>
        <w:ind w:left="0" w:right="1131"/>
        <w:jc w:val="right"/>
      </w:pPr>
      <w:r>
        <w:rPr/>
        <w:pict>
          <v:group style="position:absolute;margin-left:460.320007pt;margin-top:41.401718pt;width:135pt;height:77pt;mso-position-horizontal-relative:page;mso-position-vertical-relative:paragraph;z-index:-989968" coordorigin="9206,828" coordsize="2700,1540">
            <v:shape style="position:absolute;left:9206;top:828;width:2700;height:1540" type="#_x0000_t75" stroked="false">
              <v:imagedata r:id="rId15" o:title=""/>
            </v:shape>
            <v:shape style="position:absolute;left:10502;top:118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128</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62"/>
          <w:footerReference w:type="default" r:id="rId6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21"/>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未确认递延所得税资产的可抵扣亏损将于以下年度到期</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09"/>
      </w:tblGrid>
      <w:tr>
        <w:trPr>
          <w:trHeight w:val="39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8" w:hRule="exact"/>
        </w:trPr>
        <w:tc>
          <w:tcPr>
            <w:tcW w:w="19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330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49"/>
        <w:ind w:right="1123"/>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8"/>
        <w:gridCol w:w="2933"/>
        <w:gridCol w:w="2787"/>
      </w:tblGrid>
      <w:tr>
        <w:trPr>
          <w:trHeight w:val="401" w:hRule="exact"/>
        </w:trPr>
        <w:tc>
          <w:tcPr>
            <w:tcW w:w="3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48" w:type="dxa"/>
            <w:vMerge/>
            <w:tcBorders>
              <w:left w:val="single" w:sz="4" w:space="0" w:color="000000"/>
              <w:bottom w:val="single" w:sz="4" w:space="0" w:color="000000"/>
              <w:right w:val="single" w:sz="4" w:space="0" w:color="000000"/>
            </w:tcBorders>
            <w:shd w:val="clear" w:color="auto" w:fill="D2D2D2"/>
          </w:tcPr>
          <w:p>
            <w:pP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8"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15,944,357.90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7,501,308.78</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13,103,117.25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4,457,183.86</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-105,376.67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289,967.99</w:t>
            </w:r>
          </w:p>
        </w:tc>
      </w:tr>
      <w:tr>
        <w:trPr>
          <w:trHeight w:val="406"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28,942,098.48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12,248,460.63</w:t>
            </w:r>
          </w:p>
        </w:tc>
      </w:tr>
      <w:tr>
        <w:trPr>
          <w:trHeight w:val="394"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6" w:hRule="exact"/>
        </w:trPr>
        <w:tc>
          <w:tcPr>
            <w:tcW w:w="38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293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28,942,098.48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12,248,460.63</w:t>
            </w:r>
          </w:p>
        </w:tc>
      </w:tr>
      <w:tr>
        <w:trPr>
          <w:trHeight w:val="404"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28,942,098.48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12,248,460.63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互抵后的递延所得税资产及负债的组成项目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8"/>
        <w:gridCol w:w="1638"/>
        <w:gridCol w:w="1628"/>
        <w:gridCol w:w="1628"/>
        <w:gridCol w:w="1630"/>
      </w:tblGrid>
      <w:tr>
        <w:trPr>
          <w:trHeight w:val="317" w:hRule="exact"/>
        </w:trPr>
        <w:tc>
          <w:tcPr>
            <w:tcW w:w="3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1"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5,675,101.32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0" w:right="0"/>
              <w:jc w:val="left"/>
              <w:rPr>
                <w:rFonts w:ascii="Times New Roman" w:hAnsi="Times New Roman" w:cs="Times New Roman" w:eastAsia="Times New Roman" w:hint="default"/>
                <w:sz w:val="18"/>
                <w:szCs w:val="18"/>
              </w:rPr>
            </w:pPr>
            <w:r>
              <w:rPr>
                <w:rFonts w:ascii="Times New Roman"/>
                <w:sz w:val="18"/>
              </w:rPr>
              <w:t>2,283,022.04</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47,058.54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8"/>
        <w:gridCol w:w="5713"/>
      </w:tblGrid>
      <w:tr>
        <w:trPr>
          <w:trHeight w:val="396" w:hRule="exact"/>
        </w:trPr>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r>
        <w:trPr>
          <w:trHeight w:val="408" w:hRule="exact"/>
        </w:trPr>
        <w:tc>
          <w:tcPr>
            <w:tcW w:w="38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13"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240" w:lineRule="auto" w:before="49"/>
        <w:ind w:right="1123"/>
        <w:jc w:val="left"/>
      </w:pPr>
      <w:r>
        <w:rPr/>
        <w:t>递延所得税资产和递延所得税负债的说明</w:t>
      </w:r>
    </w:p>
    <w:p>
      <w:pPr>
        <w:pStyle w:val="BodyText"/>
        <w:spacing w:line="240" w:lineRule="auto" w:before="115"/>
        <w:ind w:left="513" w:right="1123"/>
        <w:jc w:val="left"/>
      </w:pPr>
      <w:r>
        <w:rPr/>
        <w:pict>
          <v:group style="position:absolute;margin-left:460.320007pt;margin-top:50.401718pt;width:135pt;height:77pt;mso-position-horizontal-relative:page;mso-position-vertical-relative:paragraph;z-index:3448" coordorigin="9206,1008" coordsize="2700,1540">
            <v:shape style="position:absolute;left:9206;top:1008;width:2700;height:1540" type="#_x0000_t75" stroked="false">
              <v:imagedata r:id="rId15" o:title=""/>
            </v:shape>
            <v:shape style="position:absolute;left:10502;top:136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129</w:t>
                    </w:r>
                  </w:p>
                </w:txbxContent>
              </v:textbox>
              <w10:wrap type="none"/>
            </v:shape>
            <w10:wrap type="none"/>
          </v:group>
        </w:pict>
      </w:r>
      <w:r>
        <w:rPr>
          <w:rFonts w:ascii="Times New Roman" w:hAnsi="Times New Roman" w:cs="Times New Roman" w:eastAsia="Times New Roman" w:hint="default"/>
        </w:rPr>
        <w:t>*</w:t>
      </w:r>
      <w:r>
        <w:rPr/>
        <w:t>卓翼香港的资产减值准备为</w:t>
      </w:r>
      <w:r>
        <w:rPr>
          <w:rFonts w:ascii="Times New Roman" w:hAnsi="Times New Roman" w:cs="Times New Roman" w:eastAsia="Times New Roman" w:hint="default"/>
        </w:rPr>
        <w:t>705,343.44</w:t>
      </w:r>
      <w:r>
        <w:rPr/>
        <w:t>元，由于卓翼香港征收的是利得税，不计算递延所得税资产。</w:t>
      </w:r>
    </w:p>
    <w:p>
      <w:pPr>
        <w:spacing w:after="0" w:line="240" w:lineRule="auto"/>
        <w:jc w:val="left"/>
        <w:sectPr>
          <w:headerReference w:type="default" r:id="rId64"/>
          <w:footerReference w:type="default" r:id="rId65"/>
          <w:pgSz w:w="11910" w:h="16840"/>
          <w:pgMar w:header="877" w:footer="0" w:top="1060" w:bottom="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8987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10:wrap type="none"/>
          </v:group>
        </w:pict>
      </w:r>
    </w:p>
    <w:p>
      <w:pPr>
        <w:pStyle w:val="Heading3"/>
        <w:spacing w:line="240" w:lineRule="auto" w:before="36"/>
        <w:ind w:right="1123"/>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3,881,109.32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8,762,804.33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12,643,913.65</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3,719,106.57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286,681.12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4,005,787.69</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7,600,215.89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9,049,485.45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16,649,701.34</w:t>
            </w:r>
          </w:p>
        </w:tc>
      </w:tr>
    </w:tbl>
    <w:p>
      <w:pPr>
        <w:pStyle w:val="BodyText"/>
        <w:spacing w:line="360" w:lineRule="auto" w:before="49"/>
        <w:ind w:left="513" w:right="4633" w:hanging="361"/>
        <w:jc w:val="left"/>
      </w:pPr>
      <w:r>
        <w:rPr/>
        <w:t>资产减值明细情况的说明 坏账准备大幅增加主要原因系本期公司计提坏账准备会计估计变更所致。</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总部办公楼</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其他非流动资产的说明</w:t>
      </w:r>
    </w:p>
    <w:p>
      <w:pPr>
        <w:pStyle w:val="BodyText"/>
        <w:spacing w:line="300" w:lineRule="auto" w:before="115"/>
        <w:ind w:right="0" w:firstLine="360"/>
        <w:jc w:val="left"/>
      </w:pPr>
      <w:r>
        <w:rPr>
          <w:rFonts w:ascii="Times New Roman" w:hAnsi="Times New Roman" w:cs="Times New Roman" w:eastAsia="Times New Roman" w:hint="default"/>
        </w:rPr>
        <w:t>*</w:t>
      </w:r>
      <w:r>
        <w:rPr/>
        <w:t>本公司与深圳市大沙河创新走廊建设投资有限公司签定了《创新大厦临时购房合同》，购买位于深圳市南山区马家龙 工业区内创业大厦部分房产，面积不低于</w:t>
      </w:r>
      <w:r>
        <w:rPr>
          <w:rFonts w:ascii="Times New Roman" w:hAnsi="Times New Roman" w:cs="Times New Roman" w:eastAsia="Times New Roman" w:hint="default"/>
        </w:rPr>
        <w:t>5,000</w:t>
      </w:r>
      <w:r>
        <w:rPr/>
        <w:t>平方米，暂定总价款为人民币</w:t>
      </w:r>
      <w:r>
        <w:rPr>
          <w:rFonts w:ascii="Times New Roman" w:hAnsi="Times New Roman" w:cs="Times New Roman" w:eastAsia="Times New Roman" w:hint="default"/>
        </w:rPr>
        <w:t>7,500.00</w:t>
      </w:r>
      <w:r>
        <w:rPr/>
        <w:t>万元，该房产用于本公司总部办公室。</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8"/>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41,239,462.23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52,297,470.00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63,483,550.00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50,325,621.11</w:t>
            </w:r>
          </w:p>
        </w:tc>
      </w:tr>
    </w:tbl>
    <w:p>
      <w:pPr>
        <w:spacing w:after="0" w:line="240" w:lineRule="auto"/>
        <w:jc w:val="right"/>
        <w:rPr>
          <w:rFonts w:ascii="Times New Roman" w:hAnsi="Times New Roman" w:cs="Times New Roman" w:eastAsia="Times New Roman" w:hint="default"/>
          <w:sz w:val="18"/>
          <w:szCs w:val="18"/>
        </w:rPr>
        <w:sectPr>
          <w:headerReference w:type="default" r:id="rId66"/>
          <w:footerReference w:type="default" r:id="rId6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104,723,012.23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6" w:right="0"/>
              <w:jc w:val="left"/>
              <w:rPr>
                <w:rFonts w:ascii="Times New Roman" w:hAnsi="Times New Roman" w:cs="Times New Roman" w:eastAsia="Times New Roman" w:hint="default"/>
                <w:sz w:val="18"/>
                <w:szCs w:val="18"/>
              </w:rPr>
            </w:pPr>
            <w:r>
              <w:rPr>
                <w:rFonts w:ascii="Times New Roman"/>
                <w:sz w:val="18"/>
              </w:rPr>
              <w:t>102,623,091.11</w:t>
            </w:r>
          </w:p>
        </w:tc>
      </w:tr>
    </w:tbl>
    <w:p>
      <w:pPr>
        <w:pStyle w:val="BodyText"/>
        <w:spacing w:line="240" w:lineRule="auto" w:before="49"/>
        <w:ind w:right="1123"/>
        <w:jc w:val="left"/>
      </w:pPr>
      <w:r>
        <w:rPr/>
        <w:t>短期借款分类的说明</w:t>
      </w:r>
    </w:p>
    <w:p>
      <w:pPr>
        <w:pStyle w:val="BodyText"/>
        <w:spacing w:line="240" w:lineRule="auto" w:before="115"/>
        <w:ind w:left="513" w:right="1123"/>
        <w:jc w:val="left"/>
      </w:pPr>
      <w:r>
        <w:rPr>
          <w:rFonts w:ascii="Times New Roman" w:hAnsi="Times New Roman" w:cs="Times New Roman" w:eastAsia="Times New Roman" w:hint="default"/>
        </w:rPr>
        <w:t>*</w:t>
      </w:r>
      <w:r>
        <w:rPr/>
        <w:t>质押借款系本公司将收到的商业承兑汇票贴现而取得银行借款。</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282"/>
        <w:gridCol w:w="1279"/>
        <w:gridCol w:w="1654"/>
        <w:gridCol w:w="1752"/>
        <w:gridCol w:w="1983"/>
      </w:tblGrid>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预计还款期</w:t>
            </w:r>
          </w:p>
        </w:tc>
      </w:tr>
      <w:tr>
        <w:trPr>
          <w:trHeight w:val="406" w:hRule="exact"/>
        </w:trPr>
        <w:tc>
          <w:tcPr>
            <w:tcW w:w="16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8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4634"/>
        <w:jc w:val="left"/>
      </w:pPr>
      <w:r>
        <w:rPr/>
        <w:t>资产负债表日后已偿还金额</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短期借款的说明，包括已到期短期借款获展期的，说明展期条件、新的到期日</w:t>
      </w:r>
    </w:p>
    <w:p>
      <w:pPr>
        <w:spacing w:line="240" w:lineRule="auto" w:before="8"/>
        <w:rPr>
          <w:rFonts w:ascii="宋体" w:hAnsi="宋体" w:cs="宋体" w:eastAsia="宋体" w:hint="default"/>
          <w:sz w:val="3"/>
          <w:szCs w:val="3"/>
        </w:rPr>
      </w:pPr>
    </w:p>
    <w:p>
      <w:pPr>
        <w:spacing w:line="4965" w:lineRule="exact"/>
        <w:ind w:left="184"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6353175" cy="315277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69" cstate="print"/>
                    <a:stretch>
                      <a:fillRect/>
                    </a:stretch>
                  </pic:blipFill>
                  <pic:spPr>
                    <a:xfrm>
                      <a:off x="0" y="0"/>
                      <a:ext cx="6353175" cy="3152775"/>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2"/>
        <w:rPr>
          <w:rFonts w:ascii="宋体" w:hAnsi="宋体" w:cs="宋体" w:eastAsia="宋体" w:hint="default"/>
          <w:sz w:val="23"/>
          <w:szCs w:val="23"/>
        </w:rPr>
      </w:pPr>
    </w:p>
    <w:p>
      <w:pPr>
        <w:pStyle w:val="Heading3"/>
        <w:spacing w:line="240" w:lineRule="auto"/>
        <w:ind w:right="1123"/>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交易性金融负债的说明</w:t>
      </w:r>
    </w:p>
    <w:p>
      <w:pPr>
        <w:spacing w:after="0" w:line="240" w:lineRule="auto"/>
        <w:jc w:val="left"/>
        <w:sectPr>
          <w:footerReference w:type="default" r:id="rId68"/>
          <w:pgSz w:w="11910" w:h="16840"/>
          <w:pgMar w:footer="1339" w:header="877" w:top="1060" w:bottom="1520" w:left="980" w:right="0"/>
          <w:pgNumType w:start="131"/>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104,768,196.41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77,265,605.90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104,768,196.41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77,265,605.90</w:t>
            </w:r>
          </w:p>
        </w:tc>
      </w:tr>
    </w:tbl>
    <w:p>
      <w:pPr>
        <w:pStyle w:val="BodyText"/>
        <w:spacing w:line="340" w:lineRule="auto" w:before="49"/>
        <w:ind w:right="7019"/>
        <w:jc w:val="left"/>
      </w:pPr>
      <w:r>
        <w:rPr/>
        <w:t>下一会计期间将到期的金额</w:t>
      </w:r>
      <w:r>
        <w:rPr>
          <w:spacing w:val="-46"/>
        </w:rPr>
        <w:t> </w:t>
      </w:r>
      <w:r>
        <w:rPr>
          <w:rFonts w:ascii="Times New Roman" w:hAnsi="Times New Roman" w:cs="Times New Roman" w:eastAsia="Times New Roman" w:hint="default"/>
        </w:rPr>
        <w:t>104,768,196.41</w:t>
      </w:r>
      <w:r>
        <w:rPr>
          <w:rFonts w:ascii="Times New Roman" w:hAnsi="Times New Roman" w:cs="Times New Roman" w:eastAsia="Times New Roman" w:hint="default"/>
          <w:spacing w:val="1"/>
        </w:rPr>
        <w:t> </w:t>
      </w:r>
      <w:r>
        <w:rPr/>
        <w:t>元。 应付票据的说明</w:t>
      </w:r>
    </w:p>
    <w:p>
      <w:pPr>
        <w:pStyle w:val="BodyText"/>
        <w:spacing w:line="240" w:lineRule="auto" w:before="40"/>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350,291,909.02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366,773,682.31</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894,687.72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1,815,471.58</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263,839.08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1,421,270.03</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1,072,455.35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580,974.16</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352,522,891.17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370,591,398.08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39"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45"/>
        <w:gridCol w:w="2802"/>
        <w:gridCol w:w="2921"/>
      </w:tblGrid>
      <w:tr>
        <w:trPr>
          <w:trHeight w:val="396"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5,902,695.69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2,520,876.94</w:t>
            </w:r>
          </w:p>
        </w:tc>
      </w:tr>
      <w:tr>
        <w:trPr>
          <w:trHeight w:val="402"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41,674.83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32,745.52</w:t>
            </w:r>
          </w:p>
        </w:tc>
      </w:tr>
      <w:tr>
        <w:trPr>
          <w:trHeight w:val="402"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2,649.03</w:t>
            </w:r>
          </w:p>
        </w:tc>
      </w:tr>
      <w:tr>
        <w:trPr>
          <w:trHeight w:val="40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5,944,370.52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2,556,271.49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396"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9" w:hRule="exact"/>
        </w:trPr>
        <w:tc>
          <w:tcPr>
            <w:tcW w:w="385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792" w:type="dxa"/>
            <w:tcBorders>
              <w:top w:val="single" w:sz="4" w:space="0" w:color="000000"/>
              <w:left w:val="single" w:sz="10" w:space="0" w:color="C6ECCC"/>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0"/>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11,030,135.60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144,526,926.02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137,737,496.72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17,819,564.90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50,922.00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6,661,165.80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6,234,498.74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477,589.06</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6,847,908.97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6,847,908.97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4,973,285.43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4,973,285.43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．医疗保险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604,026.60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604,026.60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694,114.49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694,114.49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．工伤及生育保险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360,083.01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360,083.01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216,399.44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216,399.44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3,670,909.77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3,670,909.77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11,081,057.60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161,706,910.56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154,490,814.20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18,297,153.96</w:t>
            </w:r>
          </w:p>
        </w:tc>
      </w:tr>
    </w:tbl>
    <w:p>
      <w:pPr>
        <w:pStyle w:val="BodyText"/>
        <w:spacing w:line="240" w:lineRule="auto" w:before="49"/>
        <w:ind w:right="1123"/>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right="2700"/>
        <w:jc w:val="left"/>
      </w:pPr>
      <w:r>
        <w:rPr/>
        <w:t>工会经费和职工教育经费金额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元，非货币性福利金额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3"/>
        <w:ind w:right="1123"/>
        <w:jc w:val="left"/>
      </w:pPr>
      <w:r>
        <w:rPr/>
        <w:t>应付职工薪酬</w:t>
      </w:r>
      <w:r>
        <w:rPr>
          <w:rFonts w:ascii="Times New Roman" w:hAnsi="Times New Roman" w:cs="Times New Roman" w:eastAsia="Times New Roman" w:hint="default"/>
        </w:rPr>
        <w:t>18,297,153.96</w:t>
      </w:r>
      <w:r>
        <w:rPr/>
        <w:t>元已在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月份发放。</w:t>
      </w:r>
    </w:p>
    <w:p>
      <w:pPr>
        <w:spacing w:after="0" w:line="240" w:lineRule="auto"/>
        <w:jc w:val="left"/>
        <w:sectPr>
          <w:pgSz w:w="11910" w:h="16840"/>
          <w:pgMar w:header="877" w:footer="1339"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78,217.44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713,496.73</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42,030.36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4,442,851.31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4,558,230.91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329,459.03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283,588.89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1,563,415.78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350,013.57</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1,116,725.58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250,840.64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99,782.10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28,496.84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506,926.11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397,093.95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8,137,377.35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6,623,791.89</w:t>
            </w:r>
          </w:p>
        </w:tc>
      </w:tr>
    </w:tbl>
    <w:p>
      <w:pPr>
        <w:pStyle w:val="BodyText"/>
        <w:spacing w:line="357" w:lineRule="auto" w:before="49"/>
        <w:ind w:right="2474"/>
        <w:jc w:val="left"/>
      </w:pPr>
      <w:r>
        <w:rPr/>
        <w:t>应交税费说明，所在地税务机关同意各分公司、分厂之间应纳税所得额相互调剂的，应说明税款计算过程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125,796.78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1,025,479.91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125,796.78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1,025,479.91</w:t>
            </w:r>
          </w:p>
        </w:tc>
      </w:tr>
    </w:tbl>
    <w:p>
      <w:pPr>
        <w:pStyle w:val="BodyText"/>
        <w:spacing w:line="357" w:lineRule="auto" w:before="49"/>
        <w:ind w:right="9674"/>
        <w:jc w:val="left"/>
      </w:pPr>
      <w:r>
        <w:rPr/>
        <w:t>应付利息说明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360" w:lineRule="auto" w:before="49"/>
        <w:ind w:right="9494"/>
        <w:jc w:val="left"/>
      </w:pPr>
      <w:r>
        <w:rPr/>
        <w:t>应付股利的说明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39"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3,820,835.16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2,700,511.08</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671,424.52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571.48</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4,492,259.68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2,701,082.56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360" w:lineRule="auto" w:before="49"/>
        <w:ind w:right="9674"/>
        <w:jc w:val="left"/>
      </w:pPr>
      <w:r>
        <w:rPr/>
        <w:t>预计负债说明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一年内到期的长期借款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39" w:top="1060" w:bottom="1520" w:left="980" w:right="0"/>
        </w:sectPr>
      </w:pPr>
    </w:p>
    <w:p>
      <w:pPr>
        <w:pStyle w:val="BodyText"/>
        <w:spacing w:line="357"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一年内到期的长期借款中的逾期借款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pStyle w:val="BodyText"/>
        <w:spacing w:line="240" w:lineRule="auto" w:before="29"/>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8594"/>
        <w:jc w:val="left"/>
      </w:pPr>
      <w:r>
        <w:rPr/>
        <w:t>一年内到期的应付债券说明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8"/>
        <w:gridCol w:w="1369"/>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6" w:type="dxa"/>
            <w:tcBorders>
              <w:top w:val="single" w:sz="4" w:space="0" w:color="000000"/>
              <w:left w:val="single" w:sz="9" w:space="0" w:color="C6EC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60" w:lineRule="auto" w:before="49"/>
        <w:ind w:right="8234"/>
        <w:jc w:val="left"/>
      </w:pPr>
      <w:r>
        <w:rPr/>
        <w:t>一年内到期的长期应付款的说明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357" w:lineRule="auto" w:before="50"/>
        <w:ind w:right="9314"/>
        <w:jc w:val="left"/>
      </w:pPr>
      <w:r>
        <w:rPr/>
        <w:t>其他流动负债说明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长期借款分类的说明</w:t>
      </w:r>
    </w:p>
    <w:p>
      <w:pPr>
        <w:pStyle w:val="BodyText"/>
        <w:spacing w:line="240" w:lineRule="auto" w:before="117"/>
        <w:ind w:right="1123"/>
        <w:jc w:val="left"/>
      </w:pPr>
      <w:r>
        <w:rPr/>
        <w:t>无</w:t>
      </w:r>
    </w:p>
    <w:p>
      <w:pPr>
        <w:spacing w:after="0" w:line="24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6074"/>
        <w:jc w:val="left"/>
      </w:pPr>
      <w:r>
        <w:rPr/>
        <w:t>应付债券说明，包括可转换公司债券的转股条件、转股时间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2"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57" w:lineRule="auto" w:before="49"/>
        <w:ind w:right="6794"/>
        <w:jc w:val="left"/>
      </w:pPr>
      <w:r>
        <w:rPr/>
        <w:t>由独立第三方为公司融资租赁提供担保的金额元。 长期应付款的说明</w:t>
      </w:r>
    </w:p>
    <w:p>
      <w:pPr>
        <w:pStyle w:val="BodyText"/>
        <w:spacing w:line="240" w:lineRule="auto" w:before="29"/>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357" w:lineRule="auto" w:before="49"/>
        <w:ind w:right="9494"/>
        <w:jc w:val="left"/>
      </w:pPr>
      <w:r>
        <w:rPr/>
        <w:t>专项应付款说明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39"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软土地基专用款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6,275,021.63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6,275,021.63</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研发中心建设资助资金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战略新兴型项目资金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8,975,021.63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8,075,021.63</w:t>
            </w:r>
          </w:p>
        </w:tc>
      </w:tr>
    </w:tbl>
    <w:p>
      <w:pPr>
        <w:pStyle w:val="BodyText"/>
        <w:spacing w:line="240" w:lineRule="auto" w:before="49"/>
        <w:ind w:right="1123"/>
        <w:jc w:val="left"/>
      </w:pPr>
      <w:r>
        <w:rPr/>
        <w:t>其他非流动负债说明，包括本报告期取得的各类与资产相关、与收益相关的政府补助及其期末金额</w:t>
      </w:r>
    </w:p>
    <w:p>
      <w:pPr>
        <w:pStyle w:val="BodyText"/>
        <w:spacing w:line="300" w:lineRule="auto" w:before="115"/>
        <w:ind w:right="1131" w:firstLine="360"/>
        <w:jc w:val="both"/>
      </w:pPr>
      <w:r>
        <w:rPr>
          <w:rFonts w:ascii="Times New Roman" w:hAnsi="Times New Roman" w:cs="Times New Roman" w:eastAsia="Times New Roman" w:hint="default"/>
        </w:rPr>
        <w:t>*1</w:t>
      </w:r>
      <w:r>
        <w:rPr/>
        <w:t>、经天津开发区管委会批准，天津技术开发区建设发展局同意给予软土地基补贴款</w:t>
      </w:r>
      <w:r>
        <w:rPr>
          <w:rFonts w:ascii="Times New Roman" w:hAnsi="Times New Roman" w:cs="Times New Roman" w:eastAsia="Times New Roman" w:hint="default"/>
        </w:rPr>
        <w:t>6,300,000.00</w:t>
      </w:r>
      <w:r>
        <w:rPr/>
        <w:t>元，本公司于</w:t>
      </w:r>
      <w:r>
        <w:rPr>
          <w:rFonts w:ascii="Times New Roman" w:hAnsi="Times New Roman" w:cs="Times New Roman" w:eastAsia="Times New Roman" w:hint="default"/>
        </w:rPr>
        <w:t>2007</w:t>
      </w:r>
      <w:r>
        <w:rPr/>
        <w:t>年 收到补贴款</w:t>
      </w:r>
      <w:r>
        <w:rPr>
          <w:rFonts w:ascii="Times New Roman" w:hAnsi="Times New Roman" w:cs="Times New Roman" w:eastAsia="Times New Roman" w:hint="default"/>
        </w:rPr>
        <w:t>6,275,021.63</w:t>
      </w:r>
      <w:r>
        <w:rPr/>
        <w:t>元，截止资产负债表日，天津生产基地尚未完工，故该笔补贴款尚未使用。</w:t>
      </w:r>
    </w:p>
    <w:p>
      <w:pPr>
        <w:pStyle w:val="BodyText"/>
        <w:spacing w:line="300" w:lineRule="auto" w:before="13"/>
        <w:ind w:right="1131" w:firstLine="360"/>
        <w:jc w:val="both"/>
      </w:pPr>
      <w:r>
        <w:rPr>
          <w:rFonts w:ascii="Times New Roman" w:hAnsi="Times New Roman" w:cs="Times New Roman" w:eastAsia="Times New Roman" w:hint="default"/>
          <w:spacing w:val="-1"/>
        </w:rPr>
        <w:t>*2</w:t>
      </w:r>
      <w:r>
        <w:rPr>
          <w:spacing w:val="-1"/>
        </w:rPr>
        <w:t>、根据深圳市贸易工业局和深圳市财政局文件深贸工技字</w:t>
      </w:r>
      <w:r>
        <w:rPr>
          <w:rFonts w:ascii="Times New Roman" w:hAnsi="Times New Roman" w:cs="Times New Roman" w:eastAsia="Times New Roman" w:hint="default"/>
          <w:spacing w:val="-1"/>
        </w:rPr>
        <w:t>(2009)41</w:t>
      </w:r>
      <w:r>
        <w:rPr>
          <w:spacing w:val="-1"/>
        </w:rPr>
        <w:t>号文，本公司于</w:t>
      </w:r>
      <w:r>
        <w:rPr>
          <w:rFonts w:ascii="Times New Roman" w:hAnsi="Times New Roman" w:cs="Times New Roman" w:eastAsia="Times New Roman" w:hint="default"/>
          <w:spacing w:val="-1"/>
        </w:rPr>
        <w:t>2009</w:t>
      </w:r>
      <w:r>
        <w:rPr>
          <w:spacing w:val="-1"/>
        </w:rPr>
        <w:t>年收到企业技术中心建设资助</w:t>
      </w:r>
      <w:r>
        <w:rPr/>
        <w:t> </w:t>
      </w:r>
      <w:r>
        <w:rPr>
          <w:spacing w:val="-1"/>
        </w:rPr>
        <w:t>资金补助款</w:t>
      </w:r>
      <w:r>
        <w:rPr>
          <w:rFonts w:ascii="Times New Roman" w:hAnsi="Times New Roman" w:cs="Times New Roman" w:eastAsia="Times New Roman" w:hint="default"/>
          <w:spacing w:val="-1"/>
        </w:rPr>
        <w:t>3,000,000.00</w:t>
      </w:r>
      <w:r>
        <w:rPr>
          <w:spacing w:val="-1"/>
        </w:rPr>
        <w:t>元，该建设资助资金补助款全部用于设备购置，设备于</w:t>
      </w:r>
      <w:r>
        <w:rPr>
          <w:rFonts w:ascii="Times New Roman" w:hAnsi="Times New Roman" w:cs="Times New Roman" w:eastAsia="Times New Roman" w:hint="default"/>
          <w:spacing w:val="-1"/>
        </w:rPr>
        <w:t>2010</w:t>
      </w:r>
      <w:r>
        <w:rPr>
          <w:spacing w:val="-1"/>
        </w:rPr>
        <w:t>年开始已正常使用，按</w:t>
      </w:r>
      <w:r>
        <w:rPr>
          <w:rFonts w:ascii="Times New Roman" w:hAnsi="Times New Roman" w:cs="Times New Roman" w:eastAsia="Times New Roman" w:hint="default"/>
          <w:spacing w:val="-1"/>
        </w:rPr>
        <w:t>5</w:t>
      </w:r>
      <w:r>
        <w:rPr>
          <w:spacing w:val="-1"/>
        </w:rPr>
        <w:t>年转入营业外收</w:t>
      </w:r>
      <w:r>
        <w:rPr>
          <w:spacing w:val="-72"/>
        </w:rPr>
        <w:t> </w:t>
      </w:r>
      <w:r>
        <w:rPr>
          <w:spacing w:val="-72"/>
        </w:rPr>
      </w:r>
      <w:r>
        <w:rPr/>
        <w:t>入。</w:t>
      </w:r>
    </w:p>
    <w:p>
      <w:pPr>
        <w:pStyle w:val="BodyText"/>
        <w:spacing w:line="300" w:lineRule="auto" w:before="32"/>
        <w:ind w:right="112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月，依据天津市发改委津滨政发</w:t>
      </w:r>
      <w:r>
        <w:rPr>
          <w:rFonts w:ascii="Times New Roman" w:hAnsi="Times New Roman" w:cs="Times New Roman" w:eastAsia="Times New Roman" w:hint="default"/>
        </w:rPr>
        <w:t>(2011)49</w:t>
      </w:r>
      <w:r>
        <w:rPr/>
        <w:t>号文《关于滨海新区促进发展专项资金管理暂行办法》，收到补 助</w:t>
      </w:r>
      <w:r>
        <w:rPr>
          <w:rFonts w:ascii="Times New Roman" w:hAnsi="Times New Roman" w:cs="Times New Roman" w:eastAsia="Times New Roman" w:hint="default"/>
        </w:rPr>
        <w:t>150.00</w:t>
      </w:r>
      <w:r>
        <w:rPr/>
        <w:t>万元，用于本公司生产基地建设，截止资产负债表日，天津生产基地尚未完工，故该笔补贴款尚未使用。</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200,000,000.00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240,000,000.00</w:t>
            </w:r>
          </w:p>
        </w:tc>
      </w:tr>
    </w:tbl>
    <w:p>
      <w:pPr>
        <w:pStyle w:val="BodyText"/>
        <w:spacing w:line="240" w:lineRule="auto" w:before="49"/>
        <w:ind w:right="1123"/>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3"/>
        <w:ind w:right="1123"/>
        <w:jc w:val="left"/>
      </w:pPr>
      <w:r>
        <w:rPr/>
        <w:t>年的股份有限公司，设立前的年份只需说明净资产情况；有限责任公司整体变更为股份公司应说明公司设立时的验资情况</w:t>
      </w:r>
    </w:p>
    <w:p>
      <w:pPr>
        <w:pStyle w:val="BodyText"/>
        <w:spacing w:line="240" w:lineRule="auto" w:before="115"/>
        <w:ind w:left="513" w:right="1123"/>
        <w:jc w:val="left"/>
      </w:pPr>
      <w:r>
        <w:rPr>
          <w:rFonts w:ascii="Times New Roman" w:hAnsi="Times New Roman" w:cs="Times New Roman" w:eastAsia="Times New Roman" w:hint="default"/>
        </w:rPr>
        <w:t>*1</w:t>
      </w:r>
      <w:r>
        <w:rPr/>
        <w:t>、上述股本业经大华会计师事务所有限公司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日出具的大华验字</w:t>
      </w:r>
      <w:r>
        <w:rPr>
          <w:rFonts w:ascii="Times New Roman" w:hAnsi="Times New Roman" w:cs="Times New Roman" w:eastAsia="Times New Roman" w:hint="default"/>
        </w:rPr>
        <w:t>[2012]265</w:t>
      </w:r>
      <w:r>
        <w:rPr/>
        <w:t>号《验资报告》验证。</w:t>
      </w:r>
    </w:p>
    <w:p>
      <w:pPr>
        <w:pStyle w:val="BodyText"/>
        <w:spacing w:line="240" w:lineRule="auto" w:before="135"/>
        <w:ind w:left="513" w:right="1123"/>
        <w:jc w:val="left"/>
      </w:pPr>
      <w:r>
        <w:rPr>
          <w:rFonts w:ascii="Times New Roman" w:hAnsi="Times New Roman" w:cs="Times New Roman" w:eastAsia="Times New Roman" w:hint="default"/>
        </w:rPr>
        <w:t>*2</w:t>
      </w:r>
      <w:r>
        <w:rPr/>
        <w:t>、本年有限售条件股份到期转为无限售条件流通股份</w:t>
      </w:r>
      <w:r>
        <w:rPr>
          <w:rFonts w:ascii="Times New Roman" w:hAnsi="Times New Roman" w:cs="Times New Roman" w:eastAsia="Times New Roman" w:hint="default"/>
        </w:rPr>
        <w:t>8,214,000.00</w:t>
      </w:r>
      <w:r>
        <w:rPr/>
        <w:t>元。</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494"/>
        <w:jc w:val="left"/>
      </w:pPr>
      <w:r>
        <w:rPr/>
        <w:t>库存股情况说明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9314"/>
        <w:jc w:val="left"/>
      </w:pPr>
      <w:r>
        <w:rPr/>
        <w:t>专项储备情况说明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9"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413,260,568.77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458,914,000.00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872,174,568.77</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413,260,568.77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458,914,000.00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872,174,568.77</w:t>
            </w:r>
          </w:p>
        </w:tc>
      </w:tr>
    </w:tbl>
    <w:p>
      <w:pPr>
        <w:pStyle w:val="BodyText"/>
        <w:spacing w:line="240" w:lineRule="auto" w:before="49"/>
        <w:ind w:right="1123"/>
        <w:jc w:val="left"/>
      </w:pPr>
      <w:r>
        <w:rPr/>
        <w:t>资本公积说明</w:t>
      </w:r>
    </w:p>
    <w:p>
      <w:pPr>
        <w:pStyle w:val="BodyText"/>
        <w:spacing w:line="240" w:lineRule="auto" w:before="115"/>
        <w:ind w:left="513" w:right="1123"/>
        <w:jc w:val="left"/>
      </w:pPr>
      <w:r>
        <w:rPr>
          <w:rFonts w:ascii="Times New Roman" w:hAnsi="Times New Roman" w:cs="Times New Roman" w:eastAsia="Times New Roman" w:hint="default"/>
        </w:rPr>
        <w:t>*</w:t>
      </w:r>
      <w:r>
        <w:rPr/>
        <w:t>本期资本公积增加系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日本公司非公开发行新股募资资金净额超过计入股本的部分。</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28,228,703.75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8,731,161.30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36,959,865.05</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28,228,703.75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8,731,161.30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36,959,865.05</w:t>
            </w:r>
          </w:p>
        </w:tc>
      </w:tr>
    </w:tbl>
    <w:p>
      <w:pPr>
        <w:pStyle w:val="BodyText"/>
        <w:spacing w:line="360" w:lineRule="auto" w:before="49"/>
        <w:ind w:left="453" w:right="4363" w:hanging="301"/>
        <w:jc w:val="left"/>
      </w:pPr>
      <w:r>
        <w:rPr/>
        <w:t>盈余公积说明，用盈余公积转增股本、弥补亏损、分派股利的，应说明有关决议 本期增加额系本公司按本年母公司实现的净利润的</w:t>
      </w:r>
      <w:r>
        <w:rPr>
          <w:rFonts w:ascii="Times New Roman" w:hAnsi="Times New Roman" w:cs="Times New Roman" w:eastAsia="Times New Roman" w:hint="default"/>
        </w:rPr>
        <w:t>10%</w:t>
      </w:r>
      <w:r>
        <w:rPr/>
        <w:t>计提的法定盈余公积。</w:t>
      </w:r>
    </w:p>
    <w:p>
      <w:pPr>
        <w:spacing w:line="240" w:lineRule="auto" w:before="7"/>
        <w:rPr>
          <w:rFonts w:ascii="宋体" w:hAnsi="宋体" w:cs="宋体" w:eastAsia="宋体" w:hint="default"/>
          <w:sz w:val="18"/>
          <w:szCs w:val="18"/>
        </w:rPr>
      </w:pPr>
    </w:p>
    <w:p>
      <w:pPr>
        <w:pStyle w:val="Heading3"/>
        <w:spacing w:line="240" w:lineRule="auto"/>
        <w:ind w:right="1123"/>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一般风险准备情况说明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127,012,772.92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127,012,772.92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84,938,989.30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8,731,161.30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163,220,600.92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调整年初未分配利润明细：</w:t>
      </w:r>
    </w:p>
    <w:p>
      <w:pPr>
        <w:pStyle w:val="BodyText"/>
        <w:spacing w:line="240" w:lineRule="auto" w:before="115"/>
        <w:ind w:left="513" w:right="1123"/>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127,012,772.92</w:t>
      </w:r>
      <w:r>
        <w:rPr>
          <w:rFonts w:ascii="Times New Roman" w:hAnsi="Times New Roman" w:cs="Times New Roman" w:eastAsia="Times New Roman" w:hint="default"/>
          <w:spacing w:val="1"/>
        </w:rPr>
        <w:t> </w:t>
      </w:r>
      <w:r>
        <w:rPr/>
        <w:t>元。</w:t>
      </w:r>
    </w:p>
    <w:p>
      <w:pPr>
        <w:pStyle w:val="BodyText"/>
        <w:spacing w:line="240" w:lineRule="auto" w:before="104"/>
        <w:ind w:left="513" w:right="1123"/>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513" w:right="1123"/>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123"/>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left="513" w:right="1123"/>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w:t>
      </w:r>
    </w:p>
    <w:p>
      <w:pPr>
        <w:pStyle w:val="BodyText"/>
        <w:spacing w:line="316" w:lineRule="auto" w:before="2"/>
        <w:ind w:right="1123"/>
        <w:jc w:val="left"/>
      </w:pPr>
      <w:r>
        <w:rPr>
          <w:spacing w:val="-2"/>
        </w:rPr>
        <w:t>予以说明；如果发行前的滚存利润经股东大会决议在发行前进行分配并由老股东享有，公司应明确披露应付股利中老股东享</w:t>
      </w:r>
      <w:r>
        <w:rPr>
          <w:spacing w:val="-64"/>
        </w:rPr>
        <w:t> </w:t>
      </w:r>
      <w:r>
        <w:rPr>
          <w:spacing w:val="-64"/>
        </w:rPr>
      </w:r>
      <w:r>
        <w:rPr/>
        <w:t>有的经审计的利润数</w:t>
      </w:r>
    </w:p>
    <w:p>
      <w:pPr>
        <w:pStyle w:val="BodyText"/>
        <w:spacing w:line="240" w:lineRule="auto" w:before="59"/>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日经本公司</w:t>
      </w:r>
      <w:r>
        <w:rPr>
          <w:rFonts w:ascii="Times New Roman" w:hAnsi="Times New Roman" w:cs="Times New Roman" w:eastAsia="Times New Roman" w:hint="default"/>
        </w:rPr>
        <w:t>2011</w:t>
      </w:r>
      <w:r>
        <w:rPr/>
        <w:t>年度股东大会决议：以本公司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w:t>
      </w:r>
      <w:r>
        <w:rPr/>
        <w:t>万股为基数，向全体股东每</w:t>
      </w:r>
      <w:r>
        <w:rPr>
          <w:rFonts w:ascii="Times New Roman" w:hAnsi="Times New Roman" w:cs="Times New Roman" w:eastAsia="Times New Roman" w:hint="default"/>
        </w:rPr>
        <w:t>10</w:t>
      </w:r>
    </w:p>
    <w:p>
      <w:pPr>
        <w:spacing w:after="0" w:line="240" w:lineRule="auto"/>
        <w:jc w:val="left"/>
        <w:rPr>
          <w:rFonts w:ascii="Times New Roman" w:hAnsi="Times New Roman" w:cs="Times New Roman" w:eastAsia="Times New Roman" w:hint="default"/>
        </w:rPr>
        <w:sectPr>
          <w:pgSz w:w="11910" w:h="16840"/>
          <w:pgMar w:header="877" w:footer="1339" w:top="1060" w:bottom="152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23"/>
        <w:jc w:val="left"/>
      </w:pPr>
      <w:r>
        <w:rPr/>
        <w:t>股派发现金股利人民币</w:t>
      </w:r>
      <w:r>
        <w:rPr>
          <w:rFonts w:ascii="Times New Roman" w:hAnsi="Times New Roman" w:cs="Times New Roman" w:eastAsia="Times New Roman" w:hint="default"/>
        </w:rPr>
        <w:t>2.00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，合计配发现金股利人民币</w:t>
      </w:r>
      <w:r>
        <w:rPr>
          <w:rFonts w:ascii="Times New Roman" w:hAnsi="Times New Roman" w:cs="Times New Roman" w:eastAsia="Times New Roman" w:hint="default"/>
        </w:rPr>
        <w:t>4,000.00</w:t>
      </w:r>
      <w:r>
        <w:rPr/>
        <w:t>万元。</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1,451,389,524.56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1,225,624,995.84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18,429,208.96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11,972,180.93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1,286,470,811.06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1,073,931,635.97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1,451,389,524.56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1,272,034,740.49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1,225,624,995.84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1,064,415,066.72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1,451,389,524.56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1,272,034,740.49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1,225,624,995.84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1,064,415,066.72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1,077,832,399.93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954,418,612.49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1,095,577,529.25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962,028,951.91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293,688,068.23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243,865,563.95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81,439,067.01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65,284,903.19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79,869,056.40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73,750,564.05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48,608,399.58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37,101,211.62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1,451,389,524.56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1,272,034,740.49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1,225,624,995.84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1,064,415,066.72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1,199,629,064.08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1,046,915,155.10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1,085,036,912.40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947,036,345.85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251,760,460.48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225,119,585.39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140,588,083.44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117,378,720.87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1,451,389,524.56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1,272,034,740.49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1,225,624,995.84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1,064,415,066.72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561,657,733.71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38.21%</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417,736,287.96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28.42%</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84,412,063.68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68,113,395.81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60,794,864.11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1,192,714,345.27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81.15%</w:t>
            </w:r>
          </w:p>
        </w:tc>
      </w:tr>
    </w:tbl>
    <w:p>
      <w:pPr>
        <w:pStyle w:val="BodyText"/>
        <w:spacing w:line="357" w:lineRule="auto" w:before="49"/>
        <w:ind w:right="9494"/>
        <w:jc w:val="left"/>
      </w:pPr>
      <w:r>
        <w:rPr/>
        <w:t>营业收入的说明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357" w:lineRule="auto" w:before="50"/>
        <w:ind w:right="9494"/>
        <w:jc w:val="left"/>
      </w:pPr>
      <w:r>
        <w:rPr/>
        <w:t>合同项目的说明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3"/>
        <w:gridCol w:w="1992"/>
        <w:gridCol w:w="1863"/>
        <w:gridCol w:w="2909"/>
      </w:tblGrid>
      <w:tr>
        <w:trPr>
          <w:trHeight w:val="403"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1" w:hRule="exact"/>
        </w:trPr>
        <w:tc>
          <w:tcPr>
            <w:tcW w:w="2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3" w:right="0"/>
              <w:jc w:val="left"/>
              <w:rPr>
                <w:rFonts w:ascii="Times New Roman" w:hAnsi="Times New Roman" w:cs="Times New Roman" w:eastAsia="Times New Roman" w:hint="default"/>
                <w:sz w:val="18"/>
                <w:szCs w:val="18"/>
              </w:rPr>
            </w:pPr>
            <w:r>
              <w:rPr>
                <w:rFonts w:ascii="Times New Roman"/>
                <w:sz w:val="18"/>
              </w:rPr>
              <w:t>337,279.18</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7" w:right="0"/>
              <w:jc w:val="left"/>
              <w:rPr>
                <w:rFonts w:ascii="Times New Roman" w:hAnsi="Times New Roman" w:cs="Times New Roman" w:eastAsia="Times New Roman" w:hint="default"/>
                <w:sz w:val="18"/>
                <w:szCs w:val="18"/>
              </w:rPr>
            </w:pPr>
            <w:r>
              <w:rPr>
                <w:rFonts w:ascii="Times New Roman"/>
                <w:sz w:val="18"/>
              </w:rPr>
              <w:t>196,752.13</w:t>
            </w:r>
          </w:p>
        </w:tc>
        <w:tc>
          <w:tcPr>
            <w:tcW w:w="2909" w:type="dxa"/>
            <w:vMerge w:val="restart"/>
            <w:tcBorders>
              <w:top w:val="single" w:sz="4" w:space="0" w:color="000000"/>
              <w:left w:val="single" w:sz="4" w:space="0" w:color="000000"/>
              <w:right w:val="single" w:sz="4" w:space="0" w:color="000000"/>
            </w:tcBorders>
            <w:shd w:val="clear" w:color="auto" w:fill="C6ECCC"/>
          </w:tcPr>
          <w:p>
            <w:pPr>
              <w:pStyle w:val="TableParagraph"/>
              <w:tabs>
                <w:tab w:pos="2712" w:val="left" w:leader="none"/>
              </w:tabs>
              <w:spacing w:line="316" w:lineRule="auto" w:before="49"/>
              <w:ind w:left="23" w:right="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房屋租赁收入、工程劳务收入</w:t>
              <w:tab/>
            </w:r>
            <w:r>
              <w:rPr>
                <w:rFonts w:ascii="宋体" w:hAnsi="宋体" w:cs="宋体" w:eastAsia="宋体" w:hint="default"/>
                <w:sz w:val="18"/>
                <w:szCs w:val="18"/>
              </w:rPr>
              <w:t>税</w:t>
            </w:r>
            <w:r>
              <w:rPr>
                <w:rFonts w:ascii="宋体" w:hAnsi="宋体" w:cs="宋体" w:eastAsia="宋体" w:hint="default"/>
                <w:sz w:val="18"/>
                <w:szCs w:val="18"/>
              </w:rPr>
              <w:t> 率</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w:t>
            </w:r>
          </w:p>
        </w:tc>
      </w:tr>
      <w:tr>
        <w:trPr>
          <w:trHeight w:val="394" w:hRule="exact"/>
        </w:trPr>
        <w:tc>
          <w:tcPr>
            <w:tcW w:w="27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vMerge/>
            <w:tcBorders>
              <w:left w:val="single" w:sz="9" w:space="0" w:color="D2D2D2"/>
              <w:right w:val="single" w:sz="4" w:space="0" w:color="000000"/>
            </w:tcBorders>
          </w:tcPr>
          <w:p>
            <w:pPr/>
          </w:p>
        </w:tc>
        <w:tc>
          <w:tcPr>
            <w:tcW w:w="1863" w:type="dxa"/>
            <w:vMerge/>
            <w:tcBorders>
              <w:left w:val="single" w:sz="4" w:space="0" w:color="000000"/>
              <w:right w:val="single" w:sz="4" w:space="0" w:color="000000"/>
            </w:tcBorders>
          </w:tcPr>
          <w:p>
            <w:pPr/>
          </w:p>
        </w:tc>
        <w:tc>
          <w:tcPr>
            <w:tcW w:w="2909" w:type="dxa"/>
            <w:vMerge/>
            <w:tcBorders>
              <w:left w:val="single" w:sz="4" w:space="0" w:color="000000"/>
              <w:right w:val="single" w:sz="4" w:space="0" w:color="000000"/>
            </w:tcBorders>
            <w:shd w:val="clear" w:color="auto" w:fill="C6ECCC"/>
          </w:tcPr>
          <w:p>
            <w:pPr/>
          </w:p>
        </w:tc>
      </w:tr>
      <w:tr>
        <w:trPr>
          <w:trHeight w:val="161" w:hRule="exact"/>
        </w:trPr>
        <w:tc>
          <w:tcPr>
            <w:tcW w:w="2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2" w:type="dxa"/>
            <w:vMerge/>
            <w:tcBorders>
              <w:left w:val="single" w:sz="9" w:space="0" w:color="D2D2D2"/>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2909" w:type="dxa"/>
            <w:vMerge/>
            <w:tcBorders>
              <w:left w:val="single" w:sz="4" w:space="0" w:color="000000"/>
              <w:bottom w:val="single" w:sz="4" w:space="0" w:color="000000"/>
              <w:right w:val="single" w:sz="4" w:space="0" w:color="000000"/>
            </w:tcBorders>
            <w:shd w:val="clear" w:color="auto" w:fill="C6ECCC"/>
          </w:tcPr>
          <w:p>
            <w:pP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2,065,570.42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681,437.14</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tabs>
                <w:tab w:pos="1738" w:val="left" w:leader="none"/>
              </w:tabs>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增值税、营业税额</w:t>
              <w:tab/>
              <w:t>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3"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1,475,197.71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554,431.82</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tabs>
                <w:tab w:pos="1738" w:val="left" w:leader="none"/>
              </w:tabs>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增值税、营业税额</w:t>
              <w:tab/>
              <w:t>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101,931.40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104,951.64</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营业收入十亿以上比例为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0.00006+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速算数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22000</w:t>
            </w: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3,979,978.71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1,537,572.73</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954"/>
        <w:jc w:val="left"/>
      </w:pPr>
      <w:r>
        <w:rPr/>
        <w:t>营业税金及附加的说明 无</w:t>
      </w:r>
    </w:p>
    <w:p>
      <w:pPr>
        <w:spacing w:after="0" w:line="36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9,122,906.29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3,356,526.14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推广及售后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3,758,652.62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3,369,428.20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3,067,462.97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1,916,691.00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1,187,322.69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486,227.32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257,601.75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189,842.20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327,882.40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493,451.97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47,426.83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793,442.67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280,574.96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632,369.72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962,789.38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19,471,493.95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10,937,388.43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14,021,475.97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9,985,200.27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2,651,734.55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1,489,277.83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3,643,036.69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3,886,312.13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5,954,725.01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4,566,314.16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保险费用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62,131.12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75,480.31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2,971,286.79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1,450,612.14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14,464.62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19,775,353.43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18,161,335.28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165,646.83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848,589.91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341,395.93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433,902.54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2,605,533.24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2,846,832.85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54,154,954.63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43,923,968.87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39"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3,819,766.75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2,206,555.54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-2,447,345.32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-6,447,454.64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-466,419.12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-3,580,467.21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4,085,865.48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655,732.96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4,991,867.79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-7,165,633.35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8774"/>
        <w:jc w:val="left"/>
      </w:pPr>
      <w:r>
        <w:rPr/>
        <w:t>公允价值变动收益的说明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8"/>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357" w:lineRule="auto" w:before="49"/>
        <w:ind w:right="2654"/>
        <w:jc w:val="left"/>
      </w:pPr>
      <w:r>
        <w:rPr/>
        <w:t>投资收益的说明，若投资收益汇回有重大限制的，应予以说明。若不存在此类重大限制，也应做出说明 无</w:t>
      </w:r>
    </w:p>
    <w:p>
      <w:pPr>
        <w:spacing w:after="0" w:line="357"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8,762,804.33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707,717.81</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286,681.12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459,136.26</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9,049,485.45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1,166,854.07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1"/>
        <w:gridCol w:w="1967"/>
        <w:gridCol w:w="2160"/>
        <w:gridCol w:w="2161"/>
      </w:tblGrid>
      <w:tr>
        <w:trPr>
          <w:trHeight w:val="161" w:hRule="exact"/>
        </w:trPr>
        <w:tc>
          <w:tcPr>
            <w:tcW w:w="3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6,089,366.00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1,647,805.00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6,089,366.00</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131,265.66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83,013.53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34,501.51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83,013.53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9" w:top="1060" w:bottom="152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89824"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145</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293"/>
        <w:gridCol w:w="1956"/>
        <w:gridCol w:w="2160"/>
        <w:gridCol w:w="2161"/>
      </w:tblGrid>
      <w:tr>
        <w:trPr>
          <w:trHeight w:val="404"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6,172,379.53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1,813,572.17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6,172,379.53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、深圳市南山区发明专利资助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、深圳市出口信用保险保费资助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249,896.00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、深圳市民营及中小企业改制上 市资助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、深圳市南山区产业发展专项资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、企业技术中心建设资助资金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、深圳财政委员会中小企业开拓 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9,846.00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、科技发展专项资金资助款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经济发展专项资金资助款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、深圳市产业技术进步资金投资 资助款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、深圳市高新技术产业专项补 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198,470.00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、大运文明观众补贴款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3,894.00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、深圳支持骨干企业拨款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、深圳市战略新兴产业发展专 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6,089,366.00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1,647,805.00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494"/>
        <w:jc w:val="left"/>
      </w:pPr>
      <w:r>
        <w:rPr/>
        <w:t>营业外收入说明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8"/>
        <w:gridCol w:w="2032"/>
        <w:gridCol w:w="1915"/>
        <w:gridCol w:w="1913"/>
      </w:tblGrid>
      <w:tr>
        <w:trPr>
          <w:trHeight w:val="161" w:hRule="exact"/>
        </w:trPr>
        <w:tc>
          <w:tcPr>
            <w:tcW w:w="3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1,758,418.21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1,758,418.21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1"/>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0"/>
          <w:footerReference w:type="default" r:id="rId71"/>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8977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146</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117,471.51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117,471.51</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122,471.51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1,799,052.28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122,471.51</w:t>
            </w:r>
          </w:p>
        </w:tc>
      </w:tr>
    </w:tbl>
    <w:p>
      <w:pPr>
        <w:pStyle w:val="BodyText"/>
        <w:spacing w:line="357" w:lineRule="auto" w:before="49"/>
        <w:ind w:right="9494"/>
        <w:jc w:val="left"/>
      </w:pPr>
      <w:r>
        <w:rPr/>
        <w:t>营业外支出说明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16,156,081.39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16,004,839.44</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-3,345,020.74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-1,220,612.26</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12,811,060.65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14,784,227.18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6" w:firstLine="360"/>
        <w:jc w:val="both"/>
      </w:pPr>
      <w:r>
        <w:rPr>
          <w:spacing w:val="-4"/>
        </w:rPr>
        <w:t>本公司按照中国证监会《公开发行证券的公司信息披露编报规则第</w:t>
      </w:r>
      <w:r>
        <w:rPr>
          <w:rFonts w:ascii="Times New Roman" w:hAnsi="Times New Roman" w:cs="Times New Roman" w:eastAsia="Times New Roman" w:hint="default"/>
          <w:spacing w:val="-4"/>
        </w:rPr>
        <w:t>9</w:t>
      </w:r>
      <w:r>
        <w:rPr>
          <w:spacing w:val="-4"/>
        </w:rPr>
        <w:t>号</w:t>
      </w:r>
      <w:r>
        <w:rPr>
          <w:rFonts w:ascii="Times New Roman" w:hAnsi="Times New Roman" w:cs="Times New Roman" w:eastAsia="Times New Roman" w:hint="default"/>
          <w:spacing w:val="-4"/>
        </w:rPr>
        <w:t>——</w:t>
      </w:r>
      <w:r>
        <w:rPr>
          <w:spacing w:val="-4"/>
        </w:rPr>
        <w:t>净资产收益率和每股收益的计算及披露（</w:t>
      </w:r>
      <w:r>
        <w:rPr>
          <w:rFonts w:ascii="Times New Roman" w:hAnsi="Times New Roman" w:cs="Times New Roman" w:eastAsia="Times New Roman" w:hint="default"/>
          <w:spacing w:val="-4"/>
        </w:rPr>
        <w:t>2010</w:t>
      </w:r>
      <w:r>
        <w:rPr>
          <w:rFonts w:ascii="Times New Roman" w:hAnsi="Times New Roman" w:cs="Times New Roman" w:eastAsia="Times New Roman" w:hint="default"/>
        </w:rPr>
        <w:t> </w:t>
      </w:r>
      <w:r>
        <w:rPr/>
        <w:t>年修订）》（</w:t>
      </w:r>
      <w:r>
        <w:rPr>
          <w:rFonts w:ascii="Times New Roman" w:hAnsi="Times New Roman" w:cs="Times New Roman" w:eastAsia="Times New Roman" w:hint="default"/>
        </w:rPr>
        <w:t>“</w:t>
      </w:r>
      <w:r>
        <w:rPr/>
        <w:t>中国证券监督管理委员会公告</w:t>
      </w:r>
      <w:r>
        <w:rPr>
          <w:rFonts w:ascii="Times New Roman" w:hAnsi="Times New Roman" w:cs="Times New Roman" w:eastAsia="Times New Roman" w:hint="default"/>
        </w:rPr>
        <w:t>[2010]2</w:t>
      </w:r>
      <w:r>
        <w:rPr/>
        <w:t>号）、《公开发行证券的公司信息披露解释性公告第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w:t>
      </w:r>
      <w:r>
        <w:rPr>
          <w:spacing w:val="-17"/>
        </w:rPr>
        <w:t> </w:t>
      </w:r>
      <w:r>
        <w:rPr>
          <w:spacing w:val="-17"/>
        </w:rPr>
      </w:r>
      <w:r>
        <w:rPr/>
        <w:t>损益（</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w:t>
      </w:r>
      <w:r>
        <w:rPr/>
        <w:t>中国证券监督管理委员会公告</w:t>
      </w:r>
      <w:r>
        <w:rPr>
          <w:rFonts w:ascii="Times New Roman" w:hAnsi="Times New Roman" w:cs="Times New Roman" w:eastAsia="Times New Roman" w:hint="default"/>
        </w:rPr>
        <w:t>[2008]43</w:t>
      </w:r>
      <w:r>
        <w:rPr/>
        <w:t>号</w:t>
      </w:r>
      <w:r>
        <w:rPr>
          <w:rFonts w:ascii="Times New Roman" w:hAnsi="Times New Roman" w:cs="Times New Roman" w:eastAsia="Times New Roman" w:hint="default"/>
        </w:rPr>
        <w:t>”</w:t>
      </w:r>
      <w:r>
        <w:rPr/>
        <w:t>）要求计算的每股收益如下：</w:t>
      </w:r>
    </w:p>
    <w:p>
      <w:pPr>
        <w:spacing w:line="240" w:lineRule="auto" w:before="4"/>
        <w:rPr>
          <w:rFonts w:ascii="宋体" w:hAnsi="宋体" w:cs="宋体" w:eastAsia="宋体" w:hint="default"/>
          <w:sz w:val="23"/>
          <w:szCs w:val="23"/>
        </w:rPr>
      </w:pPr>
    </w:p>
    <w:p>
      <w:pPr>
        <w:pStyle w:val="Heading3"/>
        <w:spacing w:line="240" w:lineRule="auto"/>
        <w:ind w:left="575" w:right="1123"/>
        <w:jc w:val="left"/>
        <w:rPr>
          <w:b w:val="0"/>
          <w:bCs w:val="0"/>
        </w:rPr>
      </w:pPr>
      <w:r>
        <w:rPr>
          <w:rFonts w:ascii="Times New Roman" w:hAnsi="Times New Roman" w:cs="Times New Roman" w:eastAsia="Times New Roman" w:hint="default"/>
        </w:rPr>
        <w:t>1</w:t>
      </w:r>
      <w:r>
        <w:rPr/>
        <w:t>、计算结果</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512"/>
        <w:gridCol w:w="1416"/>
        <w:gridCol w:w="1313"/>
        <w:gridCol w:w="1296"/>
        <w:gridCol w:w="1297"/>
      </w:tblGrid>
      <w:tr>
        <w:trPr>
          <w:trHeight w:val="355" w:hRule="exact"/>
        </w:trPr>
        <w:tc>
          <w:tcPr>
            <w:tcW w:w="3512"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2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93"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53" w:hRule="exact"/>
        </w:trPr>
        <w:tc>
          <w:tcPr>
            <w:tcW w:w="3512"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9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0.40</w:t>
            </w:r>
          </w:p>
        </w:tc>
        <w:tc>
          <w:tcPr>
            <w:tcW w:w="1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0.40</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0.49</w:t>
            </w:r>
          </w:p>
        </w:tc>
        <w:tc>
          <w:tcPr>
            <w:tcW w:w="129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0.49</w:t>
            </w:r>
          </w:p>
        </w:tc>
      </w:tr>
      <w:tr>
        <w:trPr>
          <w:trHeight w:val="665"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的净利润（Ⅱ）</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0.38</w:t>
            </w:r>
          </w:p>
        </w:tc>
        <w:tc>
          <w:tcPr>
            <w:tcW w:w="13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0.38</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0.49</w:t>
            </w:r>
          </w:p>
        </w:tc>
        <w:tc>
          <w:tcPr>
            <w:tcW w:w="129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0.49</w:t>
            </w:r>
          </w:p>
        </w:tc>
      </w:tr>
    </w:tbl>
    <w:p>
      <w:pPr>
        <w:spacing w:line="240" w:lineRule="auto" w:before="6"/>
        <w:rPr>
          <w:rFonts w:ascii="宋体" w:hAnsi="宋体" w:cs="宋体" w:eastAsia="宋体" w:hint="default"/>
          <w:b/>
          <w:bCs/>
          <w:sz w:val="5"/>
          <w:szCs w:val="5"/>
        </w:rPr>
      </w:pPr>
    </w:p>
    <w:p>
      <w:pPr>
        <w:spacing w:before="36"/>
        <w:ind w:left="575"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687"/>
        <w:gridCol w:w="1952"/>
        <w:gridCol w:w="1702"/>
        <w:gridCol w:w="1493"/>
      </w:tblGrid>
      <w:tr>
        <w:trPr>
          <w:trHeight w:val="355" w:hRule="exact"/>
        </w:trPr>
        <w:tc>
          <w:tcPr>
            <w:tcW w:w="3687" w:type="dxa"/>
            <w:tcBorders>
              <w:top w:val="single" w:sz="6" w:space="0" w:color="000000"/>
              <w:left w:val="single" w:sz="6" w:space="0" w:color="000000"/>
              <w:bottom w:val="single" w:sz="12" w:space="0" w:color="000000"/>
              <w:right w:val="single" w:sz="6" w:space="0" w:color="000000"/>
            </w:tcBorders>
          </w:tcPr>
          <w:p>
            <w:pPr>
              <w:pStyle w:val="TableParagraph"/>
              <w:tabs>
                <w:tab w:pos="400"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49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84,938,989.30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66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8"/>
              <w:ind w:left="4" w:right="6"/>
              <w:jc w:val="left"/>
              <w:rPr>
                <w:rFonts w:ascii="宋体" w:hAnsi="宋体" w:cs="宋体" w:eastAsia="宋体" w:hint="default"/>
                <w:sz w:val="18"/>
                <w:szCs w:val="18"/>
              </w:rPr>
            </w:pPr>
            <w:r>
              <w:rPr>
                <w:rFonts w:ascii="宋体" w:hAnsi="宋体" w:cs="宋体" w:eastAsia="宋体" w:hint="default"/>
                <w:spacing w:val="2"/>
                <w:sz w:val="18"/>
                <w:szCs w:val="18"/>
              </w:rPr>
              <w:t>扣除所得税影响后归属于母公司普通股股东净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利润的非经常性损益</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5,142,469.07</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5,277.21</w:t>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扣除非经常性损益后的归属于本公司普通股股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东的净利润</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3=1-2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79,796,520.23</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98,490,405.55</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200,000,000.00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662"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6"/>
              <w:jc w:val="left"/>
              <w:rPr>
                <w:rFonts w:ascii="宋体" w:hAnsi="宋体" w:cs="宋体" w:eastAsia="宋体" w:hint="default"/>
                <w:sz w:val="18"/>
                <w:szCs w:val="18"/>
              </w:rPr>
            </w:pPr>
            <w:r>
              <w:rPr>
                <w:rFonts w:ascii="宋体" w:hAnsi="宋体" w:cs="宋体" w:eastAsia="宋体" w:hint="default"/>
                <w:spacing w:val="2"/>
                <w:sz w:val="18"/>
                <w:szCs w:val="18"/>
              </w:rPr>
              <w:t>报告期因公积金转增股本或股票股利分配等增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加的股份数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6</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发行新股或债转股等增加股份下一月份起至报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告期年末的月份数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7</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72"/>
          <w:footerReference w:type="default" r:id="rId73"/>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687"/>
        <w:gridCol w:w="1952"/>
        <w:gridCol w:w="1702"/>
        <w:gridCol w:w="1493"/>
      </w:tblGrid>
      <w:tr>
        <w:trPr>
          <w:trHeight w:val="356" w:hRule="exact"/>
        </w:trPr>
        <w:tc>
          <w:tcPr>
            <w:tcW w:w="3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12.00</w:t>
            </w:r>
          </w:p>
        </w:tc>
      </w:tr>
      <w:tr>
        <w:trPr>
          <w:trHeight w:val="662"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发行在外的普通股加权平均数（Ⅱ）</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210,000,000.00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pacing w:val="2"/>
                <w:sz w:val="18"/>
                <w:szCs w:val="18"/>
              </w:rPr>
              <w:t>因同一控制下企业合并而调整的发行在外的普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通股加权平均数（Ⅰ）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13</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14=1÷13</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0.40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0.49</w:t>
            </w:r>
          </w:p>
        </w:tc>
      </w:tr>
      <w:tr>
        <w:trPr>
          <w:trHeight w:val="350"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0.38</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0.49</w:t>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6"/>
              <w:jc w:val="left"/>
              <w:rPr>
                <w:rFonts w:ascii="宋体" w:hAnsi="宋体" w:cs="宋体" w:eastAsia="宋体" w:hint="default"/>
                <w:sz w:val="18"/>
                <w:szCs w:val="18"/>
              </w:rPr>
            </w:pPr>
            <w:r>
              <w:rPr>
                <w:rFonts w:ascii="宋体" w:hAnsi="宋体" w:cs="宋体" w:eastAsia="宋体" w:hint="default"/>
                <w:spacing w:val="2"/>
                <w:sz w:val="18"/>
                <w:szCs w:val="18"/>
              </w:rPr>
              <w:t>已确认为费用的稀释性潜在普通股利息及其他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影响因素</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16</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17</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pacing w:val="2"/>
                <w:sz w:val="18"/>
                <w:szCs w:val="18"/>
              </w:rPr>
              <w:t>可转换公司债券、认股权证、股份期权等转换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或行权而增加的股份数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(100%-17)]÷(13+19)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0.40</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0.49</w:t>
            </w:r>
          </w:p>
        </w:tc>
      </w:tr>
      <w:tr>
        <w:trPr>
          <w:trHeight w:val="665"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21=[3+(16-18)</w:t>
            </w:r>
          </w:p>
          <w:p>
            <w:pPr>
              <w:pStyle w:val="TableParagraph"/>
              <w:spacing w:line="240" w:lineRule="auto" w:before="105"/>
              <w:ind w:left="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×(100%-17)]÷(12+19)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0.38</w:t>
            </w:r>
          </w:p>
        </w:tc>
        <w:tc>
          <w:tcPr>
            <w:tcW w:w="149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0.49</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2"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9314"/>
        <w:jc w:val="left"/>
      </w:pPr>
      <w:r>
        <w:rPr/>
        <w:t>其他综合收益说明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6"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27,100,977.68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6,989,366.00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2,447,345.32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36,537,689.00</w:t>
            </w:r>
          </w:p>
        </w:tc>
      </w:tr>
    </w:tbl>
    <w:p>
      <w:pPr>
        <w:pStyle w:val="BodyText"/>
        <w:spacing w:line="360" w:lineRule="auto" w:before="49"/>
        <w:ind w:right="7694"/>
        <w:jc w:val="left"/>
      </w:pPr>
      <w:r>
        <w:rPr/>
        <w:t>收到的其他与经营活动有关的现金说明 无</w:t>
      </w:r>
    </w:p>
    <w:p>
      <w:pPr>
        <w:spacing w:after="0" w:line="360" w:lineRule="auto"/>
        <w:jc w:val="left"/>
        <w:sectPr>
          <w:footerReference w:type="default" r:id="rId74"/>
          <w:pgSz w:w="11910" w:h="16840"/>
          <w:pgMar w:footer="1282" w:header="877" w:top="1060" w:bottom="1480" w:left="980" w:right="0"/>
          <w:pgNumType w:start="147"/>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23,928,986.91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53,881,796.48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77,810,783.39</w:t>
            </w:r>
          </w:p>
        </w:tc>
      </w:tr>
    </w:tbl>
    <w:p>
      <w:pPr>
        <w:pStyle w:val="BodyText"/>
        <w:spacing w:line="360" w:lineRule="auto" w:before="49"/>
        <w:ind w:right="7694"/>
        <w:jc w:val="left"/>
      </w:pPr>
      <w:r>
        <w:rPr/>
        <w:t>支付的其他与经营活动有关的现金说明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694"/>
        <w:jc w:val="left"/>
      </w:pPr>
      <w:r>
        <w:rPr/>
        <w:t>收到的其他与投资活动有关的现金说明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6"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购买进口设备信用证保证金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49,500,000.00</w:t>
            </w:r>
          </w:p>
        </w:tc>
      </w:tr>
    </w:tbl>
    <w:p>
      <w:pPr>
        <w:pStyle w:val="BodyText"/>
        <w:spacing w:line="360" w:lineRule="auto" w:before="49"/>
        <w:ind w:right="7694"/>
        <w:jc w:val="left"/>
      </w:pPr>
      <w:r>
        <w:rPr/>
        <w:t>支付的其他与投资活动有关的现金说明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6"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9"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55,848,803.28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55,848,803.28</w:t>
            </w:r>
          </w:p>
        </w:tc>
      </w:tr>
    </w:tbl>
    <w:p>
      <w:pPr>
        <w:pStyle w:val="BodyText"/>
        <w:spacing w:line="360" w:lineRule="auto" w:before="49"/>
        <w:ind w:right="7694"/>
        <w:jc w:val="left"/>
      </w:pPr>
      <w:r>
        <w:rPr/>
        <w:t>收到的其他与筹资活动有关的现金说明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8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996,000.00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996,000.00</w:t>
            </w:r>
          </w:p>
        </w:tc>
      </w:tr>
    </w:tbl>
    <w:p>
      <w:pPr>
        <w:pStyle w:val="BodyText"/>
        <w:spacing w:line="357" w:lineRule="auto" w:before="49"/>
        <w:ind w:right="769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84,938,989.30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98,495,682.76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9,049,485.45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1,166,854.07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40,875,263.63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29,863,323.31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1,278,831.20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930,763.63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7,298,580.01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4,859,872.88</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1,758,418.21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3,819,766.75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-2,950,931.09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-3,392,079.28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-1,220,612.26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47,058.54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-72,462,231.73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-13,631,208.90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31,614,270.81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-164,257,332.99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-40,671,901.74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137,643,940.70</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62,396,032.97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92,658,770.32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82" w:top="1060" w:bottom="16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320,027,184.93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190,990,891.34</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190,990,891.34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338,537,886.20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129,036,293.59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-147,546,994.86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320,027,184.93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190,990,891.34</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494,086.46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450,259.99</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319,533,098.47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190,540,631.30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320,027,184.93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190,990,891.34</w:t>
            </w:r>
          </w:p>
        </w:tc>
      </w:tr>
    </w:tbl>
    <w:p>
      <w:pPr>
        <w:pStyle w:val="BodyText"/>
        <w:spacing w:line="360" w:lineRule="auto" w:before="49"/>
        <w:ind w:right="8594"/>
        <w:jc w:val="left"/>
      </w:pPr>
      <w:r>
        <w:rPr/>
        <w:t>现金流量表补充资料的说明 无</w:t>
      </w:r>
    </w:p>
    <w:p>
      <w:pPr>
        <w:spacing w:line="240" w:lineRule="auto" w:before="5"/>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114"/>
        <w:jc w:val="left"/>
      </w:pPr>
      <w:r>
        <w:rPr/>
        <w:t>说明对上年年末余额进行调整的“其他”项目名称及调整金额、由同一控制下企业合并产生的追溯调整等事项 无</w:t>
      </w:r>
    </w:p>
    <w:p>
      <w:pPr>
        <w:spacing w:after="0" w:line="360" w:lineRule="auto"/>
        <w:jc w:val="left"/>
        <w:sectPr>
          <w:pgSz w:w="11910" w:h="16840"/>
          <w:pgMar w:header="877" w:footer="1282" w:top="1060" w:bottom="1540" w:left="980" w:right="0"/>
        </w:sectPr>
      </w:pPr>
    </w:p>
    <w:p>
      <w:pPr>
        <w:spacing w:line="240" w:lineRule="auto" w:before="8"/>
        <w:rPr>
          <w:rFonts w:ascii="宋体" w:hAnsi="宋体" w:cs="宋体" w:eastAsia="宋体" w:hint="default"/>
          <w:sz w:val="23"/>
          <w:szCs w:val="23"/>
        </w:rPr>
      </w:pPr>
    </w:p>
    <w:p>
      <w:pPr>
        <w:spacing w:line="506" w:lineRule="auto" w:before="26"/>
        <w:ind w:left="152" w:right="4215"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无</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7"/>
        <w:gridCol w:w="1367"/>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13" w:space="0" w:color="C6ECCC"/>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9"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649" w:hRule="exact"/>
        </w:trPr>
        <w:tc>
          <w:tcPr>
            <w:tcW w:w="8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深圳市卓 翼科技股 份有限公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深圳市南 山区西丽 平山民企 科技工业 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100%</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8"/>
                <w:sz w:val="18"/>
                <w:szCs w:val="18"/>
              </w:rPr>
              <w:t>田昱、夏传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武</w:t>
            </w:r>
          </w:p>
        </w:tc>
        <w:tc>
          <w:tcPr>
            <w:tcW w:w="8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75862566-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23"/>
        <w:jc w:val="left"/>
      </w:pPr>
      <w:r>
        <w:rPr/>
        <w:t>本企业的母公司情况的说明</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68"/>
        <w:gridCol w:w="2127"/>
        <w:gridCol w:w="1159"/>
        <w:gridCol w:w="2052"/>
        <w:gridCol w:w="2069"/>
      </w:tblGrid>
      <w:tr>
        <w:trPr>
          <w:trHeight w:val="353" w:hRule="exact"/>
        </w:trPr>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对本公司的持股比例</w:t>
            </w:r>
          </w:p>
        </w:tc>
        <w:tc>
          <w:tcPr>
            <w:tcW w:w="206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对本公司的表决权比例</w:t>
            </w:r>
          </w:p>
        </w:tc>
      </w:tr>
      <w:tr>
        <w:trPr>
          <w:trHeight w:val="353" w:hRule="exact"/>
        </w:trPr>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田</w:t>
            </w:r>
            <w:r>
              <w:rPr>
                <w:rFonts w:ascii="宋体" w:hAnsi="宋体" w:cs="宋体" w:eastAsia="宋体" w:hint="default"/>
                <w:spacing w:val="54"/>
                <w:sz w:val="18"/>
                <w:szCs w:val="18"/>
              </w:rPr>
              <w:t> </w:t>
            </w:r>
            <w:r>
              <w:rPr>
                <w:rFonts w:ascii="宋体" w:hAnsi="宋体" w:cs="宋体" w:eastAsia="宋体" w:hint="default"/>
                <w:sz w:val="18"/>
                <w:szCs w:val="18"/>
              </w:rPr>
              <w:t>昱</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本公司股东、董事长</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24.143%</w:t>
            </w:r>
          </w:p>
        </w:tc>
        <w:tc>
          <w:tcPr>
            <w:tcW w:w="20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24.143%</w:t>
            </w:r>
          </w:p>
        </w:tc>
      </w:tr>
      <w:tr>
        <w:trPr>
          <w:trHeight w:val="353" w:hRule="exact"/>
        </w:trPr>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夏传武</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pacing w:val="-5"/>
                <w:sz w:val="18"/>
                <w:szCs w:val="18"/>
              </w:rPr>
              <w:t>本公司股东、董事、总经理</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2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15.625%</w:t>
            </w:r>
          </w:p>
        </w:tc>
        <w:tc>
          <w:tcPr>
            <w:tcW w:w="206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15.625%</w:t>
            </w:r>
          </w:p>
        </w:tc>
      </w:tr>
    </w:tbl>
    <w:p>
      <w:pPr>
        <w:pStyle w:val="BodyText"/>
        <w:spacing w:line="240" w:lineRule="auto" w:before="8"/>
        <w:ind w:left="460" w:right="1123"/>
        <w:jc w:val="left"/>
      </w:pPr>
      <w:r>
        <w:rPr>
          <w:rFonts w:ascii="Times New Roman" w:hAnsi="Times New Roman" w:cs="Times New Roman" w:eastAsia="Times New Roman" w:hint="default"/>
          <w:b/>
          <w:bCs/>
        </w:rPr>
        <w:t>*</w:t>
      </w:r>
      <w:r>
        <w:rPr/>
        <w:t>以上两位股东为一致行动人，本公司实际控制人。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日上述两位股东共同控制关系终止。</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30"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卓翼科技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外资企业</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right="22"/>
              <w:jc w:val="right"/>
              <w:rPr>
                <w:rFonts w:ascii="宋体" w:hAnsi="宋体" w:cs="宋体" w:eastAsia="宋体" w:hint="default"/>
                <w:sz w:val="18"/>
                <w:szCs w:val="18"/>
              </w:rPr>
            </w:pPr>
            <w:r>
              <w:rPr>
                <w:rFonts w:ascii="宋体" w:hAnsi="宋体" w:cs="宋体" w:eastAsia="宋体" w:hint="default"/>
                <w:sz w:val="18"/>
                <w:szCs w:val="18"/>
              </w:rPr>
              <w:t>深圳市卓大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有限责任公</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110"/>
              <w:jc w:val="right"/>
              <w:rPr>
                <w:rFonts w:ascii="Times New Roman" w:hAnsi="Times New Roman" w:cs="Times New Roman" w:eastAsia="Times New Roman" w:hint="default"/>
                <w:sz w:val="18"/>
                <w:szCs w:val="18"/>
              </w:rPr>
            </w:pPr>
            <w:r>
              <w:rPr>
                <w:rFonts w:ascii="Times New Roman"/>
                <w:spacing w:val="-1"/>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79922293-0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82"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675"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2" w:right="22"/>
              <w:jc w:val="left"/>
              <w:rPr>
                <w:rFonts w:ascii="宋体" w:hAnsi="宋体" w:cs="宋体" w:eastAsia="宋体" w:hint="default"/>
                <w:sz w:val="18"/>
                <w:szCs w:val="18"/>
              </w:rPr>
            </w:pPr>
            <w:r>
              <w:rPr>
                <w:rFonts w:ascii="宋体" w:hAnsi="宋体" w:cs="宋体" w:eastAsia="宋体" w:hint="default"/>
                <w:sz w:val="18"/>
                <w:szCs w:val="18"/>
              </w:rPr>
              <w:t>精密模具有 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5"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深圳市中广 视讯科技发 展有限公司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79924319-2</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天津卓达科 技发展有限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66610771- X</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66"/>
        <w:gridCol w:w="950"/>
        <w:gridCol w:w="960"/>
      </w:tblGrid>
      <w:tr>
        <w:trPr>
          <w:trHeight w:val="1339"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96"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13" w:hRule="exact"/>
        </w:trPr>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13" w:space="0" w:color="C6ECCC"/>
            </w:tcBorders>
          </w:tcPr>
          <w:p>
            <w:pPr/>
          </w:p>
        </w:tc>
        <w:tc>
          <w:tcPr>
            <w:tcW w:w="9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9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8" w:hRule="exact"/>
        </w:trPr>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13" w:space="0" w:color="C6ECCC"/>
            </w:tcBorders>
          </w:tcPr>
          <w:p>
            <w:pPr/>
          </w:p>
        </w:tc>
        <w:tc>
          <w:tcPr>
            <w:tcW w:w="9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56"/>
              <w:jc w:val="righ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992"/>
              <w:jc w:val="righ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本公司发起人股东王杏才控制的公司</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70844324-5</w:t>
            </w:r>
          </w:p>
        </w:tc>
      </w:tr>
    </w:tbl>
    <w:p>
      <w:pPr>
        <w:pStyle w:val="BodyText"/>
        <w:spacing w:line="240" w:lineRule="auto" w:before="50"/>
        <w:ind w:right="1123"/>
        <w:jc w:val="left"/>
      </w:pPr>
      <w:r>
        <w:rPr/>
        <w:t>本企业的其他关联方情况的说明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3828"/>
        <w:gridCol w:w="2324"/>
      </w:tblGrid>
      <w:tr>
        <w:trPr>
          <w:trHeight w:val="346" w:hRule="exact"/>
        </w:trPr>
        <w:tc>
          <w:tcPr>
            <w:tcW w:w="297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left="816"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8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left="801"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c>
          <w:tcPr>
            <w:tcW w:w="232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58" w:hRule="exact"/>
        </w:trPr>
        <w:tc>
          <w:tcPr>
            <w:tcW w:w="29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3828"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20"/>
              <w:ind w:left="542" w:right="754"/>
              <w:jc w:val="left"/>
              <w:rPr>
                <w:rFonts w:ascii="宋体" w:hAnsi="宋体" w:cs="宋体" w:eastAsia="宋体" w:hint="default"/>
                <w:sz w:val="18"/>
                <w:szCs w:val="18"/>
              </w:rPr>
            </w:pPr>
            <w:r>
              <w:rPr>
                <w:rFonts w:ascii="宋体" w:hAnsi="宋体" w:cs="宋体" w:eastAsia="宋体" w:hint="default"/>
                <w:sz w:val="18"/>
                <w:szCs w:val="18"/>
              </w:rPr>
              <w:t>本公司发起人股东王杏才控制的 公司</w:t>
            </w:r>
          </w:p>
        </w:tc>
        <w:tc>
          <w:tcPr>
            <w:tcW w:w="232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2"/>
              <w:ind w:left="109" w:right="0"/>
              <w:jc w:val="center"/>
              <w:rPr>
                <w:rFonts w:ascii="Times New Roman" w:hAnsi="Times New Roman" w:cs="Times New Roman" w:eastAsia="Times New Roman" w:hint="default"/>
                <w:sz w:val="18"/>
                <w:szCs w:val="18"/>
              </w:rPr>
            </w:pPr>
            <w:r>
              <w:rPr>
                <w:rFonts w:ascii="Times New Roman"/>
                <w:sz w:val="18"/>
              </w:rPr>
              <w:t>70844324-5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27721pt;width:85.5pt;height:15.6pt;mso-position-horizontal-relative:page;mso-position-vertical-relative:paragraph;z-index:-98975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81pt;width:479.1pt;height:92.0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1" w:hRule="exact"/>
                    </w:trPr>
                    <w:tc>
                      <w:tcPr>
                        <w:tcW w:w="1595" w:type="dxa"/>
                        <w:vMerge/>
                        <w:tcBorders>
                          <w:left w:val="single" w:sz="4" w:space="0" w:color="000000"/>
                          <w:bottom w:val="single" w:sz="12" w:space="0" w:color="C6ECCC"/>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12" w:space="0" w:color="C6ECCC"/>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深圳市福瑞康电子</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按市场定价及经</w:t>
                        </w:r>
                      </w:p>
                    </w:tc>
                    <w:tc>
                      <w:tcPr>
                        <w:tcW w:w="1594"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6"/>
                          <w:ind w:left="517" w:right="0"/>
                          <w:jc w:val="left"/>
                          <w:rPr>
                            <w:rFonts w:ascii="Times New Roman" w:hAnsi="Times New Roman" w:cs="Times New Roman" w:eastAsia="Times New Roman" w:hint="default"/>
                            <w:sz w:val="18"/>
                            <w:szCs w:val="18"/>
                          </w:rPr>
                        </w:pPr>
                        <w:r>
                          <w:rPr>
                            <w:rFonts w:ascii="Times New Roman"/>
                            <w:sz w:val="18"/>
                          </w:rPr>
                          <w:t>30,046,546.69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8" w:right="0"/>
                          <w:jc w:val="left"/>
                          <w:rPr>
                            <w:rFonts w:ascii="Times New Roman" w:hAnsi="Times New Roman" w:cs="Times New Roman" w:eastAsia="Times New Roman" w:hint="default"/>
                            <w:sz w:val="18"/>
                            <w:szCs w:val="18"/>
                          </w:rPr>
                        </w:pPr>
                        <w:r>
                          <w:rPr>
                            <w:rFonts w:ascii="Times New Roman"/>
                            <w:sz w:val="18"/>
                          </w:rPr>
                          <w:t>38,782,349.45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3.92%</w:t>
                        </w:r>
                      </w:p>
                    </w:tc>
                  </w:tr>
                </w:tbl>
                <w:p>
                  <w:pPr/>
                </w:p>
              </w:txbxContent>
            </v:textbox>
            <w10:wrap type="none"/>
          </v:shape>
        </w:pict>
      </w:r>
      <w:r>
        <w:rPr/>
        <w:t>）</w:t>
      </w:r>
    </w:p>
    <w:p>
      <w:pPr>
        <w:spacing w:after="0" w:line="240" w:lineRule="auto"/>
        <w:jc w:val="right"/>
        <w:sectPr>
          <w:pgSz w:w="11910" w:h="16840"/>
          <w:pgMar w:header="877" w:footer="1282"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98"/>
        <w:gridCol w:w="1729"/>
        <w:gridCol w:w="1462"/>
        <w:gridCol w:w="1594"/>
        <w:gridCol w:w="797"/>
        <w:gridCol w:w="1594"/>
        <w:gridCol w:w="797"/>
      </w:tblGrid>
      <w:tr>
        <w:trPr>
          <w:trHeight w:val="363" w:hRule="exact"/>
        </w:trPr>
        <w:tc>
          <w:tcPr>
            <w:tcW w:w="1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股东大会批准</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02pt;width:85.5pt;height:15.6pt;mso-position-horizontal-relative:page;mso-position-vertical-relative:paragraph;z-index:-989704"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3pt;width:479.1pt;height:92.0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8"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0"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r>
        <w:trPr>
          <w:trHeight w:val="408"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1" w:type="dxa"/>
            <w:tcBorders>
              <w:top w:val="single" w:sz="4" w:space="0" w:color="000000"/>
              <w:left w:val="single" w:sz="12" w:space="0" w:color="C6EC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48"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240" w:lineRule="auto" w:before="49"/>
        <w:ind w:right="1123"/>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08"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8"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1" w:type="dxa"/>
            <w:tcBorders>
              <w:top w:val="single" w:sz="4" w:space="0" w:color="000000"/>
              <w:left w:val="single" w:sz="12" w:space="0" w:color="C6EC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46"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338" w:lineRule="auto" w:before="49"/>
        <w:ind w:right="8904"/>
        <w:jc w:val="left"/>
      </w:pPr>
      <w:r>
        <w:rPr/>
        <w:t>关联托管</w:t>
      </w:r>
      <w:r>
        <w:rPr>
          <w:rFonts w:ascii="Times New Roman" w:hAnsi="Times New Roman" w:cs="Times New Roman" w:eastAsia="Times New Roman" w:hint="default"/>
        </w:rPr>
        <w:t>/</w:t>
      </w:r>
      <w:r>
        <w:rPr/>
        <w:t>承包情况说明 无</w:t>
      </w:r>
    </w:p>
    <w:p>
      <w:pPr>
        <w:spacing w:line="240" w:lineRule="auto" w:before="7"/>
        <w:rPr>
          <w:rFonts w:ascii="宋体" w:hAnsi="宋体" w:cs="宋体" w:eastAsia="宋体" w:hint="default"/>
          <w:sz w:val="21"/>
          <w:szCs w:val="21"/>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0"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406" w:hRule="exact"/>
        </w:trPr>
        <w:tc>
          <w:tcPr>
            <w:tcW w:w="13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0" w:type="dxa"/>
            <w:tcBorders>
              <w:top w:val="single" w:sz="4" w:space="0" w:color="000000"/>
              <w:left w:val="single" w:sz="12" w:space="0" w:color="C6ECCC"/>
              <w:bottom w:val="single" w:sz="4" w:space="0" w:color="000000"/>
              <w:right w:val="single" w:sz="4" w:space="0" w:color="000000"/>
            </w:tcBorders>
          </w:tcPr>
          <w:p>
            <w:pPr/>
          </w:p>
        </w:tc>
      </w:tr>
    </w:tbl>
    <w:p>
      <w:pPr>
        <w:pStyle w:val="BodyText"/>
        <w:spacing w:line="240" w:lineRule="auto" w:before="49"/>
        <w:ind w:right="1123"/>
        <w:jc w:val="left"/>
      </w:pPr>
      <w:r>
        <w:rPr/>
        <w:t>公司承租情况表</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0"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406"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51"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240" w:lineRule="auto" w:before="49"/>
        <w:ind w:right="1123"/>
        <w:jc w:val="left"/>
      </w:pPr>
      <w:r>
        <w:rPr/>
        <w:t>关联租赁情况说明</w:t>
      </w:r>
    </w:p>
    <w:p>
      <w:pPr>
        <w:pStyle w:val="BodyText"/>
        <w:spacing w:line="240" w:lineRule="auto" w:before="117"/>
        <w:ind w:right="1123"/>
        <w:jc w:val="left"/>
      </w:pPr>
      <w:r>
        <w:rPr/>
        <w:t>无</w:t>
      </w:r>
    </w:p>
    <w:p>
      <w:pPr>
        <w:spacing w:after="0" w:line="240" w:lineRule="auto"/>
        <w:jc w:val="left"/>
        <w:sectPr>
          <w:pgSz w:w="11910" w:h="16840"/>
          <w:pgMar w:header="877" w:footer="128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深圳市卓翼科技股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天津卓达科技发展 有限公司</w:t>
            </w:r>
          </w:p>
        </w:tc>
        <w:tc>
          <w:tcPr>
            <w:tcW w:w="159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36,000,000.00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23"/>
        <w:jc w:val="left"/>
      </w:pPr>
      <w:r>
        <w:rPr/>
        <w:t>关联担保情况说明</w:t>
      </w:r>
    </w:p>
    <w:p>
      <w:pPr>
        <w:pStyle w:val="BodyText"/>
        <w:spacing w:line="300" w:lineRule="auto" w:before="117"/>
        <w:ind w:right="1130"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日，本公司与中国农业银行股份有限公司天津港保税区分行签订合同编号为</w:t>
      </w:r>
      <w:r>
        <w:rPr>
          <w:rFonts w:ascii="Times New Roman" w:hAnsi="Times New Roman" w:cs="Times New Roman" w:eastAsia="Times New Roman" w:hint="default"/>
        </w:rPr>
        <w:t>12100520120000126</w:t>
      </w:r>
      <w:r>
        <w:rPr/>
        <w:t>《最高额 </w:t>
      </w:r>
      <w:r>
        <w:rPr>
          <w:spacing w:val="-2"/>
        </w:rPr>
        <w:t>保证合同》，为本公司全资子公司天津卓达科技发展有限公司提供最高为人民币</w:t>
      </w:r>
      <w:r>
        <w:rPr>
          <w:rFonts w:ascii="Times New Roman" w:hAnsi="Times New Roman" w:cs="Times New Roman" w:eastAsia="Times New Roman" w:hint="default"/>
          <w:spacing w:val="-2"/>
        </w:rPr>
        <w:t>3,600.00</w:t>
      </w:r>
      <w:r>
        <w:rPr>
          <w:spacing w:val="-2"/>
        </w:rPr>
        <w:t>万元保证担保，担保期限为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日止。</w:t>
      </w:r>
    </w:p>
    <w:p>
      <w:pPr>
        <w:spacing w:line="240" w:lineRule="auto" w:before="5"/>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21"/>
        <w:gridCol w:w="1908"/>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14" w:space="0" w:color="C6ECCC"/>
            </w:tcBorders>
          </w:tcPr>
          <w:p>
            <w:pPr/>
          </w:p>
        </w:tc>
        <w:tc>
          <w:tcPr>
            <w:tcW w:w="190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14" w:space="0" w:color="C6ECCC"/>
            </w:tcBorders>
          </w:tcPr>
          <w:p>
            <w:pPr/>
          </w:p>
        </w:tc>
        <w:tc>
          <w:tcPr>
            <w:tcW w:w="190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416.350006pt;margin-top:3.831707pt;width:78.75pt;height:15.6pt;mso-position-horizontal-relative:page;mso-position-vertical-relative:paragraph;z-index:-989656"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92pt;width:479.2pt;height:91.95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1"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2"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6" w:hRule="exact"/>
                    </w:trPr>
                    <w:tc>
                      <w:tcPr>
                        <w:tcW w:w="13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3"/>
        <w:jc w:val="left"/>
      </w:pPr>
      <w:r>
        <w:rPr/>
        <w:t>上市公司应收关联方款项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1282"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58"/>
        <w:gridCol w:w="1655"/>
        <w:gridCol w:w="1473"/>
        <w:gridCol w:w="1462"/>
        <w:gridCol w:w="1460"/>
        <w:gridCol w:w="1459"/>
      </w:tblGrid>
      <w:tr>
        <w:trPr>
          <w:trHeight w:val="404" w:hRule="exact"/>
        </w:trPr>
        <w:tc>
          <w:tcPr>
            <w:tcW w:w="20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5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473" w:type="dxa"/>
            <w:tcBorders>
              <w:top w:val="single" w:sz="4" w:space="0" w:color="000000"/>
              <w:left w:val="single" w:sz="9" w:space="0" w:color="C6ECCC"/>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396"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8" w:hRule="exact"/>
        </w:trPr>
        <w:tc>
          <w:tcPr>
            <w:tcW w:w="2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right="38"/>
              <w:jc w:val="center"/>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81" w:right="0"/>
              <w:jc w:val="left"/>
              <w:rPr>
                <w:rFonts w:ascii="Times New Roman" w:hAnsi="Times New Roman" w:cs="Times New Roman" w:eastAsia="Times New Roman" w:hint="default"/>
                <w:sz w:val="18"/>
                <w:szCs w:val="18"/>
              </w:rPr>
            </w:pPr>
            <w:r>
              <w:rPr>
                <w:rFonts w:ascii="Times New Roman"/>
                <w:sz w:val="18"/>
              </w:rPr>
              <w:t>5,564,835.34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3" w:right="0"/>
              <w:jc w:val="left"/>
              <w:rPr>
                <w:rFonts w:ascii="Times New Roman" w:hAnsi="Times New Roman" w:cs="Times New Roman" w:eastAsia="Times New Roman" w:hint="default"/>
                <w:sz w:val="18"/>
                <w:szCs w:val="18"/>
              </w:rPr>
            </w:pPr>
            <w:r>
              <w:rPr>
                <w:rFonts w:ascii="Times New Roman"/>
                <w:sz w:val="18"/>
              </w:rPr>
              <w:t>15,006,957.07</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1"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49"/>
        <w:ind w:right="9134"/>
        <w:jc w:val="left"/>
      </w:pPr>
      <w:r>
        <w:rPr/>
        <w:t>股份支付情况的说明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8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8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8414"/>
        <w:jc w:val="left"/>
      </w:pPr>
      <w:r>
        <w:rPr/>
        <w:t>以权益结算的股份支付的说明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99"/>
        <w:gridCol w:w="4571"/>
      </w:tblGrid>
      <w:tr>
        <w:trPr>
          <w:trHeight w:val="714" w:hRule="exact"/>
        </w:trPr>
        <w:tc>
          <w:tcPr>
            <w:tcW w:w="4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 公允价值确定方法</w:t>
            </w:r>
          </w:p>
        </w:tc>
        <w:tc>
          <w:tcPr>
            <w:tcW w:w="45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负债中因以现金结算的股份支付产生的累计负债金额</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2"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99"/>
        <w:gridCol w:w="4571"/>
      </w:tblGrid>
      <w:tr>
        <w:trPr>
          <w:trHeight w:val="404" w:hRule="exact"/>
        </w:trPr>
        <w:tc>
          <w:tcPr>
            <w:tcW w:w="4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以现金结算的股份支付而确认的费用总额</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8414"/>
        <w:jc w:val="left"/>
      </w:pPr>
      <w:r>
        <w:rPr/>
        <w:t>以现金结算的股份支付的说明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3"/>
        <w:rPr>
          <w:rFonts w:ascii="宋体" w:hAnsi="宋体" w:cs="宋体" w:eastAsia="宋体" w:hint="default"/>
          <w:sz w:val="25"/>
          <w:szCs w:val="25"/>
        </w:rPr>
      </w:pPr>
    </w:p>
    <w:p>
      <w:pPr>
        <w:spacing w:line="506" w:lineRule="auto" w:before="0"/>
        <w:ind w:left="152" w:right="6104" w:firstLine="0"/>
        <w:jc w:val="left"/>
        <w:rPr>
          <w:rFonts w:ascii="宋体" w:hAnsi="宋体" w:cs="宋体" w:eastAsia="宋体" w:hint="default"/>
          <w:sz w:val="18"/>
          <w:szCs w:val="18"/>
        </w:rPr>
      </w:pP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无 其他或有负债及其财务影响</w:t>
      </w:r>
    </w:p>
    <w:p>
      <w:pPr>
        <w:pStyle w:val="BodyText"/>
        <w:spacing w:line="240" w:lineRule="auto" w:before="25"/>
        <w:ind w:left="513" w:right="1123"/>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360"/>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日与深圳市大沙河创新走廊建设投资管理有限公司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建投公司</w:t>
      </w:r>
      <w:r>
        <w:rPr>
          <w:rFonts w:ascii="Times New Roman" w:hAnsi="Times New Roman" w:cs="Times New Roman" w:eastAsia="Times New Roman" w:hint="default"/>
        </w:rPr>
        <w:t>”)</w:t>
      </w:r>
      <w:r>
        <w:rPr/>
        <w:t>签订《创新大厦临时购房 合同》，购买深圳市南山区政府在南山区马家龙工业区兴建的创新大厦，面积为不低于</w:t>
      </w:r>
      <w:r>
        <w:rPr>
          <w:rFonts w:ascii="Times New Roman" w:hAnsi="Times New Roman" w:cs="Times New Roman" w:eastAsia="Times New Roman" w:hint="default"/>
        </w:rPr>
        <w:t>4,000</w:t>
      </w:r>
      <w:r>
        <w:rPr/>
        <w:t>平方米但不超过</w:t>
      </w:r>
      <w:r>
        <w:rPr>
          <w:rFonts w:ascii="Times New Roman" w:hAnsi="Times New Roman" w:cs="Times New Roman" w:eastAsia="Times New Roman" w:hint="default"/>
        </w:rPr>
        <w:t>5,000</w:t>
      </w:r>
      <w:r>
        <w:rPr/>
        <w:t>平方米，</w:t>
      </w:r>
      <w:r>
        <w:rPr>
          <w:spacing w:val="-83"/>
        </w:rPr>
        <w:t> </w:t>
      </w:r>
      <w:r>
        <w:rPr/>
        <w:t>用作办公用途，创新大厦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日举行奠基仪式，建设期为</w:t>
      </w:r>
      <w:r>
        <w:rPr>
          <w:rFonts w:ascii="Times New Roman" w:hAnsi="Times New Roman" w:cs="Times New Roman" w:eastAsia="Times New Roman" w:hint="default"/>
        </w:rPr>
        <w:t>30</w:t>
      </w:r>
      <w:r>
        <w:rPr/>
        <w:t>个月，合同约定所售房产起售价为人民币</w:t>
      </w:r>
      <w:r>
        <w:rPr>
          <w:rFonts w:ascii="Times New Roman" w:hAnsi="Times New Roman" w:cs="Times New Roman" w:eastAsia="Times New Roman" w:hint="default"/>
        </w:rPr>
        <w:t>15,000</w:t>
      </w:r>
      <w:r>
        <w:rPr/>
        <w:t>元</w:t>
      </w:r>
      <w:r>
        <w:rPr>
          <w:rFonts w:ascii="Times New Roman" w:hAnsi="Times New Roman" w:cs="Times New Roman" w:eastAsia="Times New Roman" w:hint="default"/>
        </w:rPr>
        <w:t>/</w:t>
      </w:r>
      <w:r>
        <w:rPr/>
        <w:t>平方</w:t>
      </w:r>
      <w:r>
        <w:rPr>
          <w:spacing w:val="-3"/>
        </w:rPr>
        <w:t> </w:t>
      </w:r>
      <w:r>
        <w:rPr/>
        <w:t>米</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w:t>
      </w:r>
      <w:r>
        <w:rPr/>
        <w:t>，自起售楼层始，每高一层售价相应增加人民币</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w:t>
      </w:r>
      <w:r>
        <w:rPr/>
        <w:t>。在房产所处的楼层、具体建筑面积</w:t>
      </w:r>
      <w:r>
        <w:rPr>
          <w:spacing w:val="-24"/>
        </w:rPr>
        <w:t> </w:t>
      </w:r>
      <w:r>
        <w:rPr>
          <w:spacing w:val="-24"/>
        </w:rPr>
      </w:r>
      <w:r>
        <w:rPr>
          <w:spacing w:val="-1"/>
        </w:rPr>
        <w:t>等细节尚未明确之前，暂按起售价及可售建筑面积的上限</w:t>
      </w:r>
      <w:r>
        <w:rPr>
          <w:rFonts w:ascii="Times New Roman" w:hAnsi="Times New Roman" w:cs="Times New Roman" w:eastAsia="Times New Roman" w:hint="default"/>
          <w:spacing w:val="-1"/>
        </w:rPr>
        <w:t>5,000</w:t>
      </w:r>
      <w:r>
        <w:rPr>
          <w:spacing w:val="-1"/>
        </w:rPr>
        <w:t>平方米确定购房款为人民币</w:t>
      </w:r>
      <w:r>
        <w:rPr>
          <w:rFonts w:ascii="Times New Roman" w:hAnsi="Times New Roman" w:cs="Times New Roman" w:eastAsia="Times New Roman" w:hint="default"/>
          <w:spacing w:val="-1"/>
        </w:rPr>
        <w:t>7,500.00</w:t>
      </w:r>
      <w:r>
        <w:rPr>
          <w:spacing w:val="-1"/>
        </w:rPr>
        <w:t>万元整。买卖双方待房产</w:t>
      </w:r>
      <w:r>
        <w:rPr>
          <w:spacing w:val="-72"/>
        </w:rPr>
        <w:t> </w:t>
      </w:r>
      <w:r>
        <w:rPr>
          <w:spacing w:val="-72"/>
        </w:rPr>
      </w:r>
      <w:r>
        <w:rPr/>
        <w:t>的相关细节明确后，退还或补足应支付的款项。</w:t>
      </w:r>
    </w:p>
    <w:p>
      <w:pPr>
        <w:spacing w:line="240" w:lineRule="auto" w:before="10"/>
        <w:rPr>
          <w:rFonts w:ascii="宋体" w:hAnsi="宋体" w:cs="宋体" w:eastAsia="宋体" w:hint="default"/>
          <w:sz w:val="23"/>
          <w:szCs w:val="23"/>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1123"/>
        <w:jc w:val="left"/>
        <w:rPr>
          <w:b w:val="0"/>
          <w:bCs w:val="0"/>
        </w:rPr>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日，已签订的正在或准备履行的租赁合同及财务影响</w:t>
      </w:r>
      <w:r>
        <w:rPr>
          <w:b w:val="0"/>
          <w:bCs w:val="0"/>
        </w:rPr>
      </w:r>
    </w:p>
    <w:p>
      <w:pPr>
        <w:pStyle w:val="BodyText"/>
        <w:spacing w:line="300" w:lineRule="auto" w:before="63"/>
        <w:ind w:right="1129" w:firstLine="360"/>
        <w:jc w:val="both"/>
      </w:pPr>
      <w:r>
        <w:rPr>
          <w:rFonts w:ascii="Times New Roman" w:hAnsi="Times New Roman" w:cs="Times New Roman" w:eastAsia="Times New Roman" w:hint="default"/>
        </w:rPr>
        <w:t>1</w:t>
      </w:r>
      <w:r>
        <w:rPr/>
        <w:t>、公司与深圳市平山实业股份有限公司</w:t>
      </w:r>
      <w:r>
        <w:rPr>
          <w:rFonts w:ascii="Times New Roman" w:hAnsi="Times New Roman" w:cs="Times New Roman" w:eastAsia="Times New Roman" w:hint="default"/>
        </w:rPr>
        <w:t>(</w:t>
      </w:r>
      <w:r>
        <w:rPr/>
        <w:t>以下简称平山实业</w:t>
      </w:r>
      <w:r>
        <w:rPr>
          <w:rFonts w:ascii="Times New Roman" w:hAnsi="Times New Roman" w:cs="Times New Roman" w:eastAsia="Times New Roman" w:hint="default"/>
        </w:rPr>
        <w:t>)</w:t>
      </w:r>
      <w:r>
        <w:rPr/>
        <w:t>签订厂房租赁合同，合同约定：平山实业将位于深圳市南 山区西丽桃源办平山民企科技工业园</w:t>
      </w:r>
      <w:r>
        <w:rPr>
          <w:rFonts w:ascii="Times New Roman" w:hAnsi="Times New Roman" w:cs="Times New Roman" w:eastAsia="Times New Roman" w:hint="default"/>
        </w:rPr>
        <w:t>5</w:t>
      </w:r>
      <w:r>
        <w:rPr/>
        <w:t>栋厂房出租给公司作为厂房使用，面积共计</w:t>
      </w:r>
      <w:r>
        <w:rPr>
          <w:rFonts w:ascii="Times New Roman" w:hAnsi="Times New Roman" w:cs="Times New Roman" w:eastAsia="Times New Roman" w:hint="default"/>
        </w:rPr>
        <w:t>13,908.60</w:t>
      </w:r>
      <w:r>
        <w:rPr/>
        <w:t>平方米，每月租金及服务费用合</w:t>
      </w:r>
      <w:r>
        <w:rPr>
          <w:spacing w:val="-83"/>
        </w:rPr>
        <w:t> </w:t>
      </w:r>
      <w:r>
        <w:rPr>
          <w:spacing w:val="-83"/>
        </w:rPr>
      </w:r>
      <w:r>
        <w:rPr/>
        <w:t>计为</w:t>
      </w:r>
      <w:r>
        <w:rPr>
          <w:rFonts w:ascii="Times New Roman" w:hAnsi="Times New Roman" w:cs="Times New Roman" w:eastAsia="Times New Roman" w:hint="default"/>
        </w:rPr>
        <w:t>242,720.40</w:t>
      </w:r>
      <w:r>
        <w:rPr/>
        <w:t>元，期限为</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spacing w:after="0" w:line="300" w:lineRule="auto"/>
        <w:jc w:val="both"/>
        <w:sectPr>
          <w:pgSz w:w="11910" w:h="16840"/>
          <w:pgMar w:header="877" w:footer="1282"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firstLine="360"/>
        <w:jc w:val="both"/>
      </w:pPr>
      <w:r>
        <w:rPr>
          <w:rFonts w:ascii="Times New Roman" w:hAnsi="Times New Roman" w:cs="Times New Roman" w:eastAsia="Times New Roman" w:hint="default"/>
        </w:rPr>
        <w:t>2</w:t>
      </w:r>
      <w:r>
        <w:rPr/>
        <w:t>、公司与深圳英特利投资有限公司</w:t>
      </w:r>
      <w:r>
        <w:rPr>
          <w:rFonts w:ascii="Times New Roman" w:hAnsi="Times New Roman" w:cs="Times New Roman" w:eastAsia="Times New Roman" w:hint="default"/>
        </w:rPr>
        <w:t>(</w:t>
      </w:r>
      <w:r>
        <w:rPr/>
        <w:t>以下简称英特利投资公司</w:t>
      </w:r>
      <w:r>
        <w:rPr>
          <w:rFonts w:ascii="Times New Roman" w:hAnsi="Times New Roman" w:cs="Times New Roman" w:eastAsia="Times New Roman" w:hint="default"/>
        </w:rPr>
        <w:t>)</w:t>
      </w:r>
      <w:r>
        <w:rPr/>
        <w:t>签订房屋租赁，合同约定：英特利投资公司将位于松岗 同富裕工业区的宿舍出租给公司使用，总面积</w:t>
      </w:r>
      <w:r>
        <w:rPr>
          <w:rFonts w:ascii="Times New Roman" w:hAnsi="Times New Roman" w:cs="Times New Roman" w:eastAsia="Times New Roman" w:hint="default"/>
        </w:rPr>
        <w:t>18,225.76</w:t>
      </w:r>
      <w:r>
        <w:rPr/>
        <w:t>平方米，每月租金为</w:t>
      </w:r>
      <w:r>
        <w:rPr>
          <w:rFonts w:ascii="Times New Roman" w:hAnsi="Times New Roman" w:cs="Times New Roman" w:eastAsia="Times New Roman" w:hint="default"/>
        </w:rPr>
        <w:t>145,806.08</w:t>
      </w:r>
      <w:r>
        <w:rPr/>
        <w:t>元，期限为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spacing w:val="7"/>
        </w:rPr>
        <w:t>月</w:t>
      </w:r>
      <w:r>
        <w:rPr>
          <w:rFonts w:ascii="Times New Roman" w:hAnsi="Times New Roman" w:cs="Times New Roman" w:eastAsia="Times New Roman" w:hint="default"/>
          <w:spacing w:val="7"/>
        </w:rPr>
        <w:t>31</w:t>
      </w:r>
      <w:r>
        <w:rPr>
          <w:spacing w:val="7"/>
        </w:rPr>
        <w:t>日；英特利投资公司将位于松岗同富裕工业区的</w:t>
      </w:r>
      <w:r>
        <w:rPr>
          <w:rFonts w:ascii="Times New Roman" w:hAnsi="Times New Roman" w:cs="Times New Roman" w:eastAsia="Times New Roman" w:hint="default"/>
          <w:spacing w:val="7"/>
        </w:rPr>
        <w:t>1</w:t>
      </w:r>
      <w:r>
        <w:rPr>
          <w:spacing w:val="7"/>
        </w:rPr>
        <w:t>号厂房、</w:t>
      </w:r>
      <w:r>
        <w:rPr>
          <w:rFonts w:ascii="Times New Roman" w:hAnsi="Times New Roman" w:cs="Times New Roman" w:eastAsia="Times New Roman" w:hint="default"/>
          <w:spacing w:val="7"/>
        </w:rPr>
        <w:t>3</w:t>
      </w:r>
      <w:r>
        <w:rPr>
          <w:spacing w:val="7"/>
        </w:rPr>
        <w:t>号厂房</w:t>
      </w:r>
      <w:r>
        <w:rPr>
          <w:rFonts w:ascii="Times New Roman" w:hAnsi="Times New Roman" w:cs="Times New Roman" w:eastAsia="Times New Roman" w:hint="default"/>
          <w:spacing w:val="7"/>
        </w:rPr>
        <w:t>3-6</w:t>
      </w:r>
      <w:r>
        <w:rPr>
          <w:spacing w:val="7"/>
        </w:rPr>
        <w:t>层出租给公司作为工业生产使用，总面积为</w:t>
      </w:r>
      <w:r>
        <w:rPr/>
        <w:t> </w:t>
      </w:r>
      <w:r>
        <w:rPr>
          <w:rFonts w:ascii="Times New Roman" w:hAnsi="Times New Roman" w:cs="Times New Roman" w:eastAsia="Times New Roman" w:hint="default"/>
          <w:spacing w:val="-2"/>
        </w:rPr>
        <w:t>61,932.70</w:t>
      </w:r>
      <w:r>
        <w:rPr>
          <w:spacing w:val="-2"/>
        </w:rPr>
        <w:t>平方米，每月租金为</w:t>
      </w:r>
      <w:r>
        <w:rPr>
          <w:rFonts w:ascii="Times New Roman" w:hAnsi="Times New Roman" w:cs="Times New Roman" w:eastAsia="Times New Roman" w:hint="default"/>
          <w:spacing w:val="-2"/>
        </w:rPr>
        <w:t>557,400.00</w:t>
      </w:r>
      <w:r>
        <w:rPr>
          <w:spacing w:val="-2"/>
        </w:rPr>
        <w:t>元，期限为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日；英特利投资公司将位于松岗同富裕工业</w:t>
      </w:r>
      <w:r>
        <w:rPr>
          <w:spacing w:val="-45"/>
        </w:rPr>
        <w:t> </w:t>
      </w:r>
      <w:r>
        <w:rPr>
          <w:spacing w:val="-45"/>
        </w:rPr>
      </w:r>
      <w:r>
        <w:rPr/>
        <w:t>区的</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3</w:t>
      </w:r>
      <w:r>
        <w:rPr/>
        <w:t>号厂房</w:t>
      </w:r>
      <w:r>
        <w:rPr>
          <w:rFonts w:ascii="Times New Roman" w:hAnsi="Times New Roman" w:cs="Times New Roman" w:eastAsia="Times New Roman" w:hint="default"/>
        </w:rPr>
        <w:t>1-2</w:t>
      </w:r>
      <w:r>
        <w:rPr/>
        <w:t>层出租给公司作为工业生产使用，总面积为</w:t>
      </w:r>
      <w:r>
        <w:rPr>
          <w:rFonts w:ascii="Times New Roman" w:hAnsi="Times New Roman" w:cs="Times New Roman" w:eastAsia="Times New Roman" w:hint="default"/>
        </w:rPr>
        <w:t>20,665.97</w:t>
      </w:r>
      <w:r>
        <w:rPr/>
        <w:t>平方米，每月租金为</w:t>
      </w:r>
      <w:r>
        <w:rPr>
          <w:rFonts w:ascii="Times New Roman" w:hAnsi="Times New Roman" w:cs="Times New Roman" w:eastAsia="Times New Roman" w:hint="default"/>
        </w:rPr>
        <w:t>186,000.00</w:t>
      </w:r>
      <w:r>
        <w:rPr/>
        <w:t>元，期限为</w:t>
      </w: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pStyle w:val="BodyText"/>
        <w:spacing w:line="300" w:lineRule="auto" w:before="13"/>
        <w:ind w:right="1129" w:firstLine="360"/>
        <w:jc w:val="both"/>
      </w:pPr>
      <w:r>
        <w:rPr>
          <w:rFonts w:ascii="Times New Roman" w:hAnsi="Times New Roman" w:cs="Times New Roman" w:eastAsia="Times New Roman" w:hint="default"/>
        </w:rPr>
        <w:t>3</w:t>
      </w:r>
      <w:r>
        <w:rPr/>
        <w:t>、公司与深圳市同裕洋实业有限公司</w:t>
      </w:r>
      <w:r>
        <w:rPr>
          <w:rFonts w:ascii="Times New Roman" w:hAnsi="Times New Roman" w:cs="Times New Roman" w:eastAsia="Times New Roman" w:hint="default"/>
        </w:rPr>
        <w:t>(</w:t>
      </w:r>
      <w:r>
        <w:rPr/>
        <w:t>以下简称同裕洋公司</w:t>
      </w:r>
      <w:r>
        <w:rPr>
          <w:rFonts w:ascii="Times New Roman" w:hAnsi="Times New Roman" w:cs="Times New Roman" w:eastAsia="Times New Roman" w:hint="default"/>
        </w:rPr>
        <w:t>)</w:t>
      </w:r>
      <w:r>
        <w:rPr/>
        <w:t>签订宿舍租赁合同，合同约定如下：同裕洋公司将位于深 圳市宝安区松岗街道同富裕工业园兴隆路</w:t>
      </w:r>
      <w:r>
        <w:rPr>
          <w:rFonts w:ascii="Times New Roman" w:hAnsi="Times New Roman" w:cs="Times New Roman" w:eastAsia="Times New Roman" w:hint="default"/>
        </w:rPr>
        <w:t>3</w:t>
      </w:r>
      <w:r>
        <w:rPr/>
        <w:t>号建筑面积</w:t>
      </w:r>
      <w:r>
        <w:rPr>
          <w:rFonts w:ascii="Times New Roman" w:hAnsi="Times New Roman" w:cs="Times New Roman" w:eastAsia="Times New Roman" w:hint="default"/>
        </w:rPr>
        <w:t>5842.38</w:t>
      </w:r>
      <w:r>
        <w:rPr/>
        <w:t>平方米的宿舍，出租给公司作为宿舍使用，月租金为</w:t>
      </w:r>
      <w:r>
        <w:rPr>
          <w:rFonts w:ascii="Times New Roman" w:hAnsi="Times New Roman" w:cs="Times New Roman" w:eastAsia="Times New Roman" w:hint="default"/>
        </w:rPr>
        <w:t>14</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平方米，每月租金为</w:t>
      </w:r>
      <w:r>
        <w:rPr>
          <w:rFonts w:ascii="Times New Roman" w:hAnsi="Times New Roman" w:cs="Times New Roman" w:eastAsia="Times New Roman" w:hint="default"/>
        </w:rPr>
        <w:t>81,793.32</w:t>
      </w:r>
      <w:r>
        <w:rPr/>
        <w:t>元，使用期限为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spacing w:line="240" w:lineRule="auto" w:before="5"/>
        <w:rPr>
          <w:rFonts w:ascii="宋体" w:hAnsi="宋体" w:cs="宋体" w:eastAsia="宋体" w:hint="default"/>
          <w:sz w:val="20"/>
          <w:szCs w:val="20"/>
        </w:rPr>
      </w:pPr>
    </w:p>
    <w:p>
      <w:pPr>
        <w:pStyle w:val="Heading2"/>
        <w:spacing w:line="240" w:lineRule="auto"/>
        <w:ind w:right="1123"/>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0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8"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10" w:space="0" w:color="C6ECCC"/>
              <w:bottom w:val="single" w:sz="4" w:space="0" w:color="000000"/>
              <w:right w:val="single" w:sz="13" w:space="0" w:color="C6ECCC"/>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6" w:firstLine="360"/>
        <w:jc w:val="both"/>
      </w:pPr>
      <w:r>
        <w:rPr>
          <w:rFonts w:ascii="Times New Roman" w:hAnsi="Times New Roman" w:cs="Times New Roman" w:eastAsia="Times New Roman" w:hint="default"/>
        </w:rPr>
        <w:t>1</w:t>
      </w:r>
      <w:r>
        <w:rPr/>
        <w:t>、经本公司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日第二届董事会第二十二次会议通过，</w:t>
      </w:r>
      <w:r>
        <w:rPr>
          <w:rFonts w:ascii="Times New Roman" w:hAnsi="Times New Roman" w:cs="Times New Roman" w:eastAsia="Times New Roman" w:hint="default"/>
        </w:rPr>
        <w:t>2012</w:t>
      </w:r>
      <w:r>
        <w:rPr/>
        <w:t>年度利润分配预案如下：以本公司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总股本</w:t>
      </w:r>
      <w:r>
        <w:rPr>
          <w:rFonts w:ascii="Times New Roman" w:hAnsi="Times New Roman" w:cs="Times New Roman" w:eastAsia="Times New Roman" w:hint="default"/>
        </w:rPr>
        <w:t>24,000</w:t>
      </w:r>
      <w:r>
        <w:rPr/>
        <w:t>万股为基数，向全体股东每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现金红利，共派发现金红利人民币</w:t>
      </w:r>
      <w:r>
        <w:rPr>
          <w:rFonts w:ascii="Times New Roman" w:hAnsi="Times New Roman" w:cs="Times New Roman" w:eastAsia="Times New Roman" w:hint="default"/>
        </w:rPr>
        <w:t>3,600.00</w:t>
      </w:r>
      <w:r>
        <w:rPr/>
        <w:t>万元。剩余</w:t>
      </w:r>
      <w:r>
        <w:rPr>
          <w:spacing w:val="-35"/>
        </w:rPr>
        <w:t> </w:t>
      </w:r>
      <w:r>
        <w:rPr>
          <w:spacing w:val="-35"/>
        </w:rPr>
      </w:r>
      <w:r>
        <w:rPr/>
        <w:t>未分配利润结转以后年度分配。</w:t>
      </w:r>
    </w:p>
    <w:p>
      <w:pPr>
        <w:pStyle w:val="BodyText"/>
        <w:spacing w:line="240" w:lineRule="auto" w:before="31"/>
        <w:ind w:left="513" w:right="1123"/>
        <w:jc w:val="left"/>
      </w:pPr>
      <w:r>
        <w:rPr/>
        <w:t>该利润分配预案尚需提交股东大会审议通过。</w:t>
      </w:r>
    </w:p>
    <w:p>
      <w:pPr>
        <w:pStyle w:val="BodyText"/>
        <w:spacing w:line="300" w:lineRule="auto" w:before="76"/>
        <w:ind w:right="1129" w:firstLine="360"/>
        <w:jc w:val="both"/>
      </w:pP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日收到实际控制人自然人股东田昱和夏传武提交的《关于共同控制关系变动的声明》。根据该</w:t>
      </w:r>
      <w:r>
        <w:rPr/>
        <w:t> </w:t>
      </w:r>
      <w:r>
        <w:rPr>
          <w:spacing w:val="-2"/>
        </w:rPr>
        <w:t>声明，原公司实际控制人田昱和夏传武自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日起不再续签《共同控制协议》，因此上述</w:t>
      </w:r>
      <w:r>
        <w:rPr>
          <w:rFonts w:ascii="Times New Roman" w:hAnsi="Times New Roman" w:cs="Times New Roman" w:eastAsia="Times New Roman" w:hint="default"/>
          <w:spacing w:val="-2"/>
        </w:rPr>
        <w:t>2</w:t>
      </w:r>
      <w:r>
        <w:rPr>
          <w:spacing w:val="-2"/>
        </w:rPr>
        <w:t>位股东对公司共同控制关</w:t>
      </w:r>
      <w:r>
        <w:rPr>
          <w:spacing w:val="-58"/>
        </w:rPr>
        <w:t> </w:t>
      </w:r>
      <w:r>
        <w:rPr/>
        <w:t>系终止。本公司第一大股东自然人田昱为公司单一实际控制人。</w:t>
      </w:r>
    </w:p>
    <w:p>
      <w:pPr>
        <w:pStyle w:val="BodyText"/>
        <w:spacing w:line="240" w:lineRule="auto" w:before="31"/>
        <w:ind w:left="513" w:right="1123"/>
        <w:jc w:val="left"/>
      </w:pPr>
      <w:r>
        <w:rPr>
          <w:rFonts w:ascii="Times New Roman" w:hAnsi="Times New Roman" w:cs="Times New Roman" w:eastAsia="Times New Roman" w:hint="default"/>
        </w:rPr>
        <w:t>3</w:t>
      </w:r>
      <w:r>
        <w:rPr/>
        <w:t>、除此之外，本公司无需要披露的其他资产负债表日后事项。</w:t>
      </w:r>
    </w:p>
    <w:p>
      <w:pPr>
        <w:spacing w:line="240" w:lineRule="auto" w:before="3"/>
        <w:rPr>
          <w:rFonts w:ascii="宋体" w:hAnsi="宋体" w:cs="宋体" w:eastAsia="宋体" w:hint="default"/>
          <w:sz w:val="24"/>
          <w:szCs w:val="24"/>
        </w:rPr>
      </w:pPr>
    </w:p>
    <w:p>
      <w:pPr>
        <w:spacing w:line="506" w:lineRule="auto" w:before="0"/>
        <w:ind w:left="152" w:right="8592"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、债务重组</w:t>
      </w:r>
      <w:r>
        <w:rPr>
          <w:b w:val="0"/>
          <w:bCs w:val="0"/>
        </w:rPr>
      </w:r>
    </w:p>
    <w:p>
      <w:pPr>
        <w:spacing w:after="0" w:line="240" w:lineRule="auto"/>
        <w:jc w:val="left"/>
        <w:sectPr>
          <w:footerReference w:type="default" r:id="rId75"/>
          <w:pgSz w:w="11910" w:h="16840"/>
          <w:pgMar w:footer="1508" w:header="877" w:top="1060" w:bottom="1700" w:left="980" w:right="0"/>
          <w:pgNumType w:start="157"/>
        </w:sectPr>
      </w:pPr>
    </w:p>
    <w:p>
      <w:pPr>
        <w:spacing w:line="240" w:lineRule="auto" w:before="10"/>
        <w:rPr>
          <w:rFonts w:ascii="宋体" w:hAnsi="宋体" w:cs="宋体" w:eastAsia="宋体" w:hint="default"/>
          <w:b/>
          <w:bCs/>
          <w:sz w:val="24"/>
          <w:szCs w:val="24"/>
        </w:rPr>
      </w:pPr>
    </w:p>
    <w:p>
      <w:pPr>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after="0" w:line="240" w:lineRule="auto"/>
        <w:jc w:val="left"/>
        <w:sectPr>
          <w:pgSz w:w="11910" w:h="16840"/>
          <w:pgMar w:header="877" w:footer="1508" w:top="1060" w:bottom="170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5"/>
        <w:rPr>
          <w:rFonts w:ascii="宋体" w:hAnsi="宋体" w:cs="宋体" w:eastAsia="宋体" w:hint="default"/>
          <w:b/>
          <w:bCs/>
          <w:sz w:val="26"/>
          <w:szCs w:val="26"/>
        </w:rPr>
      </w:pPr>
    </w:p>
    <w:p>
      <w:pPr>
        <w:pStyle w:val="Heading4"/>
        <w:spacing w:line="240" w:lineRule="auto"/>
        <w:ind w:right="1123"/>
        <w:jc w:val="left"/>
        <w:rPr>
          <w:b w:val="0"/>
          <w:bCs w:val="0"/>
        </w:rPr>
      </w:pPr>
      <w:r>
        <w:rPr/>
        <w:t>（一）银行授信事项</w:t>
      </w:r>
      <w:r>
        <w:rPr>
          <w:b w:val="0"/>
          <w:bCs w:val="0"/>
        </w:rPr>
      </w:r>
    </w:p>
    <w:p>
      <w:pPr>
        <w:pStyle w:val="BodyText"/>
        <w:spacing w:line="300" w:lineRule="auto" w:before="76"/>
        <w:ind w:right="0" w:firstLine="360"/>
        <w:jc w:val="left"/>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24</w:t>
      </w:r>
      <w:r>
        <w:rPr>
          <w:spacing w:val="-6"/>
        </w:rPr>
        <w:t>日，本公司与招商银行股份有限公司深圳南山支行签订合同编号为</w:t>
      </w:r>
      <w:r>
        <w:rPr>
          <w:rFonts w:ascii="Times New Roman" w:hAnsi="Times New Roman" w:cs="Times New Roman" w:eastAsia="Times New Roman" w:hint="default"/>
          <w:spacing w:val="-6"/>
        </w:rPr>
        <w:t>2012</w:t>
      </w:r>
      <w:r>
        <w:rPr>
          <w:spacing w:val="-6"/>
        </w:rPr>
        <w:t>年南字第</w:t>
      </w:r>
      <w:r>
        <w:rPr>
          <w:rFonts w:ascii="Times New Roman" w:hAnsi="Times New Roman" w:cs="Times New Roman" w:eastAsia="Times New Roman" w:hint="default"/>
          <w:spacing w:val="-6"/>
        </w:rPr>
        <w:t>0012300096</w:t>
      </w:r>
      <w:r>
        <w:rPr>
          <w:spacing w:val="-6"/>
        </w:rPr>
        <w:t>《授信协议》。</w:t>
      </w:r>
      <w:r>
        <w:rPr/>
        <w:t> </w:t>
      </w:r>
      <w:r>
        <w:rPr>
          <w:spacing w:val="2"/>
        </w:rPr>
        <w:t>招商银行股份有限公司深圳南山支行授予本公司人民币</w:t>
      </w:r>
      <w:r>
        <w:rPr>
          <w:rFonts w:ascii="Times New Roman" w:hAnsi="Times New Roman" w:cs="Times New Roman" w:eastAsia="Times New Roman" w:hint="default"/>
          <w:spacing w:val="2"/>
        </w:rPr>
        <w:t>10,000.00</w:t>
      </w:r>
      <w:r>
        <w:rPr>
          <w:spacing w:val="2"/>
        </w:rPr>
        <w:t>万元的授信额度，授信额度使用期限自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日至</w:t>
      </w:r>
      <w:r>
        <w:rPr>
          <w:spacing w:val="-48"/>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日止。</w:t>
      </w:r>
    </w:p>
    <w:p>
      <w:pPr>
        <w:pStyle w:val="BodyText"/>
        <w:spacing w:line="300" w:lineRule="auto" w:before="13"/>
        <w:ind w:right="982" w:firstLine="360"/>
        <w:jc w:val="left"/>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19</w:t>
      </w:r>
      <w:r>
        <w:rPr>
          <w:spacing w:val="-6"/>
        </w:rPr>
        <w:t>日，本公司与招商银行股份有限公司深圳南山支行签订合同编号为</w:t>
      </w:r>
      <w:r>
        <w:rPr>
          <w:rFonts w:ascii="Times New Roman" w:hAnsi="Times New Roman" w:cs="Times New Roman" w:eastAsia="Times New Roman" w:hint="default"/>
          <w:spacing w:val="-6"/>
        </w:rPr>
        <w:t>2012</w:t>
      </w:r>
      <w:r>
        <w:rPr>
          <w:spacing w:val="-6"/>
        </w:rPr>
        <w:t>年南字第</w:t>
      </w:r>
      <w:r>
        <w:rPr>
          <w:rFonts w:ascii="Times New Roman" w:hAnsi="Times New Roman" w:cs="Times New Roman" w:eastAsia="Times New Roman" w:hint="default"/>
          <w:spacing w:val="-6"/>
        </w:rPr>
        <w:t>0012300192</w:t>
      </w:r>
      <w:r>
        <w:rPr>
          <w:spacing w:val="-6"/>
        </w:rPr>
        <w:t>《授信协议》。</w:t>
      </w:r>
      <w:r>
        <w:rPr/>
        <w:t> 招商银行股份有限公司深圳南山支行向本公司提供人民币</w:t>
      </w:r>
      <w:r>
        <w:rPr>
          <w:rFonts w:ascii="Times New Roman" w:hAnsi="Times New Roman" w:cs="Times New Roman" w:eastAsia="Times New Roman" w:hint="default"/>
        </w:rPr>
        <w:t>17,000.00</w:t>
      </w:r>
      <w:r>
        <w:rPr/>
        <w:t>万元的授信额度，授信期间自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19</w:t>
      </w:r>
      <w:r>
        <w:rPr/>
        <w:t>日止。</w:t>
      </w:r>
    </w:p>
    <w:p>
      <w:pPr>
        <w:pStyle w:val="BodyText"/>
        <w:spacing w:line="300" w:lineRule="auto" w:before="13"/>
        <w:ind w:right="1131" w:firstLine="360"/>
        <w:jc w:val="both"/>
      </w:pPr>
      <w:r>
        <w:rPr>
          <w:rFonts w:ascii="Times New Roman" w:hAnsi="Times New Roman" w:cs="Times New Roman" w:eastAsia="Times New Roman" w:hint="default"/>
        </w:rPr>
        <w:t>3</w:t>
      </w:r>
      <w:r>
        <w:rPr/>
        <w:t>、</w:t>
      </w:r>
      <w:r>
        <w:rPr>
          <w:spacing w:val="-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日，本公司与中国建设银行股份有限公司深圳市分行签订编号为借</w:t>
      </w:r>
      <w:r>
        <w:rPr>
          <w:rFonts w:ascii="Times New Roman" w:hAnsi="Times New Roman" w:cs="Times New Roman" w:eastAsia="Times New Roman" w:hint="default"/>
        </w:rPr>
        <w:t>2011</w:t>
      </w:r>
      <w:r>
        <w:rPr/>
        <w:t>财</w:t>
      </w:r>
      <w:r>
        <w:rPr>
          <w:rFonts w:ascii="Times New Roman" w:hAnsi="Times New Roman" w:cs="Times New Roman" w:eastAsia="Times New Roman" w:hint="default"/>
        </w:rPr>
        <w:t>0697</w:t>
      </w:r>
      <w:r>
        <w:rPr/>
        <w:t>福田《贸易融资额度合 </w:t>
      </w:r>
      <w:r>
        <w:rPr>
          <w:spacing w:val="-2"/>
        </w:rPr>
        <w:t>同》。中国建设银行股份有限公司深圳市分行向本公司提供人民币</w:t>
      </w:r>
      <w:r>
        <w:rPr>
          <w:rFonts w:ascii="Times New Roman" w:hAnsi="Times New Roman" w:cs="Times New Roman" w:eastAsia="Times New Roman" w:hint="default"/>
          <w:spacing w:val="-2"/>
        </w:rPr>
        <w:t>50,000.00</w:t>
      </w:r>
      <w:r>
        <w:rPr>
          <w:spacing w:val="-2"/>
        </w:rPr>
        <w:t>万元的贸易融资额度，贸易融资额度使用期间自</w:t>
      </w:r>
      <w:r>
        <w:rPr>
          <w:spacing w:val="-59"/>
        </w:rPr>
        <w:t> </w:t>
      </w:r>
      <w:r>
        <w:rPr>
          <w:spacing w:val="-59"/>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日止。</w:t>
      </w:r>
    </w:p>
    <w:p>
      <w:pPr>
        <w:pStyle w:val="BodyText"/>
        <w:spacing w:line="300" w:lineRule="auto" w:before="13"/>
        <w:ind w:right="1128" w:firstLine="360"/>
        <w:jc w:val="both"/>
      </w:pPr>
      <w:r>
        <w:rPr>
          <w:rFonts w:ascii="Times New Roman" w:hAnsi="Times New Roman" w:cs="Times New Roman" w:eastAsia="Times New Roman" w:hint="default"/>
        </w:rPr>
        <w:t>4</w:t>
      </w:r>
      <w:r>
        <w:rPr/>
        <w:t>、</w:t>
      </w:r>
      <w:r>
        <w:rPr>
          <w:spacing w:val="-22"/>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日，本公司与中国建设银行股份有限公司深圳市分行签订编号为借</w:t>
      </w:r>
      <w:r>
        <w:rPr>
          <w:rFonts w:ascii="Times New Roman" w:hAnsi="Times New Roman" w:cs="Times New Roman" w:eastAsia="Times New Roman" w:hint="default"/>
          <w:spacing w:val="-3"/>
        </w:rPr>
        <w:t>2011</w:t>
      </w:r>
      <w:r>
        <w:rPr>
          <w:spacing w:val="-3"/>
        </w:rPr>
        <w:t>额</w:t>
      </w:r>
      <w:r>
        <w:rPr>
          <w:rFonts w:ascii="Times New Roman" w:hAnsi="Times New Roman" w:cs="Times New Roman" w:eastAsia="Times New Roman" w:hint="default"/>
          <w:spacing w:val="-3"/>
        </w:rPr>
        <w:t>0697</w:t>
      </w:r>
      <w:r>
        <w:rPr>
          <w:spacing w:val="-3"/>
        </w:rPr>
        <w:t>福田《授信额度合同》。</w:t>
      </w:r>
      <w:r>
        <w:rPr/>
        <w:t> 中国建设银行股份有限公司深圳市分行向本公司提供人民币</w:t>
      </w:r>
      <w:r>
        <w:rPr>
          <w:rFonts w:ascii="Times New Roman" w:hAnsi="Times New Roman" w:cs="Times New Roman" w:eastAsia="Times New Roman" w:hint="default"/>
        </w:rPr>
        <w:t>5,000.00</w:t>
      </w:r>
      <w:r>
        <w:rPr/>
        <w:t>万元的授信总额度，授信期间自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2013</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日止。</w:t>
      </w:r>
    </w:p>
    <w:p>
      <w:pPr>
        <w:pStyle w:val="Heading4"/>
        <w:spacing w:line="240" w:lineRule="auto" w:before="13"/>
        <w:ind w:right="1123"/>
        <w:jc w:val="left"/>
        <w:rPr>
          <w:b w:val="0"/>
          <w:bCs w:val="0"/>
        </w:rPr>
      </w:pPr>
      <w:r>
        <w:rPr/>
        <w:t>（二）股东股权质押事项</w:t>
      </w:r>
      <w:r>
        <w:rPr>
          <w:b w:val="0"/>
          <w:bCs w:val="0"/>
        </w:rPr>
      </w:r>
    </w:p>
    <w:p>
      <w:pPr>
        <w:pStyle w:val="BodyText"/>
        <w:spacing w:line="240" w:lineRule="auto" w:before="76"/>
        <w:ind w:left="513" w:right="112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日，本公司实际控制人之一股东田昱，将其持有的本公司</w:t>
      </w:r>
      <w:r>
        <w:rPr>
          <w:rFonts w:ascii="Times New Roman" w:hAnsi="Times New Roman" w:cs="Times New Roman" w:eastAsia="Times New Roman" w:hint="default"/>
        </w:rPr>
        <w:t>480.00</w:t>
      </w:r>
      <w:r>
        <w:rPr/>
        <w:t>万股股权质押给中融国际信托有限公司。</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27"/>
        <w:gridCol w:w="1333"/>
        <w:gridCol w:w="666"/>
        <w:gridCol w:w="1195"/>
        <w:gridCol w:w="659"/>
        <w:gridCol w:w="1334"/>
        <w:gridCol w:w="665"/>
      </w:tblGrid>
      <w:tr>
        <w:trPr>
          <w:trHeight w:val="396"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7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0" w:type="dxa"/>
            <w:gridSpan w:val="2"/>
            <w:vMerge/>
            <w:tcBorders>
              <w:left w:val="single" w:sz="4" w:space="0" w:color="000000"/>
              <w:bottom w:val="single" w:sz="4" w:space="0" w:color="000000"/>
              <w:right w:val="single" w:sz="4" w:space="0" w:color="000000"/>
            </w:tcBorders>
            <w:shd w:val="clear" w:color="auto" w:fill="D2D2D2"/>
          </w:tcPr>
          <w:p>
            <w:pPr/>
          </w:p>
        </w:tc>
        <w:tc>
          <w:tcPr>
            <w:tcW w:w="1999" w:type="dxa"/>
            <w:gridSpan w:val="2"/>
            <w:vMerge/>
            <w:tcBorders>
              <w:left w:val="single" w:sz="4" w:space="0" w:color="000000"/>
              <w:bottom w:val="single" w:sz="4" w:space="0" w:color="000000"/>
              <w:right w:val="single" w:sz="4" w:space="0" w:color="000000"/>
            </w:tcBorders>
            <w:shd w:val="clear" w:color="auto" w:fill="D2D2D2"/>
          </w:tcPr>
          <w:p>
            <w:pPr/>
          </w:p>
        </w:tc>
        <w:tc>
          <w:tcPr>
            <w:tcW w:w="1853" w:type="dxa"/>
            <w:gridSpan w:val="2"/>
            <w:vMerge/>
            <w:tcBorders>
              <w:left w:val="single" w:sz="4" w:space="0" w:color="000000"/>
              <w:bottom w:val="single" w:sz="4" w:space="0" w:color="000000"/>
              <w:right w:val="single" w:sz="4" w:space="0" w:color="000000"/>
            </w:tcBorders>
            <w:shd w:val="clear" w:color="auto" w:fill="D2D2D2"/>
          </w:tcPr>
          <w:p>
            <w:pPr/>
          </w:p>
        </w:tc>
        <w:tc>
          <w:tcPr>
            <w:tcW w:w="1999"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vMerge/>
            <w:tcBorders>
              <w:left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2D2D2"/>
          </w:tcPr>
          <w:p>
            <w:pPr/>
          </w:p>
        </w:tc>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c>
          <w:tcPr>
            <w:tcW w:w="13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232,155,194.50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99.63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11,637,859.19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342,606,300.52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98.99%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3,532,660.63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232,155,194.50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99.63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11,637,859.19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342,606,300.52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98.99%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3,532,660.63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867,916.31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0.37%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3,505,287.50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233,023,110.81</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11,637,859.19</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346,111,588.02</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3,532,660.63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应收账款种类的说明</w:t>
      </w:r>
    </w:p>
    <w:p>
      <w:pPr>
        <w:pStyle w:val="BodyText"/>
        <w:spacing w:line="240" w:lineRule="auto" w:before="117"/>
        <w:ind w:left="513" w:right="0"/>
        <w:jc w:val="left"/>
      </w:pPr>
      <w:r>
        <w:rPr>
          <w:rFonts w:ascii="Times New Roman" w:hAnsi="Times New Roman" w:cs="Times New Roman" w:eastAsia="Times New Roman" w:hint="default"/>
        </w:rPr>
        <w:t>*</w:t>
      </w:r>
      <w:r>
        <w:rPr/>
        <w:t>单项金额虽不重大但单项计提坏账准备的应收账款系本公司应收子公司卓翼科技</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有限公司款项，账龄均为</w:t>
      </w:r>
      <w:r>
        <w:rPr>
          <w:rFonts w:ascii="Times New Roman" w:hAnsi="Times New Roman" w:cs="Times New Roman" w:eastAsia="Times New Roman" w:hint="default"/>
        </w:rPr>
        <w:t>1</w:t>
      </w:r>
      <w:r>
        <w:rPr/>
        <w:t>年以</w:t>
      </w:r>
    </w:p>
    <w:p>
      <w:pPr>
        <w:spacing w:after="0" w:line="240" w:lineRule="auto"/>
        <w:jc w:val="left"/>
        <w:sectPr>
          <w:footerReference w:type="default" r:id="rId76"/>
          <w:pgSz w:w="11910" w:h="16840"/>
          <w:pgMar w:footer="1245" w:header="877" w:top="1060" w:bottom="1440" w:left="980" w:right="0"/>
          <w:pgNumType w:start="159"/>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内。</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245" w:top="1060" w:bottom="1440" w:left="980" w:right="0"/>
        </w:sectPr>
      </w:pPr>
    </w:p>
    <w:p>
      <w:pPr>
        <w:pStyle w:val="BodyText"/>
        <w:spacing w:line="240" w:lineRule="auto" w:before="44"/>
        <w:ind w:right="-20"/>
        <w:jc w:val="left"/>
      </w:pPr>
      <w:r>
        <w:rPr/>
        <w:t>期末单项金额重大并单项计提坏账准备的应收账款</w:t>
      </w:r>
    </w:p>
    <w:p>
      <w:pPr>
        <w:pStyle w:val="BodyText"/>
        <w:spacing w:line="360" w:lineRule="auto" w:before="115"/>
        <w:ind w:right="-20"/>
        <w:jc w:val="left"/>
      </w:pPr>
      <w:r>
        <w:rPr/>
        <w:t>□ 适用 √</w:t>
      </w:r>
      <w:r>
        <w:rPr>
          <w:spacing w:val="3"/>
        </w:rPr>
        <w:t> </w:t>
      </w:r>
      <w:r>
        <w:rPr/>
        <w:t>不适用</w:t>
      </w:r>
      <w:r>
        <w:rPr/>
        <w:t> 组合中，采用账龄分析法计提坏账准备的应收账款</w:t>
      </w:r>
    </w:p>
    <w:p>
      <w:pPr>
        <w:pStyle w:val="BodyText"/>
        <w:spacing w:line="240" w:lineRule="auto" w:before="27"/>
        <w:ind w:right="23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3"/>
        <w:gridCol w:w="2131"/>
        <w:gridCol w:w="660"/>
        <w:gridCol w:w="1593"/>
      </w:tblGrid>
      <w:tr>
        <w:trPr>
          <w:trHeight w:val="402"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vMerge w:val="restart"/>
            <w:tcBorders>
              <w:top w:val="single" w:sz="4" w:space="0" w:color="000000"/>
              <w:left w:val="single" w:sz="4" w:space="0" w:color="000000"/>
              <w:right w:val="single" w:sz="4" w:space="0" w:color="000000"/>
            </w:tcBorders>
            <w:shd w:val="clear" w:color="auto" w:fill="D2D2D2"/>
          </w:tcPr>
          <w:p>
            <w:pPr/>
          </w:p>
        </w:tc>
        <w:tc>
          <w:tcPr>
            <w:tcW w:w="27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c>
          <w:tcPr>
            <w:tcW w:w="2791"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c>
          <w:tcPr>
            <w:tcW w:w="21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3" w:type="dxa"/>
            <w:vMerge w:val="restart"/>
            <w:tcBorders>
              <w:top w:val="nil" w:sz="6" w:space="0" w:color="auto"/>
              <w:left w:val="single" w:sz="4" w:space="0" w:color="000000"/>
              <w:right w:val="single" w:sz="4" w:space="0" w:color="000000"/>
            </w:tcBorders>
            <w:shd w:val="clear" w:color="auto" w:fill="D2D2D2"/>
          </w:tcPr>
          <w:p>
            <w:pPr/>
          </w:p>
        </w:tc>
        <w:tc>
          <w:tcPr>
            <w:tcW w:w="2131"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9" w:type="dxa"/>
            <w:vMerge/>
            <w:tcBorders>
              <w:left w:val="single" w:sz="4" w:space="0" w:color="000000"/>
              <w:bottom w:val="single" w:sz="5" w:space="0" w:color="FFFFFF"/>
              <w:right w:val="single" w:sz="4" w:space="0" w:color="000000"/>
            </w:tcBorders>
            <w:shd w:val="clear" w:color="auto" w:fill="D2D2D2"/>
          </w:tcPr>
          <w:p>
            <w:pPr/>
          </w:p>
        </w:tc>
        <w:tc>
          <w:tcPr>
            <w:tcW w:w="2006" w:type="dxa"/>
            <w:tcBorders>
              <w:top w:val="nil" w:sz="6" w:space="0" w:color="auto"/>
              <w:left w:val="single" w:sz="4" w:space="0" w:color="000000"/>
              <w:bottom w:val="single" w:sz="5" w:space="0" w:color="FFFFFF"/>
              <w:right w:val="single" w:sz="4" w:space="0" w:color="000000"/>
            </w:tcBorders>
            <w:shd w:val="clear" w:color="auto" w:fill="D2D2D2"/>
          </w:tcPr>
          <w:p>
            <w:pPr/>
          </w:p>
        </w:tc>
        <w:tc>
          <w:tcPr>
            <w:tcW w:w="657" w:type="dxa"/>
            <w:vMerge/>
            <w:tcBorders>
              <w:left w:val="single" w:sz="4" w:space="0" w:color="000000"/>
              <w:bottom w:val="single" w:sz="5" w:space="0" w:color="FFFFFF"/>
              <w:right w:val="single" w:sz="4" w:space="0" w:color="000000"/>
            </w:tcBorders>
            <w:shd w:val="clear" w:color="auto" w:fill="D2D2D2"/>
          </w:tcPr>
          <w:p>
            <w:pPr/>
          </w:p>
        </w:tc>
        <w:tc>
          <w:tcPr>
            <w:tcW w:w="1463" w:type="dxa"/>
            <w:vMerge/>
            <w:tcBorders>
              <w:left w:val="single" w:sz="4" w:space="0" w:color="000000"/>
              <w:bottom w:val="single" w:sz="5" w:space="0" w:color="FFFFFF"/>
              <w:right w:val="single" w:sz="4" w:space="0" w:color="000000"/>
            </w:tcBorders>
            <w:shd w:val="clear" w:color="auto" w:fill="D2D2D2"/>
          </w:tcPr>
          <w:p>
            <w:pPr/>
          </w:p>
        </w:tc>
        <w:tc>
          <w:tcPr>
            <w:tcW w:w="2131" w:type="dxa"/>
            <w:tcBorders>
              <w:top w:val="nil" w:sz="6" w:space="0" w:color="auto"/>
              <w:left w:val="single" w:sz="4" w:space="0" w:color="000000"/>
              <w:bottom w:val="single" w:sz="5" w:space="0" w:color="FFFFFF"/>
              <w:right w:val="single" w:sz="4" w:space="0" w:color="000000"/>
            </w:tcBorders>
            <w:shd w:val="clear" w:color="auto" w:fill="D2D2D2"/>
          </w:tcPr>
          <w:p>
            <w:pPr/>
          </w:p>
        </w:tc>
        <w:tc>
          <w:tcPr>
            <w:tcW w:w="660" w:type="dxa"/>
            <w:vMerge/>
            <w:tcBorders>
              <w:left w:val="single" w:sz="4" w:space="0" w:color="000000"/>
              <w:bottom w:val="single" w:sz="5" w:space="0" w:color="FFFFFF"/>
              <w:right w:val="single" w:sz="4" w:space="0" w:color="000000"/>
            </w:tcBorders>
            <w:shd w:val="clear" w:color="auto" w:fill="D2D2D2"/>
          </w:tcPr>
          <w:p>
            <w:pPr/>
          </w:p>
        </w:tc>
        <w:tc>
          <w:tcPr>
            <w:tcW w:w="1593"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59"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232,106,214.29</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11,605,310.71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342,149,120.07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3,421,491.20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129,923.53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12,992.35</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13,271.37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3,981.41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327,256.92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0.09%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98,177.08</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35,708.84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28,567.07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232,155,194.50</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11,637,859.19</w:t>
            </w:r>
          </w:p>
        </w:tc>
        <w:tc>
          <w:tcPr>
            <w:tcW w:w="2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342,606,300.52</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3,532,660.63</w:t>
            </w:r>
          </w:p>
        </w:tc>
      </w:tr>
    </w:tbl>
    <w:p>
      <w:pPr>
        <w:pStyle w:val="BodyText"/>
        <w:spacing w:line="240" w:lineRule="auto" w:before="49"/>
        <w:ind w:right="1123"/>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60" w:lineRule="auto" w:before="25"/>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7"/>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32"/>
        <w:gridCol w:w="1935"/>
        <w:gridCol w:w="1935"/>
        <w:gridCol w:w="1945"/>
        <w:gridCol w:w="1822"/>
      </w:tblGrid>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13" w:space="0" w:color="C6ECCC"/>
            </w:tcBorders>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49"/>
        <w:ind w:right="1123"/>
        <w:jc w:val="left"/>
      </w:pPr>
      <w:r>
        <w:rPr/>
        <w:t>单项金额不重大但按信用风险特征组合后该组合的风险较大的应收账款的说明</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0"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10" w:space="0" w:color="C6ECCC"/>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13" w:space="0" w:color="C6ECCC"/>
              <w:bottom w:val="single" w:sz="4" w:space="0" w:color="000000"/>
              <w:right w:val="single" w:sz="4" w:space="0" w:color="000000"/>
            </w:tcBorders>
          </w:tcPr>
          <w:p>
            <w:pPr/>
          </w:p>
        </w:tc>
      </w:tr>
    </w:tbl>
    <w:p>
      <w:pPr>
        <w:pStyle w:val="BodyText"/>
        <w:spacing w:line="360" w:lineRule="auto" w:before="49"/>
        <w:ind w:right="9314"/>
        <w:jc w:val="left"/>
      </w:pPr>
      <w:r>
        <w:rPr/>
        <w:t>应收账款核销说明 无</w:t>
      </w:r>
    </w:p>
    <w:p>
      <w:pPr>
        <w:spacing w:line="240" w:lineRule="auto" w:before="5"/>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0"/>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71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108,189,014.99</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46.43%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79,263,613.17</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34.01%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13,482,639.97</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13,030,991.30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2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6,727,612.40</w:t>
            </w:r>
          </w:p>
        </w:tc>
        <w:tc>
          <w:tcPr>
            <w:tcW w:w="19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220,693,871.83</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94.71%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8"/>
        <w:gridCol w:w="2443"/>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1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443" w:type="dxa"/>
            <w:tcBorders>
              <w:top w:val="single" w:sz="4" w:space="0" w:color="000000"/>
              <w:left w:val="single" w:sz="10" w:space="0" w:color="C6ECCC"/>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45"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3"/>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1"/>
        <w:gridCol w:w="1454"/>
        <w:gridCol w:w="523"/>
        <w:gridCol w:w="1326"/>
        <w:gridCol w:w="523"/>
        <w:gridCol w:w="1328"/>
        <w:gridCol w:w="523"/>
        <w:gridCol w:w="1196"/>
        <w:gridCol w:w="526"/>
      </w:tblGrid>
      <w:tr>
        <w:trPr>
          <w:trHeight w:val="396" w:hRule="exact"/>
        </w:trPr>
        <w:tc>
          <w:tcPr>
            <w:tcW w:w="2171" w:type="dxa"/>
            <w:vMerge w:val="restart"/>
            <w:tcBorders>
              <w:top w:val="single" w:sz="4" w:space="0" w:color="000000"/>
              <w:left w:val="single" w:sz="4" w:space="0" w:color="000000"/>
              <w:right w:val="single" w:sz="4" w:space="0" w:color="000000"/>
            </w:tcBorders>
            <w:shd w:val="clear" w:color="auto" w:fill="D2D2D2"/>
          </w:tcPr>
          <w:p>
            <w:pPr/>
          </w:p>
        </w:tc>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1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2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77"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1"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1" w:type="dxa"/>
            <w:vMerge/>
            <w:tcBorders>
              <w:left w:val="single" w:sz="4" w:space="0" w:color="000000"/>
              <w:bottom w:val="single" w:sz="4" w:space="0" w:color="FFFFFF"/>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71" w:type="dxa"/>
            <w:vMerge w:val="restart"/>
            <w:tcBorders>
              <w:top w:val="single" w:sz="4" w:space="0" w:color="FFFFFF"/>
              <w:left w:val="single" w:sz="4" w:space="0" w:color="000000"/>
              <w:right w:val="single" w:sz="4" w:space="0" w:color="000000"/>
            </w:tcBorders>
            <w:shd w:val="clear" w:color="auto" w:fill="D2D2D2"/>
          </w:tcPr>
          <w:p>
            <w:pPr/>
          </w:p>
        </w:tc>
        <w:tc>
          <w:tcPr>
            <w:tcW w:w="145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1"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36,240,780.04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91.73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按账龄组合计提坏账准备 的其他应收款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3,266,168.69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8.27%</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224,027.76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3,410,608.17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99.41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249,196.02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3,266,168.69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8.27%</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224,027.76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3,410,608.17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99.41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249,196.02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1027"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20,363.70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39,506,948.73</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224,027.76</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3,430,971.87</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249,196.02</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45" w:top="1060" w:bottom="1440" w:left="980" w:right="0"/>
        </w:sectPr>
      </w:pPr>
    </w:p>
    <w:p>
      <w:pPr>
        <w:pStyle w:val="BodyText"/>
        <w:spacing w:line="240" w:lineRule="auto" w:before="49"/>
        <w:ind w:right="-16"/>
        <w:jc w:val="left"/>
      </w:pPr>
      <w:r>
        <w:rPr/>
        <w:t>其他应收款种类的说明</w:t>
      </w:r>
    </w:p>
    <w:p>
      <w:pPr>
        <w:pStyle w:val="BodyText"/>
        <w:spacing w:line="340" w:lineRule="auto" w:before="117"/>
        <w:ind w:right="-16" w:firstLine="360"/>
        <w:jc w:val="left"/>
      </w:pPr>
      <w:r>
        <w:rPr>
          <w:rFonts w:ascii="Times New Roman" w:hAnsi="Times New Roman" w:cs="Times New Roman" w:eastAsia="Times New Roman" w:hint="default"/>
        </w:rPr>
        <w:t>*</w:t>
      </w:r>
      <w:r>
        <w:rPr/>
        <w:t>期末单项金额重大并单项计提坏账准备的其他应收款系本公司应收子公司款项，账龄均为</w:t>
      </w:r>
      <w:r>
        <w:rPr>
          <w:rFonts w:ascii="Times New Roman" w:hAnsi="Times New Roman" w:cs="Times New Roman" w:eastAsia="Times New Roman" w:hint="default"/>
        </w:rPr>
        <w:t>1</w:t>
      </w:r>
      <w:r>
        <w:rPr/>
        <w:t>年以内。 期末单项金额重大并单项计提坏账准备的其他应收款</w:t>
      </w:r>
    </w:p>
    <w:p>
      <w:pPr>
        <w:pStyle w:val="BodyText"/>
        <w:spacing w:line="360" w:lineRule="auto" w:before="39"/>
        <w:ind w:right="4124"/>
        <w:jc w:val="left"/>
      </w:pPr>
      <w:r>
        <w:rPr/>
        <w:t>□ 适用 √</w:t>
      </w:r>
      <w:r>
        <w:rPr>
          <w:spacing w:val="3"/>
        </w:rPr>
        <w:t> </w:t>
      </w:r>
      <w:r>
        <w:rPr/>
        <w:t>不适用</w:t>
      </w:r>
      <w:r>
        <w:rPr/>
        <w:t> 组合中，采用账龄分析法计提坏账准备的其他应收款</w:t>
      </w:r>
    </w:p>
    <w:p>
      <w:pPr>
        <w:pStyle w:val="BodyText"/>
        <w:spacing w:line="240" w:lineRule="auto" w:before="25"/>
        <w:ind w:right="-16"/>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8437" w:space="392"/>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44"/>
        <w:gridCol w:w="1805"/>
        <w:gridCol w:w="662"/>
        <w:gridCol w:w="1594"/>
        <w:gridCol w:w="1862"/>
        <w:gridCol w:w="665"/>
        <w:gridCol w:w="1726"/>
      </w:tblGrid>
      <w:tr>
        <w:trPr>
          <w:trHeight w:val="402"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2,958,782.05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147,939.10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1,266,808.17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13,486.02</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163,586.64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16,358.66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2,120,100.00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61.79%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212,010.00</w:t>
            </w: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23,700.00</w:t>
            </w: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3,266,168.69</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224,027.76</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3,410,608.17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249,196.02</w:t>
            </w:r>
          </w:p>
        </w:tc>
      </w:tr>
    </w:tbl>
    <w:p>
      <w:pPr>
        <w:pStyle w:val="BodyText"/>
        <w:spacing w:line="240" w:lineRule="auto" w:before="49"/>
        <w:ind w:right="1123"/>
        <w:jc w:val="left"/>
      </w:pPr>
      <w:r>
        <w:rPr/>
        <w:t>组合中，采用余额百分比法计提坏账准备的其他应收款</w:t>
      </w:r>
    </w:p>
    <w:p>
      <w:pPr>
        <w:pStyle w:val="BodyText"/>
        <w:spacing w:line="360" w:lineRule="auto" w:before="115"/>
        <w:ind w:right="6794"/>
        <w:jc w:val="left"/>
      </w:pPr>
      <w:r>
        <w:rPr/>
        <w:t>□ 适用 √</w:t>
      </w:r>
      <w:r>
        <w:rPr>
          <w:spacing w:val="3"/>
        </w:rPr>
        <w:t> </w:t>
      </w:r>
      <w:r>
        <w:rPr/>
        <w:t>不适用</w:t>
      </w:r>
      <w:r>
        <w:rPr/>
        <w:t> 组合中，采用其他方法计提坏账准备的其他应收款</w:t>
      </w:r>
    </w:p>
    <w:p>
      <w:pPr>
        <w:pStyle w:val="BodyText"/>
        <w:spacing w:line="357" w:lineRule="auto" w:before="27"/>
        <w:ind w:right="6254"/>
        <w:jc w:val="left"/>
      </w:pPr>
      <w:r>
        <w:rPr/>
        <w:t>□ 适用 √</w:t>
      </w:r>
      <w:r>
        <w:rPr>
          <w:spacing w:val="3"/>
        </w:rPr>
        <w:t> </w:t>
      </w:r>
      <w:r>
        <w:rPr/>
        <w:t>不适用</w:t>
      </w:r>
      <w:r>
        <w:rPr/>
        <w:t> 期末单项金额虽不重大但单项计提坏账准备的其他应收款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0"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8" w:hRule="exact"/>
        </w:trPr>
        <w:tc>
          <w:tcPr>
            <w:tcW w:w="21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pStyle w:val="BodyText"/>
        <w:spacing w:line="357" w:lineRule="auto" w:before="49"/>
        <w:ind w:right="4454"/>
        <w:jc w:val="left"/>
      </w:pPr>
      <w:r>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1" w:type="dxa"/>
            <w:tcBorders>
              <w:top w:val="single" w:sz="4" w:space="0" w:color="000000"/>
              <w:left w:val="single" w:sz="13" w:space="0" w:color="C6ECCC"/>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02" w:type="dxa"/>
            <w:tcBorders>
              <w:top w:val="single" w:sz="4" w:space="0" w:color="000000"/>
              <w:left w:val="single" w:sz="10" w:space="0" w:color="C6ECCC"/>
              <w:bottom w:val="single" w:sz="4" w:space="0" w:color="000000"/>
              <w:right w:val="single" w:sz="4" w:space="0" w:color="000000"/>
            </w:tcBorders>
          </w:tcPr>
          <w:p>
            <w:pPr/>
          </w:p>
        </w:tc>
      </w:tr>
    </w:tbl>
    <w:p>
      <w:pPr>
        <w:pStyle w:val="BodyText"/>
        <w:spacing w:line="360" w:lineRule="auto" w:before="49"/>
        <w:ind w:right="9134"/>
        <w:jc w:val="left"/>
      </w:pPr>
      <w:r>
        <w:rPr/>
        <w:t>其他应收款核销说明 无</w:t>
      </w:r>
    </w:p>
    <w:p>
      <w:pPr>
        <w:spacing w:after="0" w:line="360" w:lineRule="auto"/>
        <w:jc w:val="left"/>
        <w:sectPr>
          <w:pgSz w:w="11910" w:h="16840"/>
          <w:pgMar w:header="877" w:footer="1245"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4"/>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20"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深圳市卓大精密模具有 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36,240,780.04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91.73%</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深圳英特利投资有限公 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员工社保费</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361,403.45</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李玲燕</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深圳市同裕洋实业有限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163,586.64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38,935,770.13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8"/>
        <w:gridCol w:w="2443"/>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1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443" w:type="dxa"/>
            <w:tcBorders>
              <w:top w:val="single" w:sz="4" w:space="0" w:color="000000"/>
              <w:left w:val="single" w:sz="10" w:space="0" w:color="C6ECCC"/>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3"/>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3"/>
        <w:jc w:val="left"/>
      </w:pPr>
      <w:r>
        <w:rPr/>
        <w:t>无</w:t>
      </w:r>
    </w:p>
    <w:p>
      <w:pPr>
        <w:spacing w:after="0" w:line="240" w:lineRule="auto"/>
        <w:jc w:val="left"/>
        <w:sectPr>
          <w:pgSz w:w="11910" w:h="16840"/>
          <w:pgMar w:header="877" w:footer="1245"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798"/>
        <w:gridCol w:w="797"/>
        <w:gridCol w:w="799"/>
        <w:gridCol w:w="797"/>
      </w:tblGrid>
      <w:tr>
        <w:trPr>
          <w:trHeight w:val="1958"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30"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3"/>
              <w:ind w:left="22" w:right="39"/>
              <w:jc w:val="both"/>
              <w:rPr>
                <w:rFonts w:ascii="宋体" w:hAnsi="宋体" w:cs="宋体" w:eastAsia="宋体" w:hint="default"/>
                <w:sz w:val="18"/>
                <w:szCs w:val="18"/>
              </w:rPr>
            </w:pPr>
            <w:r>
              <w:rPr>
                <w:rFonts w:ascii="宋体" w:hAnsi="宋体" w:cs="宋体" w:eastAsia="宋体" w:hint="default"/>
                <w:sz w:val="18"/>
                <w:szCs w:val="18"/>
              </w:rPr>
              <w:t>卓翼科技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745,520.0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深圳市卓 大精密模 具有限公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64,868,11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64,868,11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64,868,11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深圳市中 广视讯科 技发展有 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7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天津卓达 科技发展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448,977,3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174,800,0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274,177,3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448,977,3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524,590,9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250,413,6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274,177,3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524,590,9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61.63</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长期股权投资的说明</w:t>
      </w:r>
    </w:p>
    <w:p>
      <w:pPr>
        <w:pStyle w:val="BodyText"/>
        <w:spacing w:line="300" w:lineRule="auto" w:before="117"/>
        <w:ind w:right="1123" w:firstLine="360"/>
        <w:jc w:val="left"/>
      </w:pPr>
      <w:r>
        <w:rPr>
          <w:rFonts w:ascii="Times New Roman" w:hAnsi="Times New Roman" w:cs="Times New Roman" w:eastAsia="Times New Roman" w:hint="default"/>
        </w:rPr>
        <w:t>*</w:t>
      </w:r>
      <w:r>
        <w:rPr/>
        <w:t>根据本公司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日第二届董事会第十九次决议，对本公司之全资子公司天津卓达科技发展有限公司进行增资 </w:t>
      </w:r>
      <w:r>
        <w:rPr>
          <w:rFonts w:ascii="Times New Roman" w:hAnsi="Times New Roman" w:cs="Times New Roman" w:eastAsia="Times New Roman" w:hint="default"/>
        </w:rPr>
        <w:t>274,177,322.06</w:t>
      </w:r>
      <w:r>
        <w:rPr/>
        <w:t>元，用于天津网络通信产品生产建设项目</w:t>
      </w:r>
      <w:r>
        <w:rPr>
          <w:rFonts w:ascii="Times New Roman" w:hAnsi="Times New Roman" w:cs="Times New Roman" w:eastAsia="Times New Roman" w:hint="default"/>
        </w:rPr>
        <w:t>(</w:t>
      </w:r>
      <w:r>
        <w:rPr/>
        <w:t>二期</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1,441,220,049.21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1,226,111,256.60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18,439,476.16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10,136,569.73</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1,459,659,525.37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1,236,247,826.33</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1,280,422,573.56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1,080,254,927.33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45" w:top="1060" w:bottom="14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89584"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166</w:t>
                    </w:r>
                  </w:p>
                </w:txbxContent>
              </v:textbox>
              <w10:wrap type="none"/>
            </v:shape>
            <w10:wrap type="none"/>
          </v:group>
        </w:pict>
      </w: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1,441,220,049.21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1,265,986,502.99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1,226,111,256.60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1,072,322,552.23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1,441,220,049.21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1,265,986,502.99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1,226,111,256.60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1,072,322,552.23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1,133,513,355.68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1,018,844,348.73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1,096,336,603.30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969,490,302.89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252,563,267.52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202,478,894.09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81,111,713.30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65,407,708.28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55,143,426.01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44,663,260.17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48,662,940.00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37,424,541.06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1,441,220,049.21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1,265,986,502.99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1,226,111,256.60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1,072,322,552.23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1,278,380,219.07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1,129,312,774.74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1,085,036,912.40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953,887,126.59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162,839,830.14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136,673,728.25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141,074,344.20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118,435,425.64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1,441,220,049.21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1,265,986,502.99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1,226,111,256.60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1,072,322,552.23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7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561,657,733.71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38.48%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417,736,287.96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68,113,395.81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60,794,864.11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48,061,915.16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1,156,364,196.75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79.22%</w:t>
            </w:r>
          </w:p>
        </w:tc>
      </w:tr>
    </w:tbl>
    <w:p>
      <w:pPr>
        <w:spacing w:after="0" w:line="240" w:lineRule="auto"/>
        <w:jc w:val="right"/>
        <w:rPr>
          <w:rFonts w:ascii="Times New Roman" w:hAnsi="Times New Roman" w:cs="Times New Roman" w:eastAsia="Times New Roman" w:hint="default"/>
          <w:sz w:val="18"/>
          <w:szCs w:val="18"/>
        </w:rPr>
        <w:sectPr>
          <w:headerReference w:type="default" r:id="rId77"/>
          <w:footerReference w:type="default" r:id="rId78"/>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9494"/>
        <w:jc w:val="left"/>
      </w:pPr>
      <w:r>
        <w:rPr/>
        <w:t>营业收入的说明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spacing w:before="0"/>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2"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1"/>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357" w:lineRule="auto" w:before="49"/>
        <w:ind w:right="9494"/>
        <w:jc w:val="left"/>
      </w:pPr>
      <w:r>
        <w:rPr/>
        <w:t>投资收益的说明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87,311,613.02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92,534,659.15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8,366,711.42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1,129,309.68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37,433,356.82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29,737,853.11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812,954.07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491,689.51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7,012,023.11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4,856,419.27</w:t>
            </w:r>
          </w:p>
        </w:tc>
      </w:tr>
      <w:tr>
        <w:trPr>
          <w:trHeight w:val="714"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1,758,418.21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3,819,766.75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-2,950,931.09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-1,255,006.71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-169,396.45</w:t>
            </w:r>
          </w:p>
        </w:tc>
      </w:tr>
    </w:tbl>
    <w:p>
      <w:pPr>
        <w:spacing w:after="0" w:line="240" w:lineRule="auto"/>
        <w:jc w:val="right"/>
        <w:rPr>
          <w:rFonts w:ascii="Times New Roman" w:hAnsi="Times New Roman" w:cs="Times New Roman" w:eastAsia="Times New Roman" w:hint="default"/>
          <w:sz w:val="18"/>
          <w:szCs w:val="18"/>
        </w:rPr>
        <w:sectPr>
          <w:footerReference w:type="default" r:id="rId79"/>
          <w:pgSz w:w="11910" w:h="16840"/>
          <w:pgMar w:footer="1340" w:header="877" w:top="1060" w:bottom="1540" w:left="980" w:right="0"/>
          <w:pgNumType w:start="167"/>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-64,019,453.08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-9,365,650.01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40,945,671.54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-152,076,897.63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36,570,999.81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116,179,594.85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156,998,636.78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82,125,068.60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270,918,376.32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104,160,471.88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104,160,471.88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306,733,008.23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166,757,904.44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-202,572,536.35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3"/>
        <w:jc w:val="left"/>
      </w:pPr>
      <w:r>
        <w:rPr/>
        <w:t>反向购买下以公允价值入账的资产、负债情况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39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r>
        <w:trPr>
          <w:trHeight w:val="408"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反向购买形成长期股权投资的情况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9"/>
      </w:tblGrid>
      <w:tr>
        <w:trPr>
          <w:trHeight w:val="39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r>
        <w:trPr>
          <w:trHeight w:val="408"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十六、补充资料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0.4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589"/>
        <w:gridCol w:w="1417"/>
        <w:gridCol w:w="1418"/>
        <w:gridCol w:w="992"/>
        <w:gridCol w:w="3265"/>
      </w:tblGrid>
      <w:tr>
        <w:trPr>
          <w:trHeight w:val="665" w:hRule="exact"/>
        </w:trPr>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或本期金额</w:t>
            </w:r>
            <w:r>
              <w:rPr>
                <w:rFonts w:ascii="Times New Roman" w:hAnsi="Times New Roman" w:cs="Times New Roman" w:eastAsia="Times New Roman" w:hint="default"/>
                <w:sz w:val="18"/>
                <w:szCs w:val="18"/>
              </w:rPr>
              <w:t>)</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或上期金额</w:t>
            </w: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26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主要变动原因</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394,029,977.23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271,342,486.92</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45.21%</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本年度非公开发行新股所致</w:t>
            </w:r>
          </w:p>
        </w:tc>
      </w:tr>
      <w:tr>
        <w:trPr>
          <w:trHeight w:val="350"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207,235,312.56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133,305,403.79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55.46%</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以票据结算客户的业务增加所致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769,222.47</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定期存款减少所致</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233,994,280.48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347,294,970.60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(32.62%)</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10"/>
              <w:ind w:left="4" w:right="3"/>
              <w:jc w:val="left"/>
              <w:rPr>
                <w:rFonts w:ascii="宋体" w:hAnsi="宋体" w:cs="宋体" w:eastAsia="宋体" w:hint="default"/>
                <w:sz w:val="18"/>
                <w:szCs w:val="18"/>
              </w:rPr>
            </w:pPr>
            <w:r>
              <w:rPr>
                <w:rFonts w:ascii="宋体" w:hAnsi="宋体" w:cs="宋体" w:eastAsia="宋体" w:hint="default"/>
                <w:sz w:val="18"/>
                <w:szCs w:val="18"/>
              </w:rPr>
              <w:t>坏账准备会计估计变更及客户结算方式变 化所致</w:t>
            </w:r>
          </w:p>
        </w:tc>
      </w:tr>
      <w:tr>
        <w:trPr>
          <w:trHeight w:val="662"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5,444,730.57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38,842,681.69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(85.98%)</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8"/>
              <w:ind w:left="4" w:right="3"/>
              <w:jc w:val="left"/>
              <w:rPr>
                <w:rFonts w:ascii="宋体" w:hAnsi="宋体" w:cs="宋体" w:eastAsia="宋体" w:hint="default"/>
                <w:sz w:val="18"/>
                <w:szCs w:val="18"/>
              </w:rPr>
            </w:pPr>
            <w:r>
              <w:rPr>
                <w:rFonts w:ascii="宋体" w:hAnsi="宋体" w:cs="宋体" w:eastAsia="宋体" w:hint="default"/>
                <w:sz w:val="18"/>
                <w:szCs w:val="18"/>
              </w:rPr>
              <w:t>预付创新大厦购房款转入其他非流动资产 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203,226,284.40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131,050,733.79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55.07%</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业务增加及产能扩大所致</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34,164,898.84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10,708,281.16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219.05%</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10"/>
              <w:ind w:left="4" w:right="3"/>
              <w:jc w:val="left"/>
              <w:rPr>
                <w:rFonts w:ascii="宋体" w:hAnsi="宋体" w:cs="宋体" w:eastAsia="宋体" w:hint="default"/>
                <w:sz w:val="18"/>
                <w:szCs w:val="18"/>
              </w:rPr>
            </w:pPr>
            <w:r>
              <w:rPr>
                <w:rFonts w:ascii="宋体" w:hAnsi="宋体" w:cs="宋体" w:eastAsia="宋体" w:hint="default"/>
                <w:sz w:val="18"/>
                <w:szCs w:val="18"/>
              </w:rPr>
              <w:t>采购物料及固定资产增加引起待抵扣进项 税增多所致</w:t>
            </w:r>
          </w:p>
        </w:tc>
      </w:tr>
      <w:tr>
        <w:trPr>
          <w:trHeight w:val="662"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541,577,149.20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255,076,985.34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112.32%</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8"/>
              <w:ind w:left="4" w:right="3"/>
              <w:jc w:val="left"/>
              <w:rPr>
                <w:rFonts w:ascii="宋体" w:hAnsi="宋体" w:cs="宋体" w:eastAsia="宋体" w:hint="default"/>
                <w:sz w:val="18"/>
                <w:szCs w:val="18"/>
              </w:rPr>
            </w:pPr>
            <w:r>
              <w:rPr>
                <w:rFonts w:ascii="宋体" w:hAnsi="宋体" w:cs="宋体" w:eastAsia="宋体" w:hint="default"/>
                <w:sz w:val="18"/>
                <w:szCs w:val="18"/>
              </w:rPr>
              <w:t>扩大产能增加设备及天津基地可使用基建 工程转固定资产所致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187,073,522.19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120,177,449.38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55.66%</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募投项目建设所致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27,380,969.81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14,942,050.54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83.25%</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固定资产改良支出及生产模具增加所致</w:t>
            </w:r>
          </w:p>
        </w:tc>
      </w:tr>
      <w:tr>
        <w:trPr>
          <w:trHeight w:val="350"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5,675,101.32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2,283,022.04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148.58%</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坏账准备及可弥补子公司亏损增加所致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52,500,000.00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预付购买创新大厦款项</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104,768,196.41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77,265,605.90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35.59%</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供应商付款方式变化所致</w:t>
            </w:r>
          </w:p>
        </w:tc>
      </w:tr>
      <w:tr>
        <w:trPr>
          <w:trHeight w:val="351"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5,944,370.52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2,556,271.49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132.54%</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开发新客户，改善客户结算条件所致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18,297,153.96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11,081,057.60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65.12%</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产能扩大、员工增加、薪酬调整所致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125,796.78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1,025,479.91</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(87.73%)</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借款时点接近年末所致</w:t>
            </w:r>
          </w:p>
        </w:tc>
      </w:tr>
      <w:tr>
        <w:trPr>
          <w:trHeight w:val="350"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4,492,259.68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2,701,082.56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66.31%</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工程尾款和保证金增加所致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872,174,568.77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413,260,568.77</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111.05%</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本年度非公开发行新股所致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36,959,865.05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28,228,703.75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30.93%</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按当期净利润计提所致</w:t>
            </w:r>
          </w:p>
        </w:tc>
      </w:tr>
      <w:tr>
        <w:trPr>
          <w:trHeight w:val="662"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3,979,978.71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1,537,572.73</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158.85%</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8"/>
              <w:ind w:left="4" w:right="3"/>
              <w:jc w:val="left"/>
              <w:rPr>
                <w:rFonts w:ascii="宋体" w:hAnsi="宋体" w:cs="宋体" w:eastAsia="宋体" w:hint="default"/>
                <w:sz w:val="18"/>
                <w:szCs w:val="18"/>
              </w:rPr>
            </w:pPr>
            <w:r>
              <w:rPr>
                <w:rFonts w:ascii="宋体" w:hAnsi="宋体" w:cs="宋体" w:eastAsia="宋体" w:hint="default"/>
                <w:sz w:val="18"/>
                <w:szCs w:val="18"/>
              </w:rPr>
              <w:t>补交上年免抵退增值税影响的流转附加税 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19,471,493.95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10,937,388.43</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78.03%</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人员架构调整及加大市场业务推广所致</w:t>
            </w:r>
          </w:p>
        </w:tc>
      </w:tr>
      <w:tr>
        <w:trPr>
          <w:trHeight w:val="665"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4,991,867.79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(7,165,633.35)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169.66%</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316" w:lineRule="auto" w:before="10"/>
              <w:ind w:left="4" w:right="3"/>
              <w:jc w:val="left"/>
              <w:rPr>
                <w:rFonts w:ascii="宋体" w:hAnsi="宋体" w:cs="宋体" w:eastAsia="宋体" w:hint="default"/>
                <w:sz w:val="18"/>
                <w:szCs w:val="18"/>
              </w:rPr>
            </w:pPr>
            <w:r>
              <w:rPr>
                <w:rFonts w:ascii="宋体" w:hAnsi="宋体" w:cs="宋体" w:eastAsia="宋体" w:hint="default"/>
                <w:sz w:val="18"/>
                <w:szCs w:val="18"/>
              </w:rPr>
              <w:t>贴现利息增加，同时募集资金陆续使用导 致定期存款利息减少所致</w:t>
            </w:r>
          </w:p>
        </w:tc>
      </w:tr>
      <w:tr>
        <w:trPr>
          <w:trHeight w:val="351"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9,049,485.45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1,166,854.07</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675.55%</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坏账准备会计估计变更导致坏账准备增加</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6,172,379.53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1,813,572.17</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240.34%</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收到政府补助款增加所致</w:t>
            </w:r>
          </w:p>
        </w:tc>
      </w:tr>
      <w:tr>
        <w:trPr>
          <w:trHeight w:val="353" w:hRule="exact"/>
        </w:trPr>
        <w:tc>
          <w:tcPr>
            <w:tcW w:w="15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122,471.51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1,799,052.28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(93.19%)</w:t>
            </w:r>
          </w:p>
        </w:tc>
        <w:tc>
          <w:tcPr>
            <w:tcW w:w="32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上年处置部分固定资产所致</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0"/>
        <w:ind w:left="3285" w:right="1123" w:firstLine="0"/>
        <w:jc w:val="left"/>
        <w:rPr>
          <w:rFonts w:ascii="宋体" w:hAnsi="宋体" w:cs="宋体" w:eastAsia="宋体" w:hint="default"/>
          <w:sz w:val="32"/>
          <w:szCs w:val="32"/>
        </w:rPr>
      </w:pPr>
      <w:r>
        <w:rPr>
          <w:rFonts w:ascii="宋体" w:hAnsi="宋体" w:cs="宋体" w:eastAsia="宋体" w:hint="default"/>
          <w:b/>
          <w:bCs/>
          <w:sz w:val="32"/>
          <w:szCs w:val="32"/>
        </w:rPr>
        <w:t>第十一节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316" w:lineRule="auto"/>
        <w:ind w:left="513" w:right="3373"/>
        <w:jc w:val="left"/>
      </w:pPr>
      <w:r>
        <w:rPr/>
        <w:t>一、载有法定代表人、主管会计工作负责人、会计主管人员签名并盖章的财务报表。 二、载有会计师事务所盖章、注册会计师签名并盖章的审计报告原件。 三、报告期内在中国证监会指定报纸上公开披露过的所有公司文件的正本及公告的原稿。 四、</w:t>
      </w:r>
      <w:r>
        <w:rPr>
          <w:rFonts w:ascii="Times New Roman" w:hAnsi="Times New Roman" w:cs="Times New Roman" w:eastAsia="Times New Roman" w:hint="default"/>
        </w:rPr>
        <w:t>2012</w:t>
      </w:r>
      <w:r>
        <w:rPr/>
        <w:t>年年度报告原件。</w:t>
      </w:r>
    </w:p>
    <w:p>
      <w:pPr>
        <w:pStyle w:val="BodyText"/>
        <w:spacing w:line="235" w:lineRule="exact"/>
        <w:ind w:left="513" w:right="1123"/>
        <w:jc w:val="left"/>
      </w:pPr>
      <w:r>
        <w:rPr/>
        <w:t>五、以上备查文件的备置地点：公司证券部办公室。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316" w:lineRule="auto"/>
        <w:ind w:left="7512" w:right="1770" w:hanging="716"/>
        <w:jc w:val="left"/>
      </w:pPr>
      <w:r>
        <w:rPr/>
        <w:t>深圳市卓翼科技股份有限公司 董事长：田昱</w:t>
      </w:r>
    </w:p>
    <w:p>
      <w:pPr>
        <w:pStyle w:val="BodyText"/>
        <w:spacing w:line="240" w:lineRule="auto" w:before="19"/>
        <w:ind w:left="0" w:right="1986"/>
        <w:jc w:val="right"/>
      </w:pPr>
      <w:r>
        <w:rPr>
          <w:spacing w:val="-1"/>
        </w:rPr>
        <w:t>二</w:t>
      </w:r>
      <w:r>
        <w:rPr>
          <w:rFonts w:ascii="Times New Roman" w:hAnsi="Times New Roman" w:cs="Times New Roman" w:eastAsia="Times New Roman" w:hint="default"/>
          <w:spacing w:val="-1"/>
        </w:rPr>
        <w:t>O</w:t>
      </w:r>
      <w:r>
        <w:rPr>
          <w:spacing w:val="-1"/>
        </w:rPr>
        <w:t>一三年四月八日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2320" type="#_x0000_t75" stroked="false">
          <v:imagedata r:id="rId1" o:title=""/>
        </v:shape>
      </w:pict>
    </w:r>
    <w:r>
      <w:rPr/>
      <w:pict>
        <v:shape style="position:absolute;margin-left:533.099976pt;margin-top:795.637939pt;width:6.5pt;height:11pt;mso-position-horizontal-relative:page;mso-position-vertical-relative:page;z-index:-9922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840" type="#_x0000_t75" stroked="false">
          <v:imagedata r:id="rId1" o:title=""/>
        </v:shape>
      </w:pict>
    </w:r>
    <w:r>
      <w:rPr/>
      <w:pict>
        <v:shape style="position:absolute;margin-left:527.659973pt;margin-top:781.933899pt;width:13.15pt;height:11pt;mso-position-horizontal-relative:page;mso-position-vertical-relative:page;z-index:-991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744" type="#_x0000_t75" stroked="false">
          <v:imagedata r:id="rId1" o:title=""/>
        </v:shape>
      </w:pict>
    </w:r>
    <w:r>
      <w:rPr/>
      <w:pict>
        <v:shape style="position:absolute;margin-left:527.659973pt;margin-top:781.933899pt;width:13.15pt;height:11pt;mso-position-horizontal-relative:page;mso-position-vertical-relative:page;z-index:-991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648" type="#_x0000_t75" stroked="false">
          <v:imagedata r:id="rId1" o:title=""/>
        </v:shape>
      </w:pict>
    </w:r>
    <w:r>
      <w:rPr/>
      <w:pict>
        <v:shape style="position:absolute;margin-left:527.659973pt;margin-top:781.933899pt;width:13.15pt;height:11pt;mso-position-horizontal-relative:page;mso-position-vertical-relative:page;z-index:-991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600" type="#_x0000_t75" stroked="false">
          <v:imagedata r:id="rId1" o:title=""/>
        </v:shape>
      </w:pict>
    </w:r>
    <w:r>
      <w:rPr/>
      <w:pict>
        <v:shape style="position:absolute;margin-left:527.659973pt;margin-top:781.933899pt;width:13.15pt;height:11pt;mso-position-horizontal-relative:page;mso-position-vertical-relative:page;z-index:-991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504" type="#_x0000_t75" stroked="false">
          <v:imagedata r:id="rId1" o:title=""/>
        </v:shape>
      </w:pict>
    </w:r>
    <w:r>
      <w:rPr/>
      <w:pict>
        <v:shape style="position:absolute;margin-left:527.659973pt;margin-top:781.933899pt;width:13.15pt;height:11pt;mso-position-horizontal-relative:page;mso-position-vertical-relative:page;z-index:-991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2272" type="#_x0000_t75" stroked="false">
          <v:imagedata r:id="rId1" o:title=""/>
        </v:shape>
      </w:pict>
    </w:r>
    <w:r>
      <w:rPr/>
      <w:pict>
        <v:shape style="position:absolute;margin-left:527.659973pt;margin-top:781.933899pt;width:13.15pt;height:11pt;mso-position-horizontal-relative:page;mso-position-vertical-relative:page;z-index:-992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408" type="#_x0000_t75" stroked="false">
          <v:imagedata r:id="rId1" o:title=""/>
        </v:shape>
      </w:pict>
    </w:r>
    <w:r>
      <w:rPr/>
      <w:pict>
        <v:shape style="position:absolute;margin-left:527.659973pt;margin-top:781.933899pt;width:13.15pt;height:11pt;mso-position-horizontal-relative:page;mso-position-vertical-relative:page;z-index:-991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360" type="#_x0000_t75" stroked="false">
          <v:imagedata r:id="rId1" o:title=""/>
        </v:shape>
      </w:pict>
    </w:r>
    <w:r>
      <w:rPr/>
      <w:pict>
        <v:shape style="position:absolute;margin-left:527.659973pt;margin-top:781.933899pt;width:13.15pt;height:11pt;mso-position-horizontal-relative:page;mso-position-vertical-relative:page;z-index:-991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312" type="#_x0000_t75" stroked="false">
          <v:imagedata r:id="rId1" o:title=""/>
        </v:shape>
      </w:pict>
    </w:r>
    <w:r>
      <w:rPr/>
      <w:pict>
        <v:shape style="position:absolute;margin-left:527.659973pt;margin-top:781.933899pt;width:13.15pt;height:11pt;mso-position-horizontal-relative:page;mso-position-vertical-relative:page;z-index:-991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168" type="#_x0000_t75" stroked="false">
          <v:imagedata r:id="rId1" o:title=""/>
        </v:shape>
      </w:pict>
    </w:r>
    <w:r>
      <w:rPr/>
      <w:pict>
        <v:shape style="position:absolute;margin-left:523.099976pt;margin-top:781.933899pt;width:17.7pt;height:11pt;mso-position-horizontal-relative:page;mso-position-vertical-relative:page;z-index:-991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072" type="#_x0000_t75" stroked="false">
          <v:imagedata r:id="rId1" o:title=""/>
        </v:shape>
      </w:pict>
    </w:r>
    <w:r>
      <w:rPr/>
      <w:pict>
        <v:shape style="position:absolute;margin-left:523.460022pt;margin-top:781.933899pt;width:17.3pt;height:11pt;mso-position-horizontal-relative:page;mso-position-vertical-relative:page;z-index:-991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024" type="#_x0000_t75" stroked="false">
          <v:imagedata r:id="rId1" o:title=""/>
        </v:shape>
      </w:pict>
    </w:r>
    <w:r>
      <w:rPr/>
      <w:pict>
        <v:shape style="position:absolute;margin-left:523.460022pt;margin-top:781.933899pt;width:17.3pt;height:11pt;mso-position-horizontal-relative:page;mso-position-vertical-relative:page;z-index:-991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0976" type="#_x0000_t75" stroked="false">
          <v:imagedata r:id="rId1" o:title=""/>
        </v:shape>
      </w:pict>
    </w:r>
    <w:r>
      <w:rPr/>
      <w:pict>
        <v:shape style="position:absolute;margin-left:523.099976pt;margin-top:781.933899pt;width:17.7pt;height:11pt;mso-position-horizontal-relative:page;mso-position-vertical-relative:page;z-index:-990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0736" type="#_x0000_t75" stroked="false">
          <v:imagedata r:id="rId1" o:title=""/>
        </v:shape>
      </w:pict>
    </w:r>
    <w:r>
      <w:rPr/>
      <w:pict>
        <v:shape style="position:absolute;margin-left:523.099976pt;margin-top:781.933899pt;width:17.7pt;height:11pt;mso-position-horizontal-relative:page;mso-position-vertical-relative:page;z-index:-990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0592" type="#_x0000_t75" stroked="false">
          <v:imagedata r:id="rId1" o:title=""/>
        </v:shape>
      </w:pict>
    </w:r>
    <w:r>
      <w:rPr/>
      <w:pict>
        <v:shape style="position:absolute;margin-left:55.639999pt;margin-top:756.841614pt;width:11pt;height:11pt;mso-position-horizontal-relative:page;mso-position-vertical-relative:page;z-index:-990568" type="#_x0000_t202" filled="false" stroked="false">
          <v:textbox inset="0,0,0,0">
            <w:txbxContent>
              <w:p>
                <w:pPr>
                  <w:pStyle w:val="BodyText"/>
                  <w:spacing w:line="200" w:lineRule="exact"/>
                  <w:ind w:left="20" w:right="0"/>
                  <w:jc w:val="left"/>
                </w:pPr>
                <w:r>
                  <w:rPr/>
                  <w:t>无</w:t>
                </w:r>
              </w:p>
            </w:txbxContent>
          </v:textbox>
          <w10:wrap type="none"/>
        </v:shape>
      </w:pict>
    </w:r>
    <w:r>
      <w:rPr/>
      <w:pict>
        <v:shape style="position:absolute;margin-left:523.099976pt;margin-top:781.933899pt;width:17.7pt;height:11pt;mso-position-horizontal-relative:page;mso-position-vertical-relative:page;z-index:-990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157</w:t>
                </w:r>
                <w:r>
                  <w:rPr/>
                  <w:fldChar w:fldCharType="end"/>
                </w:r>
                <w:r>
                  <w:rPr>
                    <w:rFonts w:ascii="Times New Roman"/>
                    <w:spacing w:val="1"/>
                  </w:rPr>
                </w:r>
                <w:r>
                  <w:rPr>
                    <w:rFonts w:ascii="Times New Roman"/>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0520" type="#_x0000_t75" stroked="false">
          <v:imagedata r:id="rId1" o:title=""/>
        </v:shape>
      </w:pict>
    </w:r>
    <w:r>
      <w:rPr/>
      <w:pict>
        <v:shape style="position:absolute;margin-left:55.639999pt;margin-top:756.841614pt;width:11pt;height:11pt;mso-position-horizontal-relative:page;mso-position-vertical-relative:page;z-index:-990496" type="#_x0000_t202" filled="false" stroked="false">
          <v:textbox inset="0,0,0,0">
            <w:txbxContent>
              <w:p>
                <w:pPr>
                  <w:pStyle w:val="BodyText"/>
                  <w:spacing w:line="200" w:lineRule="exact"/>
                  <w:ind w:left="20" w:right="0"/>
                  <w:jc w:val="left"/>
                </w:pPr>
                <w:r>
                  <w:rPr/>
                  <w:t>无</w:t>
                </w:r>
              </w:p>
            </w:txbxContent>
          </v:textbox>
          <w10:wrap type="none"/>
        </v:shape>
      </w:pict>
    </w:r>
    <w:r>
      <w:rPr/>
      <w:pict>
        <v:shape style="position:absolute;margin-left:523.099976pt;margin-top:781.933899pt;width:17.7pt;height:11pt;mso-position-horizontal-relative:page;mso-position-vertical-relative:page;z-index:-990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157</w:t>
                </w:r>
                <w:r>
                  <w:rPr/>
                  <w:fldChar w:fldCharType="end"/>
                </w:r>
                <w:r>
                  <w:rPr>
                    <w:rFonts w:ascii="Times New Roman"/>
                    <w:spacing w:val="1"/>
                  </w:rPr>
                </w:r>
                <w:r>
                  <w:rPr>
                    <w:rFonts w:ascii="Times New Roman"/>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0448" type="#_x0000_t75" stroked="false">
          <v:imagedata r:id="rId1" o:title=""/>
        </v:shape>
      </w:pict>
    </w:r>
    <w:r>
      <w:rPr/>
      <w:pict>
        <v:shape style="position:absolute;margin-left:523.099976pt;margin-top:781.933899pt;width:17.7pt;height:11pt;mso-position-horizontal-relative:page;mso-position-vertical-relative:page;z-index:-990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2176" type="#_x0000_t75" stroked="false">
          <v:imagedata r:id="rId1" o:title=""/>
        </v:shape>
      </w:pict>
    </w:r>
    <w:r>
      <w:rPr/>
      <w:pict>
        <v:shape style="position:absolute;margin-left:527.659973pt;margin-top:781.933899pt;width:13.15pt;height:11pt;mso-position-horizontal-relative:page;mso-position-vertical-relative:page;z-index:-992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w:t>
                </w:r>
                <w:r>
                  <w:rPr/>
                  <w:fldChar w:fldCharType="end"/>
                </w:r>
                <w:r>
                  <w:rPr>
                    <w:rFonts w:ascii="Times New Roman"/>
                    <w:spacing w:val="1"/>
                  </w:rPr>
                </w:r>
                <w:r>
                  <w:rPr>
                    <w:rFonts w:ascii="Times New Roman"/>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0352" type="#_x0000_t75" stroked="false">
          <v:imagedata r:id="rId1" o:title=""/>
        </v:shape>
      </w:pict>
    </w:r>
    <w:r>
      <w:rPr/>
      <w:pict>
        <v:shape style="position:absolute;margin-left:523.099976pt;margin-top:781.933899pt;width:17.7pt;height:11pt;mso-position-horizontal-relative:page;mso-position-vertical-relative:page;z-index:-990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167</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91984" type="#_x0000_t75" stroked="false">
          <v:imagedata r:id="rId1" o:title=""/>
        </v:shape>
      </w:pict>
    </w:r>
    <w:r>
      <w:rPr/>
      <w:pict>
        <v:shape style="position:absolute;margin-left:527.659973pt;margin-top:781.933899pt;width:13.15pt;height:11pt;mso-position-horizontal-relative:page;mso-position-vertical-relative:page;z-index:-991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92344"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528"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4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432"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2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240"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192"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096"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9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904"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856"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808"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7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760"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664"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2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2200"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6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616"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0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0376"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21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2104"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20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2056"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20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2008"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912"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8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864"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7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768"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916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91672" type="#_x0000_t202" filled="false" stroked="false">
          <v:textbox inset="0,0,0,0">
            <w:txbxContent>
              <w:p>
                <w:pPr>
                  <w:pStyle w:val="BodyText"/>
                  <w:spacing w:line="214" w:lineRule="exact"/>
                  <w:ind w:left="20" w:right="0"/>
                  <w:jc w:val="left"/>
                </w:pPr>
                <w:r>
                  <w:rPr/>
                  <w:t>深圳市卓翼科技股份有限公司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zowee.com.cn/" TargetMode="External"/><Relationship Id="rId11" Type="http://schemas.openxmlformats.org/officeDocument/2006/relationships/hyperlink" Target="mailto:message@zowee.com.cn" TargetMode="External"/><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image" Target="media/image6.jpeg"/><Relationship Id="rId31" Type="http://schemas.openxmlformats.org/officeDocument/2006/relationships/footer" Target="footer11.xml"/><Relationship Id="rId32" Type="http://schemas.openxmlformats.org/officeDocument/2006/relationships/header" Target="header8.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9.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image" Target="media/image7.jpe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footer" Target="footer16.xml"/><Relationship Id="rId42" Type="http://schemas.openxmlformats.org/officeDocument/2006/relationships/header" Target="header10.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header" Target="header11.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header" Target="header12.xml"/><Relationship Id="rId51" Type="http://schemas.openxmlformats.org/officeDocument/2006/relationships/footer" Target="footer23.xml"/><Relationship Id="rId52" Type="http://schemas.openxmlformats.org/officeDocument/2006/relationships/header" Target="header13.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14.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header" Target="header15.xml"/><Relationship Id="rId61" Type="http://schemas.openxmlformats.org/officeDocument/2006/relationships/footer" Target="footer30.xml"/><Relationship Id="rId62" Type="http://schemas.openxmlformats.org/officeDocument/2006/relationships/header" Target="header16.xml"/><Relationship Id="rId63" Type="http://schemas.openxmlformats.org/officeDocument/2006/relationships/footer" Target="footer31.xml"/><Relationship Id="rId64" Type="http://schemas.openxmlformats.org/officeDocument/2006/relationships/header" Target="header17.xml"/><Relationship Id="rId65" Type="http://schemas.openxmlformats.org/officeDocument/2006/relationships/footer" Target="footer32.xml"/><Relationship Id="rId66" Type="http://schemas.openxmlformats.org/officeDocument/2006/relationships/header" Target="header18.xml"/><Relationship Id="rId67" Type="http://schemas.openxmlformats.org/officeDocument/2006/relationships/footer" Target="footer33.xml"/><Relationship Id="rId68" Type="http://schemas.openxmlformats.org/officeDocument/2006/relationships/footer" Target="footer34.xml"/><Relationship Id="rId69" Type="http://schemas.openxmlformats.org/officeDocument/2006/relationships/image" Target="media/image10.png"/><Relationship Id="rId70" Type="http://schemas.openxmlformats.org/officeDocument/2006/relationships/header" Target="header19.xml"/><Relationship Id="rId71" Type="http://schemas.openxmlformats.org/officeDocument/2006/relationships/footer" Target="footer35.xml"/><Relationship Id="rId72" Type="http://schemas.openxmlformats.org/officeDocument/2006/relationships/header" Target="header20.xml"/><Relationship Id="rId73" Type="http://schemas.openxmlformats.org/officeDocument/2006/relationships/footer" Target="footer36.xml"/><Relationship Id="rId74" Type="http://schemas.openxmlformats.org/officeDocument/2006/relationships/footer" Target="footer37.xml"/><Relationship Id="rId75" Type="http://schemas.openxmlformats.org/officeDocument/2006/relationships/footer" Target="footer38.xml"/><Relationship Id="rId76" Type="http://schemas.openxmlformats.org/officeDocument/2006/relationships/footer" Target="footer39.xml"/><Relationship Id="rId77" Type="http://schemas.openxmlformats.org/officeDocument/2006/relationships/header" Target="header21.xml"/><Relationship Id="rId78" Type="http://schemas.openxmlformats.org/officeDocument/2006/relationships/footer" Target="footer40.xml"/><Relationship Id="rId79" Type="http://schemas.openxmlformats.org/officeDocument/2006/relationships/footer" Target="footer4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2020-05-04T00:56:05Z</dcterms:created>
  <dcterms:modified xsi:type="dcterms:W3CDTF">2020-05-04T00:56:05Z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